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F90255">
      <w:pPr>
        <w:spacing w:line="269" w:lineRule="auto"/>
        <w:ind w:left="-285"/>
        <w:jc w:val="center"/>
        <w:rPr>
          <w:rFonts w:ascii="Calibri" w:hAnsi="Calibri" w:cs="Calibri"/>
          <w:b/>
          <w:bCs/>
          <w:color w:val="002060"/>
          <w:sz w:val="80"/>
          <w:szCs w:val="80"/>
          <w:rtl/>
        </w:rPr>
      </w:pPr>
    </w:p>
    <w:p w:rsidR="00127512" w:rsidP="00F90255">
      <w:pPr>
        <w:spacing w:line="269" w:lineRule="auto"/>
        <w:ind w:left="-285"/>
        <w:jc w:val="center"/>
        <w:rPr>
          <w:rFonts w:ascii="Calibri" w:hAnsi="Calibri" w:cs="Calibri"/>
          <w:b/>
          <w:bCs/>
          <w:color w:val="002060"/>
          <w:sz w:val="80"/>
          <w:szCs w:val="80"/>
          <w:rtl/>
        </w:rPr>
      </w:pPr>
    </w:p>
    <w:p w:rsidR="00127512" w:rsidP="00F90255">
      <w:pPr>
        <w:spacing w:line="269" w:lineRule="auto"/>
        <w:ind w:left="-285"/>
        <w:jc w:val="center"/>
        <w:rPr>
          <w:rFonts w:ascii="Calibri" w:hAnsi="Calibri" w:cs="Calibri"/>
          <w:b/>
          <w:bCs/>
          <w:color w:val="002060"/>
          <w:sz w:val="80"/>
          <w:szCs w:val="80"/>
          <w:rtl/>
        </w:rPr>
      </w:pPr>
    </w:p>
    <w:p w:rsidR="00127512" w:rsidP="00F90255">
      <w:pPr>
        <w:spacing w:line="269" w:lineRule="auto"/>
        <w:ind w:left="-285"/>
        <w:jc w:val="center"/>
        <w:rPr>
          <w:rFonts w:ascii="Calibri" w:hAnsi="Calibri" w:cs="Calibri"/>
          <w:b/>
          <w:bCs/>
          <w:color w:val="002060"/>
          <w:sz w:val="80"/>
          <w:szCs w:val="80"/>
          <w:rtl/>
        </w:rPr>
      </w:pPr>
    </w:p>
    <w:p w:rsidR="006E1414" w:rsidP="00F90255">
      <w:pPr>
        <w:spacing w:line="269" w:lineRule="auto"/>
        <w:ind w:left="-285"/>
        <w:jc w:val="center"/>
        <w:rPr>
          <w:rFonts w:ascii="Calibri" w:hAnsi="Calibri" w:cs="Calibri"/>
          <w:b/>
          <w:bCs/>
          <w:color w:val="002060"/>
          <w:sz w:val="80"/>
          <w:szCs w:val="80"/>
          <w:rtl/>
        </w:rPr>
      </w:pPr>
      <w:r w:rsidRPr="00AB5D27">
        <w:rPr>
          <w:rFonts w:ascii="Calibri" w:hAnsi="Calibri" w:cs="Calibri"/>
          <w:b/>
          <w:bCs/>
          <w:color w:val="002060"/>
          <w:sz w:val="80"/>
          <w:szCs w:val="80"/>
          <w:rtl/>
        </w:rPr>
        <w:t>ניהול ההיערכות הממשלתית להזדקנות האוכלוסייה</w:t>
      </w:r>
    </w:p>
    <w:p w:rsidR="006E1414" w:rsidP="00F90255">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0255">
      <w:pPr>
        <w:bidi w:val="0"/>
        <w:spacing w:line="269"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861D72" w:rsidRPr="00861D72" w:rsidP="00F90255">
      <w:pPr>
        <w:keepNext/>
        <w:keepLines/>
        <w:spacing w:line="269" w:lineRule="auto"/>
        <w:jc w:val="center"/>
        <w:outlineLvl w:val="0"/>
        <w:rPr>
          <w:rFonts w:eastAsia="Times New Roman"/>
          <w:bCs/>
          <w:szCs w:val="36"/>
          <w:u w:val="single"/>
        </w:rPr>
      </w:pPr>
      <w:r w:rsidRPr="00861D72">
        <w:rPr>
          <w:rFonts w:eastAsia="Times New Roman" w:hint="cs"/>
          <w:bCs/>
          <w:szCs w:val="36"/>
          <w:u w:val="single"/>
          <w:rtl/>
        </w:rPr>
        <w:t xml:space="preserve">היערכות מדינת ישראל להזדקנות האוכלוסייה </w:t>
      </w:r>
    </w:p>
    <w:p w:rsidR="00861D72" w:rsidRPr="00CC16EC" w:rsidP="00CC16EC">
      <w:pPr>
        <w:spacing w:line="269" w:lineRule="auto"/>
        <w:rPr>
          <w:rFonts w:eastAsia="Calibri"/>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מ</w:t>
      </w:r>
      <w:bookmarkStart w:id="0" w:name="tempMark"/>
      <w:bookmarkEnd w:id="0"/>
      <w:r w:rsidRPr="00861D72">
        <w:rPr>
          <w:rFonts w:eastAsia="Times New Roman" w:hint="cs"/>
          <w:bCs/>
          <w:szCs w:val="28"/>
          <w:u w:val="single"/>
          <w:rtl/>
        </w:rPr>
        <w:t>בוא</w:t>
      </w:r>
    </w:p>
    <w:p w:rsidR="00861D72" w:rsidRPr="00861D72" w:rsidP="00F90255">
      <w:pPr>
        <w:spacing w:line="269" w:lineRule="auto"/>
        <w:rPr>
          <w:rFonts w:eastAsia="Calibri"/>
          <w:rtl/>
        </w:rPr>
      </w:pPr>
    </w:p>
    <w:p w:rsidR="00861D72" w:rsidRPr="00861D72" w:rsidP="00F90255">
      <w:pPr>
        <w:spacing w:line="269" w:lineRule="auto"/>
        <w:rPr>
          <w:rFonts w:eastAsia="Calibri"/>
          <w:rtl/>
        </w:rPr>
      </w:pPr>
      <w:bookmarkStart w:id="1" w:name="_Hlk222217055"/>
      <w:r w:rsidRPr="00861D72">
        <w:rPr>
          <w:rFonts w:eastAsia="Calibri"/>
          <w:rtl/>
        </w:rPr>
        <w:t xml:space="preserve">הזדקנות האוכלוסייה </w:t>
      </w:r>
      <w:r w:rsidRPr="00861D72">
        <w:rPr>
          <w:rFonts w:eastAsia="Calibri" w:hint="cs"/>
          <w:rtl/>
        </w:rPr>
        <w:t>היא</w:t>
      </w:r>
      <w:r w:rsidRPr="00861D72">
        <w:rPr>
          <w:rFonts w:eastAsia="Calibri"/>
          <w:rtl/>
        </w:rPr>
        <w:t xml:space="preserve"> אחד האתגרים שמולם ניצבת מדינת ישראל</w:t>
      </w:r>
      <w:r w:rsidRPr="00861D72">
        <w:rPr>
          <w:rFonts w:eastAsia="Calibri" w:hint="cs"/>
          <w:rtl/>
        </w:rPr>
        <w:t xml:space="preserve">. אתגר זה </w:t>
      </w:r>
      <w:r w:rsidRPr="00861D72">
        <w:rPr>
          <w:rFonts w:eastAsia="Calibri"/>
          <w:rtl/>
        </w:rPr>
        <w:t>טומן בחובו השלכות רחבות על מערכת הבריאות,</w:t>
      </w:r>
      <w:r w:rsidRPr="00861D72">
        <w:rPr>
          <w:rFonts w:eastAsia="Calibri" w:hint="cs"/>
          <w:rtl/>
        </w:rPr>
        <w:t xml:space="preserve"> על מערכת הסיעוד, על </w:t>
      </w:r>
      <w:r w:rsidRPr="00861D72">
        <w:rPr>
          <w:rFonts w:eastAsia="Calibri"/>
          <w:rtl/>
        </w:rPr>
        <w:t xml:space="preserve">שירותי הרווחה </w:t>
      </w:r>
      <w:r w:rsidRPr="00861D72">
        <w:rPr>
          <w:rFonts w:eastAsia="Calibri" w:hint="cs"/>
          <w:rtl/>
        </w:rPr>
        <w:t xml:space="preserve">ועל שוק העבודה. זאת ועוד, </w:t>
      </w:r>
      <w:r w:rsidRPr="00861D72">
        <w:rPr>
          <w:rFonts w:eastAsia="Calibri"/>
          <w:rtl/>
        </w:rPr>
        <w:t xml:space="preserve">ישראל, בדומה למדינות מפותחות רבות, </w:t>
      </w:r>
      <w:r w:rsidRPr="00861D72">
        <w:rPr>
          <w:rFonts w:eastAsia="Calibri" w:hint="cs"/>
          <w:rtl/>
        </w:rPr>
        <w:t>מתמודדת עם</w:t>
      </w:r>
      <w:r w:rsidRPr="00861D72">
        <w:rPr>
          <w:rFonts w:eastAsia="Calibri"/>
          <w:rtl/>
        </w:rPr>
        <w:t xml:space="preserve"> שינוי דמוגרפי משמעותי</w:t>
      </w:r>
      <w:r w:rsidRPr="00861D72">
        <w:rPr>
          <w:rFonts w:eastAsia="Calibri" w:hint="cs"/>
          <w:rtl/>
        </w:rPr>
        <w:t xml:space="preserve"> בשל</w:t>
      </w:r>
      <w:r w:rsidRPr="00861D72">
        <w:rPr>
          <w:rFonts w:eastAsia="Calibri"/>
          <w:rtl/>
        </w:rPr>
        <w:t xml:space="preserve"> הזדקנות מואצת של האוכלוסייה</w:t>
      </w:r>
      <w:r w:rsidRPr="00861D72">
        <w:rPr>
          <w:rFonts w:eastAsia="Calibri" w:hint="cs"/>
          <w:rtl/>
        </w:rPr>
        <w:t>. שינוי זה נגרם כתוצאה מעלייה בת</w:t>
      </w:r>
      <w:r w:rsidRPr="00861D72">
        <w:rPr>
          <w:rFonts w:eastAsia="Calibri"/>
          <w:rtl/>
        </w:rPr>
        <w:t>וחלת החיים</w:t>
      </w:r>
      <w:r>
        <w:rPr>
          <w:rFonts w:eastAsia="Calibri"/>
          <w:vertAlign w:val="superscript"/>
          <w:rtl/>
        </w:rPr>
        <w:footnoteReference w:id="2"/>
      </w:r>
      <w:r w:rsidRPr="00861D72">
        <w:rPr>
          <w:rFonts w:eastAsia="Calibri"/>
          <w:rtl/>
        </w:rPr>
        <w:t xml:space="preserve"> לצד ירידה בשיעורי הילודה</w:t>
      </w:r>
      <w:r w:rsidRPr="00861D72">
        <w:rPr>
          <w:rFonts w:eastAsia="Calibri" w:hint="cs"/>
          <w:rtl/>
        </w:rPr>
        <w:t xml:space="preserve">; אלו גם </w:t>
      </w:r>
      <w:r w:rsidRPr="00861D72">
        <w:rPr>
          <w:rFonts w:eastAsia="Calibri"/>
          <w:rtl/>
        </w:rPr>
        <w:t xml:space="preserve">מביאים לעלייה מתמדת </w:t>
      </w:r>
      <w:r w:rsidRPr="00861D72">
        <w:rPr>
          <w:rFonts w:eastAsia="Calibri" w:hint="cs"/>
          <w:rtl/>
        </w:rPr>
        <w:t>במספר</w:t>
      </w:r>
      <w:r w:rsidRPr="00861D72">
        <w:rPr>
          <w:rFonts w:eastAsia="Calibri"/>
          <w:rtl/>
        </w:rPr>
        <w:t xml:space="preserve"> האזרחים הוותיקים</w:t>
      </w:r>
      <w:r>
        <w:rPr>
          <w:rFonts w:eastAsia="Calibri"/>
          <w:vertAlign w:val="superscript"/>
          <w:rtl/>
        </w:rPr>
        <w:footnoteReference w:id="3"/>
      </w:r>
      <w:r w:rsidRPr="00861D72">
        <w:rPr>
          <w:rFonts w:eastAsia="Calibri"/>
          <w:rtl/>
        </w:rPr>
        <w:t xml:space="preserve"> </w:t>
      </w:r>
      <w:r w:rsidRPr="00861D72">
        <w:rPr>
          <w:rFonts w:eastAsia="Calibri" w:hint="cs"/>
          <w:rtl/>
        </w:rPr>
        <w:t xml:space="preserve">ובשיעורם </w:t>
      </w:r>
      <w:r w:rsidRPr="00861D72">
        <w:rPr>
          <w:rFonts w:eastAsia="Calibri"/>
          <w:rtl/>
        </w:rPr>
        <w:t>מתוך כלל האוכלוסייה.</w:t>
      </w:r>
      <w:r w:rsidRPr="00861D72">
        <w:rPr>
          <w:rFonts w:eastAsia="Calibri" w:hint="cs"/>
          <w:rtl/>
        </w:rPr>
        <w:t xml:space="preserve"> בקרב אוכלוסייה זו, המונה בישראל בסוף שנת 2024 כ-1.3 מיליון תושבים בני 65 ומעלה, שהם כ-13% מתושבי המדינה</w:t>
      </w:r>
      <w:r>
        <w:rPr>
          <w:rFonts w:eastAsia="Calibri"/>
          <w:vertAlign w:val="superscript"/>
          <w:rtl/>
        </w:rPr>
        <w:footnoteReference w:id="4"/>
      </w:r>
      <w:r w:rsidRPr="00861D72">
        <w:rPr>
          <w:rFonts w:eastAsia="Calibri" w:hint="cs"/>
          <w:rtl/>
        </w:rPr>
        <w:t>, השונות ברמת התפקוד גדולה, מתפקוד מלא ללא מגבלות רפואיות ועד לתפקוד מוגבל מאוד בשל מגבלות רפואיות ותפקודיות ניכרות.</w:t>
      </w:r>
    </w:p>
    <w:bookmarkEnd w:id="1"/>
    <w:p w:rsidR="00861D72" w:rsidRPr="00861D72" w:rsidP="00F90255">
      <w:pPr>
        <w:spacing w:line="269" w:lineRule="auto"/>
        <w:rPr>
          <w:rFonts w:eastAsia="Calibri"/>
          <w:rtl/>
        </w:rPr>
      </w:pPr>
    </w:p>
    <w:p w:rsidR="00861D72" w:rsidRPr="00861D72" w:rsidP="00F90255">
      <w:pPr>
        <w:spacing w:line="269" w:lineRule="auto"/>
        <w:rPr>
          <w:rFonts w:eastAsia="Calibri"/>
          <w:rtl/>
        </w:rPr>
      </w:pPr>
      <w:bookmarkStart w:id="2" w:name="_Hlk222217079"/>
      <w:r w:rsidRPr="00861D72">
        <w:rPr>
          <w:rFonts w:eastAsia="Calibri"/>
          <w:rtl/>
        </w:rPr>
        <w:t>מחקרים מצביעים באופן עקבי על כך שהשקעה בשמירה על בריאות האוכלוסייה הוותיקה ו</w:t>
      </w:r>
      <w:r w:rsidRPr="00861D72">
        <w:rPr>
          <w:rFonts w:eastAsia="Calibri" w:hint="cs"/>
          <w:rtl/>
        </w:rPr>
        <w:t xml:space="preserve">על </w:t>
      </w:r>
      <w:r w:rsidRPr="00861D72">
        <w:rPr>
          <w:rFonts w:eastAsia="Calibri"/>
          <w:rtl/>
        </w:rPr>
        <w:t>רווחת</w:t>
      </w:r>
      <w:r w:rsidRPr="00861D72">
        <w:rPr>
          <w:rFonts w:eastAsia="Calibri" w:hint="cs"/>
          <w:rtl/>
        </w:rPr>
        <w:t>ה</w:t>
      </w:r>
      <w:r w:rsidRPr="00861D72">
        <w:rPr>
          <w:rFonts w:eastAsia="Calibri"/>
          <w:rtl/>
        </w:rPr>
        <w:t xml:space="preserve"> מניבה תועלת כלכלית גבוהה ביותר, הן ברמת הפרט והן ברמת המשק כולו. הזדקנות בריאה מפחיתה תחלואה כרונית והגבלות תפקודיות, מצמצמת הוצאות </w:t>
      </w:r>
      <w:r w:rsidRPr="00861D72">
        <w:rPr>
          <w:rFonts w:eastAsia="Calibri" w:hint="cs"/>
          <w:rtl/>
        </w:rPr>
        <w:t xml:space="preserve">על </w:t>
      </w:r>
      <w:r w:rsidRPr="00861D72">
        <w:rPr>
          <w:rFonts w:eastAsia="Calibri"/>
          <w:rtl/>
        </w:rPr>
        <w:t>בריאות ו</w:t>
      </w:r>
      <w:r w:rsidRPr="00861D72">
        <w:rPr>
          <w:rFonts w:eastAsia="Calibri" w:hint="cs"/>
          <w:rtl/>
        </w:rPr>
        <w:t xml:space="preserve">על </w:t>
      </w:r>
      <w:r w:rsidRPr="00861D72">
        <w:rPr>
          <w:rFonts w:eastAsia="Calibri"/>
          <w:rtl/>
        </w:rPr>
        <w:t>סיעוד ארוך</w:t>
      </w:r>
      <w:r w:rsidRPr="00861D72">
        <w:rPr>
          <w:rFonts w:eastAsia="Calibri" w:hint="cs"/>
          <w:rtl/>
        </w:rPr>
        <w:t xml:space="preserve"> </w:t>
      </w:r>
      <w:r w:rsidRPr="00861D72">
        <w:rPr>
          <w:rFonts w:eastAsia="Calibri"/>
          <w:rtl/>
        </w:rPr>
        <w:t>טווח, שומרת על פרודוקטיביות ו</w:t>
      </w:r>
      <w:r w:rsidRPr="00861D72">
        <w:rPr>
          <w:rFonts w:eastAsia="Calibri" w:hint="cs"/>
          <w:rtl/>
        </w:rPr>
        <w:t xml:space="preserve">על </w:t>
      </w:r>
      <w:r w:rsidRPr="00861D72">
        <w:rPr>
          <w:rFonts w:eastAsia="Calibri"/>
          <w:rtl/>
        </w:rPr>
        <w:t xml:space="preserve">השתתפות בכוח העבודה בגילי הביניים ומגדילה </w:t>
      </w:r>
      <w:r w:rsidRPr="00861D72">
        <w:rPr>
          <w:rFonts w:eastAsia="Calibri" w:hint="cs"/>
          <w:rtl/>
        </w:rPr>
        <w:t>את ה</w:t>
      </w:r>
      <w:r w:rsidRPr="00861D72">
        <w:rPr>
          <w:rFonts w:eastAsia="Calibri"/>
          <w:rtl/>
        </w:rPr>
        <w:t xml:space="preserve">תרומה </w:t>
      </w:r>
      <w:r w:rsidRPr="00861D72">
        <w:rPr>
          <w:rFonts w:eastAsia="Calibri" w:hint="cs"/>
          <w:rtl/>
        </w:rPr>
        <w:t>ה</w:t>
      </w:r>
      <w:r w:rsidRPr="00861D72">
        <w:rPr>
          <w:rFonts w:eastAsia="Calibri"/>
          <w:rtl/>
        </w:rPr>
        <w:t>כלכלית גם לאחר פרישה באמצעות פעילו</w:t>
      </w:r>
      <w:r w:rsidRPr="00861D72">
        <w:rPr>
          <w:rFonts w:eastAsia="Calibri" w:hint="cs"/>
          <w:rtl/>
        </w:rPr>
        <w:t>יו</w:t>
      </w:r>
      <w:r w:rsidRPr="00861D72">
        <w:rPr>
          <w:rFonts w:eastAsia="Calibri"/>
          <w:rtl/>
        </w:rPr>
        <w:t>ת</w:t>
      </w:r>
      <w:r w:rsidRPr="00861D72">
        <w:rPr>
          <w:rFonts w:eastAsia="Calibri" w:hint="cs"/>
          <w:rtl/>
        </w:rPr>
        <w:t>,</w:t>
      </w:r>
      <w:r w:rsidRPr="00861D72">
        <w:rPr>
          <w:rFonts w:eastAsia="Calibri"/>
          <w:rtl/>
        </w:rPr>
        <w:t xml:space="preserve"> כמו התנדבות וטיפול במשפחה. </w:t>
      </w:r>
      <w:bookmarkEnd w:id="2"/>
      <w:r w:rsidRPr="00861D72">
        <w:rPr>
          <w:rFonts w:eastAsia="Calibri" w:hint="cs"/>
          <w:rtl/>
        </w:rPr>
        <w:t xml:space="preserve">על פי </w:t>
      </w:r>
      <w:r w:rsidRPr="00861D72">
        <w:rPr>
          <w:rFonts w:eastAsia="Calibri"/>
          <w:rtl/>
        </w:rPr>
        <w:t xml:space="preserve">מחקר </w:t>
      </w:r>
      <w:r w:rsidRPr="00861D72">
        <w:rPr>
          <w:rFonts w:eastAsia="Calibri" w:hint="cs"/>
          <w:rtl/>
        </w:rPr>
        <w:t xml:space="preserve">שנעשה </w:t>
      </w:r>
      <w:r w:rsidRPr="00861D72">
        <w:rPr>
          <w:rFonts w:eastAsia="Calibri"/>
          <w:rtl/>
        </w:rPr>
        <w:t>בארה״ב</w:t>
      </w:r>
      <w:r w:rsidRPr="00861D72">
        <w:rPr>
          <w:rFonts w:eastAsia="Calibri" w:hint="cs"/>
          <w:rtl/>
        </w:rPr>
        <w:t>,</w:t>
      </w:r>
      <w:r w:rsidRPr="00861D72">
        <w:rPr>
          <w:rFonts w:eastAsia="Calibri"/>
          <w:rtl/>
        </w:rPr>
        <w:t xml:space="preserve"> </w:t>
      </w:r>
      <w:r w:rsidRPr="00861D72">
        <w:rPr>
          <w:rFonts w:eastAsia="Calibri" w:hint="cs"/>
          <w:rtl/>
        </w:rPr>
        <w:t>ההערכה היא</w:t>
      </w:r>
      <w:r w:rsidRPr="00861D72">
        <w:rPr>
          <w:rFonts w:eastAsia="Calibri"/>
          <w:rtl/>
        </w:rPr>
        <w:t xml:space="preserve"> שעיכוב תהליך ההזדקנות בשנה אחת שווה ערך </w:t>
      </w:r>
      <w:r w:rsidRPr="00861D72">
        <w:rPr>
          <w:rFonts w:eastAsia="Calibri" w:hint="cs"/>
          <w:rtl/>
        </w:rPr>
        <w:t>ל</w:t>
      </w:r>
      <w:r w:rsidRPr="00861D72">
        <w:rPr>
          <w:rFonts w:eastAsia="Calibri"/>
          <w:rtl/>
        </w:rPr>
        <w:t xml:space="preserve">כ-38 טריליון דולר, ובעשר שנים </w:t>
      </w:r>
      <w:r w:rsidRPr="00861D72">
        <w:rPr>
          <w:rFonts w:eastAsia="Calibri" w:hint="cs"/>
          <w:rtl/>
        </w:rPr>
        <w:t>ל</w:t>
      </w:r>
      <w:r w:rsidRPr="00861D72">
        <w:rPr>
          <w:rFonts w:eastAsia="Calibri"/>
          <w:rtl/>
        </w:rPr>
        <w:t>כ-367 טריליון דולר</w:t>
      </w:r>
      <w:r w:rsidRPr="00861D72">
        <w:rPr>
          <w:rFonts w:eastAsia="Calibri" w:hint="cs"/>
          <w:rtl/>
        </w:rPr>
        <w:t>. כמו כן</w:t>
      </w:r>
      <w:r w:rsidRPr="00861D72">
        <w:rPr>
          <w:rFonts w:eastAsia="Calibri"/>
          <w:rtl/>
        </w:rPr>
        <w:t xml:space="preserve"> </w:t>
      </w:r>
      <w:r w:rsidRPr="00861D72">
        <w:rPr>
          <w:rFonts w:eastAsia="Calibri" w:hint="cs"/>
          <w:rtl/>
        </w:rPr>
        <w:t xml:space="preserve">נמצא </w:t>
      </w:r>
      <w:r w:rsidRPr="00861D72">
        <w:rPr>
          <w:rFonts w:eastAsia="Calibri"/>
          <w:rtl/>
        </w:rPr>
        <w:t>שכל דולר המושקע בהזדקנות בריאה מניב כ</w:t>
      </w:r>
      <w:r w:rsidRPr="00861D72">
        <w:rPr>
          <w:rFonts w:eastAsia="Calibri" w:hint="cs"/>
          <w:rtl/>
        </w:rPr>
        <w:t>-</w:t>
      </w:r>
      <w:r w:rsidRPr="00861D72">
        <w:rPr>
          <w:rFonts w:eastAsia="Calibri"/>
          <w:rtl/>
        </w:rPr>
        <w:t xml:space="preserve">3 דולרים בתועלות כלכליות ובריאותיות. ממצאים אלו מצביעים </w:t>
      </w:r>
      <w:r w:rsidRPr="00861D72">
        <w:rPr>
          <w:rFonts w:eastAsia="Calibri" w:hint="cs"/>
          <w:rtl/>
        </w:rPr>
        <w:t xml:space="preserve">יחד </w:t>
      </w:r>
      <w:r w:rsidRPr="00861D72">
        <w:rPr>
          <w:rFonts w:eastAsia="Calibri"/>
          <w:rtl/>
        </w:rPr>
        <w:t>על</w:t>
      </w:r>
      <w:r w:rsidRPr="00861D72">
        <w:rPr>
          <w:rFonts w:eastAsia="Calibri" w:hint="cs"/>
          <w:rtl/>
        </w:rPr>
        <w:t xml:space="preserve"> כך</w:t>
      </w:r>
      <w:r w:rsidRPr="00861D72">
        <w:rPr>
          <w:rFonts w:eastAsia="Calibri"/>
          <w:rtl/>
        </w:rPr>
        <w:t xml:space="preserve"> שקידום הזדקנות בריאה</w:t>
      </w:r>
      <w:r w:rsidRPr="00861D72">
        <w:rPr>
          <w:rFonts w:eastAsia="Calibri" w:hint="cs"/>
          <w:rtl/>
        </w:rPr>
        <w:t xml:space="preserve"> ומיטיבה</w:t>
      </w:r>
      <w:r w:rsidRPr="00861D72">
        <w:rPr>
          <w:rFonts w:eastAsia="Calibri"/>
          <w:rtl/>
        </w:rPr>
        <w:t xml:space="preserve"> אינו רק יעד חברתי ובריאותי, אלא מנוע צמיחה כלכלי בעל תשואה גבוהה</w:t>
      </w:r>
      <w:r>
        <w:rPr>
          <w:rFonts w:eastAsia="Calibri"/>
          <w:vertAlign w:val="superscript"/>
          <w:rtl/>
        </w:rPr>
        <w:footnoteReference w:id="5"/>
      </w:r>
      <w:r w:rsidRPr="00861D72">
        <w:rPr>
          <w:rFonts w:eastAsia="Calibri"/>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אתגר זה מחייב היערכות של מדינת ישראל במגוון תחומים - החל בשלב גיבוש המדיניות, דרך התכנון האסטרטגי והתכנון המפורט, ועד להכנת האוכלוסייה המתבגרת לקראת שלב </w:t>
      </w:r>
      <w:r w:rsidRPr="00861D72" w:rsidR="00CC16EC">
        <w:rPr>
          <w:rFonts w:eastAsia="Calibri" w:hint="cs"/>
          <w:rtl/>
        </w:rPr>
        <w:t>הזקנה</w:t>
      </w:r>
      <w:r>
        <w:rPr>
          <w:rFonts w:eastAsia="Calibri"/>
          <w:vertAlign w:val="superscript"/>
          <w:rtl/>
        </w:rPr>
        <w:footnoteReference w:id="6"/>
      </w:r>
      <w:r w:rsidRPr="00861D72">
        <w:rPr>
          <w:rFonts w:eastAsia="Calibri" w:hint="cs"/>
          <w:rtl/>
        </w:rPr>
        <w:t xml:space="preserve"> ולהכנת המערכות התומכות והתשתיות (מערכת הבריאות, הרווחה)</w:t>
      </w:r>
      <w:r>
        <w:rPr>
          <w:rFonts w:eastAsia="Calibri"/>
          <w:vertAlign w:val="superscript"/>
          <w:rtl/>
        </w:rPr>
        <w:footnoteReference w:id="7"/>
      </w:r>
      <w:r w:rsidRPr="00861D72">
        <w:rPr>
          <w:rFonts w:eastAsia="Calibri" w:hint="cs"/>
          <w:rtl/>
        </w:rPr>
        <w:t>. יותר מכול, היערכות להזדקנות האוכלוסייה מחייבת שימור של אוכלוסיית הזקנים במצב תפקודי, בריאותי, רגשי, חברתי ותעסוקתי מיטבי, דחיקת התלות</w:t>
      </w:r>
      <w:r>
        <w:rPr>
          <w:rFonts w:eastAsia="Calibri"/>
          <w:vertAlign w:val="superscript"/>
          <w:rtl/>
        </w:rPr>
        <w:footnoteReference w:id="8"/>
      </w:r>
      <w:r w:rsidRPr="00861D72">
        <w:rPr>
          <w:rFonts w:eastAsia="Calibri" w:hint="cs"/>
          <w:rtl/>
        </w:rPr>
        <w:t xml:space="preserve"> ככל הניתן ודאגה לכך שמצבם (שעה שהחלו להזדקק לסיוע או לטיפול) לא יוחמר. שימור של מצב זה נדרש לאורך כל שנות הזקנה, בהתאם למצבם. </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eastAsia="Calibri"/>
          <w:rtl/>
        </w:rPr>
        <w:t>דוח</w:t>
      </w:r>
      <w:r w:rsidRPr="00861D72">
        <w:rPr>
          <w:rFonts w:eastAsia="Calibri" w:hint="cs"/>
          <w:rtl/>
        </w:rPr>
        <w:t xml:space="preserve"> זה</w:t>
      </w:r>
      <w:r w:rsidRPr="00861D72">
        <w:rPr>
          <w:rFonts w:eastAsia="Calibri"/>
          <w:rtl/>
        </w:rPr>
        <w:t xml:space="preserve"> מתייחס לאוכלוסיית הזקנים, כאשר ההגדרה של מי נכלל בקבוצה זו משתנה בין פרקי הדוח בהתאם להגדרות הנהוגות אצל הגופים הרלוונטיים שאליהם מתייחסים הנתונים. הלשכה המרכזית לסטטיסטיקה</w:t>
      </w:r>
      <w:r w:rsidRPr="00861D72">
        <w:rPr>
          <w:rFonts w:eastAsia="Calibri" w:hint="cs"/>
          <w:rtl/>
        </w:rPr>
        <w:t xml:space="preserve"> (להלן - </w:t>
      </w:r>
      <w:r w:rsidRPr="00861D72">
        <w:rPr>
          <w:rFonts w:eastAsia="Calibri" w:hint="cs"/>
          <w:rtl/>
        </w:rPr>
        <w:t>למ"ס</w:t>
      </w:r>
      <w:r w:rsidRPr="00861D72">
        <w:rPr>
          <w:rFonts w:eastAsia="Calibri" w:hint="cs"/>
          <w:rtl/>
        </w:rPr>
        <w:t>), מודדת את מצב בני ה-65 ומעלה</w:t>
      </w:r>
      <w:r>
        <w:rPr>
          <w:rFonts w:eastAsia="Calibri"/>
          <w:vertAlign w:val="superscript"/>
          <w:rtl/>
        </w:rPr>
        <w:footnoteReference w:id="9"/>
      </w:r>
      <w:r w:rsidRPr="00861D72">
        <w:rPr>
          <w:rFonts w:eastAsia="Calibri" w:hint="cs"/>
          <w:rtl/>
        </w:rPr>
        <w:t xml:space="preserve">. </w:t>
      </w:r>
      <w:r w:rsidRPr="00861D72">
        <w:rPr>
          <w:rFonts w:eastAsia="Calibri"/>
          <w:rtl/>
        </w:rPr>
        <w:t xml:space="preserve">סקירות תעסוקתיות </w:t>
      </w:r>
      <w:r w:rsidRPr="00861D72">
        <w:rPr>
          <w:rFonts w:eastAsia="Calibri"/>
          <w:rtl/>
        </w:rPr>
        <w:t>של מוסדות מחקר ממשלתיים מציגות גם הן את גיל 65 כגיל היציאה מכוח העבודה</w:t>
      </w:r>
      <w:r>
        <w:rPr>
          <w:rFonts w:eastAsia="Calibri"/>
          <w:vertAlign w:val="superscript"/>
          <w:rtl/>
        </w:rPr>
        <w:footnoteReference w:id="10"/>
      </w:r>
      <w:r w:rsidRPr="00861D72">
        <w:rPr>
          <w:rFonts w:eastAsia="Calibri"/>
          <w:rtl/>
        </w:rPr>
        <w:t>. במערכת הבריאות, גיל 65 הוא חתך הזכאות להטבות, פטורים, הנחות, טיפולים ושירותים רפואיים ייחודים</w:t>
      </w:r>
      <w:r>
        <w:rPr>
          <w:rFonts w:eastAsia="Calibri"/>
          <w:vertAlign w:val="superscript"/>
          <w:rtl/>
        </w:rPr>
        <w:footnoteReference w:id="11"/>
      </w:r>
      <w:r w:rsidRPr="00861D72">
        <w:rPr>
          <w:rFonts w:eastAsia="Calibri"/>
          <w:rtl/>
        </w:rPr>
        <w:t xml:space="preserve">. גיל הפרישה, הגיל </w:t>
      </w:r>
      <w:r w:rsidRPr="00861D72">
        <w:rPr>
          <w:rFonts w:eastAsia="Calibri"/>
          <w:rtl/>
        </w:rPr>
        <w:t>שבהגיעו</w:t>
      </w:r>
      <w:r w:rsidRPr="00861D72">
        <w:rPr>
          <w:rFonts w:eastAsia="Calibri"/>
          <w:rtl/>
        </w:rPr>
        <w:t xml:space="preserve"> אליו זכאי אדם לפרוש מעבודתו בשל גילו ולקבל גמלה בשל פרישתו מעבודתו, נכון ל-2025 עומד על 67 לגברים ו-63 לנשים, הוא הגיל שמזכה בקצבת זקנה ובקצבת סיעוד מהמוסד לביטוח לאומי והוא גם גיל הזכאות לשירותי רווחה של </w:t>
      </w:r>
      <w:r w:rsidRPr="00861D72">
        <w:rPr>
          <w:rFonts w:eastAsia="Calibri"/>
          <w:rtl/>
        </w:rPr>
        <w:t>מינהל</w:t>
      </w:r>
      <w:r w:rsidRPr="00861D72">
        <w:rPr>
          <w:rFonts w:eastAsia="Calibri"/>
          <w:rtl/>
        </w:rPr>
        <w:t xml:space="preserve"> אזרחים ותיקים</w:t>
      </w:r>
      <w:r w:rsidRPr="00861D72">
        <w:rPr>
          <w:rFonts w:eastAsia="Calibri" w:hint="cs"/>
          <w:rtl/>
        </w:rPr>
        <w:t xml:space="preserve"> במשרד הרווחה והב</w:t>
      </w:r>
      <w:r w:rsidR="00CC16EC">
        <w:rPr>
          <w:rFonts w:eastAsia="Calibri" w:hint="cs"/>
          <w:rtl/>
        </w:rPr>
        <w:t>י</w:t>
      </w:r>
      <w:r w:rsidRPr="00861D72">
        <w:rPr>
          <w:rFonts w:eastAsia="Calibri" w:hint="cs"/>
          <w:rtl/>
        </w:rPr>
        <w:t>טחון החברתי (להלן - משרד הרווחה)</w:t>
      </w:r>
      <w:r w:rsidRPr="00861D72">
        <w:rPr>
          <w:rFonts w:eastAsia="Calibri"/>
          <w:rtl/>
        </w:rPr>
        <w:t>, ולרבים מהשירותים שמציע המשרד לשוויון חברתי</w:t>
      </w:r>
      <w:r w:rsidRPr="00861D72">
        <w:rPr>
          <w:rFonts w:eastAsia="Calibri" w:hint="cs"/>
          <w:rtl/>
        </w:rPr>
        <w:t xml:space="preserve"> ולקידום מעמד האישה (להלן - המשרד לשוויון חברתי)</w:t>
      </w:r>
      <w:r w:rsidRPr="00861D72">
        <w:rPr>
          <w:rFonts w:eastAsia="Calibri"/>
          <w:rtl/>
        </w:rPr>
        <w:t>. אוכלוסיות אלו נקראות בדוח זקנים, אזרחים ותיקים או קשישים.</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הלמ"ס</w:t>
      </w:r>
      <w:r w:rsidRPr="00861D72">
        <w:rPr>
          <w:rFonts w:eastAsia="Calibri" w:hint="cs"/>
          <w:rtl/>
        </w:rPr>
        <w:t xml:space="preserve"> מודדת את מצב הזקנים בני 65 ומעלה</w:t>
      </w:r>
      <w:r>
        <w:rPr>
          <w:rFonts w:eastAsia="Calibri"/>
          <w:vertAlign w:val="superscript"/>
          <w:rtl/>
        </w:rPr>
        <w:footnoteReference w:id="12"/>
      </w:r>
      <w:r w:rsidRPr="00861D72">
        <w:rPr>
          <w:rFonts w:eastAsia="Calibri" w:hint="cs"/>
          <w:rtl/>
        </w:rPr>
        <w:t>,</w:t>
      </w:r>
      <w:r w:rsidR="00CC16EC">
        <w:rPr>
          <w:rFonts w:eastAsia="Calibri" w:hint="cs"/>
          <w:rtl/>
        </w:rPr>
        <w:t xml:space="preserve"> </w:t>
      </w:r>
      <w:r w:rsidRPr="00861D72">
        <w:rPr>
          <w:rFonts w:eastAsia="Calibri" w:hint="cs"/>
          <w:rtl/>
        </w:rPr>
        <w:t xml:space="preserve">הן בקרב נשים והן בקרב גברים. בתרשימים שלהלן מוצג השינוי במספר בני ה-65 ומעלה בישראל ובשיעורם מתוך האוכלוסייה בשנים 1975 - 2050; וכן השינוי בתוחלת החיים בישראל ובעולם בשנים 1975 - 2050 בקרב נשים וגברים. </w:t>
      </w:r>
    </w:p>
    <w:p w:rsidR="00861D72" w:rsidRPr="00861D72" w:rsidP="00F90255">
      <w:pPr>
        <w:spacing w:line="269" w:lineRule="auto"/>
        <w:rPr>
          <w:rFonts w:eastAsia="Calibri"/>
          <w:rtl/>
        </w:rPr>
      </w:pPr>
    </w:p>
    <w:p w:rsidR="00861D72" w:rsidRPr="00861D72" w:rsidP="00F90255">
      <w:pPr>
        <w:spacing w:line="269" w:lineRule="auto"/>
        <w:jc w:val="center"/>
        <w:rPr>
          <w:rFonts w:eastAsia="Calibri"/>
          <w:b/>
          <w:bCs/>
          <w:rtl/>
        </w:rPr>
      </w:pPr>
      <w:r w:rsidRPr="00861D72">
        <w:rPr>
          <w:rFonts w:eastAsia="Calibri" w:hint="cs"/>
          <w:rtl/>
        </w:rPr>
        <w:t xml:space="preserve">תרשים 1: </w:t>
      </w:r>
      <w:r w:rsidRPr="00861D72">
        <w:rPr>
          <w:rFonts w:eastAsia="Calibri" w:hint="cs"/>
          <w:b/>
          <w:bCs/>
          <w:rtl/>
        </w:rPr>
        <w:t xml:space="preserve">מספר בני 65 ומעלה ושיעורם מתוך כלל האוכלוסייה בישראל, לפי שנים, </w:t>
      </w:r>
      <w:r w:rsidRPr="00861D72">
        <w:rPr>
          <w:rFonts w:eastAsia="Calibri"/>
          <w:b/>
          <w:bCs/>
          <w:rtl/>
        </w:rPr>
        <w:br/>
      </w:r>
      <w:r w:rsidRPr="00861D72">
        <w:rPr>
          <w:rFonts w:eastAsia="Calibri" w:hint="cs"/>
          <w:b/>
          <w:bCs/>
          <w:rtl/>
        </w:rPr>
        <w:t>1975 - 2050 (באלפים ובאחוזים)</w:t>
      </w:r>
    </w:p>
    <w:p w:rsidR="00861D72" w:rsidRPr="00861D72" w:rsidP="00F90255">
      <w:pPr>
        <w:spacing w:line="269" w:lineRule="auto"/>
        <w:jc w:val="center"/>
        <w:rPr>
          <w:rFonts w:eastAsia="Calibri"/>
          <w:b/>
          <w:bCs/>
        </w:rPr>
      </w:pPr>
      <w:r w:rsidRPr="00861D72">
        <w:rPr>
          <w:rFonts w:eastAsia="Calibri"/>
          <w:b/>
          <w:bCs/>
          <w:noProof/>
        </w:rPr>
        <w:drawing>
          <wp:inline distT="0" distB="0" distL="0" distR="0">
            <wp:extent cx="5282453" cy="3905250"/>
            <wp:effectExtent l="0" t="0" r="0" b="0"/>
            <wp:docPr id="111" name="תמונה 111" descr="שיעור הזקנים מתוך כלל האוכלוסייה&#10;ומספר הזקנים (באלפים) לפי שנה:&#10;2050&#10;15%&#10;2,066.8&#10;2024&#10;12.8%&#10;1,286&#10;2020&#10;12.1%&#10;1,128.2&#10;2015&#10;11.1%&#10;938.9&#10;2010&#10;9.9%&#10;762.2&#10;2005&#10;9.9%&#10;693.1&#10;2000&#10;9.8%&#10;622.9&#10;1995&#10;9.6%&#10;537.5&#10;1990&#10;9.2%&#10;442&#10;1985&#10;8.9%&#10;378&#10;1980&#10;8.6%&#10;338.3&#10;1975&#10;7.9%&#10;277.4&#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9769" cy="3910658"/>
                    </a:xfrm>
                    <a:prstGeom prst="rect">
                      <a:avLst/>
                    </a:prstGeom>
                    <a:noFill/>
                  </pic:spPr>
                </pic:pic>
              </a:graphicData>
            </a:graphic>
          </wp:inline>
        </w:drawing>
      </w:r>
    </w:p>
    <w:p w:rsidR="00861D72" w:rsidRPr="00861D72" w:rsidP="00F90255">
      <w:pPr>
        <w:spacing w:line="269" w:lineRule="auto"/>
        <w:rPr>
          <w:rFonts w:eastAsia="Calibri"/>
          <w:szCs w:val="20"/>
          <w:rtl/>
        </w:rPr>
      </w:pPr>
      <w:r w:rsidRPr="00861D72">
        <w:rPr>
          <w:rFonts w:eastAsia="Calibri" w:hint="eastAsia"/>
          <w:szCs w:val="20"/>
          <w:rtl/>
        </w:rPr>
        <w:t>על</w:t>
      </w:r>
      <w:r w:rsidRPr="00861D72">
        <w:rPr>
          <w:rFonts w:eastAsia="Calibri"/>
          <w:szCs w:val="20"/>
          <w:rtl/>
        </w:rPr>
        <w:t xml:space="preserve"> </w:t>
      </w:r>
      <w:r w:rsidRPr="00861D72">
        <w:rPr>
          <w:rFonts w:eastAsia="Calibri" w:hint="eastAsia"/>
          <w:szCs w:val="20"/>
          <w:rtl/>
        </w:rPr>
        <w:t>פי</w:t>
      </w:r>
      <w:r w:rsidRPr="00861D72">
        <w:rPr>
          <w:rFonts w:eastAsia="Calibri"/>
          <w:szCs w:val="20"/>
          <w:rtl/>
        </w:rPr>
        <w:t xml:space="preserve"> </w:t>
      </w:r>
      <w:r w:rsidRPr="00861D72">
        <w:rPr>
          <w:rFonts w:eastAsia="Calibri" w:hint="eastAsia"/>
          <w:szCs w:val="20"/>
          <w:rtl/>
        </w:rPr>
        <w:t>נתוני</w:t>
      </w:r>
      <w:r w:rsidRPr="00861D72">
        <w:rPr>
          <w:rFonts w:eastAsia="Calibri"/>
          <w:szCs w:val="20"/>
          <w:rtl/>
        </w:rPr>
        <w:t xml:space="preserve"> </w:t>
      </w:r>
      <w:r w:rsidRPr="00861D72">
        <w:rPr>
          <w:rFonts w:eastAsia="Calibri" w:hint="cs"/>
          <w:szCs w:val="20"/>
          <w:rtl/>
        </w:rPr>
        <w:t>הלמ"ס</w:t>
      </w:r>
      <w:r w:rsidRPr="00861D72">
        <w:rPr>
          <w:rFonts w:eastAsia="Calibri"/>
          <w:szCs w:val="20"/>
          <w:rtl/>
        </w:rPr>
        <w:t xml:space="preserve">, </w:t>
      </w:r>
      <w:r w:rsidRPr="00861D72">
        <w:rPr>
          <w:rFonts w:eastAsia="Calibri" w:hint="eastAsia"/>
          <w:szCs w:val="20"/>
          <w:rtl/>
        </w:rPr>
        <w:t>בעיבוד</w:t>
      </w:r>
      <w:r w:rsidRPr="00861D72">
        <w:rPr>
          <w:rFonts w:eastAsia="Calibri"/>
          <w:szCs w:val="20"/>
          <w:rtl/>
        </w:rPr>
        <w:t xml:space="preserve"> </w:t>
      </w:r>
      <w:r w:rsidRPr="00861D72">
        <w:rPr>
          <w:rFonts w:eastAsia="Calibri" w:hint="eastAsia"/>
          <w:szCs w:val="20"/>
          <w:rtl/>
        </w:rPr>
        <w:t>משרד</w:t>
      </w:r>
      <w:r w:rsidRPr="00861D72">
        <w:rPr>
          <w:rFonts w:eastAsia="Calibri"/>
          <w:szCs w:val="20"/>
          <w:rtl/>
        </w:rPr>
        <w:t xml:space="preserve"> </w:t>
      </w:r>
      <w:r w:rsidRPr="00861D72">
        <w:rPr>
          <w:rFonts w:eastAsia="Calibri" w:hint="eastAsia"/>
          <w:szCs w:val="20"/>
          <w:rtl/>
        </w:rPr>
        <w:t>מבקר</w:t>
      </w:r>
      <w:r w:rsidRPr="00861D72">
        <w:rPr>
          <w:rFonts w:eastAsia="Calibri"/>
          <w:szCs w:val="20"/>
          <w:rtl/>
        </w:rPr>
        <w:t xml:space="preserve"> </w:t>
      </w:r>
      <w:r w:rsidRPr="00861D72">
        <w:rPr>
          <w:rFonts w:eastAsia="Calibri" w:hint="eastAsia"/>
          <w:szCs w:val="20"/>
          <w:rtl/>
        </w:rPr>
        <w:t>המדינה</w:t>
      </w:r>
      <w:r>
        <w:rPr>
          <w:rFonts w:eastAsia="Calibri"/>
          <w:szCs w:val="20"/>
          <w:vertAlign w:val="superscript"/>
          <w:rtl/>
        </w:rPr>
        <w:footnoteReference w:id="13"/>
      </w:r>
      <w:r w:rsidRPr="00861D72">
        <w:rPr>
          <w:rFonts w:eastAsia="Calibri" w:hint="cs"/>
          <w:szCs w:val="20"/>
          <w:rtl/>
        </w:rPr>
        <w:t>.</w:t>
      </w:r>
    </w:p>
    <w:p w:rsidR="00861D72" w:rsidRPr="00861D72" w:rsidP="00F90255">
      <w:pPr>
        <w:spacing w:line="269" w:lineRule="auto"/>
        <w:rPr>
          <w:rFonts w:eastAsia="Calibri"/>
          <w:rtl/>
        </w:rPr>
      </w:pPr>
    </w:p>
    <w:p w:rsidR="00861D72" w:rsidRPr="00861D72" w:rsidP="00F90255">
      <w:pPr>
        <w:spacing w:line="269" w:lineRule="auto"/>
        <w:rPr>
          <w:rFonts w:eastAsia="Calibri"/>
        </w:rPr>
      </w:pPr>
      <w:r w:rsidRPr="00861D72">
        <w:rPr>
          <w:rFonts w:eastAsia="Calibri" w:hint="eastAsia"/>
          <w:b/>
          <w:bCs/>
          <w:rtl/>
        </w:rPr>
        <w:t>מהתרשים</w:t>
      </w:r>
      <w:r w:rsidRPr="00861D72">
        <w:rPr>
          <w:rFonts w:eastAsia="Calibri"/>
          <w:b/>
          <w:bCs/>
          <w:rtl/>
        </w:rPr>
        <w:t xml:space="preserve"> עולה </w:t>
      </w:r>
      <w:bookmarkStart w:id="3" w:name="_Hlk222902320"/>
      <w:r w:rsidRPr="00861D72">
        <w:rPr>
          <w:rFonts w:eastAsia="Calibri"/>
          <w:b/>
          <w:bCs/>
          <w:rtl/>
        </w:rPr>
        <w:t xml:space="preserve">כי שיעורם של בני 65 ומעלה בישראל </w:t>
      </w:r>
      <w:r w:rsidRPr="00861D72">
        <w:rPr>
          <w:rFonts w:eastAsia="Calibri" w:hint="eastAsia"/>
          <w:b/>
          <w:bCs/>
          <w:rtl/>
        </w:rPr>
        <w:t>נמצא</w:t>
      </w:r>
      <w:r w:rsidRPr="00861D72">
        <w:rPr>
          <w:rFonts w:eastAsia="Calibri"/>
          <w:b/>
          <w:bCs/>
          <w:rtl/>
        </w:rPr>
        <w:t xml:space="preserve"> במגמת עלייה מאז שנת 1975 ועד 202</w:t>
      </w:r>
      <w:r w:rsidRPr="00861D72">
        <w:rPr>
          <w:rFonts w:eastAsia="Calibri" w:hint="cs"/>
          <w:b/>
          <w:bCs/>
          <w:rtl/>
        </w:rPr>
        <w:t>4</w:t>
      </w:r>
      <w:r w:rsidRPr="00861D72">
        <w:rPr>
          <w:rFonts w:eastAsia="Calibri"/>
          <w:b/>
          <w:bCs/>
          <w:rtl/>
        </w:rPr>
        <w:t xml:space="preserve">, והוא אף </w:t>
      </w:r>
      <w:r w:rsidRPr="00861D72">
        <w:rPr>
          <w:rFonts w:eastAsia="Calibri" w:hint="eastAsia"/>
          <w:b/>
          <w:bCs/>
          <w:rtl/>
        </w:rPr>
        <w:t>צפוי</w:t>
      </w:r>
      <w:r w:rsidRPr="00861D72">
        <w:rPr>
          <w:rFonts w:eastAsia="Calibri"/>
          <w:b/>
          <w:bCs/>
          <w:rtl/>
        </w:rPr>
        <w:t xml:space="preserve"> </w:t>
      </w:r>
      <w:r w:rsidRPr="00861D72">
        <w:rPr>
          <w:rFonts w:eastAsia="Calibri" w:hint="eastAsia"/>
          <w:b/>
          <w:bCs/>
          <w:rtl/>
        </w:rPr>
        <w:t>לגדול</w:t>
      </w:r>
      <w:r w:rsidRPr="00861D72">
        <w:rPr>
          <w:rFonts w:eastAsia="Calibri"/>
          <w:b/>
          <w:bCs/>
          <w:rtl/>
        </w:rPr>
        <w:t xml:space="preserve"> </w:t>
      </w:r>
      <w:r w:rsidRPr="00861D72">
        <w:rPr>
          <w:rFonts w:eastAsia="Calibri" w:hint="eastAsia"/>
          <w:b/>
          <w:bCs/>
          <w:rtl/>
        </w:rPr>
        <w:t>מכ</w:t>
      </w:r>
      <w:r w:rsidRPr="00861D72">
        <w:rPr>
          <w:rFonts w:eastAsia="Calibri"/>
          <w:b/>
          <w:bCs/>
          <w:rtl/>
        </w:rPr>
        <w:t xml:space="preserve">-13% </w:t>
      </w:r>
      <w:r w:rsidRPr="00861D72">
        <w:rPr>
          <w:rFonts w:eastAsia="Calibri" w:hint="eastAsia"/>
          <w:b/>
          <w:bCs/>
          <w:rtl/>
        </w:rPr>
        <w:t>בשנת</w:t>
      </w:r>
      <w:r w:rsidRPr="00861D72">
        <w:rPr>
          <w:rFonts w:eastAsia="Calibri"/>
          <w:b/>
          <w:bCs/>
          <w:rtl/>
        </w:rPr>
        <w:t xml:space="preserve"> </w:t>
      </w:r>
      <w:r w:rsidRPr="00861D72">
        <w:rPr>
          <w:rFonts w:eastAsia="Calibri" w:hint="cs"/>
          <w:b/>
          <w:bCs/>
          <w:rtl/>
        </w:rPr>
        <w:t>2024</w:t>
      </w:r>
      <w:r w:rsidRPr="00861D72">
        <w:rPr>
          <w:rFonts w:eastAsia="Calibri"/>
          <w:b/>
          <w:bCs/>
          <w:rtl/>
        </w:rPr>
        <w:t xml:space="preserve">, </w:t>
      </w:r>
      <w:r w:rsidRPr="00861D72">
        <w:rPr>
          <w:rFonts w:eastAsia="Calibri" w:hint="eastAsia"/>
          <w:b/>
          <w:bCs/>
          <w:rtl/>
        </w:rPr>
        <w:t>שהם</w:t>
      </w:r>
      <w:r w:rsidRPr="00861D72">
        <w:rPr>
          <w:rFonts w:eastAsia="Calibri"/>
          <w:b/>
          <w:bCs/>
          <w:rtl/>
        </w:rPr>
        <w:t xml:space="preserve"> </w:t>
      </w:r>
      <w:r w:rsidRPr="00861D72">
        <w:rPr>
          <w:rFonts w:eastAsia="Calibri" w:hint="eastAsia"/>
          <w:b/>
          <w:bCs/>
          <w:rtl/>
        </w:rPr>
        <w:t>כ</w:t>
      </w:r>
      <w:r w:rsidRPr="00861D72">
        <w:rPr>
          <w:rFonts w:eastAsia="Calibri"/>
          <w:b/>
          <w:bCs/>
          <w:rtl/>
        </w:rPr>
        <w:t>-</w:t>
      </w:r>
      <w:r w:rsidRPr="00861D72">
        <w:rPr>
          <w:rFonts w:eastAsia="Calibri" w:hint="cs"/>
          <w:b/>
          <w:bCs/>
          <w:rtl/>
        </w:rPr>
        <w:t>1.3</w:t>
      </w:r>
      <w:r w:rsidRPr="00861D72">
        <w:rPr>
          <w:rFonts w:eastAsia="Calibri"/>
          <w:b/>
          <w:bCs/>
          <w:rtl/>
        </w:rPr>
        <w:t xml:space="preserve"> </w:t>
      </w:r>
      <w:r w:rsidRPr="00861D72">
        <w:rPr>
          <w:rFonts w:eastAsia="Calibri" w:hint="eastAsia"/>
          <w:b/>
          <w:bCs/>
          <w:rtl/>
        </w:rPr>
        <w:t>מיליון</w:t>
      </w:r>
      <w:r w:rsidRPr="00861D72">
        <w:rPr>
          <w:rFonts w:eastAsia="Calibri"/>
          <w:b/>
          <w:bCs/>
          <w:rtl/>
        </w:rPr>
        <w:t xml:space="preserve"> </w:t>
      </w:r>
      <w:r w:rsidRPr="00861D72">
        <w:rPr>
          <w:rFonts w:eastAsia="Calibri" w:hint="eastAsia"/>
          <w:b/>
          <w:bCs/>
          <w:rtl/>
        </w:rPr>
        <w:t>זקנים</w:t>
      </w:r>
      <w:r w:rsidRPr="00861D72">
        <w:rPr>
          <w:rFonts w:eastAsia="Calibri"/>
          <w:b/>
          <w:bCs/>
          <w:rtl/>
        </w:rPr>
        <w:t xml:space="preserve">, </w:t>
      </w:r>
      <w:r w:rsidRPr="00861D72">
        <w:rPr>
          <w:rFonts w:eastAsia="Calibri" w:hint="eastAsia"/>
          <w:b/>
          <w:bCs/>
          <w:rtl/>
        </w:rPr>
        <w:t>לכ</w:t>
      </w:r>
      <w:r w:rsidRPr="00861D72">
        <w:rPr>
          <w:rFonts w:eastAsia="Calibri"/>
          <w:b/>
          <w:bCs/>
          <w:rtl/>
        </w:rPr>
        <w:t xml:space="preserve">-15% </w:t>
      </w:r>
      <w:r w:rsidRPr="00861D72">
        <w:rPr>
          <w:rFonts w:eastAsia="Calibri" w:hint="eastAsia"/>
          <w:b/>
          <w:bCs/>
          <w:rtl/>
        </w:rPr>
        <w:t>בשנת</w:t>
      </w:r>
      <w:r w:rsidRPr="00861D72">
        <w:rPr>
          <w:rFonts w:eastAsia="Calibri"/>
          <w:b/>
          <w:bCs/>
          <w:rtl/>
        </w:rPr>
        <w:t xml:space="preserve"> 2050, </w:t>
      </w:r>
      <w:r w:rsidRPr="00861D72">
        <w:rPr>
          <w:rFonts w:eastAsia="Calibri" w:hint="eastAsia"/>
          <w:b/>
          <w:bCs/>
          <w:rtl/>
        </w:rPr>
        <w:t>שהם</w:t>
      </w:r>
      <w:r w:rsidRPr="00861D72">
        <w:rPr>
          <w:rFonts w:eastAsia="Calibri"/>
          <w:b/>
          <w:bCs/>
          <w:rtl/>
        </w:rPr>
        <w:t xml:space="preserve"> </w:t>
      </w:r>
      <w:r w:rsidRPr="00861D72">
        <w:rPr>
          <w:rFonts w:eastAsia="Calibri" w:hint="eastAsia"/>
          <w:b/>
          <w:bCs/>
          <w:rtl/>
        </w:rPr>
        <w:t>כ</w:t>
      </w:r>
      <w:r w:rsidRPr="00861D72">
        <w:rPr>
          <w:rFonts w:eastAsia="Calibri"/>
          <w:b/>
          <w:bCs/>
          <w:rtl/>
        </w:rPr>
        <w:t xml:space="preserve">-2 </w:t>
      </w:r>
      <w:r w:rsidRPr="00861D72">
        <w:rPr>
          <w:rFonts w:eastAsia="Calibri" w:hint="eastAsia"/>
          <w:b/>
          <w:bCs/>
          <w:rtl/>
        </w:rPr>
        <w:t>מיליון</w:t>
      </w:r>
      <w:r w:rsidRPr="00861D72">
        <w:rPr>
          <w:rFonts w:eastAsia="Calibri"/>
          <w:b/>
          <w:bCs/>
          <w:rtl/>
        </w:rPr>
        <w:t xml:space="preserve"> </w:t>
      </w:r>
      <w:r w:rsidRPr="00861D72">
        <w:rPr>
          <w:rFonts w:eastAsia="Calibri" w:hint="eastAsia"/>
          <w:b/>
          <w:bCs/>
          <w:rtl/>
        </w:rPr>
        <w:t>זקנים</w:t>
      </w:r>
      <w:r w:rsidRPr="00861D72">
        <w:rPr>
          <w:rFonts w:eastAsia="Calibri" w:hint="cs"/>
          <w:rtl/>
        </w:rPr>
        <w:t xml:space="preserve">. </w:t>
      </w:r>
      <w:bookmarkEnd w:id="3"/>
    </w:p>
    <w:p w:rsidR="00861D72" w:rsidRPr="00861D72" w:rsidP="00F90255">
      <w:pPr>
        <w:spacing w:line="269" w:lineRule="auto"/>
        <w:rPr>
          <w:rFonts w:eastAsia="Calibri"/>
          <w:rtl/>
        </w:rPr>
      </w:pPr>
    </w:p>
    <w:p w:rsidR="00861D72" w:rsidRPr="00861D72" w:rsidP="00F90255">
      <w:pPr>
        <w:keepNext/>
        <w:keepLines/>
        <w:spacing w:line="269" w:lineRule="auto"/>
        <w:jc w:val="center"/>
        <w:rPr>
          <w:rFonts w:eastAsia="Calibri"/>
          <w:b/>
          <w:bCs/>
          <w:rtl/>
        </w:rPr>
      </w:pPr>
      <w:r w:rsidRPr="00861D72">
        <w:rPr>
          <w:rFonts w:eastAsia="Calibri" w:hint="cs"/>
          <w:rtl/>
        </w:rPr>
        <w:t xml:space="preserve">תרשים 2: </w:t>
      </w:r>
      <w:r w:rsidRPr="00861D72">
        <w:rPr>
          <w:rFonts w:eastAsia="Calibri" w:hint="cs"/>
          <w:b/>
          <w:bCs/>
          <w:rtl/>
        </w:rPr>
        <w:t>תוחלת החיים בישראל ובמדינות ה-</w:t>
      </w:r>
      <w:r w:rsidRPr="00861D72">
        <w:rPr>
          <w:rFonts w:eastAsia="Calibri" w:hint="cs"/>
          <w:b/>
          <w:bCs/>
        </w:rPr>
        <w:t>OECD</w:t>
      </w:r>
      <w:r w:rsidRPr="00861D72">
        <w:rPr>
          <w:rFonts w:eastAsia="Calibri" w:hint="cs"/>
          <w:b/>
          <w:bCs/>
          <w:rtl/>
        </w:rPr>
        <w:t>, לפי מגדר ולפי שנים, 1975 - 2050</w:t>
      </w:r>
    </w:p>
    <w:p w:rsidR="00861D72" w:rsidRPr="00861D72" w:rsidP="00F90255">
      <w:pPr>
        <w:spacing w:line="269" w:lineRule="auto"/>
        <w:jc w:val="center"/>
        <w:rPr>
          <w:rFonts w:eastAsia="Calibri"/>
          <w:sz w:val="22"/>
          <w:szCs w:val="22"/>
        </w:rPr>
      </w:pPr>
      <w:r w:rsidRPr="00861D72">
        <w:rPr>
          <w:rFonts w:eastAsia="Calibri"/>
          <w:noProof/>
          <w:sz w:val="22"/>
          <w:szCs w:val="22"/>
        </w:rPr>
        <w:drawing>
          <wp:inline distT="0" distB="0" distL="0" distR="0">
            <wp:extent cx="4235160" cy="2926775"/>
            <wp:effectExtent l="0" t="0" r="0" b="6985"/>
            <wp:docPr id="112" name="תמונה 112" descr="נשים ישראל:&#10;1975: 73.9&#10;1980: 75.7&#10;1985: 77&#10;1990: 78.4&#10;1995: 79.5&#10;2000: 80.9&#10;2005: 82.2&#10;2010: 83.6&#10;2015: 84.1&#10;2020: 84.8&#10;2024: 85.5&#10;2050: 87.7&#10;&#10;OECD נשים:&#10;1975: 74.6&#10;1980: 75.9&#10;1985: 76.8&#10;1990: 78&#10;1995: 78.7&#10;2000: 80&#10;2005: 81.1&#10;2010: 82.2&#10;2015: 82.8&#10;2020: 83&#10;2024: 83.8&#10;&#10;גברים ישראל:&#10;1975: 70.3&#10;1980: 72.1&#10;1985: 73.5&#10;1990: 74.9&#10;1995: 75.5&#10;2000: 76.7&#10;2005: 78.2&#10;2010: 79.7&#10;2015: 80.1&#10;2020: 80.6&#10;2024: 81.4&#10;2050: 84.4&#10;&#10;OECD גברים:&#10;1975: 67.9&#10;1980: 69&#10;1985: 70&#10;1990: 71.1&#10;1995: 71.8&#10;2000: 73.5&#10;2005: 75&#10;2010: 76.4&#10;2015: 77.5&#10;2020: 77.6&#10;2024: 78.7&#10;&#10;ציר תחתון:&#10;1975&#10;1980&#10;1985&#10;1990&#10;1995&#10;2000&#10;2005&#10;2010&#10;2015&#10;2020&#10;2024&#10;2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8329" cy="2928965"/>
                    </a:xfrm>
                    <a:prstGeom prst="rect">
                      <a:avLst/>
                    </a:prstGeom>
                    <a:noFill/>
                  </pic:spPr>
                </pic:pic>
              </a:graphicData>
            </a:graphic>
          </wp:inline>
        </w:drawing>
      </w:r>
    </w:p>
    <w:p w:rsidR="00861D72" w:rsidRPr="00861D72" w:rsidP="00F90255">
      <w:pPr>
        <w:spacing w:line="269" w:lineRule="auto"/>
        <w:rPr>
          <w:rFonts w:eastAsia="Calibri"/>
          <w:szCs w:val="20"/>
          <w:rtl/>
        </w:rPr>
      </w:pPr>
      <w:r w:rsidRPr="00861D72">
        <w:rPr>
          <w:rFonts w:eastAsia="Calibri" w:hint="eastAsia"/>
          <w:szCs w:val="20"/>
          <w:rtl/>
        </w:rPr>
        <w:t>על</w:t>
      </w:r>
      <w:r w:rsidRPr="00861D72">
        <w:rPr>
          <w:rFonts w:eastAsia="Calibri"/>
          <w:szCs w:val="20"/>
          <w:rtl/>
        </w:rPr>
        <w:t xml:space="preserve"> </w:t>
      </w:r>
      <w:r w:rsidRPr="00861D72">
        <w:rPr>
          <w:rFonts w:eastAsia="Calibri" w:hint="eastAsia"/>
          <w:szCs w:val="20"/>
          <w:rtl/>
        </w:rPr>
        <w:t>פי</w:t>
      </w:r>
      <w:r w:rsidRPr="00861D72">
        <w:rPr>
          <w:rFonts w:eastAsia="Calibri"/>
          <w:szCs w:val="20"/>
          <w:rtl/>
        </w:rPr>
        <w:t xml:space="preserve"> </w:t>
      </w:r>
      <w:r w:rsidRPr="00861D72">
        <w:rPr>
          <w:rFonts w:eastAsia="Calibri" w:hint="eastAsia"/>
          <w:szCs w:val="20"/>
          <w:rtl/>
        </w:rPr>
        <w:t>נתוני</w:t>
      </w:r>
      <w:r w:rsidRPr="00861D72">
        <w:rPr>
          <w:rFonts w:eastAsia="Calibri"/>
          <w:szCs w:val="20"/>
          <w:rtl/>
        </w:rPr>
        <w:t xml:space="preserve"> </w:t>
      </w:r>
      <w:r w:rsidRPr="00861D72">
        <w:rPr>
          <w:rFonts w:eastAsia="Calibri" w:hint="cs"/>
          <w:szCs w:val="20"/>
          <w:rtl/>
        </w:rPr>
        <w:t>הלמ"ס</w:t>
      </w:r>
      <w:r w:rsidRPr="00861D72">
        <w:rPr>
          <w:rFonts w:eastAsia="Calibri"/>
          <w:szCs w:val="20"/>
          <w:rtl/>
        </w:rPr>
        <w:t xml:space="preserve">, </w:t>
      </w:r>
      <w:r w:rsidRPr="00861D72">
        <w:rPr>
          <w:rFonts w:eastAsia="Calibri" w:hint="eastAsia"/>
          <w:szCs w:val="20"/>
          <w:rtl/>
        </w:rPr>
        <w:t>בעיבוד</w:t>
      </w:r>
      <w:r w:rsidRPr="00861D72">
        <w:rPr>
          <w:rFonts w:eastAsia="Calibri"/>
          <w:szCs w:val="20"/>
          <w:rtl/>
        </w:rPr>
        <w:t xml:space="preserve"> </w:t>
      </w:r>
      <w:r w:rsidRPr="00861D72">
        <w:rPr>
          <w:rFonts w:eastAsia="Calibri" w:hint="eastAsia"/>
          <w:szCs w:val="20"/>
          <w:rtl/>
        </w:rPr>
        <w:t>משרד</w:t>
      </w:r>
      <w:r w:rsidRPr="00861D72">
        <w:rPr>
          <w:rFonts w:eastAsia="Calibri"/>
          <w:szCs w:val="20"/>
          <w:rtl/>
        </w:rPr>
        <w:t xml:space="preserve"> </w:t>
      </w:r>
      <w:r w:rsidRPr="00861D72">
        <w:rPr>
          <w:rFonts w:eastAsia="Calibri" w:hint="eastAsia"/>
          <w:szCs w:val="20"/>
          <w:rtl/>
        </w:rPr>
        <w:t>מבקר</w:t>
      </w:r>
      <w:r w:rsidRPr="00861D72">
        <w:rPr>
          <w:rFonts w:eastAsia="Calibri"/>
          <w:szCs w:val="20"/>
          <w:rtl/>
        </w:rPr>
        <w:t xml:space="preserve"> </w:t>
      </w:r>
      <w:r w:rsidRPr="00861D72">
        <w:rPr>
          <w:rFonts w:eastAsia="Calibri" w:hint="eastAsia"/>
          <w:szCs w:val="20"/>
          <w:rtl/>
        </w:rPr>
        <w:t>המדינה</w:t>
      </w:r>
      <w:r>
        <w:rPr>
          <w:rFonts w:eastAsia="Calibri"/>
          <w:vertAlign w:val="superscript"/>
          <w:rtl/>
        </w:rPr>
        <w:footnoteReference w:id="14"/>
      </w:r>
      <w:r w:rsidRPr="00861D72">
        <w:rPr>
          <w:rFonts w:eastAsia="Calibri" w:hint="cs"/>
          <w:szCs w:val="20"/>
          <w:rtl/>
        </w:rPr>
        <w:t>.</w:t>
      </w:r>
    </w:p>
    <w:p w:rsidR="00861D72" w:rsidRPr="00861D72" w:rsidP="00F90255">
      <w:pPr>
        <w:spacing w:line="269" w:lineRule="auto"/>
        <w:rPr>
          <w:rFonts w:eastAsia="Calibri"/>
          <w:sz w:val="16"/>
          <w:szCs w:val="20"/>
          <w:rtl/>
        </w:rPr>
      </w:pPr>
    </w:p>
    <w:p w:rsidR="00861D72" w:rsidRPr="00861D72" w:rsidP="00F90255">
      <w:pPr>
        <w:spacing w:line="269" w:lineRule="auto"/>
        <w:rPr>
          <w:rFonts w:eastAsia="Calibri"/>
          <w:b/>
          <w:bCs/>
          <w:rtl/>
        </w:rPr>
      </w:pPr>
      <w:r w:rsidRPr="00861D72">
        <w:rPr>
          <w:rFonts w:eastAsia="Calibri" w:hint="eastAsia"/>
          <w:b/>
          <w:bCs/>
          <w:rtl/>
        </w:rPr>
        <w:t>מהתרשים</w:t>
      </w:r>
      <w:r w:rsidRPr="00861D72">
        <w:rPr>
          <w:rFonts w:eastAsia="Calibri"/>
          <w:b/>
          <w:bCs/>
          <w:rtl/>
        </w:rPr>
        <w:t xml:space="preserve"> </w:t>
      </w:r>
      <w:r w:rsidRPr="00861D72">
        <w:rPr>
          <w:rFonts w:eastAsia="Calibri" w:hint="eastAsia"/>
          <w:b/>
          <w:bCs/>
          <w:rtl/>
        </w:rPr>
        <w:t>עולה</w:t>
      </w:r>
      <w:r w:rsidRPr="00861D72">
        <w:rPr>
          <w:rFonts w:eastAsia="Calibri"/>
          <w:b/>
          <w:bCs/>
          <w:rtl/>
        </w:rPr>
        <w:t xml:space="preserve"> </w:t>
      </w:r>
      <w:r w:rsidRPr="00861D72">
        <w:rPr>
          <w:rFonts w:eastAsia="Calibri" w:hint="eastAsia"/>
          <w:b/>
          <w:bCs/>
          <w:rtl/>
        </w:rPr>
        <w:t>כי</w:t>
      </w:r>
      <w:r w:rsidRPr="00861D72">
        <w:rPr>
          <w:rFonts w:eastAsia="Calibri"/>
          <w:b/>
          <w:bCs/>
          <w:rtl/>
        </w:rPr>
        <w:t xml:space="preserve"> </w:t>
      </w:r>
      <w:r w:rsidRPr="00861D72">
        <w:rPr>
          <w:rFonts w:eastAsia="Calibri" w:hint="eastAsia"/>
          <w:b/>
          <w:bCs/>
          <w:rtl/>
        </w:rPr>
        <w:t>תוחלת</w:t>
      </w:r>
      <w:r w:rsidRPr="00861D72">
        <w:rPr>
          <w:rFonts w:eastAsia="Calibri"/>
          <w:b/>
          <w:bCs/>
          <w:rtl/>
        </w:rPr>
        <w:t xml:space="preserve"> </w:t>
      </w:r>
      <w:r w:rsidRPr="00861D72">
        <w:rPr>
          <w:rFonts w:eastAsia="Calibri" w:hint="eastAsia"/>
          <w:b/>
          <w:bCs/>
          <w:rtl/>
        </w:rPr>
        <w:t>החיים</w:t>
      </w:r>
      <w:r w:rsidRPr="00861D72">
        <w:rPr>
          <w:rFonts w:eastAsia="Calibri"/>
          <w:b/>
          <w:bCs/>
          <w:rtl/>
        </w:rPr>
        <w:t xml:space="preserve"> </w:t>
      </w:r>
      <w:r w:rsidRPr="00861D72">
        <w:rPr>
          <w:rFonts w:eastAsia="Calibri" w:hint="eastAsia"/>
          <w:b/>
          <w:bCs/>
          <w:rtl/>
        </w:rPr>
        <w:t>של</w:t>
      </w:r>
      <w:r w:rsidRPr="00861D72">
        <w:rPr>
          <w:rFonts w:eastAsia="Calibri"/>
          <w:b/>
          <w:bCs/>
          <w:rtl/>
        </w:rPr>
        <w:t xml:space="preserve"> </w:t>
      </w:r>
      <w:r w:rsidRPr="00861D72">
        <w:rPr>
          <w:rFonts w:eastAsia="Calibri" w:hint="eastAsia"/>
          <w:b/>
          <w:bCs/>
          <w:rtl/>
        </w:rPr>
        <w:t>אוכלוסיית</w:t>
      </w:r>
      <w:r w:rsidRPr="00861D72">
        <w:rPr>
          <w:rFonts w:eastAsia="Calibri"/>
          <w:b/>
          <w:bCs/>
          <w:rtl/>
        </w:rPr>
        <w:t xml:space="preserve"> </w:t>
      </w:r>
      <w:r w:rsidRPr="00861D72">
        <w:rPr>
          <w:rFonts w:eastAsia="Calibri" w:hint="eastAsia"/>
          <w:b/>
          <w:bCs/>
          <w:rtl/>
        </w:rPr>
        <w:t>מדינת</w:t>
      </w:r>
      <w:r w:rsidRPr="00861D72">
        <w:rPr>
          <w:rFonts w:eastAsia="Calibri"/>
          <w:b/>
          <w:bCs/>
          <w:rtl/>
        </w:rPr>
        <w:t xml:space="preserve"> </w:t>
      </w:r>
      <w:r w:rsidRPr="00861D72">
        <w:rPr>
          <w:rFonts w:eastAsia="Calibri" w:hint="eastAsia"/>
          <w:b/>
          <w:bCs/>
          <w:rtl/>
        </w:rPr>
        <w:t>ישראל</w:t>
      </w:r>
      <w:r w:rsidRPr="00861D72">
        <w:rPr>
          <w:rFonts w:eastAsia="Calibri"/>
          <w:b/>
          <w:bCs/>
          <w:rtl/>
        </w:rPr>
        <w:t xml:space="preserve"> </w:t>
      </w:r>
      <w:r w:rsidRPr="00861D72">
        <w:rPr>
          <w:rFonts w:eastAsia="Calibri" w:hint="eastAsia"/>
          <w:b/>
          <w:bCs/>
          <w:rtl/>
        </w:rPr>
        <w:t>הולכת</w:t>
      </w:r>
      <w:r w:rsidRPr="00861D72">
        <w:rPr>
          <w:rFonts w:eastAsia="Calibri"/>
          <w:b/>
          <w:bCs/>
          <w:rtl/>
        </w:rPr>
        <w:t xml:space="preserve"> </w:t>
      </w:r>
      <w:r w:rsidRPr="00861D72">
        <w:rPr>
          <w:rFonts w:eastAsia="Calibri" w:hint="eastAsia"/>
          <w:b/>
          <w:bCs/>
          <w:rtl/>
        </w:rPr>
        <w:t>ועולה</w:t>
      </w:r>
      <w:r w:rsidRPr="00861D72">
        <w:rPr>
          <w:rFonts w:eastAsia="Calibri"/>
          <w:b/>
          <w:bCs/>
          <w:rtl/>
        </w:rPr>
        <w:t xml:space="preserve">, </w:t>
      </w:r>
      <w:r w:rsidRPr="00861D72">
        <w:rPr>
          <w:rFonts w:eastAsia="Calibri" w:hint="eastAsia"/>
          <w:b/>
          <w:bCs/>
          <w:rtl/>
        </w:rPr>
        <w:t>ובחמישים</w:t>
      </w:r>
      <w:r w:rsidRPr="00861D72">
        <w:rPr>
          <w:rFonts w:eastAsia="Calibri"/>
          <w:b/>
          <w:bCs/>
          <w:rtl/>
        </w:rPr>
        <w:t xml:space="preserve"> </w:t>
      </w:r>
      <w:r w:rsidRPr="00861D72">
        <w:rPr>
          <w:rFonts w:eastAsia="Calibri" w:hint="eastAsia"/>
          <w:b/>
          <w:bCs/>
          <w:rtl/>
        </w:rPr>
        <w:t>השנים</w:t>
      </w:r>
      <w:r w:rsidRPr="00861D72">
        <w:rPr>
          <w:rFonts w:eastAsia="Calibri"/>
          <w:b/>
          <w:bCs/>
          <w:rtl/>
        </w:rPr>
        <w:t xml:space="preserve"> </w:t>
      </w:r>
      <w:r w:rsidRPr="00861D72">
        <w:rPr>
          <w:rFonts w:eastAsia="Calibri" w:hint="eastAsia"/>
          <w:b/>
          <w:bCs/>
          <w:rtl/>
        </w:rPr>
        <w:t>האחרונות</w:t>
      </w:r>
      <w:r w:rsidRPr="00861D72">
        <w:rPr>
          <w:rFonts w:eastAsia="Calibri"/>
          <w:b/>
          <w:bCs/>
          <w:rtl/>
        </w:rPr>
        <w:t xml:space="preserve"> </w:t>
      </w:r>
      <w:r w:rsidRPr="00861D72">
        <w:rPr>
          <w:rFonts w:eastAsia="Calibri" w:hint="eastAsia"/>
          <w:b/>
          <w:bCs/>
          <w:rtl/>
        </w:rPr>
        <w:t>עלתה</w:t>
      </w:r>
      <w:r w:rsidRPr="00861D72">
        <w:rPr>
          <w:rFonts w:eastAsia="Calibri"/>
          <w:b/>
          <w:bCs/>
          <w:rtl/>
        </w:rPr>
        <w:t xml:space="preserve"> </w:t>
      </w:r>
      <w:r w:rsidRPr="00861D72">
        <w:rPr>
          <w:rFonts w:eastAsia="Calibri" w:hint="eastAsia"/>
          <w:b/>
          <w:bCs/>
          <w:rtl/>
        </w:rPr>
        <w:t>ביותר</w:t>
      </w:r>
      <w:r w:rsidRPr="00861D72">
        <w:rPr>
          <w:rFonts w:eastAsia="Calibri"/>
          <w:b/>
          <w:bCs/>
          <w:rtl/>
        </w:rPr>
        <w:t xml:space="preserve"> </w:t>
      </w:r>
      <w:r w:rsidRPr="00861D72">
        <w:rPr>
          <w:rFonts w:eastAsia="Calibri" w:hint="eastAsia"/>
          <w:b/>
          <w:bCs/>
          <w:rtl/>
        </w:rPr>
        <w:t>מעשור</w:t>
      </w:r>
      <w:r w:rsidRPr="00861D72">
        <w:rPr>
          <w:rFonts w:eastAsia="Calibri"/>
          <w:b/>
          <w:bCs/>
          <w:rtl/>
        </w:rPr>
        <w:t xml:space="preserve"> (מ-70.3 </w:t>
      </w:r>
      <w:r w:rsidRPr="00861D72">
        <w:rPr>
          <w:rFonts w:eastAsia="Calibri" w:hint="eastAsia"/>
          <w:b/>
          <w:bCs/>
          <w:rtl/>
        </w:rPr>
        <w:t>ב</w:t>
      </w:r>
      <w:r w:rsidRPr="00861D72">
        <w:rPr>
          <w:rFonts w:eastAsia="Calibri"/>
          <w:b/>
          <w:bCs/>
          <w:rtl/>
        </w:rPr>
        <w:t xml:space="preserve">-1975 </w:t>
      </w:r>
      <w:r w:rsidRPr="00861D72">
        <w:rPr>
          <w:rFonts w:eastAsia="Calibri" w:hint="eastAsia"/>
          <w:b/>
          <w:bCs/>
          <w:rtl/>
        </w:rPr>
        <w:t>ל</w:t>
      </w:r>
      <w:r w:rsidRPr="00861D72">
        <w:rPr>
          <w:rFonts w:eastAsia="Calibri"/>
          <w:b/>
          <w:bCs/>
          <w:rtl/>
        </w:rPr>
        <w:t>-81.</w:t>
      </w:r>
      <w:r w:rsidRPr="00861D72">
        <w:rPr>
          <w:rFonts w:eastAsia="Calibri" w:hint="cs"/>
          <w:b/>
          <w:bCs/>
          <w:rtl/>
        </w:rPr>
        <w:t>4</w:t>
      </w:r>
      <w:r w:rsidRPr="00861D72">
        <w:rPr>
          <w:rFonts w:eastAsia="Calibri"/>
          <w:b/>
          <w:bCs/>
          <w:rtl/>
        </w:rPr>
        <w:t xml:space="preserve"> </w:t>
      </w:r>
      <w:r w:rsidRPr="00861D72">
        <w:rPr>
          <w:rFonts w:eastAsia="Calibri" w:hint="eastAsia"/>
          <w:b/>
          <w:bCs/>
          <w:rtl/>
        </w:rPr>
        <w:t>ב</w:t>
      </w:r>
      <w:r w:rsidRPr="00861D72">
        <w:rPr>
          <w:rFonts w:eastAsia="Calibri"/>
          <w:b/>
          <w:bCs/>
          <w:rtl/>
        </w:rPr>
        <w:t>-202</w:t>
      </w:r>
      <w:r w:rsidRPr="00861D72">
        <w:rPr>
          <w:rFonts w:eastAsia="Calibri" w:hint="cs"/>
          <w:b/>
          <w:bCs/>
          <w:rtl/>
        </w:rPr>
        <w:t>4</w:t>
      </w:r>
      <w:r w:rsidRPr="00861D72">
        <w:rPr>
          <w:rFonts w:eastAsia="Calibri"/>
          <w:b/>
          <w:bCs/>
          <w:rtl/>
        </w:rPr>
        <w:t xml:space="preserve"> </w:t>
      </w:r>
      <w:r w:rsidRPr="00861D72">
        <w:rPr>
          <w:rFonts w:eastAsia="Calibri" w:hint="eastAsia"/>
          <w:b/>
          <w:bCs/>
          <w:rtl/>
        </w:rPr>
        <w:t>עבור</w:t>
      </w:r>
      <w:r w:rsidRPr="00861D72">
        <w:rPr>
          <w:rFonts w:eastAsia="Calibri"/>
          <w:b/>
          <w:bCs/>
          <w:rtl/>
        </w:rPr>
        <w:t xml:space="preserve"> </w:t>
      </w:r>
      <w:r w:rsidRPr="00861D72">
        <w:rPr>
          <w:rFonts w:eastAsia="Calibri" w:hint="eastAsia"/>
          <w:b/>
          <w:bCs/>
          <w:rtl/>
        </w:rPr>
        <w:t>גברים</w:t>
      </w:r>
      <w:r w:rsidRPr="00861D72">
        <w:rPr>
          <w:rFonts w:eastAsia="Calibri"/>
          <w:b/>
          <w:bCs/>
          <w:rtl/>
        </w:rPr>
        <w:t xml:space="preserve">, </w:t>
      </w:r>
      <w:r w:rsidRPr="00861D72">
        <w:rPr>
          <w:rFonts w:eastAsia="Calibri" w:hint="eastAsia"/>
          <w:b/>
          <w:bCs/>
          <w:rtl/>
        </w:rPr>
        <w:t>ומ</w:t>
      </w:r>
      <w:r w:rsidRPr="00861D72">
        <w:rPr>
          <w:rFonts w:eastAsia="Calibri"/>
          <w:b/>
          <w:bCs/>
          <w:rtl/>
        </w:rPr>
        <w:t>-74.6 ל-85.</w:t>
      </w:r>
      <w:r w:rsidRPr="00861D72">
        <w:rPr>
          <w:rFonts w:eastAsia="Calibri" w:hint="cs"/>
          <w:b/>
          <w:bCs/>
          <w:rtl/>
        </w:rPr>
        <w:t>5</w:t>
      </w:r>
      <w:r w:rsidRPr="00861D72">
        <w:rPr>
          <w:rFonts w:eastAsia="Calibri"/>
          <w:b/>
          <w:bCs/>
          <w:rtl/>
        </w:rPr>
        <w:t xml:space="preserve"> עבור נשים, עלייה של כ-16% עבור שני המינים). עוד עולה כי תוחלת החיים של נשים גבוהה מזו של גברים, וכי תוחלת החיים צפויה להמשיך ולעלות ולהגיע ל-84.4 לגברים ול-87.7 לנשים בשנת 2050. כמו כן עולה מהתרשים כי תוחלת החיים בישראל גבוהה מתוחלת החיים הממוצעת במדינות ה-</w:t>
      </w:r>
      <w:r w:rsidRPr="00861D72">
        <w:rPr>
          <w:rFonts w:eastAsia="Calibri"/>
          <w:b/>
          <w:bCs/>
        </w:rPr>
        <w:t>OECD</w:t>
      </w:r>
      <w:r w:rsidRPr="00861D72">
        <w:rPr>
          <w:rFonts w:eastAsia="Calibri"/>
          <w:b/>
          <w:bCs/>
          <w:rtl/>
        </w:rPr>
        <w:t xml:space="preserve">, בעיקר בקרב גברים. </w:t>
      </w:r>
    </w:p>
    <w:p w:rsidR="00861D72" w:rsidRPr="00861D72" w:rsidP="00F90255">
      <w:pPr>
        <w:spacing w:line="269" w:lineRule="auto"/>
        <w:rPr>
          <w:rFonts w:eastAsia="Calibri"/>
          <w:sz w:val="14"/>
          <w:szCs w:val="18"/>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מאפיינים ייחודיים לאוכלוסיית הזקנים</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בתרשימים שלהלן מוצגים נתונים מרכזיים על אוכלוסיית הזקנים בני 65 ומעלה בישראל. </w:t>
      </w:r>
    </w:p>
    <w:p w:rsidR="00861D72" w:rsidRPr="00861D72" w:rsidP="00F90255">
      <w:pPr>
        <w:spacing w:line="269" w:lineRule="auto"/>
        <w:rPr>
          <w:rFonts w:eastAsia="Calibri"/>
          <w:sz w:val="16"/>
          <w:szCs w:val="20"/>
          <w:rtl/>
        </w:rPr>
      </w:pPr>
    </w:p>
    <w:p w:rsidR="00861D72" w:rsidRPr="00861D72" w:rsidP="00F90255">
      <w:pPr>
        <w:spacing w:line="269" w:lineRule="auto"/>
        <w:jc w:val="center"/>
        <w:rPr>
          <w:rFonts w:eastAsia="Calibri"/>
          <w:b/>
          <w:bCs/>
          <w:rtl/>
        </w:rPr>
      </w:pPr>
      <w:r w:rsidRPr="00861D72">
        <w:rPr>
          <w:rFonts w:eastAsia="Calibri" w:hint="cs"/>
          <w:rtl/>
        </w:rPr>
        <w:t xml:space="preserve">תרשים 3: </w:t>
      </w:r>
      <w:r w:rsidRPr="00861D72">
        <w:rPr>
          <w:rFonts w:eastAsia="Calibri" w:hint="cs"/>
          <w:b/>
          <w:bCs/>
          <w:rtl/>
        </w:rPr>
        <w:t>התפלגות גילים ומגזרים בקרב אוכלוסיית הזקנים בישראל בני 65 ומעלה, 2022 (בשיעורים ובאלפים)</w:t>
      </w:r>
    </w:p>
    <w:p w:rsidR="00861D72" w:rsidRPr="00861D72" w:rsidP="00F90255">
      <w:pPr>
        <w:spacing w:line="269" w:lineRule="auto"/>
        <w:jc w:val="center"/>
        <w:rPr>
          <w:rFonts w:eastAsia="Calibri"/>
          <w:b/>
          <w:bCs/>
          <w:rtl/>
        </w:rPr>
      </w:pPr>
      <w:r w:rsidRPr="00861D72">
        <w:rPr>
          <w:rFonts w:eastAsia="Calibri"/>
          <w:b/>
          <w:bCs/>
          <w:noProof/>
        </w:rPr>
        <w:drawing>
          <wp:inline distT="0" distB="0" distL="0" distR="0">
            <wp:extent cx="4426344" cy="2040616"/>
            <wp:effectExtent l="0" t="0" r="0" b="0"/>
            <wp:docPr id="1" name="תמונה 1" descr="מימין:&#10;גיל&#10;בני 75 - 84&#10;429.1&#10;33%&#10;בני 85 ומעלה&#10;162.2&#10;12%&#10;בני 65 - 74&#10;714.8&#10;55%&#10;&#10;משמאל:&#10;מגזר&#10;חרדים&#10;45.78&#10;4%&#10;ערבים&#10;133.6&#10;10%&#10;יהודים לא חרדים&#10;1,126.5&#10;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0416" cy="2042493"/>
                    </a:xfrm>
                    <a:prstGeom prst="rect">
                      <a:avLst/>
                    </a:prstGeom>
                    <a:noFill/>
                  </pic:spPr>
                </pic:pic>
              </a:graphicData>
            </a:graphic>
          </wp:inline>
        </w:drawing>
      </w:r>
    </w:p>
    <w:p w:rsidR="00861D72" w:rsidRPr="00861D72" w:rsidP="00F90255">
      <w:pPr>
        <w:spacing w:line="269" w:lineRule="auto"/>
        <w:rPr>
          <w:rFonts w:eastAsia="Calibri"/>
          <w:szCs w:val="20"/>
          <w:rtl/>
        </w:rPr>
      </w:pPr>
      <w:r w:rsidRPr="00861D72">
        <w:rPr>
          <w:rFonts w:eastAsia="Calibri" w:hint="cs"/>
          <w:szCs w:val="20"/>
          <w:rtl/>
        </w:rPr>
        <w:t xml:space="preserve">על פי נתוני מכון </w:t>
      </w:r>
      <w:r w:rsidRPr="00861D72">
        <w:rPr>
          <w:rFonts w:eastAsia="Calibri" w:hint="cs"/>
          <w:szCs w:val="20"/>
          <w:rtl/>
        </w:rPr>
        <w:t>ברוקדייל</w:t>
      </w:r>
      <w:r w:rsidRPr="00861D72">
        <w:rPr>
          <w:rFonts w:eastAsia="Calibri" w:hint="cs"/>
          <w:szCs w:val="20"/>
          <w:rtl/>
        </w:rPr>
        <w:t xml:space="preserve"> והמכון הישראלי לדמוקרטיה, בעיבוד משרד מבקר המדינה</w:t>
      </w:r>
      <w:r>
        <w:rPr>
          <w:rFonts w:eastAsia="Calibri"/>
          <w:vertAlign w:val="superscript"/>
          <w:rtl/>
        </w:rPr>
        <w:footnoteReference w:id="15"/>
      </w:r>
      <w:r w:rsidRPr="00861D72">
        <w:rPr>
          <w:rFonts w:eastAsia="Calibri" w:hint="cs"/>
          <w:szCs w:val="20"/>
          <w:rtl/>
        </w:rPr>
        <w:t xml:space="preserve">. </w:t>
      </w:r>
    </w:p>
    <w:p w:rsidR="00861D72" w:rsidRPr="00861D72" w:rsidP="00F90255">
      <w:pPr>
        <w:spacing w:line="269" w:lineRule="auto"/>
        <w:jc w:val="center"/>
        <w:rPr>
          <w:rFonts w:eastAsia="Calibri"/>
          <w:b/>
          <w:bCs/>
          <w:rtl/>
        </w:rPr>
      </w:pPr>
      <w:r w:rsidRPr="00861D72">
        <w:rPr>
          <w:rFonts w:eastAsia="Calibri" w:hint="cs"/>
          <w:rtl/>
        </w:rPr>
        <w:t xml:space="preserve">תרשים 4: </w:t>
      </w:r>
      <w:r w:rsidRPr="00861D72">
        <w:rPr>
          <w:rFonts w:eastAsia="Calibri" w:hint="cs"/>
          <w:b/>
          <w:bCs/>
          <w:rtl/>
        </w:rPr>
        <w:t>התפלגות מגדרית ומצב משפחתי בקרב אוכלוסיית הזקנים בישראל בני 65 ומעלה, לפי מגדר, 2022 (בשיעורים ובאלפים)</w:t>
      </w:r>
    </w:p>
    <w:p w:rsidR="00861D72" w:rsidRPr="00861D72" w:rsidP="00AB5D27">
      <w:pPr>
        <w:spacing w:line="269" w:lineRule="auto"/>
        <w:jc w:val="center"/>
        <w:rPr>
          <w:rFonts w:eastAsia="Calibri"/>
          <w:szCs w:val="20"/>
          <w:rtl/>
        </w:rPr>
      </w:pPr>
      <w:r w:rsidRPr="00861D72">
        <w:rPr>
          <w:rFonts w:eastAsia="Calibri"/>
          <w:b/>
          <w:bCs/>
          <w:noProof/>
          <w:sz w:val="18"/>
          <w:szCs w:val="22"/>
        </w:rPr>
        <w:drawing>
          <wp:inline distT="0" distB="0" distL="0" distR="0">
            <wp:extent cx="4780491" cy="2529517"/>
            <wp:effectExtent l="0" t="0" r="1270" b="4445"/>
            <wp:docPr id="2" name="תמונה 2" descr="מימין&#10;מצב משפחתי נשים:&#10;48% נשואות&#10;32% אלמנות&#10;15% גרושות&#10;5% רווקות&#10;&#10;במרכז&#10;מגדר:&#10;715.3&#10;55% נשים&#10;590.7&#10;45% גברים&#10;&#10;משמאל&#10;מצב משפחתי גברים:&#10;76% נשואים&#10;9% אלמנים&#10;11% גרושים3% רוו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2224" cy="2530434"/>
                    </a:xfrm>
                    <a:prstGeom prst="rect">
                      <a:avLst/>
                    </a:prstGeom>
                    <a:noFill/>
                  </pic:spPr>
                </pic:pic>
              </a:graphicData>
            </a:graphic>
          </wp:inline>
        </w:drawing>
      </w:r>
    </w:p>
    <w:p w:rsidR="00861D72" w:rsidRPr="00861D72" w:rsidP="00F90255">
      <w:pPr>
        <w:spacing w:line="269" w:lineRule="auto"/>
        <w:jc w:val="left"/>
        <w:rPr>
          <w:rFonts w:eastAsia="Calibri"/>
          <w:b/>
          <w:bCs/>
          <w:sz w:val="18"/>
          <w:szCs w:val="22"/>
          <w:rtl/>
        </w:rPr>
      </w:pPr>
      <w:r w:rsidRPr="00861D72">
        <w:rPr>
          <w:rFonts w:eastAsia="Calibri" w:hint="cs"/>
          <w:szCs w:val="20"/>
          <w:rtl/>
        </w:rPr>
        <w:t xml:space="preserve">על פי נתוני מכון </w:t>
      </w:r>
      <w:r w:rsidRPr="00861D72">
        <w:rPr>
          <w:rFonts w:eastAsia="Calibri" w:hint="cs"/>
          <w:szCs w:val="20"/>
          <w:rtl/>
        </w:rPr>
        <w:t>ברוקדייל</w:t>
      </w:r>
      <w:r w:rsidRPr="00861D72">
        <w:rPr>
          <w:rFonts w:eastAsia="Calibri" w:hint="cs"/>
          <w:szCs w:val="20"/>
          <w:rtl/>
        </w:rPr>
        <w:t>, בעיבוד משרד מבקר המדינה</w:t>
      </w:r>
      <w:r>
        <w:rPr>
          <w:rFonts w:eastAsia="Calibri"/>
          <w:vertAlign w:val="superscript"/>
          <w:rtl/>
        </w:rPr>
        <w:footnoteReference w:id="16"/>
      </w:r>
      <w:r w:rsidRPr="00861D72">
        <w:rPr>
          <w:rFonts w:eastAsia="Calibri" w:hint="cs"/>
          <w:szCs w:val="20"/>
          <w:rtl/>
        </w:rPr>
        <w:t xml:space="preserve">. </w:t>
      </w:r>
    </w:p>
    <w:p w:rsidR="00AB5D27" w:rsidP="00F90255">
      <w:pPr>
        <w:keepNext/>
        <w:keepLines/>
        <w:spacing w:line="269" w:lineRule="auto"/>
        <w:jc w:val="center"/>
        <w:rPr>
          <w:rFonts w:eastAsia="Calibri"/>
          <w:rtl/>
        </w:rPr>
      </w:pPr>
    </w:p>
    <w:p w:rsidR="00861D72" w:rsidRPr="00861D72" w:rsidP="00F90255">
      <w:pPr>
        <w:keepNext/>
        <w:keepLines/>
        <w:spacing w:line="269" w:lineRule="auto"/>
        <w:jc w:val="center"/>
        <w:rPr>
          <w:rFonts w:eastAsia="Calibri"/>
          <w:b/>
          <w:bCs/>
          <w:rtl/>
        </w:rPr>
      </w:pPr>
      <w:r w:rsidRPr="00861D72">
        <w:rPr>
          <w:rFonts w:eastAsia="Calibri" w:hint="cs"/>
          <w:rtl/>
        </w:rPr>
        <w:t xml:space="preserve">תרשים 5: </w:t>
      </w:r>
      <w:r w:rsidRPr="00861D72">
        <w:rPr>
          <w:rFonts w:eastAsia="Calibri" w:hint="cs"/>
          <w:b/>
          <w:bCs/>
          <w:rtl/>
        </w:rPr>
        <w:t>נתוני השתייכות לאשכול חברתי-כלכלי ונתוני השכלה בקרב אוכלוסיית הזקנים בישראל בני 65 ומעלה, 2022 (בשיעורים ובאלפים)</w:t>
      </w:r>
    </w:p>
    <w:p w:rsidR="00861D72" w:rsidRPr="00861D72" w:rsidP="00F90255">
      <w:pPr>
        <w:spacing w:line="269" w:lineRule="auto"/>
        <w:jc w:val="center"/>
        <w:rPr>
          <w:rFonts w:eastAsia="Calibri"/>
          <w:b/>
          <w:bCs/>
          <w:rtl/>
        </w:rPr>
      </w:pPr>
      <w:r w:rsidRPr="00861D72">
        <w:rPr>
          <w:rFonts w:eastAsia="Calibri"/>
          <w:b/>
          <w:bCs/>
          <w:noProof/>
        </w:rPr>
        <w:drawing>
          <wp:inline distT="0" distB="0" distL="0" distR="0">
            <wp:extent cx="4425111" cy="4355662"/>
            <wp:effectExtent l="0" t="0" r="0" b="6985"/>
            <wp:docPr id="101" name="תמונה 101" descr="למעלה:&#10;אשכול חברתי-כלכלי&#10;אשכול 5-6&#10;339.3&#10;28%&#10;אשכול 7-8&#10;540.4&#10;45%&#10;אשכול 3-4&#10;128&#10;11%&#10;אשכול 1-2&#10;132.3&#10;11%&#10;אשכול 9-10&#10;55&#10;5%&#10;&#10;למטה:&#10;השכלה&#10;תעודה על תיכונית לא אקדמית&#10;135.3&#10;11.3%&#10;תואר אקדמי&#10;379.5&#10;31.6%&#10;השכלה נמוכה מסיום תיכון או לא ידועה&#10;347&#10;28.9%&#10;סיום תיכון או בגרות&#10;339.6&#10;2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360" cy="4359845"/>
                    </a:xfrm>
                    <a:prstGeom prst="rect">
                      <a:avLst/>
                    </a:prstGeom>
                    <a:noFill/>
                  </pic:spPr>
                </pic:pic>
              </a:graphicData>
            </a:graphic>
          </wp:inline>
        </w:drawing>
      </w:r>
    </w:p>
    <w:p w:rsidR="00861D72" w:rsidRPr="00861D72" w:rsidP="00F90255">
      <w:pPr>
        <w:spacing w:line="269" w:lineRule="auto"/>
        <w:jc w:val="left"/>
        <w:rPr>
          <w:rFonts w:eastAsia="Calibri"/>
          <w:b/>
          <w:bCs/>
          <w:sz w:val="18"/>
          <w:szCs w:val="22"/>
          <w:rtl/>
        </w:rPr>
      </w:pPr>
      <w:r w:rsidRPr="00861D72">
        <w:rPr>
          <w:rFonts w:eastAsia="Calibri" w:hint="cs"/>
          <w:szCs w:val="20"/>
          <w:rtl/>
        </w:rPr>
        <w:t xml:space="preserve">על פי נתוני </w:t>
      </w:r>
      <w:r w:rsidRPr="00861D72">
        <w:rPr>
          <w:rFonts w:eastAsia="Calibri" w:hint="cs"/>
          <w:szCs w:val="20"/>
          <w:rtl/>
        </w:rPr>
        <w:t>למ"ס</w:t>
      </w:r>
      <w:r w:rsidRPr="00861D72">
        <w:rPr>
          <w:rFonts w:eastAsia="Calibri" w:hint="cs"/>
          <w:szCs w:val="20"/>
          <w:rtl/>
        </w:rPr>
        <w:t xml:space="preserve"> ונתוני מכון </w:t>
      </w:r>
      <w:r w:rsidRPr="00861D72">
        <w:rPr>
          <w:rFonts w:eastAsia="Calibri" w:hint="cs"/>
          <w:szCs w:val="20"/>
          <w:rtl/>
        </w:rPr>
        <w:t>ברוקדייל</w:t>
      </w:r>
      <w:r w:rsidRPr="00861D72">
        <w:rPr>
          <w:rFonts w:eastAsia="Calibri" w:hint="cs"/>
          <w:szCs w:val="20"/>
          <w:rtl/>
        </w:rPr>
        <w:t>, בעיבוד משרד מבקר המדינה</w:t>
      </w:r>
      <w:r>
        <w:rPr>
          <w:rFonts w:eastAsia="Calibri"/>
          <w:vertAlign w:val="superscript"/>
          <w:rtl/>
        </w:rPr>
        <w:footnoteReference w:id="17"/>
      </w:r>
      <w:r w:rsidRPr="00861D72">
        <w:rPr>
          <w:rFonts w:eastAsia="Calibri" w:hint="cs"/>
          <w:szCs w:val="20"/>
          <w:rtl/>
        </w:rPr>
        <w:t xml:space="preserve">. </w:t>
      </w:r>
    </w:p>
    <w:p w:rsidR="00861D72" w:rsidRPr="00861D72" w:rsidP="00F90255">
      <w:pPr>
        <w:spacing w:line="269" w:lineRule="auto"/>
        <w:rPr>
          <w:rFonts w:eastAsia="Calibri"/>
          <w:rtl/>
        </w:rPr>
      </w:pPr>
      <w:r w:rsidRPr="00861D72">
        <w:rPr>
          <w:rFonts w:eastAsia="Calibri" w:hint="cs"/>
          <w:rtl/>
        </w:rPr>
        <w:t xml:space="preserve">מהתרשימים עולה כדלקמן: </w:t>
      </w:r>
    </w:p>
    <w:p w:rsidR="00861D72" w:rsidRPr="00861D72" w:rsidP="00F90255">
      <w:pPr>
        <w:spacing w:line="269" w:lineRule="auto"/>
        <w:rPr>
          <w:rFonts w:eastAsia="Calibri"/>
          <w:rtl/>
        </w:rPr>
      </w:pPr>
    </w:p>
    <w:p w:rsidR="00861D72" w:rsidRPr="00861D72" w:rsidP="00F90255">
      <w:pPr>
        <w:numPr>
          <w:ilvl w:val="0"/>
          <w:numId w:val="15"/>
        </w:numPr>
        <w:spacing w:line="269" w:lineRule="auto"/>
        <w:rPr>
          <w:rFonts w:ascii="David" w:eastAsia="Calibri" w:hAnsi="David"/>
          <w:sz w:val="24"/>
        </w:rPr>
      </w:pPr>
      <w:r w:rsidRPr="00861D72">
        <w:rPr>
          <w:rFonts w:ascii="David" w:eastAsia="Calibri" w:hAnsi="David"/>
          <w:sz w:val="24"/>
          <w:rtl/>
        </w:rPr>
        <w:t>בחלוקה לפי גיל</w:t>
      </w:r>
      <w:r w:rsidRPr="00861D72">
        <w:rPr>
          <w:rFonts w:ascii="David" w:eastAsia="Calibri" w:hAnsi="David" w:hint="cs"/>
          <w:sz w:val="24"/>
          <w:rtl/>
        </w:rPr>
        <w:t>,</w:t>
      </w:r>
      <w:r w:rsidRPr="00861D72">
        <w:rPr>
          <w:rFonts w:ascii="David" w:eastAsia="Calibri" w:hAnsi="David"/>
          <w:sz w:val="24"/>
          <w:rtl/>
        </w:rPr>
        <w:t xml:space="preserve"> </w:t>
      </w:r>
      <w:bookmarkStart w:id="5" w:name="_Hlk222902342"/>
      <w:r w:rsidRPr="00861D72">
        <w:rPr>
          <w:rFonts w:ascii="David" w:eastAsia="Calibri" w:hAnsi="David"/>
          <w:sz w:val="24"/>
          <w:rtl/>
        </w:rPr>
        <w:t>עיקר האוכלוסייה הזקנה (55%) היא בגילי 65</w:t>
      </w:r>
      <w:r w:rsidRPr="00861D72">
        <w:rPr>
          <w:rFonts w:ascii="David" w:eastAsia="Calibri" w:hAnsi="David" w:hint="cs"/>
          <w:sz w:val="24"/>
          <w:rtl/>
        </w:rPr>
        <w:t xml:space="preserve"> -</w:t>
      </w:r>
      <w:r w:rsidRPr="00861D72">
        <w:rPr>
          <w:rFonts w:ascii="David" w:eastAsia="Calibri" w:hAnsi="David"/>
          <w:sz w:val="24"/>
          <w:rtl/>
        </w:rPr>
        <w:t>74</w:t>
      </w:r>
      <w:r w:rsidRPr="00861D72">
        <w:rPr>
          <w:rFonts w:ascii="David" w:eastAsia="Calibri" w:hAnsi="David" w:hint="cs"/>
          <w:sz w:val="24"/>
          <w:rtl/>
        </w:rPr>
        <w:t xml:space="preserve"> (כ-715,000 איש);</w:t>
      </w:r>
      <w:r w:rsidRPr="00861D72">
        <w:rPr>
          <w:rFonts w:ascii="David" w:eastAsia="Calibri" w:hAnsi="David"/>
          <w:sz w:val="24"/>
          <w:rtl/>
        </w:rPr>
        <w:t xml:space="preserve"> 33% </w:t>
      </w:r>
      <w:r w:rsidRPr="00861D72">
        <w:rPr>
          <w:rFonts w:ascii="David" w:eastAsia="Calibri" w:hAnsi="David" w:hint="cs"/>
          <w:sz w:val="24"/>
          <w:rtl/>
        </w:rPr>
        <w:t xml:space="preserve">מהזקנים </w:t>
      </w:r>
      <w:r w:rsidRPr="00861D72">
        <w:rPr>
          <w:rFonts w:ascii="David" w:eastAsia="Calibri" w:hAnsi="David"/>
          <w:sz w:val="24"/>
          <w:rtl/>
        </w:rPr>
        <w:t>הם בני 75</w:t>
      </w:r>
      <w:r w:rsidRPr="00861D72">
        <w:rPr>
          <w:rFonts w:ascii="David" w:eastAsia="Calibri" w:hAnsi="David" w:hint="cs"/>
          <w:sz w:val="24"/>
          <w:rtl/>
        </w:rPr>
        <w:t xml:space="preserve"> - </w:t>
      </w:r>
      <w:r w:rsidRPr="00861D72">
        <w:rPr>
          <w:rFonts w:ascii="David" w:eastAsia="Calibri" w:hAnsi="David"/>
          <w:sz w:val="24"/>
          <w:rtl/>
        </w:rPr>
        <w:t>84</w:t>
      </w:r>
      <w:r w:rsidRPr="00861D72">
        <w:rPr>
          <w:rFonts w:ascii="David" w:eastAsia="Calibri" w:hAnsi="David" w:hint="cs"/>
          <w:sz w:val="24"/>
          <w:rtl/>
        </w:rPr>
        <w:t xml:space="preserve"> (כ-430,00 איש),</w:t>
      </w:r>
      <w:r w:rsidRPr="00861D72">
        <w:rPr>
          <w:rFonts w:ascii="David" w:eastAsia="Calibri" w:hAnsi="David"/>
          <w:sz w:val="24"/>
          <w:rtl/>
        </w:rPr>
        <w:t xml:space="preserve"> ורק 12% בני 85 ומעלה</w:t>
      </w:r>
      <w:r w:rsidRPr="00861D72">
        <w:rPr>
          <w:rFonts w:ascii="David" w:eastAsia="Calibri" w:hAnsi="David" w:hint="cs"/>
          <w:sz w:val="24"/>
          <w:rtl/>
        </w:rPr>
        <w:t xml:space="preserve"> (כ-162,000 איש)</w:t>
      </w:r>
      <w:r w:rsidRPr="00861D72">
        <w:rPr>
          <w:rFonts w:ascii="David" w:eastAsia="Calibri" w:hAnsi="David"/>
          <w:sz w:val="24"/>
          <w:rtl/>
        </w:rPr>
        <w:t xml:space="preserve">. </w:t>
      </w:r>
      <w:bookmarkEnd w:id="5"/>
    </w:p>
    <w:p w:rsidR="00861D72" w:rsidRPr="00861D72" w:rsidP="00F90255">
      <w:pPr>
        <w:spacing w:line="269" w:lineRule="auto"/>
        <w:ind w:left="340"/>
        <w:rPr>
          <w:rFonts w:ascii="David" w:eastAsia="Calibri" w:hAnsi="David"/>
          <w:sz w:val="24"/>
        </w:rPr>
      </w:pPr>
    </w:p>
    <w:p w:rsidR="00861D72" w:rsidRPr="00861D72" w:rsidP="00F90255">
      <w:pPr>
        <w:numPr>
          <w:ilvl w:val="0"/>
          <w:numId w:val="15"/>
        </w:numPr>
        <w:spacing w:line="269" w:lineRule="auto"/>
        <w:rPr>
          <w:rFonts w:ascii="David" w:eastAsia="Calibri" w:hAnsi="David"/>
          <w:sz w:val="24"/>
        </w:rPr>
      </w:pPr>
      <w:bookmarkStart w:id="6" w:name="_Hlk222902355"/>
      <w:r w:rsidRPr="00861D72">
        <w:rPr>
          <w:rFonts w:ascii="David" w:eastAsia="Calibri" w:hAnsi="David"/>
          <w:sz w:val="24"/>
          <w:rtl/>
        </w:rPr>
        <w:t xml:space="preserve">בחלוקה </w:t>
      </w:r>
      <w:r w:rsidRPr="00861D72">
        <w:rPr>
          <w:rFonts w:ascii="David" w:eastAsia="Calibri" w:hAnsi="David" w:hint="cs"/>
          <w:sz w:val="24"/>
          <w:rtl/>
        </w:rPr>
        <w:t>לפי מגזר,</w:t>
      </w:r>
      <w:r w:rsidRPr="00861D72">
        <w:rPr>
          <w:rFonts w:ascii="David" w:eastAsia="Calibri" w:hAnsi="David"/>
          <w:sz w:val="24"/>
          <w:rtl/>
        </w:rPr>
        <w:t xml:space="preserve"> </w:t>
      </w:r>
      <w:r w:rsidRPr="00861D72">
        <w:rPr>
          <w:rFonts w:ascii="David" w:eastAsia="Calibri" w:hAnsi="David" w:hint="cs"/>
          <w:sz w:val="24"/>
          <w:rtl/>
        </w:rPr>
        <w:t>86</w:t>
      </w:r>
      <w:r w:rsidRPr="00861D72">
        <w:rPr>
          <w:rFonts w:ascii="David" w:eastAsia="Calibri" w:hAnsi="David"/>
          <w:sz w:val="24"/>
          <w:rtl/>
        </w:rPr>
        <w:t>% מה</w:t>
      </w:r>
      <w:r w:rsidRPr="00861D72">
        <w:rPr>
          <w:rFonts w:ascii="David" w:eastAsia="Calibri" w:hAnsi="David" w:hint="cs"/>
          <w:sz w:val="24"/>
          <w:rtl/>
        </w:rPr>
        <w:t>זקנים</w:t>
      </w:r>
      <w:r w:rsidRPr="00861D72">
        <w:rPr>
          <w:rFonts w:ascii="David" w:eastAsia="Calibri" w:hAnsi="David"/>
          <w:sz w:val="24"/>
          <w:rtl/>
        </w:rPr>
        <w:t xml:space="preserve"> הם יהודים </w:t>
      </w:r>
      <w:r w:rsidRPr="00861D72">
        <w:rPr>
          <w:rFonts w:ascii="David" w:eastAsia="Calibri" w:hAnsi="David" w:hint="cs"/>
          <w:sz w:val="24"/>
          <w:rtl/>
        </w:rPr>
        <w:t>לא חרדים, 4% חרדים</w:t>
      </w:r>
      <w:r w:rsidRPr="00861D72">
        <w:rPr>
          <w:rFonts w:ascii="David" w:eastAsia="Calibri" w:hAnsi="David"/>
          <w:sz w:val="24"/>
          <w:rtl/>
        </w:rPr>
        <w:t>, ו-10% ערבים.</w:t>
      </w:r>
      <w:bookmarkEnd w:id="6"/>
    </w:p>
    <w:p w:rsidR="00861D72" w:rsidRPr="00861D72" w:rsidP="00F90255">
      <w:pPr>
        <w:spacing w:line="269" w:lineRule="auto"/>
        <w:rPr>
          <w:rFonts w:ascii="David" w:eastAsia="Calibri" w:hAnsi="David"/>
          <w:sz w:val="24"/>
        </w:rPr>
      </w:pPr>
    </w:p>
    <w:p w:rsidR="00861D72" w:rsidRPr="00861D72" w:rsidP="00F90255">
      <w:pPr>
        <w:numPr>
          <w:ilvl w:val="0"/>
          <w:numId w:val="15"/>
        </w:numPr>
        <w:spacing w:line="269" w:lineRule="auto"/>
        <w:rPr>
          <w:rFonts w:ascii="David" w:eastAsia="Calibri" w:hAnsi="David"/>
          <w:sz w:val="24"/>
        </w:rPr>
      </w:pPr>
      <w:r w:rsidRPr="00861D72">
        <w:rPr>
          <w:rFonts w:ascii="David" w:eastAsia="Calibri" w:hAnsi="David" w:hint="cs"/>
          <w:sz w:val="24"/>
          <w:rtl/>
        </w:rPr>
        <w:t xml:space="preserve">בחלוקה לפי מגדר, </w:t>
      </w:r>
      <w:bookmarkStart w:id="7" w:name="_Hlk222902365"/>
      <w:r w:rsidRPr="00861D72">
        <w:rPr>
          <w:rFonts w:ascii="David" w:eastAsia="Calibri" w:hAnsi="David"/>
          <w:sz w:val="24"/>
          <w:rtl/>
        </w:rPr>
        <w:t xml:space="preserve">נשים </w:t>
      </w:r>
      <w:r w:rsidRPr="00861D72">
        <w:rPr>
          <w:rFonts w:ascii="David" w:eastAsia="Calibri" w:hAnsi="David" w:hint="cs"/>
          <w:sz w:val="24"/>
          <w:rtl/>
        </w:rPr>
        <w:t>הן</w:t>
      </w:r>
      <w:r w:rsidRPr="00861D72">
        <w:rPr>
          <w:rFonts w:ascii="David" w:eastAsia="Calibri" w:hAnsi="David"/>
          <w:sz w:val="24"/>
          <w:rtl/>
        </w:rPr>
        <w:t xml:space="preserve"> רוב של 55% מכלל הזקנים</w:t>
      </w:r>
      <w:r w:rsidRPr="00861D72">
        <w:rPr>
          <w:rFonts w:ascii="David" w:eastAsia="Calibri" w:hAnsi="David" w:hint="cs"/>
          <w:sz w:val="24"/>
          <w:rtl/>
        </w:rPr>
        <w:t xml:space="preserve"> (715,300)</w:t>
      </w:r>
      <w:r w:rsidRPr="00861D72">
        <w:rPr>
          <w:rFonts w:ascii="David" w:eastAsia="Calibri" w:hAnsi="David"/>
          <w:sz w:val="24"/>
          <w:rtl/>
        </w:rPr>
        <w:t xml:space="preserve"> לעומת 45% גברים</w:t>
      </w:r>
      <w:r w:rsidRPr="00861D72">
        <w:rPr>
          <w:rFonts w:ascii="David" w:eastAsia="Calibri" w:hAnsi="David" w:hint="cs"/>
          <w:sz w:val="24"/>
          <w:rtl/>
        </w:rPr>
        <w:t xml:space="preserve"> (590,700)</w:t>
      </w:r>
      <w:r w:rsidRPr="00861D72">
        <w:rPr>
          <w:rFonts w:ascii="David" w:eastAsia="Calibri" w:hAnsi="David"/>
          <w:sz w:val="24"/>
          <w:rtl/>
        </w:rPr>
        <w:t xml:space="preserve">. </w:t>
      </w:r>
      <w:bookmarkStart w:id="8" w:name="_Hlk222902384"/>
      <w:bookmarkEnd w:id="7"/>
      <w:r w:rsidRPr="00861D72">
        <w:rPr>
          <w:rFonts w:ascii="David" w:eastAsia="Calibri" w:hAnsi="David"/>
          <w:sz w:val="24"/>
          <w:rtl/>
        </w:rPr>
        <w:t>כמו כן שיעור הנשים הנשואות</w:t>
      </w:r>
      <w:r w:rsidRPr="00861D72">
        <w:rPr>
          <w:rFonts w:ascii="David" w:eastAsia="Calibri" w:hAnsi="David" w:hint="cs"/>
          <w:sz w:val="24"/>
          <w:rtl/>
        </w:rPr>
        <w:t xml:space="preserve"> עומד על</w:t>
      </w:r>
      <w:r w:rsidRPr="00861D72">
        <w:rPr>
          <w:rFonts w:ascii="David" w:eastAsia="Calibri" w:hAnsi="David"/>
          <w:sz w:val="24"/>
          <w:rtl/>
        </w:rPr>
        <w:t xml:space="preserve"> 48%</w:t>
      </w:r>
      <w:r w:rsidRPr="00861D72">
        <w:rPr>
          <w:rFonts w:ascii="David" w:eastAsia="Calibri" w:hAnsi="David" w:hint="cs"/>
          <w:sz w:val="24"/>
          <w:rtl/>
        </w:rPr>
        <w:t xml:space="preserve">, והוא </w:t>
      </w:r>
      <w:r w:rsidRPr="00861D72">
        <w:rPr>
          <w:rFonts w:ascii="David" w:eastAsia="Calibri" w:hAnsi="David"/>
          <w:sz w:val="24"/>
          <w:rtl/>
        </w:rPr>
        <w:t>נמוך משיעור הגברים הנשואים</w:t>
      </w:r>
      <w:r w:rsidRPr="00861D72">
        <w:rPr>
          <w:rFonts w:ascii="David" w:eastAsia="Calibri" w:hAnsi="David" w:hint="cs"/>
          <w:sz w:val="24"/>
          <w:rtl/>
        </w:rPr>
        <w:t xml:space="preserve"> העומד על</w:t>
      </w:r>
      <w:r w:rsidRPr="00861D72">
        <w:rPr>
          <w:rFonts w:ascii="David" w:eastAsia="Calibri" w:hAnsi="David"/>
          <w:sz w:val="24"/>
          <w:rtl/>
        </w:rPr>
        <w:t xml:space="preserve"> 76%, ובהתאם יש יותר נשים אלמנות</w:t>
      </w:r>
      <w:r w:rsidRPr="00861D72">
        <w:rPr>
          <w:rFonts w:ascii="David" w:eastAsia="Calibri" w:hAnsi="David" w:hint="cs"/>
          <w:sz w:val="24"/>
          <w:rtl/>
        </w:rPr>
        <w:t>,</w:t>
      </w:r>
      <w:r w:rsidRPr="00861D72">
        <w:rPr>
          <w:rFonts w:ascii="David" w:eastAsia="Calibri" w:hAnsi="David"/>
          <w:sz w:val="24"/>
          <w:rtl/>
        </w:rPr>
        <w:t xml:space="preserve"> גרושות ורווקות מאשר גברים</w:t>
      </w:r>
      <w:r w:rsidRPr="00861D72">
        <w:rPr>
          <w:rFonts w:ascii="David" w:eastAsia="Calibri" w:hAnsi="David" w:hint="cs"/>
          <w:sz w:val="24"/>
          <w:rtl/>
        </w:rPr>
        <w:t xml:space="preserve"> אלמנים, גרושים ורווקים</w:t>
      </w:r>
      <w:bookmarkEnd w:id="8"/>
      <w:r>
        <w:rPr>
          <w:rFonts w:ascii="David" w:eastAsia="Calibri" w:hAnsi="David"/>
          <w:sz w:val="24"/>
          <w:vertAlign w:val="superscript"/>
          <w:rtl/>
        </w:rPr>
        <w:footnoteReference w:id="18"/>
      </w:r>
      <w:r w:rsidRPr="00861D72">
        <w:rPr>
          <w:rFonts w:ascii="David" w:eastAsia="Calibri" w:hAnsi="David"/>
          <w:sz w:val="24"/>
          <w:rtl/>
        </w:rPr>
        <w:t>.</w:t>
      </w:r>
      <w:r w:rsidRPr="00861D72">
        <w:rPr>
          <w:rFonts w:eastAsia="Calibri"/>
          <w:sz w:val="16"/>
          <w:szCs w:val="16"/>
          <w:rtl/>
        </w:rPr>
        <w:t xml:space="preserve"> </w:t>
      </w:r>
    </w:p>
    <w:p w:rsidR="00861D72" w:rsidRPr="00861D72" w:rsidP="00F90255">
      <w:pPr>
        <w:spacing w:line="269" w:lineRule="auto"/>
        <w:rPr>
          <w:rFonts w:ascii="David" w:eastAsia="Calibri" w:hAnsi="David"/>
          <w:sz w:val="24"/>
        </w:rPr>
      </w:pPr>
    </w:p>
    <w:p w:rsidR="00861D72" w:rsidRPr="00861D72" w:rsidP="00F90255">
      <w:pPr>
        <w:numPr>
          <w:ilvl w:val="0"/>
          <w:numId w:val="15"/>
        </w:numPr>
        <w:spacing w:line="269" w:lineRule="auto"/>
        <w:rPr>
          <w:rFonts w:ascii="David" w:eastAsia="Calibri" w:hAnsi="David"/>
          <w:sz w:val="24"/>
        </w:rPr>
      </w:pPr>
      <w:bookmarkStart w:id="9" w:name="_Hlk222902404"/>
      <w:r w:rsidRPr="00861D72">
        <w:rPr>
          <w:rFonts w:ascii="David" w:eastAsia="Calibri" w:hAnsi="David"/>
          <w:sz w:val="24"/>
          <w:rtl/>
        </w:rPr>
        <w:t xml:space="preserve">בחלוקה לפי </w:t>
      </w:r>
      <w:r w:rsidRPr="00861D72">
        <w:rPr>
          <w:rFonts w:ascii="David" w:eastAsia="Calibri" w:hAnsi="David" w:hint="cs"/>
          <w:sz w:val="24"/>
          <w:rtl/>
        </w:rPr>
        <w:t xml:space="preserve">אשכול </w:t>
      </w:r>
      <w:r w:rsidRPr="00861D72">
        <w:rPr>
          <w:rFonts w:ascii="David" w:eastAsia="Calibri" w:hAnsi="David"/>
          <w:sz w:val="24"/>
          <w:rtl/>
        </w:rPr>
        <w:t>חברתי-כלכלי</w:t>
      </w:r>
      <w:r w:rsidRPr="00861D72">
        <w:rPr>
          <w:rFonts w:ascii="David" w:eastAsia="Calibri" w:hAnsi="David" w:hint="cs"/>
          <w:sz w:val="24"/>
          <w:rtl/>
        </w:rPr>
        <w:t>,</w:t>
      </w:r>
      <w:r w:rsidRPr="00861D72">
        <w:rPr>
          <w:rFonts w:ascii="David" w:eastAsia="Calibri" w:hAnsi="David"/>
          <w:sz w:val="24"/>
          <w:rtl/>
        </w:rPr>
        <w:t xml:space="preserve"> 50% מהזקנים מתגוררים ברשויות </w:t>
      </w:r>
      <w:r w:rsidRPr="00861D72">
        <w:rPr>
          <w:rFonts w:ascii="David" w:eastAsia="Calibri" w:hAnsi="David" w:hint="cs"/>
          <w:sz w:val="24"/>
          <w:rtl/>
        </w:rPr>
        <w:t>המשתייכות ל</w:t>
      </w:r>
      <w:r w:rsidRPr="00861D72">
        <w:rPr>
          <w:rFonts w:ascii="David" w:eastAsia="Calibri" w:hAnsi="David"/>
          <w:sz w:val="24"/>
          <w:rtl/>
        </w:rPr>
        <w:t xml:space="preserve">אשכול חברתי-כלכלי גבוה (רמות 7 </w:t>
      </w:r>
      <w:r w:rsidRPr="00861D72">
        <w:rPr>
          <w:rFonts w:ascii="David" w:eastAsia="Calibri" w:hAnsi="David" w:hint="cs"/>
          <w:sz w:val="24"/>
          <w:rtl/>
        </w:rPr>
        <w:t>-</w:t>
      </w:r>
      <w:r w:rsidRPr="00861D72">
        <w:rPr>
          <w:rFonts w:ascii="David" w:eastAsia="Calibri" w:hAnsi="David"/>
          <w:sz w:val="24"/>
          <w:rtl/>
        </w:rPr>
        <w:t xml:space="preserve"> 10</w:t>
      </w:r>
      <w:r w:rsidRPr="00861D72">
        <w:rPr>
          <w:rFonts w:ascii="David" w:eastAsia="Calibri" w:hAnsi="David" w:hint="cs"/>
          <w:sz w:val="24"/>
          <w:rtl/>
        </w:rPr>
        <w:t>, כ-595,000 איש)</w:t>
      </w:r>
      <w:r w:rsidRPr="00861D72">
        <w:rPr>
          <w:rFonts w:ascii="David" w:eastAsia="Calibri" w:hAnsi="David"/>
          <w:sz w:val="24"/>
          <w:rtl/>
        </w:rPr>
        <w:t xml:space="preserve">, 22% מתגוררים ברשויות </w:t>
      </w:r>
      <w:r w:rsidRPr="00861D72">
        <w:rPr>
          <w:rFonts w:ascii="David" w:eastAsia="Calibri" w:hAnsi="David" w:hint="cs"/>
          <w:sz w:val="24"/>
          <w:rtl/>
        </w:rPr>
        <w:t>המשתייכות ל</w:t>
      </w:r>
      <w:r w:rsidRPr="00861D72">
        <w:rPr>
          <w:rFonts w:ascii="David" w:eastAsia="Calibri" w:hAnsi="David"/>
          <w:sz w:val="24"/>
          <w:rtl/>
        </w:rPr>
        <w:t xml:space="preserve">אשכול חברתי-כלכלי נמוך (רמות 1 </w:t>
      </w:r>
      <w:r w:rsidRPr="00861D72">
        <w:rPr>
          <w:rFonts w:ascii="David" w:eastAsia="Calibri" w:hAnsi="David" w:hint="cs"/>
          <w:sz w:val="24"/>
          <w:rtl/>
        </w:rPr>
        <w:t>-</w:t>
      </w:r>
      <w:r w:rsidRPr="00861D72">
        <w:rPr>
          <w:rFonts w:ascii="David" w:eastAsia="Calibri" w:hAnsi="David"/>
          <w:sz w:val="24"/>
          <w:rtl/>
        </w:rPr>
        <w:t xml:space="preserve"> 4</w:t>
      </w:r>
      <w:r w:rsidRPr="00861D72">
        <w:rPr>
          <w:rFonts w:ascii="David" w:eastAsia="Calibri" w:hAnsi="David" w:hint="cs"/>
          <w:sz w:val="24"/>
          <w:rtl/>
        </w:rPr>
        <w:t>, כ-260,000 איש)</w:t>
      </w:r>
      <w:r w:rsidRPr="00861D72">
        <w:rPr>
          <w:rFonts w:ascii="David" w:eastAsia="Calibri" w:hAnsi="David"/>
          <w:sz w:val="24"/>
          <w:rtl/>
        </w:rPr>
        <w:t>, והיתר, 28%</w:t>
      </w:r>
      <w:r w:rsidRPr="00861D72">
        <w:rPr>
          <w:rFonts w:ascii="David" w:eastAsia="Calibri" w:hAnsi="David" w:hint="cs"/>
          <w:sz w:val="24"/>
          <w:rtl/>
        </w:rPr>
        <w:t xml:space="preserve"> (כ-340,000 איש)</w:t>
      </w:r>
      <w:r w:rsidRPr="00861D72">
        <w:rPr>
          <w:rFonts w:ascii="David" w:eastAsia="Calibri" w:hAnsi="David"/>
          <w:sz w:val="24"/>
          <w:rtl/>
        </w:rPr>
        <w:t xml:space="preserve">, מתגוררים ברשויות </w:t>
      </w:r>
      <w:r w:rsidRPr="00861D72">
        <w:rPr>
          <w:rFonts w:ascii="David" w:eastAsia="Calibri" w:hAnsi="David" w:hint="cs"/>
          <w:sz w:val="24"/>
          <w:rtl/>
        </w:rPr>
        <w:t>המשתייכות ל</w:t>
      </w:r>
      <w:r w:rsidRPr="00861D72">
        <w:rPr>
          <w:rFonts w:ascii="David" w:eastAsia="Calibri" w:hAnsi="David"/>
          <w:sz w:val="24"/>
          <w:rtl/>
        </w:rPr>
        <w:t>אשכול חברתי-כלכלי בינוני (רמות 5</w:t>
      </w:r>
      <w:r w:rsidRPr="00861D72">
        <w:rPr>
          <w:rFonts w:ascii="David" w:eastAsia="Calibri" w:hAnsi="David" w:hint="cs"/>
          <w:sz w:val="24"/>
          <w:rtl/>
        </w:rPr>
        <w:t xml:space="preserve"> -</w:t>
      </w:r>
      <w:r w:rsidRPr="00861D72">
        <w:rPr>
          <w:rFonts w:ascii="David" w:eastAsia="Calibri" w:hAnsi="David"/>
          <w:sz w:val="24"/>
          <w:rtl/>
        </w:rPr>
        <w:t xml:space="preserve"> 6), </w:t>
      </w:r>
      <w:bookmarkEnd w:id="9"/>
      <w:r w:rsidRPr="00861D72">
        <w:rPr>
          <w:rFonts w:ascii="David" w:eastAsia="Calibri" w:hAnsi="David"/>
          <w:sz w:val="24"/>
          <w:rtl/>
        </w:rPr>
        <w:t xml:space="preserve">מה שמעיד על פיזור רחב </w:t>
      </w:r>
      <w:r w:rsidRPr="00861D72">
        <w:rPr>
          <w:rFonts w:ascii="David" w:eastAsia="Calibri" w:hAnsi="David" w:hint="cs"/>
          <w:sz w:val="24"/>
          <w:rtl/>
        </w:rPr>
        <w:t xml:space="preserve">למדי </w:t>
      </w:r>
      <w:r w:rsidRPr="00861D72">
        <w:rPr>
          <w:rFonts w:ascii="David" w:eastAsia="Calibri" w:hAnsi="David"/>
          <w:sz w:val="24"/>
          <w:rtl/>
        </w:rPr>
        <w:t>אך עם נטייה ל</w:t>
      </w:r>
      <w:r w:rsidRPr="00861D72">
        <w:rPr>
          <w:rFonts w:ascii="David" w:eastAsia="Calibri" w:hAnsi="David" w:hint="cs"/>
          <w:sz w:val="24"/>
          <w:rtl/>
        </w:rPr>
        <w:t>השתייכות ל</w:t>
      </w:r>
      <w:r w:rsidRPr="00861D72">
        <w:rPr>
          <w:rFonts w:ascii="David" w:eastAsia="Calibri" w:hAnsi="David"/>
          <w:sz w:val="24"/>
          <w:rtl/>
        </w:rPr>
        <w:t>אשכולות חברתיים-כלכליים גבוהים</w:t>
      </w:r>
      <w:r w:rsidRPr="00861D72">
        <w:rPr>
          <w:rFonts w:ascii="David" w:eastAsia="Calibri" w:hAnsi="David"/>
          <w:sz w:val="24"/>
        </w:rPr>
        <w:t>.</w:t>
      </w:r>
      <w:r w:rsidRPr="00861D72">
        <w:rPr>
          <w:rFonts w:ascii="David" w:eastAsia="Calibri" w:hAnsi="David"/>
          <w:sz w:val="24"/>
          <w:rtl/>
        </w:rPr>
        <w:t xml:space="preserve"> </w:t>
      </w:r>
    </w:p>
    <w:p w:rsidR="00861D72" w:rsidRPr="00861D72" w:rsidP="00F90255">
      <w:pPr>
        <w:spacing w:line="269" w:lineRule="auto"/>
        <w:rPr>
          <w:rFonts w:ascii="David" w:eastAsia="Calibri" w:hAnsi="David"/>
          <w:sz w:val="24"/>
        </w:rPr>
      </w:pPr>
    </w:p>
    <w:p w:rsidR="00861D72" w:rsidRPr="00861D72" w:rsidP="00F90255">
      <w:pPr>
        <w:numPr>
          <w:ilvl w:val="0"/>
          <w:numId w:val="15"/>
        </w:numPr>
        <w:spacing w:line="269" w:lineRule="auto"/>
        <w:rPr>
          <w:rFonts w:ascii="David" w:eastAsia="Calibri" w:hAnsi="David"/>
          <w:sz w:val="24"/>
        </w:rPr>
      </w:pPr>
      <w:bookmarkStart w:id="10" w:name="_Hlk222902414"/>
      <w:r w:rsidRPr="00861D72">
        <w:rPr>
          <w:rFonts w:ascii="David" w:eastAsia="Calibri" w:hAnsi="David" w:hint="cs"/>
          <w:sz w:val="24"/>
          <w:rtl/>
        </w:rPr>
        <w:t xml:space="preserve">בחלוקה לפי השכלה, ל-31.6% (כ-380,000) מהזקנים השכלה אקדמית, וליתר (לכ-830,000) </w:t>
      </w:r>
      <w:bookmarkEnd w:id="10"/>
      <w:r w:rsidRPr="00861D72">
        <w:rPr>
          <w:rFonts w:ascii="David" w:eastAsia="Calibri" w:hAnsi="David" w:hint="cs"/>
          <w:sz w:val="24"/>
          <w:rtl/>
        </w:rPr>
        <w:t xml:space="preserve">השכלה נמוכה מזו.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בתרשימים שלהלן מוצגים נתונים על הכנסות מקרנות הפנסיה ועל מצבם הרגשי של זקנים בישראל.</w:t>
      </w:r>
    </w:p>
    <w:p w:rsidR="00861D72" w:rsidRPr="00861D72" w:rsidP="00F90255">
      <w:pPr>
        <w:spacing w:line="269" w:lineRule="auto"/>
        <w:rPr>
          <w:rFonts w:eastAsia="Calibri"/>
        </w:rPr>
      </w:pPr>
    </w:p>
    <w:p w:rsidR="00861D72" w:rsidRPr="00861D72" w:rsidP="00F90255">
      <w:pPr>
        <w:spacing w:line="269" w:lineRule="auto"/>
        <w:jc w:val="center"/>
        <w:rPr>
          <w:rFonts w:eastAsia="Calibri"/>
          <w:b/>
          <w:bCs/>
          <w:rtl/>
        </w:rPr>
      </w:pPr>
      <w:r w:rsidRPr="00861D72">
        <w:rPr>
          <w:rFonts w:eastAsia="Calibri" w:hint="cs"/>
          <w:rtl/>
        </w:rPr>
        <w:t xml:space="preserve">תרשים 6: </w:t>
      </w:r>
      <w:r w:rsidRPr="00861D72">
        <w:rPr>
          <w:rFonts w:eastAsia="Calibri" w:hint="cs"/>
          <w:b/>
          <w:bCs/>
          <w:rtl/>
        </w:rPr>
        <w:t>שיעור מקבלי הפנסיה בקרב זקנים שאינם עובדים והסכום החודשי הממוצע של תשלומי הפנסיה, 2010 - 2023 (בש״ח ובאחוזים)</w:t>
      </w:r>
    </w:p>
    <w:p w:rsidR="00861D72" w:rsidRPr="00861D72" w:rsidP="00F90255">
      <w:pPr>
        <w:spacing w:line="269" w:lineRule="auto"/>
        <w:jc w:val="center"/>
        <w:rPr>
          <w:rFonts w:eastAsia="Calibri"/>
          <w:b/>
          <w:bCs/>
          <w:rtl/>
        </w:rPr>
      </w:pPr>
      <w:r w:rsidRPr="00861D72">
        <w:rPr>
          <w:rFonts w:eastAsia="Calibri"/>
          <w:b/>
          <w:bCs/>
          <w:noProof/>
        </w:rPr>
        <w:drawing>
          <wp:inline distT="0" distB="0" distL="0" distR="0">
            <wp:extent cx="5377180" cy="2688590"/>
            <wp:effectExtent l="0" t="0" r="0" b="0"/>
            <wp:docPr id="45" name="תמונה 45" descr="הכנסה חודשית ממוצעת מפנסיה בש&quot;ח:&#10;2010: 5,011&#10;2013: 5,602&#10;2016: 5,917&#10;2019: 5,465&#10;2022: 6,697&#10;2023: 7,240&#10;&#10;שיעור מקבלי פנסיה:&#10;2010: 34%&#10;2013: 43%&#10;2016: 46%&#10;2019: 40%&#10;2022: 37%&#10;2023: 37%&#10;&#10;ציר תחתון:&#10;2010&#10;2013&#10;2016&#10;2019&#10;2022&#10;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77180" cy="2688590"/>
                    </a:xfrm>
                    <a:prstGeom prst="rect">
                      <a:avLst/>
                    </a:prstGeom>
                    <a:noFill/>
                  </pic:spPr>
                </pic:pic>
              </a:graphicData>
            </a:graphic>
          </wp:inline>
        </w:drawing>
      </w:r>
    </w:p>
    <w:p w:rsidR="00861D72" w:rsidRPr="00861D72" w:rsidP="00F90255">
      <w:pPr>
        <w:spacing w:line="269" w:lineRule="auto"/>
        <w:ind w:left="-567" w:firstLine="567"/>
        <w:rPr>
          <w:rFonts w:eastAsia="Calibri"/>
          <w:szCs w:val="20"/>
          <w:rtl/>
        </w:rPr>
      </w:pPr>
      <w:r w:rsidRPr="00861D72">
        <w:rPr>
          <w:rFonts w:eastAsia="Calibri" w:hint="cs"/>
          <w:szCs w:val="20"/>
          <w:rtl/>
        </w:rPr>
        <w:t xml:space="preserve">על פי נתוני מכון </w:t>
      </w:r>
      <w:r w:rsidRPr="00861D72">
        <w:rPr>
          <w:rFonts w:eastAsia="Calibri" w:hint="cs"/>
          <w:szCs w:val="20"/>
          <w:rtl/>
        </w:rPr>
        <w:t>ברוקדייל</w:t>
      </w:r>
      <w:r w:rsidRPr="00861D72">
        <w:rPr>
          <w:rFonts w:eastAsia="Calibri" w:hint="cs"/>
          <w:szCs w:val="20"/>
          <w:rtl/>
        </w:rPr>
        <w:t>, בעיבוד משרד מבקר המדינה</w:t>
      </w:r>
      <w:r>
        <w:rPr>
          <w:rFonts w:eastAsia="Calibri"/>
          <w:vertAlign w:val="superscript"/>
          <w:rtl/>
        </w:rPr>
        <w:footnoteReference w:id="19"/>
      </w:r>
      <w:r w:rsidRPr="00861D72">
        <w:rPr>
          <w:rFonts w:eastAsia="Calibri" w:hint="cs"/>
          <w:szCs w:val="20"/>
          <w:rtl/>
        </w:rPr>
        <w:t xml:space="preserve">. </w:t>
      </w:r>
    </w:p>
    <w:p w:rsidR="00861D72" w:rsidRPr="00861D72" w:rsidP="00F90255">
      <w:pPr>
        <w:spacing w:line="269" w:lineRule="auto"/>
        <w:rPr>
          <w:rFonts w:eastAsia="Calibri"/>
          <w:szCs w:val="20"/>
          <w:rtl/>
        </w:rPr>
      </w:pPr>
      <w:r w:rsidRPr="00861D72">
        <w:rPr>
          <w:rFonts w:eastAsia="Calibri" w:hint="cs"/>
          <w:szCs w:val="20"/>
          <w:rtl/>
        </w:rPr>
        <w:t xml:space="preserve">* </w:t>
      </w:r>
      <w:r w:rsidRPr="00861D72">
        <w:rPr>
          <w:rFonts w:eastAsia="Calibri"/>
          <w:szCs w:val="20"/>
          <w:rtl/>
        </w:rPr>
        <w:t xml:space="preserve">כולל הכנסה מפנסיה </w:t>
      </w:r>
      <w:r w:rsidRPr="00861D72">
        <w:rPr>
          <w:rFonts w:eastAsia="Calibri" w:hint="cs"/>
          <w:szCs w:val="20"/>
          <w:rtl/>
        </w:rPr>
        <w:t>ב</w:t>
      </w:r>
      <w:r w:rsidRPr="00861D72">
        <w:rPr>
          <w:rFonts w:eastAsia="Calibri"/>
          <w:szCs w:val="20"/>
          <w:rtl/>
        </w:rPr>
        <w:t xml:space="preserve">ארץ, הכנסה מקרנות השתלמות, </w:t>
      </w:r>
      <w:r w:rsidRPr="00861D72">
        <w:rPr>
          <w:rFonts w:eastAsia="Calibri" w:hint="cs"/>
          <w:szCs w:val="20"/>
          <w:rtl/>
        </w:rPr>
        <w:t>מ</w:t>
      </w:r>
      <w:r w:rsidRPr="00861D72">
        <w:rPr>
          <w:rFonts w:eastAsia="Calibri"/>
          <w:szCs w:val="20"/>
          <w:rtl/>
        </w:rPr>
        <w:t>רנטה ו</w:t>
      </w:r>
      <w:r w:rsidRPr="00861D72">
        <w:rPr>
          <w:rFonts w:eastAsia="Calibri" w:hint="cs"/>
          <w:szCs w:val="20"/>
          <w:rtl/>
        </w:rPr>
        <w:t>מ</w:t>
      </w:r>
      <w:r w:rsidRPr="00861D72">
        <w:rPr>
          <w:rFonts w:eastAsia="Calibri"/>
          <w:szCs w:val="20"/>
          <w:rtl/>
        </w:rPr>
        <w:t>פנסיה מחו"ל, הכנסה מקופות גמל וכן הכנסה מקיבוצים</w:t>
      </w:r>
      <w:r w:rsidRPr="00861D72">
        <w:rPr>
          <w:rFonts w:eastAsia="Calibri" w:hint="cs"/>
          <w:szCs w:val="20"/>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ascii="David" w:eastAsia="Calibri" w:hAnsi="David" w:hint="eastAsia"/>
          <w:b/>
          <w:bCs/>
          <w:sz w:val="24"/>
          <w:rtl/>
        </w:rPr>
        <w:t>מהתרשים</w:t>
      </w:r>
      <w:r w:rsidRPr="00861D72">
        <w:rPr>
          <w:rFonts w:ascii="David" w:eastAsia="Calibri" w:hAnsi="David"/>
          <w:b/>
          <w:bCs/>
          <w:sz w:val="24"/>
          <w:rtl/>
        </w:rPr>
        <w:t xml:space="preserve"> עולה כי </w:t>
      </w:r>
      <w:bookmarkStart w:id="11" w:name="_Hlk222902432"/>
      <w:r w:rsidRPr="00861D72">
        <w:rPr>
          <w:rFonts w:ascii="David" w:eastAsia="Calibri" w:hAnsi="David"/>
          <w:b/>
          <w:bCs/>
          <w:sz w:val="24"/>
          <w:rtl/>
        </w:rPr>
        <w:t>משנת 2010 ועד שנת 202</w:t>
      </w:r>
      <w:r w:rsidRPr="00861D72">
        <w:rPr>
          <w:rFonts w:ascii="David" w:eastAsia="Calibri" w:hAnsi="David" w:hint="cs"/>
          <w:b/>
          <w:bCs/>
          <w:sz w:val="24"/>
          <w:rtl/>
        </w:rPr>
        <w:t>3</w:t>
      </w:r>
      <w:r w:rsidRPr="00861D72">
        <w:rPr>
          <w:rFonts w:ascii="David" w:eastAsia="Calibri" w:hAnsi="David"/>
          <w:b/>
          <w:bCs/>
          <w:sz w:val="24"/>
          <w:rtl/>
        </w:rPr>
        <w:t xml:space="preserve"> שיעור מקבלי הפנסיה עלה מ-34% ל-</w:t>
      </w:r>
      <w:r w:rsidRPr="00861D72">
        <w:rPr>
          <w:rFonts w:ascii="David" w:eastAsia="Calibri" w:hAnsi="David" w:hint="cs"/>
          <w:b/>
          <w:bCs/>
          <w:sz w:val="24"/>
          <w:rtl/>
        </w:rPr>
        <w:t>37</w:t>
      </w:r>
      <w:r w:rsidRPr="00861D72">
        <w:rPr>
          <w:rFonts w:ascii="David" w:eastAsia="Calibri" w:hAnsi="David"/>
          <w:b/>
          <w:bCs/>
          <w:sz w:val="24"/>
          <w:rtl/>
        </w:rPr>
        <w:t>%, וסכום הפנסיה החודשי עלה מכ-5,000 ש"ח לכ-</w:t>
      </w:r>
      <w:bookmarkEnd w:id="11"/>
      <w:r w:rsidRPr="00861D72">
        <w:rPr>
          <w:rFonts w:ascii="David" w:eastAsia="Calibri" w:hAnsi="David" w:hint="cs"/>
          <w:b/>
          <w:bCs/>
          <w:sz w:val="24"/>
          <w:rtl/>
        </w:rPr>
        <w:t xml:space="preserve">7,200 </w:t>
      </w:r>
      <w:r w:rsidRPr="00861D72">
        <w:rPr>
          <w:rFonts w:ascii="David" w:eastAsia="Calibri" w:hAnsi="David"/>
          <w:b/>
          <w:bCs/>
          <w:sz w:val="24"/>
          <w:rtl/>
        </w:rPr>
        <w:t xml:space="preserve">ש"ח, בין היתר בשל צו ההרחבה לביטוח פנסיוני מקיף במשק שפורסם ב-1.1.08. צו זה קבע לראשונה זכאות של כלל העובדים השכירים במשק לפנסיה </w:t>
      </w:r>
      <w:r w:rsidRPr="00861D72">
        <w:rPr>
          <w:rFonts w:ascii="David" w:eastAsia="Calibri" w:hAnsi="David" w:hint="eastAsia"/>
          <w:b/>
          <w:bCs/>
          <w:sz w:val="24"/>
          <w:rtl/>
        </w:rPr>
        <w:t>ו</w:t>
      </w:r>
      <w:r w:rsidRPr="00861D72">
        <w:rPr>
          <w:rFonts w:ascii="David" w:eastAsia="Calibri" w:hAnsi="David"/>
          <w:b/>
          <w:bCs/>
          <w:sz w:val="24"/>
          <w:rtl/>
        </w:rPr>
        <w:t>מחייב את המעסיקים להפריש כספי פנסיה לעובדים</w:t>
      </w:r>
      <w:r>
        <w:rPr>
          <w:rFonts w:ascii="David" w:eastAsia="Calibri" w:hAnsi="David"/>
          <w:b/>
          <w:bCs/>
          <w:sz w:val="24"/>
          <w:vertAlign w:val="superscript"/>
          <w:rtl/>
        </w:rPr>
        <w:footnoteReference w:id="20"/>
      </w:r>
      <w:r w:rsidRPr="00861D72">
        <w:rPr>
          <w:rFonts w:ascii="David" w:eastAsia="Calibri" w:hAnsi="David"/>
          <w:b/>
          <w:bCs/>
          <w:sz w:val="24"/>
          <w:rtl/>
        </w:rPr>
        <w:t xml:space="preserve">. מהנתונים עולה גם כי 57% מהזקנים שאינם עובדים אינם מקבלים פנסיה (כ-685,000 איש).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בתרשים שלהלן מוצגים נתונים על ההפרש בין סכומי הכסף שהמדינה משלמת למשקי הבית (לדוגמה תשלומי קצבאות) לתשלומי המיסים שאותם משקי בית משלמים למדינה (להלן - העברות נטו בשקלים לחודש) לפי גיל</w:t>
      </w:r>
      <w:r>
        <w:rPr>
          <w:rFonts w:eastAsia="Calibri"/>
          <w:vertAlign w:val="superscript"/>
          <w:rtl/>
        </w:rPr>
        <w:footnoteReference w:id="21"/>
      </w:r>
      <w:r w:rsidRPr="00861D72">
        <w:rPr>
          <w:rFonts w:eastAsia="Calibri" w:hint="cs"/>
          <w:rtl/>
        </w:rPr>
        <w:t>. נתון זה הוא מדד חלקי לעלות של הזדקנות האוכלוסייה</w:t>
      </w:r>
      <w:r>
        <w:rPr>
          <w:rFonts w:eastAsia="Calibri"/>
          <w:vertAlign w:val="superscript"/>
          <w:rtl/>
        </w:rPr>
        <w:footnoteReference w:id="22"/>
      </w:r>
      <w:r w:rsidRPr="00861D72">
        <w:rPr>
          <w:rFonts w:eastAsia="Calibri" w:hint="cs"/>
          <w:rtl/>
        </w:rPr>
        <w:t xml:space="preserve">. </w:t>
      </w:r>
    </w:p>
    <w:p w:rsidR="00861D72" w:rsidRPr="00861D72" w:rsidP="00F90255">
      <w:pPr>
        <w:spacing w:line="269" w:lineRule="auto"/>
        <w:rPr>
          <w:rFonts w:eastAsia="Calibri"/>
          <w:rtl/>
        </w:rPr>
      </w:pPr>
    </w:p>
    <w:p w:rsidR="00861D72" w:rsidRPr="00861D72" w:rsidP="00F90255">
      <w:pPr>
        <w:spacing w:line="269" w:lineRule="auto"/>
        <w:jc w:val="center"/>
        <w:rPr>
          <w:rFonts w:eastAsia="Calibri"/>
          <w:rtl/>
        </w:rPr>
      </w:pPr>
      <w:r w:rsidRPr="00861D72">
        <w:rPr>
          <w:rFonts w:eastAsia="Calibri" w:hint="cs"/>
          <w:rtl/>
        </w:rPr>
        <w:t xml:space="preserve">תרשים 7: </w:t>
      </w:r>
      <w:r w:rsidRPr="00861D72">
        <w:rPr>
          <w:rFonts w:eastAsia="Calibri" w:hint="eastAsia"/>
          <w:b/>
          <w:bCs/>
          <w:rtl/>
        </w:rPr>
        <w:t>העברות</w:t>
      </w:r>
      <w:r w:rsidRPr="00861D72">
        <w:rPr>
          <w:rFonts w:eastAsia="Calibri"/>
          <w:b/>
          <w:bCs/>
          <w:rtl/>
        </w:rPr>
        <w:t xml:space="preserve"> נטו בשקלים לחודש</w:t>
      </w:r>
      <w:r w:rsidRPr="00861D72">
        <w:rPr>
          <w:rFonts w:eastAsia="Calibri" w:hint="cs"/>
          <w:b/>
          <w:bCs/>
          <w:rtl/>
        </w:rPr>
        <w:t>, לפי גיל (בשקלים ובשנים)</w:t>
      </w:r>
    </w:p>
    <w:p w:rsidR="00861D72" w:rsidRPr="00861D72" w:rsidP="00F90255">
      <w:pPr>
        <w:spacing w:line="269" w:lineRule="auto"/>
        <w:rPr>
          <w:rFonts w:eastAsia="Calibri"/>
          <w:noProof/>
          <w:rtl/>
        </w:rPr>
      </w:pPr>
      <w:r w:rsidRPr="00861D72">
        <w:rPr>
          <w:rFonts w:eastAsia="Calibri"/>
          <w:noProof/>
        </w:rPr>
        <w:drawing>
          <wp:inline distT="0" distB="0" distL="0" distR="0">
            <wp:extent cx="5231130" cy="2329180"/>
            <wp:effectExtent l="0" t="0" r="7620" b="0"/>
            <wp:docPr id="100" name="תמונה 100" descr="העברות נטו בשקלים לחודש לפי גיל ראש משק בית&#10;&#10;מעל ל-75&#10;3,143&#10;71-74&#10;682&#10;65-70&#10;-315&#10;55-64&#10;-4,027&#10;מתחת ל55&#10;-2,1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329180"/>
                    </a:xfrm>
                    <a:prstGeom prst="rect">
                      <a:avLst/>
                    </a:prstGeom>
                    <a:noFill/>
                  </pic:spPr>
                </pic:pic>
              </a:graphicData>
            </a:graphic>
          </wp:inline>
        </w:drawing>
      </w:r>
    </w:p>
    <w:p w:rsidR="00861D72" w:rsidRPr="00861D72" w:rsidP="00F90255">
      <w:pPr>
        <w:spacing w:line="269" w:lineRule="auto"/>
        <w:rPr>
          <w:rFonts w:eastAsia="Calibri"/>
          <w:sz w:val="16"/>
          <w:szCs w:val="20"/>
          <w:rtl/>
        </w:rPr>
      </w:pPr>
      <w:r w:rsidRPr="00861D72">
        <w:rPr>
          <w:rFonts w:eastAsia="Calibri" w:hint="cs"/>
          <w:sz w:val="16"/>
          <w:szCs w:val="20"/>
          <w:rtl/>
        </w:rPr>
        <w:t>על פי נתוני פורום קהלת, בעיבוד משרד מבקר המדינה</w:t>
      </w:r>
      <w:r>
        <w:rPr>
          <w:rFonts w:eastAsia="Calibri"/>
          <w:sz w:val="16"/>
          <w:vertAlign w:val="superscript"/>
          <w:rtl/>
        </w:rPr>
        <w:footnoteReference w:id="23"/>
      </w:r>
      <w:r w:rsidRPr="00861D72">
        <w:rPr>
          <w:rFonts w:eastAsia="Calibri" w:hint="cs"/>
          <w:sz w:val="16"/>
          <w:szCs w:val="20"/>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eastAsia"/>
          <w:b/>
          <w:bCs/>
          <w:rtl/>
        </w:rPr>
        <w:t>מהתרשים</w:t>
      </w:r>
      <w:r w:rsidRPr="00861D72">
        <w:rPr>
          <w:rFonts w:eastAsia="Calibri"/>
          <w:b/>
          <w:bCs/>
          <w:rtl/>
        </w:rPr>
        <w:t xml:space="preserve"> עולה כי </w:t>
      </w:r>
      <w:bookmarkStart w:id="12" w:name="_Hlk222902465"/>
      <w:r w:rsidRPr="00861D72">
        <w:rPr>
          <w:rFonts w:eastAsia="Calibri"/>
          <w:b/>
          <w:bCs/>
          <w:rtl/>
        </w:rPr>
        <w:t xml:space="preserve">בקרב משקי בית שבראשם עומד אדם שגילו עד 70 ההעברות הן שליליות, </w:t>
      </w:r>
      <w:r w:rsidRPr="00861D72">
        <w:rPr>
          <w:rFonts w:eastAsia="Calibri" w:hint="eastAsia"/>
          <w:b/>
          <w:bCs/>
          <w:rtl/>
        </w:rPr>
        <w:t>כלומר</w:t>
      </w:r>
      <w:r w:rsidRPr="00861D72">
        <w:rPr>
          <w:rFonts w:eastAsia="Calibri"/>
          <w:b/>
          <w:bCs/>
          <w:rtl/>
        </w:rPr>
        <w:t xml:space="preserve">, סכומי התשלומים שאותם משקי בית משלמים עבור מיסים למדינה גבוהים מסכומי התשלומים שהם מקבלים מהמדינה. בקרב משקי בית שבראשם עומד אדם שגילו מעל 70, </w:t>
      </w:r>
      <w:r w:rsidRPr="00861D72">
        <w:rPr>
          <w:rFonts w:eastAsia="Calibri" w:hint="eastAsia"/>
          <w:b/>
          <w:bCs/>
          <w:rtl/>
        </w:rPr>
        <w:t>ההעברות</w:t>
      </w:r>
      <w:r w:rsidRPr="00861D72">
        <w:rPr>
          <w:rFonts w:eastAsia="Calibri"/>
          <w:b/>
          <w:bCs/>
          <w:rtl/>
        </w:rPr>
        <w:t xml:space="preserve"> </w:t>
      </w:r>
      <w:r w:rsidRPr="00861D72">
        <w:rPr>
          <w:rFonts w:eastAsia="Calibri" w:hint="eastAsia"/>
          <w:b/>
          <w:bCs/>
          <w:rtl/>
        </w:rPr>
        <w:t>נטו</w:t>
      </w:r>
      <w:r w:rsidRPr="00861D72">
        <w:rPr>
          <w:rFonts w:eastAsia="Calibri"/>
          <w:b/>
          <w:bCs/>
          <w:rtl/>
        </w:rPr>
        <w:t xml:space="preserve"> חיוביות, כלומר </w:t>
      </w:r>
      <w:r w:rsidRPr="00861D72">
        <w:rPr>
          <w:rFonts w:eastAsia="Calibri" w:hint="eastAsia"/>
          <w:b/>
          <w:bCs/>
          <w:rtl/>
        </w:rPr>
        <w:t>סכומי</w:t>
      </w:r>
      <w:r w:rsidRPr="00861D72">
        <w:rPr>
          <w:rFonts w:eastAsia="Calibri"/>
          <w:b/>
          <w:bCs/>
          <w:rtl/>
        </w:rPr>
        <w:t xml:space="preserve"> </w:t>
      </w:r>
      <w:r w:rsidRPr="00861D72">
        <w:rPr>
          <w:rFonts w:eastAsia="Calibri" w:hint="eastAsia"/>
          <w:b/>
          <w:bCs/>
          <w:rtl/>
        </w:rPr>
        <w:t>התשלומים</w:t>
      </w:r>
      <w:r w:rsidRPr="00861D72">
        <w:rPr>
          <w:rFonts w:eastAsia="Calibri"/>
          <w:b/>
          <w:bCs/>
          <w:rtl/>
        </w:rPr>
        <w:t xml:space="preserve"> </w:t>
      </w:r>
      <w:r w:rsidRPr="00861D72">
        <w:rPr>
          <w:rFonts w:eastAsia="Calibri" w:hint="eastAsia"/>
          <w:b/>
          <w:bCs/>
          <w:rtl/>
        </w:rPr>
        <w:t>עבור</w:t>
      </w:r>
      <w:r w:rsidRPr="00861D72">
        <w:rPr>
          <w:rFonts w:eastAsia="Calibri"/>
          <w:b/>
          <w:bCs/>
          <w:rtl/>
        </w:rPr>
        <w:t xml:space="preserve"> </w:t>
      </w:r>
      <w:r w:rsidRPr="00861D72">
        <w:rPr>
          <w:rFonts w:eastAsia="Calibri" w:hint="eastAsia"/>
          <w:b/>
          <w:bCs/>
          <w:rtl/>
        </w:rPr>
        <w:t>המיסים</w:t>
      </w:r>
      <w:r w:rsidRPr="00861D72">
        <w:rPr>
          <w:rFonts w:eastAsia="Calibri"/>
          <w:b/>
          <w:bCs/>
          <w:rtl/>
        </w:rPr>
        <w:t xml:space="preserve"> </w:t>
      </w:r>
      <w:r w:rsidRPr="00861D72">
        <w:rPr>
          <w:rFonts w:eastAsia="Calibri" w:hint="eastAsia"/>
          <w:b/>
          <w:bCs/>
          <w:rtl/>
        </w:rPr>
        <w:t>שאותם</w:t>
      </w:r>
      <w:r w:rsidRPr="00861D72">
        <w:rPr>
          <w:rFonts w:eastAsia="Calibri"/>
          <w:b/>
          <w:bCs/>
          <w:rtl/>
        </w:rPr>
        <w:t xml:space="preserve"> </w:t>
      </w:r>
      <w:r w:rsidRPr="00861D72">
        <w:rPr>
          <w:rFonts w:eastAsia="Calibri" w:hint="eastAsia"/>
          <w:b/>
          <w:bCs/>
          <w:rtl/>
        </w:rPr>
        <w:t>משקי</w:t>
      </w:r>
      <w:r w:rsidRPr="00861D72">
        <w:rPr>
          <w:rFonts w:eastAsia="Calibri"/>
          <w:b/>
          <w:bCs/>
          <w:rtl/>
        </w:rPr>
        <w:t xml:space="preserve"> </w:t>
      </w:r>
      <w:r w:rsidRPr="00861D72">
        <w:rPr>
          <w:rFonts w:eastAsia="Calibri" w:hint="eastAsia"/>
          <w:b/>
          <w:bCs/>
          <w:rtl/>
        </w:rPr>
        <w:t>בית</w:t>
      </w:r>
      <w:r w:rsidRPr="00861D72">
        <w:rPr>
          <w:rFonts w:eastAsia="Calibri"/>
          <w:b/>
          <w:bCs/>
          <w:rtl/>
        </w:rPr>
        <w:t xml:space="preserve"> </w:t>
      </w:r>
      <w:r w:rsidRPr="00861D72">
        <w:rPr>
          <w:rFonts w:eastAsia="Calibri" w:hint="eastAsia"/>
          <w:b/>
          <w:bCs/>
          <w:rtl/>
        </w:rPr>
        <w:t>משלמים</w:t>
      </w:r>
      <w:r w:rsidRPr="00861D72">
        <w:rPr>
          <w:rFonts w:eastAsia="Calibri"/>
          <w:b/>
          <w:bCs/>
          <w:rtl/>
        </w:rPr>
        <w:t xml:space="preserve"> </w:t>
      </w:r>
      <w:r w:rsidRPr="00861D72">
        <w:rPr>
          <w:rFonts w:eastAsia="Calibri" w:hint="eastAsia"/>
          <w:b/>
          <w:bCs/>
          <w:rtl/>
        </w:rPr>
        <w:t>למדינה</w:t>
      </w:r>
      <w:r w:rsidRPr="00861D72">
        <w:rPr>
          <w:rFonts w:eastAsia="Calibri"/>
          <w:b/>
          <w:bCs/>
          <w:rtl/>
        </w:rPr>
        <w:t xml:space="preserve"> </w:t>
      </w:r>
      <w:r w:rsidRPr="00861D72">
        <w:rPr>
          <w:rFonts w:eastAsia="Calibri" w:hint="eastAsia"/>
          <w:b/>
          <w:bCs/>
          <w:rtl/>
        </w:rPr>
        <w:t>נמוכים</w:t>
      </w:r>
      <w:r w:rsidRPr="00861D72">
        <w:rPr>
          <w:rFonts w:eastAsia="Calibri"/>
          <w:b/>
          <w:bCs/>
          <w:rtl/>
        </w:rPr>
        <w:t xml:space="preserve"> </w:t>
      </w:r>
      <w:r w:rsidRPr="00861D72">
        <w:rPr>
          <w:rFonts w:eastAsia="Calibri" w:hint="eastAsia"/>
          <w:b/>
          <w:bCs/>
          <w:rtl/>
        </w:rPr>
        <w:t>מסכומי</w:t>
      </w:r>
      <w:r w:rsidRPr="00861D72">
        <w:rPr>
          <w:rFonts w:eastAsia="Calibri"/>
          <w:b/>
          <w:bCs/>
          <w:rtl/>
        </w:rPr>
        <w:t xml:space="preserve"> </w:t>
      </w:r>
      <w:r w:rsidRPr="00861D72">
        <w:rPr>
          <w:rFonts w:eastAsia="Calibri" w:hint="eastAsia"/>
          <w:b/>
          <w:bCs/>
          <w:rtl/>
        </w:rPr>
        <w:t>התשלומים</w:t>
      </w:r>
      <w:r w:rsidRPr="00861D72">
        <w:rPr>
          <w:rFonts w:eastAsia="Calibri"/>
          <w:b/>
          <w:bCs/>
          <w:rtl/>
        </w:rPr>
        <w:t xml:space="preserve"> </w:t>
      </w:r>
      <w:r w:rsidRPr="00861D72">
        <w:rPr>
          <w:rFonts w:eastAsia="Calibri" w:hint="eastAsia"/>
          <w:b/>
          <w:bCs/>
          <w:rtl/>
        </w:rPr>
        <w:t>שהם</w:t>
      </w:r>
      <w:r w:rsidRPr="00861D72">
        <w:rPr>
          <w:rFonts w:eastAsia="Calibri"/>
          <w:b/>
          <w:bCs/>
          <w:rtl/>
        </w:rPr>
        <w:t xml:space="preserve"> </w:t>
      </w:r>
      <w:r w:rsidRPr="00861D72">
        <w:rPr>
          <w:rFonts w:eastAsia="Calibri" w:hint="eastAsia"/>
          <w:b/>
          <w:bCs/>
          <w:rtl/>
        </w:rPr>
        <w:t>מקבלים</w:t>
      </w:r>
      <w:r w:rsidRPr="00861D72">
        <w:rPr>
          <w:rFonts w:eastAsia="Calibri"/>
          <w:b/>
          <w:bCs/>
          <w:rtl/>
        </w:rPr>
        <w:t xml:space="preserve"> </w:t>
      </w:r>
      <w:r w:rsidRPr="00861D72">
        <w:rPr>
          <w:rFonts w:eastAsia="Calibri" w:hint="eastAsia"/>
          <w:b/>
          <w:bCs/>
          <w:rtl/>
        </w:rPr>
        <w:t>מהמדינה</w:t>
      </w:r>
      <w:r w:rsidRPr="00861D72">
        <w:rPr>
          <w:rFonts w:eastAsia="Calibri"/>
          <w:b/>
          <w:bCs/>
          <w:rtl/>
        </w:rPr>
        <w:t xml:space="preserve">. </w:t>
      </w:r>
      <w:bookmarkEnd w:id="12"/>
      <w:r w:rsidRPr="00861D72">
        <w:rPr>
          <w:rFonts w:eastAsia="Calibri" w:hint="eastAsia"/>
          <w:b/>
          <w:bCs/>
          <w:rtl/>
        </w:rPr>
        <w:t>בקרב</w:t>
      </w:r>
      <w:r w:rsidRPr="00861D72">
        <w:rPr>
          <w:rFonts w:eastAsia="Calibri"/>
          <w:b/>
          <w:bCs/>
          <w:rtl/>
        </w:rPr>
        <w:t xml:space="preserve"> </w:t>
      </w:r>
      <w:r w:rsidRPr="00861D72">
        <w:rPr>
          <w:rFonts w:eastAsia="Calibri" w:hint="eastAsia"/>
          <w:b/>
          <w:bCs/>
          <w:rtl/>
        </w:rPr>
        <w:t>משקי</w:t>
      </w:r>
      <w:r w:rsidRPr="00861D72">
        <w:rPr>
          <w:rFonts w:eastAsia="Calibri"/>
          <w:b/>
          <w:bCs/>
          <w:rtl/>
        </w:rPr>
        <w:t xml:space="preserve"> </w:t>
      </w:r>
      <w:r w:rsidRPr="00861D72">
        <w:rPr>
          <w:rFonts w:eastAsia="Calibri" w:hint="eastAsia"/>
          <w:b/>
          <w:bCs/>
          <w:rtl/>
        </w:rPr>
        <w:t>בית</w:t>
      </w:r>
      <w:r w:rsidRPr="00861D72">
        <w:rPr>
          <w:rFonts w:eastAsia="Calibri"/>
          <w:b/>
          <w:bCs/>
          <w:rtl/>
        </w:rPr>
        <w:t xml:space="preserve"> </w:t>
      </w:r>
      <w:r w:rsidRPr="00861D72">
        <w:rPr>
          <w:rFonts w:eastAsia="Calibri" w:hint="eastAsia"/>
          <w:b/>
          <w:bCs/>
          <w:rtl/>
        </w:rPr>
        <w:t>שבראשם</w:t>
      </w:r>
      <w:r w:rsidRPr="00861D72">
        <w:rPr>
          <w:rFonts w:eastAsia="Calibri"/>
          <w:b/>
          <w:bCs/>
          <w:rtl/>
        </w:rPr>
        <w:t xml:space="preserve"> </w:t>
      </w:r>
      <w:r w:rsidRPr="00861D72">
        <w:rPr>
          <w:rFonts w:eastAsia="Calibri" w:hint="eastAsia"/>
          <w:b/>
          <w:bCs/>
          <w:rtl/>
        </w:rPr>
        <w:t>עומד</w:t>
      </w:r>
      <w:r w:rsidRPr="00861D72">
        <w:rPr>
          <w:rFonts w:eastAsia="Calibri"/>
          <w:b/>
          <w:bCs/>
          <w:rtl/>
        </w:rPr>
        <w:t xml:space="preserve"> </w:t>
      </w:r>
      <w:r w:rsidRPr="00861D72">
        <w:rPr>
          <w:rFonts w:eastAsia="Calibri" w:hint="eastAsia"/>
          <w:b/>
          <w:bCs/>
          <w:rtl/>
        </w:rPr>
        <w:t>בן</w:t>
      </w:r>
      <w:r w:rsidRPr="00861D72">
        <w:rPr>
          <w:rFonts w:eastAsia="Calibri"/>
          <w:b/>
          <w:bCs/>
          <w:rtl/>
        </w:rPr>
        <w:t xml:space="preserve"> 75 </w:t>
      </w:r>
      <w:r w:rsidRPr="00861D72">
        <w:rPr>
          <w:rFonts w:eastAsia="Calibri" w:hint="eastAsia"/>
          <w:b/>
          <w:bCs/>
          <w:rtl/>
        </w:rPr>
        <w:t>ומעלה</w:t>
      </w:r>
      <w:r w:rsidRPr="00861D72">
        <w:rPr>
          <w:rFonts w:eastAsia="Calibri"/>
          <w:b/>
          <w:bCs/>
          <w:rtl/>
        </w:rPr>
        <w:t xml:space="preserve"> </w:t>
      </w:r>
      <w:r w:rsidRPr="00861D72">
        <w:rPr>
          <w:rFonts w:eastAsia="Calibri" w:hint="eastAsia"/>
          <w:b/>
          <w:bCs/>
          <w:rtl/>
        </w:rPr>
        <w:t>ההפרש</w:t>
      </w:r>
      <w:r w:rsidRPr="00861D72">
        <w:rPr>
          <w:rFonts w:eastAsia="Calibri"/>
          <w:b/>
          <w:bCs/>
          <w:rtl/>
        </w:rPr>
        <w:t xml:space="preserve"> </w:t>
      </w:r>
      <w:r w:rsidRPr="00861D72">
        <w:rPr>
          <w:rFonts w:eastAsia="Calibri" w:hint="eastAsia"/>
          <w:b/>
          <w:bCs/>
          <w:rtl/>
        </w:rPr>
        <w:t>נאמד</w:t>
      </w:r>
      <w:r w:rsidRPr="00861D72">
        <w:rPr>
          <w:rFonts w:eastAsia="Calibri"/>
          <w:b/>
          <w:bCs/>
          <w:rtl/>
        </w:rPr>
        <w:t xml:space="preserve"> </w:t>
      </w:r>
      <w:r w:rsidRPr="00861D72">
        <w:rPr>
          <w:rFonts w:eastAsia="Calibri" w:hint="eastAsia"/>
          <w:b/>
          <w:bCs/>
          <w:rtl/>
        </w:rPr>
        <w:t>ב</w:t>
      </w:r>
      <w:r w:rsidRPr="00861D72">
        <w:rPr>
          <w:rFonts w:eastAsia="Calibri"/>
          <w:b/>
          <w:bCs/>
          <w:rtl/>
        </w:rPr>
        <w:t xml:space="preserve">-3,143 </w:t>
      </w:r>
      <w:r w:rsidRPr="00861D72">
        <w:rPr>
          <w:rFonts w:eastAsia="Calibri" w:hint="eastAsia"/>
          <w:b/>
          <w:bCs/>
          <w:rtl/>
        </w:rPr>
        <w:t>ש</w:t>
      </w:r>
      <w:r w:rsidRPr="00861D72">
        <w:rPr>
          <w:rFonts w:eastAsia="Calibri"/>
          <w:b/>
          <w:bCs/>
          <w:rtl/>
        </w:rPr>
        <w:t xml:space="preserve">"ח </w:t>
      </w:r>
      <w:r w:rsidRPr="00861D72">
        <w:rPr>
          <w:rFonts w:eastAsia="Calibri" w:hint="eastAsia"/>
          <w:b/>
          <w:bCs/>
          <w:rtl/>
        </w:rPr>
        <w:t>בחודש</w:t>
      </w:r>
      <w:r w:rsidRPr="00861D72">
        <w:rPr>
          <w:rFonts w:eastAsia="Calibri"/>
          <w:b/>
          <w:bCs/>
          <w:rtl/>
        </w:rPr>
        <w:t xml:space="preserve">, </w:t>
      </w:r>
      <w:r w:rsidRPr="00861D72">
        <w:rPr>
          <w:rFonts w:eastAsia="Calibri" w:hint="eastAsia"/>
          <w:b/>
          <w:bCs/>
          <w:rtl/>
        </w:rPr>
        <w:t>נתון</w:t>
      </w:r>
      <w:r w:rsidRPr="00861D72">
        <w:rPr>
          <w:rFonts w:eastAsia="Calibri"/>
          <w:b/>
          <w:bCs/>
          <w:rtl/>
        </w:rPr>
        <w:t xml:space="preserve"> </w:t>
      </w:r>
      <w:r w:rsidRPr="00861D72">
        <w:rPr>
          <w:rFonts w:eastAsia="Calibri" w:hint="eastAsia"/>
          <w:b/>
          <w:bCs/>
          <w:rtl/>
        </w:rPr>
        <w:t>זה</w:t>
      </w:r>
      <w:r w:rsidRPr="00861D72">
        <w:rPr>
          <w:rFonts w:eastAsia="Calibri"/>
          <w:b/>
          <w:bCs/>
          <w:rtl/>
        </w:rPr>
        <w:t xml:space="preserve"> </w:t>
      </w:r>
      <w:r w:rsidRPr="00861D72">
        <w:rPr>
          <w:rFonts w:eastAsia="Calibri" w:hint="eastAsia"/>
          <w:b/>
          <w:bCs/>
          <w:rtl/>
        </w:rPr>
        <w:t>מסתכם</w:t>
      </w:r>
      <w:r w:rsidRPr="00861D72">
        <w:rPr>
          <w:rFonts w:eastAsia="Calibri"/>
          <w:b/>
          <w:bCs/>
          <w:rtl/>
        </w:rPr>
        <w:t xml:space="preserve"> </w:t>
      </w:r>
      <w:r w:rsidRPr="00861D72">
        <w:rPr>
          <w:rFonts w:eastAsia="Calibri" w:hint="eastAsia"/>
          <w:b/>
          <w:bCs/>
          <w:rtl/>
        </w:rPr>
        <w:t>לכ</w:t>
      </w:r>
      <w:r w:rsidRPr="00861D72">
        <w:rPr>
          <w:rFonts w:eastAsia="Calibri"/>
          <w:b/>
          <w:bCs/>
          <w:rtl/>
        </w:rPr>
        <w:t xml:space="preserve">-11 </w:t>
      </w:r>
      <w:r w:rsidRPr="00861D72">
        <w:rPr>
          <w:rFonts w:eastAsia="Calibri" w:hint="eastAsia"/>
          <w:b/>
          <w:bCs/>
          <w:rtl/>
        </w:rPr>
        <w:t>מיליארד</w:t>
      </w:r>
      <w:r w:rsidRPr="00861D72">
        <w:rPr>
          <w:rFonts w:eastAsia="Calibri"/>
          <w:b/>
          <w:bCs/>
          <w:rtl/>
        </w:rPr>
        <w:t xml:space="preserve"> </w:t>
      </w:r>
      <w:r w:rsidRPr="00861D72">
        <w:rPr>
          <w:rFonts w:eastAsia="Calibri" w:hint="eastAsia"/>
          <w:b/>
          <w:bCs/>
          <w:rtl/>
        </w:rPr>
        <w:t>שקלים</w:t>
      </w:r>
      <w:r w:rsidRPr="00861D72">
        <w:rPr>
          <w:rFonts w:eastAsia="Calibri"/>
          <w:b/>
          <w:bCs/>
          <w:rtl/>
        </w:rPr>
        <w:t xml:space="preserve"> </w:t>
      </w:r>
      <w:r w:rsidRPr="00861D72">
        <w:rPr>
          <w:rFonts w:eastAsia="Calibri" w:hint="eastAsia"/>
          <w:b/>
          <w:bCs/>
          <w:rtl/>
        </w:rPr>
        <w:t>בשנה</w:t>
      </w:r>
      <w:r>
        <w:rPr>
          <w:rFonts w:eastAsia="Calibri"/>
          <w:b/>
          <w:bCs/>
          <w:vertAlign w:val="superscript"/>
          <w:rtl/>
        </w:rPr>
        <w:footnoteReference w:id="24"/>
      </w:r>
      <w:r w:rsidRPr="00861D72">
        <w:rPr>
          <w:rFonts w:eastAsia="Calibri"/>
          <w:b/>
          <w:bCs/>
          <w:rtl/>
        </w:rPr>
        <w:t>. משמעות הנתונים היא כי ב</w:t>
      </w:r>
      <w:r w:rsidRPr="00861D72">
        <w:rPr>
          <w:rFonts w:eastAsia="Calibri" w:hint="eastAsia"/>
          <w:b/>
          <w:bCs/>
          <w:rtl/>
        </w:rPr>
        <w:t>ני</w:t>
      </w:r>
      <w:r w:rsidRPr="00861D72">
        <w:rPr>
          <w:rFonts w:eastAsia="Calibri"/>
          <w:b/>
          <w:bCs/>
          <w:rtl/>
        </w:rPr>
        <w:t xml:space="preserve"> </w:t>
      </w:r>
      <w:r w:rsidRPr="00861D72">
        <w:rPr>
          <w:rFonts w:eastAsia="Calibri" w:hint="eastAsia"/>
          <w:b/>
          <w:bCs/>
          <w:rtl/>
        </w:rPr>
        <w:t>ה</w:t>
      </w:r>
      <w:r w:rsidRPr="00861D72">
        <w:rPr>
          <w:rFonts w:eastAsia="Calibri"/>
          <w:b/>
          <w:bCs/>
          <w:rtl/>
        </w:rPr>
        <w:t xml:space="preserve">גילים המבוגרים, ובפרט בני 75 ומעלה, </w:t>
      </w:r>
      <w:r w:rsidRPr="00861D72">
        <w:rPr>
          <w:rFonts w:eastAsia="Calibri" w:hint="eastAsia"/>
          <w:b/>
          <w:bCs/>
          <w:rtl/>
        </w:rPr>
        <w:t>מקבלים</w:t>
      </w:r>
      <w:r w:rsidRPr="00861D72">
        <w:rPr>
          <w:rFonts w:eastAsia="Calibri"/>
          <w:b/>
          <w:bCs/>
          <w:rtl/>
        </w:rPr>
        <w:t xml:space="preserve"> תמיכה </w:t>
      </w:r>
      <w:r w:rsidRPr="00861D72">
        <w:rPr>
          <w:rFonts w:eastAsia="Calibri" w:hint="eastAsia"/>
          <w:b/>
          <w:bCs/>
          <w:rtl/>
        </w:rPr>
        <w:t>מוסדית</w:t>
      </w:r>
      <w:r w:rsidRPr="00861D72">
        <w:rPr>
          <w:rFonts w:eastAsia="Calibri"/>
          <w:b/>
          <w:bCs/>
          <w:rtl/>
        </w:rPr>
        <w:t xml:space="preserve"> </w:t>
      </w:r>
      <w:r w:rsidRPr="00861D72">
        <w:rPr>
          <w:rFonts w:eastAsia="Calibri" w:hint="eastAsia"/>
          <w:b/>
          <w:bCs/>
          <w:rtl/>
        </w:rPr>
        <w:t>גדולה</w:t>
      </w:r>
      <w:r w:rsidRPr="00861D72">
        <w:rPr>
          <w:rFonts w:eastAsia="Calibri"/>
          <w:b/>
          <w:bCs/>
          <w:rtl/>
        </w:rPr>
        <w:t xml:space="preserve"> </w:t>
      </w:r>
      <w:r w:rsidRPr="00861D72">
        <w:rPr>
          <w:rFonts w:eastAsia="Calibri" w:hint="eastAsia"/>
          <w:b/>
          <w:bCs/>
          <w:rtl/>
        </w:rPr>
        <w:t>הרבה</w:t>
      </w:r>
      <w:r w:rsidRPr="00861D72">
        <w:rPr>
          <w:rFonts w:eastAsia="Calibri"/>
          <w:b/>
          <w:bCs/>
          <w:rtl/>
        </w:rPr>
        <w:t xml:space="preserve"> </w:t>
      </w:r>
      <w:r w:rsidRPr="00861D72">
        <w:rPr>
          <w:rFonts w:eastAsia="Calibri" w:hint="eastAsia"/>
          <w:b/>
          <w:bCs/>
          <w:rtl/>
        </w:rPr>
        <w:t>יותר</w:t>
      </w:r>
      <w:r w:rsidRPr="00861D72">
        <w:rPr>
          <w:rFonts w:eastAsia="Calibri"/>
          <w:b/>
          <w:bCs/>
          <w:rtl/>
        </w:rPr>
        <w:t xml:space="preserve"> </w:t>
      </w:r>
      <w:r w:rsidRPr="00861D72">
        <w:rPr>
          <w:rFonts w:eastAsia="Calibri" w:hint="eastAsia"/>
          <w:b/>
          <w:bCs/>
          <w:rtl/>
        </w:rPr>
        <w:t>מבני</w:t>
      </w:r>
      <w:r w:rsidRPr="00861D72">
        <w:rPr>
          <w:rFonts w:eastAsia="Calibri"/>
          <w:b/>
          <w:bCs/>
          <w:rtl/>
        </w:rPr>
        <w:t xml:space="preserve"> </w:t>
      </w:r>
      <w:r w:rsidRPr="00861D72">
        <w:rPr>
          <w:rFonts w:eastAsia="Calibri" w:hint="eastAsia"/>
          <w:b/>
          <w:bCs/>
          <w:rtl/>
        </w:rPr>
        <w:t>הגילים</w:t>
      </w:r>
      <w:r w:rsidRPr="00861D72">
        <w:rPr>
          <w:rFonts w:eastAsia="Calibri"/>
          <w:b/>
          <w:bCs/>
          <w:rtl/>
        </w:rPr>
        <w:t xml:space="preserve"> </w:t>
      </w:r>
      <w:r w:rsidRPr="00861D72">
        <w:rPr>
          <w:rFonts w:eastAsia="Calibri" w:hint="eastAsia"/>
          <w:b/>
          <w:bCs/>
          <w:rtl/>
        </w:rPr>
        <w:t>הצעירים</w:t>
      </w:r>
      <w:r w:rsidRPr="00861D72">
        <w:rPr>
          <w:rFonts w:eastAsia="Calibri"/>
          <w:b/>
          <w:bCs/>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בתרשים שלהלן מוצגים נתונים על שיעורי האזרחים החשים בדידות בקרב בני 65 ומעלה. </w:t>
      </w: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jc w:val="center"/>
        <w:rPr>
          <w:rFonts w:eastAsia="Calibri"/>
          <w:b/>
          <w:bCs/>
          <w:rtl/>
        </w:rPr>
      </w:pPr>
      <w:r w:rsidRPr="00861D72">
        <w:rPr>
          <w:rFonts w:eastAsia="Calibri" w:hint="cs"/>
          <w:rtl/>
        </w:rPr>
        <w:t xml:space="preserve">תרשים 8: </w:t>
      </w:r>
      <w:r w:rsidRPr="00861D72">
        <w:rPr>
          <w:rFonts w:eastAsia="Calibri" w:hint="cs"/>
          <w:b/>
          <w:bCs/>
          <w:rtl/>
        </w:rPr>
        <w:t>שיעורי האזרחים החשים בדידות בקרב בני 65 ומעלה, לפי שנים, 2015 - 2024 (באחוזים)</w:t>
      </w:r>
    </w:p>
    <w:p w:rsidR="00861D72" w:rsidRPr="00861D72" w:rsidP="00F90255">
      <w:pPr>
        <w:spacing w:line="269" w:lineRule="auto"/>
        <w:jc w:val="center"/>
        <w:rPr>
          <w:rFonts w:eastAsia="Calibri"/>
          <w:rtl/>
        </w:rPr>
      </w:pPr>
      <w:r w:rsidRPr="00861D72">
        <w:rPr>
          <w:rFonts w:eastAsia="Calibri"/>
          <w:noProof/>
        </w:rPr>
        <w:drawing>
          <wp:inline distT="0" distB="0" distL="0" distR="0">
            <wp:extent cx="5236845" cy="2755900"/>
            <wp:effectExtent l="0" t="0" r="1905" b="6350"/>
            <wp:docPr id="18" name="תמונה 18" descr="2024: 26%&#10;2023: 26%&#10;2022: 27%&#10;2021: 27%&#10;2020: 26%&#10;2019: 28%&#10;2018: 29%&#10;2017: 30%&#10;2016: 31%&#10;2015: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6845" cy="2755900"/>
                    </a:xfrm>
                    <a:prstGeom prst="rect">
                      <a:avLst/>
                    </a:prstGeom>
                    <a:noFill/>
                  </pic:spPr>
                </pic:pic>
              </a:graphicData>
            </a:graphic>
          </wp:inline>
        </w:drawing>
      </w:r>
    </w:p>
    <w:p w:rsidR="00861D72" w:rsidRPr="00861D72" w:rsidP="00F90255">
      <w:pPr>
        <w:spacing w:line="269" w:lineRule="auto"/>
        <w:rPr>
          <w:rFonts w:eastAsia="Calibri"/>
          <w:sz w:val="18"/>
          <w:szCs w:val="22"/>
          <w:rtl/>
        </w:rPr>
      </w:pPr>
      <w:r w:rsidRPr="00861D72">
        <w:rPr>
          <w:rFonts w:eastAsia="Calibri" w:hint="cs"/>
          <w:sz w:val="16"/>
          <w:szCs w:val="20"/>
          <w:rtl/>
        </w:rPr>
        <w:t xml:space="preserve">על פי </w:t>
      </w:r>
      <w:r w:rsidRPr="00861D72">
        <w:rPr>
          <w:rFonts w:eastAsia="Calibri" w:hint="cs"/>
          <w:szCs w:val="20"/>
          <w:rtl/>
        </w:rPr>
        <w:t>נתוני</w:t>
      </w:r>
      <w:r w:rsidRPr="00861D72">
        <w:rPr>
          <w:rFonts w:eastAsia="Calibri" w:hint="cs"/>
          <w:sz w:val="16"/>
          <w:szCs w:val="20"/>
          <w:rtl/>
        </w:rPr>
        <w:t xml:space="preserve"> הסקר החברתי של </w:t>
      </w:r>
      <w:r w:rsidRPr="00861D72">
        <w:rPr>
          <w:rFonts w:eastAsia="Calibri" w:hint="cs"/>
          <w:sz w:val="16"/>
          <w:szCs w:val="20"/>
          <w:rtl/>
        </w:rPr>
        <w:t>הלמ"ס</w:t>
      </w:r>
      <w:r w:rsidRPr="00861D72">
        <w:rPr>
          <w:rFonts w:eastAsia="Calibri" w:hint="cs"/>
          <w:sz w:val="16"/>
          <w:szCs w:val="20"/>
          <w:rtl/>
        </w:rPr>
        <w:t>, בעיבוד משרד מבקר המדינה</w:t>
      </w:r>
      <w:r>
        <w:rPr>
          <w:rFonts w:eastAsia="Calibri"/>
          <w:sz w:val="16"/>
          <w:vertAlign w:val="superscript"/>
          <w:rtl/>
        </w:rPr>
        <w:footnoteReference w:id="25"/>
      </w:r>
      <w:r w:rsidRPr="00861D72">
        <w:rPr>
          <w:rFonts w:eastAsia="Calibri" w:hint="cs"/>
          <w:sz w:val="18"/>
          <w:szCs w:val="22"/>
          <w:rtl/>
        </w:rPr>
        <w:t>.</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b/>
          <w:bCs/>
          <w:sz w:val="24"/>
        </w:rPr>
      </w:pPr>
      <w:r w:rsidRPr="00861D72">
        <w:rPr>
          <w:rFonts w:ascii="David" w:eastAsia="Calibri" w:hAnsi="David" w:hint="eastAsia"/>
          <w:b/>
          <w:bCs/>
          <w:sz w:val="24"/>
          <w:rtl/>
        </w:rPr>
        <w:t>מהתרשים</w:t>
      </w:r>
      <w:r w:rsidRPr="00861D72">
        <w:rPr>
          <w:rFonts w:ascii="David" w:eastAsia="Calibri" w:hAnsi="David"/>
          <w:b/>
          <w:bCs/>
          <w:sz w:val="24"/>
          <w:rtl/>
        </w:rPr>
        <w:t xml:space="preserve"> עולה כי בשנת 2024 כרבע מבני 65 ומעלה (כ-320,000 איש) מדווחים על תחושת בדידות. עוד עולה כי חלה ירידה בתחושת הבדידות משנת 2015, אז כשליש מבני 65 ומעלה דיווחו על תחושת בדידות, ועד לשנת 2024 (מלבד עלייה קלה בשנים 2021 </w:t>
      </w:r>
      <w:r w:rsidRPr="00861D72">
        <w:rPr>
          <w:rFonts w:ascii="David" w:eastAsia="Calibri" w:hAnsi="David" w:hint="cs"/>
          <w:b/>
          <w:bCs/>
          <w:sz w:val="24"/>
          <w:rtl/>
        </w:rPr>
        <w:t>-</w:t>
      </w:r>
      <w:r w:rsidRPr="00861D72">
        <w:rPr>
          <w:rFonts w:ascii="David" w:eastAsia="Calibri" w:hAnsi="David"/>
          <w:b/>
          <w:bCs/>
          <w:sz w:val="24"/>
          <w:rtl/>
        </w:rPr>
        <w:t xml:space="preserve"> 2022, הקשורה כנראה ל</w:t>
      </w:r>
      <w:r w:rsidRPr="00861D72">
        <w:rPr>
          <w:rFonts w:ascii="David" w:eastAsia="Calibri" w:hAnsi="David" w:hint="cs"/>
          <w:b/>
          <w:bCs/>
          <w:sz w:val="24"/>
          <w:rtl/>
        </w:rPr>
        <w:t xml:space="preserve">התפרצות </w:t>
      </w:r>
      <w:r w:rsidRPr="00861D72">
        <w:rPr>
          <w:rFonts w:ascii="David" w:eastAsia="Calibri" w:hAnsi="David"/>
          <w:b/>
          <w:bCs/>
          <w:sz w:val="24"/>
          <w:rtl/>
        </w:rPr>
        <w:t>נגיף הקורונה).</w:t>
      </w:r>
    </w:p>
    <w:p w:rsidR="00861D72" w:rsidRPr="00861D72" w:rsidP="00F90255">
      <w:pPr>
        <w:spacing w:line="269" w:lineRule="auto"/>
        <w:rPr>
          <w:rFonts w:eastAsia="Calibri"/>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הגופים המבוקרים המרכזיים העוסקים בתחום ההזדקנות</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גופים רבים עוסקים בתחום ההזדקנות או נותנים שירות לזקנים (ראו הרחבה בפרק בנושא ניהול ההיערכות הממשלתית</w:t>
      </w:r>
      <w:r w:rsidRPr="00861D72">
        <w:rPr>
          <w:rFonts w:eastAsia="Calibri"/>
          <w:rtl/>
        </w:rPr>
        <w:t xml:space="preserve"> להזדקנות האוכלוסייה</w:t>
      </w:r>
      <w:r w:rsidRPr="00861D72">
        <w:rPr>
          <w:rFonts w:eastAsia="Calibri" w:hint="cs"/>
          <w:rtl/>
        </w:rPr>
        <w:t xml:space="preserve">). דוח זה מתמקד בחמישה גופים מרכזיים בתחום, כמוצג בתרשים שלהלן. </w:t>
      </w:r>
    </w:p>
    <w:p w:rsidR="00861D72" w:rsidRPr="00861D72" w:rsidP="00F90255">
      <w:pPr>
        <w:spacing w:line="269" w:lineRule="auto"/>
        <w:jc w:val="left"/>
        <w:rPr>
          <w:rFonts w:eastAsia="Calibri"/>
          <w:rtl/>
        </w:rPr>
      </w:pPr>
    </w:p>
    <w:p w:rsidR="00861D72" w:rsidRPr="00861D72" w:rsidP="00AB5D27">
      <w:pPr>
        <w:keepNext/>
        <w:keepLines/>
        <w:spacing w:line="269" w:lineRule="auto"/>
        <w:jc w:val="center"/>
        <w:rPr>
          <w:rFonts w:eastAsia="Calibri"/>
          <w:b/>
          <w:bCs/>
          <w:rtl/>
        </w:rPr>
      </w:pPr>
      <w:r w:rsidRPr="00861D72">
        <w:rPr>
          <w:rFonts w:eastAsia="Calibri" w:hint="cs"/>
          <w:rtl/>
        </w:rPr>
        <w:t xml:space="preserve">תרשים 9: </w:t>
      </w:r>
      <w:r w:rsidRPr="00861D72">
        <w:rPr>
          <w:rFonts w:eastAsia="Calibri" w:hint="cs"/>
          <w:b/>
          <w:bCs/>
          <w:rtl/>
        </w:rPr>
        <w:t>גופים ממשלתיים מרכזיים בתחום ההזדקנות</w:t>
      </w:r>
    </w:p>
    <w:p w:rsidR="00861D72" w:rsidRPr="00861D72" w:rsidP="00F90255">
      <w:pPr>
        <w:spacing w:line="269" w:lineRule="auto"/>
        <w:jc w:val="center"/>
        <w:rPr>
          <w:rFonts w:eastAsia="Calibri"/>
          <w:b/>
          <w:bCs/>
          <w:rtl/>
        </w:rPr>
      </w:pPr>
      <w:r w:rsidRPr="00861D72">
        <w:rPr>
          <w:rFonts w:eastAsia="Calibri"/>
          <w:b/>
          <w:bCs/>
          <w:noProof/>
        </w:rPr>
        <w:drawing>
          <wp:inline distT="0" distB="0" distL="0" distR="0">
            <wp:extent cx="5163820" cy="5596890"/>
            <wp:effectExtent l="0" t="0" r="0" b="0"/>
            <wp:docPr id="32" name="תמונה 32" descr="מימין:&#10;משרד&#10;הבריאות&#10;&#10;משמאל:&#10;אחראי לרגולציה, לפיקוח ולמימון של חלק מהשירותים לזקנים&#10;&#10;מימין:&#10;קופות החולים&#10;&#10;משמאל:&#10;חוק ביטוח בריאות ממלכתי, התשנ&quot;ד-1994, קובע כי כל תושב&#10;במדינת ישראל זכאי לקבל שירותי בריאות באמצעות קופות&#10;החולים, בכלל זה גם אוכלוסיית הזקנים&#10;&#10;מימין:&#10;משרד הרווחה&#10;והביטחון&#10;החברתי&#10;&#10;משמאל:&#10;אמון על מערך השירותים הסוציאליים לכלל האוכלוסייה, הניתנים&#10;בפועל בעיקר באמצעות המחלקות לשירותים חברתיים ברשויות&#10;המקומיות. משרד אחראי מתוקף חוק ופועל לקידום איכות חייהם&#10;וצרכיהם של האזרחים הוותיקים בהתאמה למצבם התפקודי&#10;ואמון על רישוי, פיקוח ופיתוח מדיניות ושירותים בתחום מערכי&#10;הדיור לאזרחים ותיקים.&#10;&#10;מימין:&#10;המשרד&#10;לשוויון חברתי&#10;&#10;משמאל:&#10;אגף בכיר אזרחים ותיקים במשרד פועל למען קידום הזכויות של&#10;האזרחים הוותיקים בישראל בתחומים שונים. בין היתר האגף&#10;מעניק תעודת אזרח ותיק, פועל למיצוי זכויותיהם של אזרחים ותיקים&#10;בשוק העבודה ובחברה בישראל וכן מקיים פעילויות תרבות&#10;השכלה ופנאי&#10;&#10;מימין:&#10;המוסד&#10;לביטוח לאומי&#10;&#10;משמאל:&#10;&#10;1. משלם קצבת זקנה לאזרחים ותיקים הזכאים לכך&#10;2. מעניק גמלת סיעוד הניתנת לאנשים שהגיעו לגיל פרישה&#10;   הגרים בביתם או בדיור מוגן, וזקוקים לעזרה בביצוע פעולות&#10;   היום-יום או להשגחה למען בטיחותם&#10;3. שירות הייעוץ לאזרח הוותיק ומשפחתו, עוסק במיצוי&#10;   זכויות ובמתן תמיכה רגשית לשיפור איכות חייה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3820" cy="5596890"/>
                    </a:xfrm>
                    <a:prstGeom prst="rect">
                      <a:avLst/>
                    </a:prstGeom>
                    <a:noFill/>
                  </pic:spPr>
                </pic:pic>
              </a:graphicData>
            </a:graphic>
          </wp:inline>
        </w:drawing>
      </w:r>
    </w:p>
    <w:p w:rsidR="00861D72" w:rsidRPr="00861D72" w:rsidP="00F90255">
      <w:pPr>
        <w:spacing w:line="269" w:lineRule="auto"/>
        <w:rPr>
          <w:rFonts w:eastAsia="Calibri"/>
          <w:szCs w:val="20"/>
          <w:rtl/>
        </w:rPr>
      </w:pPr>
      <w:r w:rsidRPr="00861D72">
        <w:rPr>
          <w:rFonts w:eastAsia="Calibri" w:hint="eastAsia"/>
          <w:szCs w:val="20"/>
          <w:rtl/>
        </w:rPr>
        <w:t>על</w:t>
      </w:r>
      <w:r w:rsidRPr="00861D72">
        <w:rPr>
          <w:rFonts w:eastAsia="Calibri"/>
          <w:szCs w:val="20"/>
          <w:rtl/>
        </w:rPr>
        <w:t xml:space="preserve"> </w:t>
      </w:r>
      <w:r w:rsidRPr="00861D72">
        <w:rPr>
          <w:rFonts w:eastAsia="Calibri" w:hint="eastAsia"/>
          <w:szCs w:val="20"/>
          <w:rtl/>
        </w:rPr>
        <w:t>פי</w:t>
      </w:r>
      <w:r w:rsidRPr="00861D72">
        <w:rPr>
          <w:rFonts w:eastAsia="Calibri"/>
          <w:szCs w:val="20"/>
          <w:rtl/>
        </w:rPr>
        <w:t xml:space="preserve"> נתוני משרד הבריאות, משרד הרווחה, המשרד לשוויון חברתי </w:t>
      </w:r>
      <w:r w:rsidRPr="00861D72">
        <w:rPr>
          <w:rFonts w:eastAsia="Calibri" w:hint="cs"/>
          <w:szCs w:val="20"/>
          <w:rtl/>
        </w:rPr>
        <w:t>ו</w:t>
      </w:r>
      <w:r w:rsidR="00011037">
        <w:rPr>
          <w:rFonts w:eastAsia="Calibri" w:hint="cs"/>
          <w:szCs w:val="20"/>
          <w:rtl/>
        </w:rPr>
        <w:t>המוסד לביטוח לאומי</w:t>
      </w:r>
      <w:r>
        <w:rPr>
          <w:rFonts w:eastAsia="Calibri"/>
          <w:vertAlign w:val="superscript"/>
          <w:rtl/>
        </w:rPr>
        <w:footnoteReference w:id="26"/>
      </w:r>
      <w:r w:rsidRPr="00861D72">
        <w:rPr>
          <w:rFonts w:eastAsia="Calibri" w:hint="cs"/>
          <w:szCs w:val="20"/>
          <w:rtl/>
        </w:rPr>
        <w:t xml:space="preserve">. </w:t>
      </w:r>
    </w:p>
    <w:p w:rsidR="00861D72" w:rsidRPr="00861D72" w:rsidP="00F90255">
      <w:pPr>
        <w:spacing w:line="269" w:lineRule="auto"/>
        <w:rPr>
          <w:rFonts w:eastAsia="Calibri"/>
          <w:sz w:val="18"/>
          <w:szCs w:val="22"/>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 xml:space="preserve">מדיניות ממשלתית להיערכות להזדקנות האוכלוסייה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rtl/>
        </w:rPr>
        <w:t>לפי ארגון הבריאות העולמי (</w:t>
      </w:r>
      <w:r w:rsidRPr="00861D72">
        <w:rPr>
          <w:rFonts w:eastAsia="Calibri"/>
        </w:rPr>
        <w:t>WHO</w:t>
      </w:r>
      <w:r>
        <w:rPr>
          <w:rFonts w:eastAsia="Calibri"/>
          <w:vertAlign w:val="superscript"/>
        </w:rPr>
        <w:footnoteReference w:id="27"/>
      </w:r>
      <w:r w:rsidRPr="00861D72">
        <w:rPr>
          <w:rFonts w:eastAsia="Calibri"/>
          <w:rtl/>
        </w:rPr>
        <w:t>) והאומות המאוחדות (</w:t>
      </w:r>
      <w:r w:rsidRPr="00861D72">
        <w:rPr>
          <w:rFonts w:eastAsia="Calibri"/>
        </w:rPr>
        <w:t>UN</w:t>
      </w:r>
      <w:r w:rsidRPr="00861D72">
        <w:rPr>
          <w:rFonts w:eastAsia="Calibri"/>
          <w:rtl/>
        </w:rPr>
        <w:t>), הזדקנות האוכלוסייה היא אח</w:t>
      </w:r>
      <w:r w:rsidRPr="00861D72">
        <w:rPr>
          <w:rFonts w:eastAsia="Calibri" w:hint="eastAsia"/>
          <w:rtl/>
        </w:rPr>
        <w:t>ד</w:t>
      </w:r>
      <w:r w:rsidRPr="00861D72">
        <w:rPr>
          <w:rFonts w:eastAsia="Calibri"/>
          <w:rtl/>
        </w:rPr>
        <w:t xml:space="preserve"> מההישגים הגדולים ביותר של האנושות </w:t>
      </w:r>
      <w:r w:rsidRPr="00861D72">
        <w:rPr>
          <w:rFonts w:eastAsia="Calibri" w:hint="eastAsia"/>
          <w:rtl/>
        </w:rPr>
        <w:t>אך</w:t>
      </w:r>
      <w:r w:rsidRPr="00861D72">
        <w:rPr>
          <w:rFonts w:eastAsia="Calibri"/>
          <w:rtl/>
        </w:rPr>
        <w:t xml:space="preserve"> </w:t>
      </w:r>
      <w:r w:rsidRPr="00861D72">
        <w:rPr>
          <w:rFonts w:eastAsia="Calibri" w:hint="eastAsia"/>
          <w:rtl/>
        </w:rPr>
        <w:t>גם</w:t>
      </w:r>
      <w:r w:rsidRPr="00861D72">
        <w:rPr>
          <w:rFonts w:eastAsia="Calibri"/>
          <w:rtl/>
        </w:rPr>
        <w:t xml:space="preserve"> אחד </w:t>
      </w:r>
      <w:r w:rsidRPr="00861D72">
        <w:rPr>
          <w:rFonts w:eastAsia="Calibri" w:hint="eastAsia"/>
          <w:rtl/>
        </w:rPr>
        <w:t>מ</w:t>
      </w:r>
      <w:r w:rsidRPr="00861D72">
        <w:rPr>
          <w:rFonts w:eastAsia="Calibri"/>
          <w:rtl/>
        </w:rPr>
        <w:t xml:space="preserve">האתגרים הגדולים ביותר שלה. </w:t>
      </w:r>
      <w:r w:rsidRPr="00861D72">
        <w:rPr>
          <w:rFonts w:eastAsia="Calibri" w:hint="cs"/>
          <w:rtl/>
        </w:rPr>
        <w:t xml:space="preserve">החברה יכולה להפיק תועלת מאריכות החיים בזכות תכנון נכון של הזדקנות האוכלוסייה, התמודדות </w:t>
      </w:r>
      <w:r w:rsidRPr="00861D72">
        <w:rPr>
          <w:rFonts w:eastAsia="Calibri" w:hint="cs"/>
          <w:rtl/>
        </w:rPr>
        <w:t>נכונה עם האתגרים וניצול נכון של ההזדמנויות.</w:t>
      </w:r>
      <w:r w:rsidRPr="00861D72">
        <w:rPr>
          <w:rFonts w:eastAsia="Calibri"/>
          <w:rtl/>
        </w:rPr>
        <w:t xml:space="preserve"> חברות </w:t>
      </w:r>
      <w:r w:rsidRPr="00861D72">
        <w:rPr>
          <w:rFonts w:eastAsia="Calibri" w:hint="cs"/>
          <w:rtl/>
        </w:rPr>
        <w:t>ה</w:t>
      </w:r>
      <w:r w:rsidRPr="00861D72">
        <w:rPr>
          <w:rFonts w:eastAsia="Calibri" w:hint="eastAsia"/>
          <w:rtl/>
        </w:rPr>
        <w:t>מוכנות</w:t>
      </w:r>
      <w:r w:rsidRPr="00861D72">
        <w:rPr>
          <w:rFonts w:eastAsia="Calibri"/>
          <w:rtl/>
        </w:rPr>
        <w:t xml:space="preserve"> לתכנן</w:t>
      </w:r>
      <w:r w:rsidRPr="00861D72">
        <w:rPr>
          <w:rFonts w:eastAsia="Calibri" w:hint="cs"/>
          <w:rtl/>
        </w:rPr>
        <w:t xml:space="preserve"> את ההזדקנות</w:t>
      </w:r>
      <w:r w:rsidRPr="00861D72">
        <w:rPr>
          <w:rFonts w:eastAsia="Calibri"/>
          <w:rtl/>
        </w:rPr>
        <w:t>, יוכלו להרשות לעצמן להזדקן בכבוד</w:t>
      </w:r>
      <w:r>
        <w:rPr>
          <w:rFonts w:eastAsia="Calibri"/>
          <w:vertAlign w:val="superscript"/>
          <w:rtl/>
        </w:rPr>
        <w:footnoteReference w:id="28"/>
      </w:r>
      <w:r w:rsidRPr="00861D72">
        <w:rPr>
          <w:rFonts w:eastAsia="Calibri"/>
          <w:rtl/>
        </w:rPr>
        <w:t>.</w:t>
      </w:r>
    </w:p>
    <w:p w:rsidR="00861D72" w:rsidRPr="00861D72" w:rsidP="00F90255">
      <w:pPr>
        <w:spacing w:line="269" w:lineRule="auto"/>
        <w:rPr>
          <w:rFonts w:eastAsia="Calibri"/>
          <w:rtl/>
        </w:rPr>
      </w:pPr>
    </w:p>
    <w:p w:rsidR="00861D72" w:rsidRPr="00861D72" w:rsidP="00F90255">
      <w:pPr>
        <w:spacing w:line="269" w:lineRule="auto"/>
        <w:rPr>
          <w:rFonts w:eastAsia="Calibri"/>
        </w:rPr>
      </w:pPr>
      <w:r w:rsidRPr="00861D72">
        <w:rPr>
          <w:rFonts w:eastAsia="Calibri"/>
          <w:rtl/>
        </w:rPr>
        <w:t>הזדקנות האוכלוסייה היא סוגיה בין</w:t>
      </w:r>
      <w:r w:rsidRPr="00861D72">
        <w:rPr>
          <w:rFonts w:eastAsia="Calibri" w:hint="cs"/>
          <w:rtl/>
        </w:rPr>
        <w:t>-</w:t>
      </w:r>
      <w:r w:rsidRPr="00861D72">
        <w:rPr>
          <w:rFonts w:eastAsia="Calibri"/>
          <w:rtl/>
        </w:rPr>
        <w:t>לאומית מרכזית,</w:t>
      </w:r>
      <w:r w:rsidRPr="00861D72">
        <w:rPr>
          <w:rFonts w:eastAsia="Calibri" w:hint="cs"/>
          <w:rtl/>
        </w:rPr>
        <w:t xml:space="preserve"> ובשנת 1991 אימץ </w:t>
      </w:r>
      <w:r w:rsidRPr="00861D72">
        <w:rPr>
          <w:rFonts w:eastAsia="Calibri"/>
          <w:rtl/>
        </w:rPr>
        <w:t>האו״ם עקרונות ותוכניות פעולה להכוונת המדינות החברות</w:t>
      </w:r>
      <w:r w:rsidRPr="00861D72">
        <w:rPr>
          <w:rFonts w:eastAsia="Calibri" w:hint="cs"/>
          <w:rtl/>
        </w:rPr>
        <w:t xml:space="preserve"> בו להתוות מדיניות למטרה זו</w:t>
      </w:r>
      <w:r>
        <w:rPr>
          <w:rFonts w:eastAsia="Calibri"/>
          <w:vertAlign w:val="superscript"/>
          <w:rtl/>
        </w:rPr>
        <w:footnoteReference w:id="29"/>
      </w:r>
      <w:r w:rsidRPr="00861D72">
        <w:rPr>
          <w:rFonts w:eastAsia="Calibri"/>
          <w:rtl/>
        </w:rPr>
        <w:t>.</w:t>
      </w:r>
      <w:r w:rsidRPr="00861D72">
        <w:rPr>
          <w:rFonts w:eastAsia="Calibri" w:hint="cs"/>
          <w:rtl/>
        </w:rPr>
        <w:t xml:space="preserve"> </w:t>
      </w:r>
      <w:r w:rsidRPr="00861D72">
        <w:rPr>
          <w:rFonts w:eastAsia="Calibri"/>
          <w:rtl/>
        </w:rPr>
        <w:t>עקרונות האו״ם לקשישים כוללים</w:t>
      </w:r>
      <w:r w:rsidRPr="00861D72">
        <w:rPr>
          <w:rFonts w:eastAsia="Calibri" w:hint="cs"/>
          <w:rtl/>
        </w:rPr>
        <w:t xml:space="preserve"> עקרונות בדבר</w:t>
      </w:r>
      <w:r w:rsidRPr="00861D72">
        <w:rPr>
          <w:rFonts w:eastAsia="Calibri"/>
          <w:rtl/>
        </w:rPr>
        <w:t xml:space="preserve"> הבטחת עצמאות, רווחה, השתתפות חברתית ושמירה על כבוד הקשישים. ישראל מחויבת גם ליישום </w:t>
      </w:r>
      <w:r w:rsidRPr="00861D72">
        <w:rPr>
          <w:rFonts w:eastAsia="Calibri"/>
          <w:rtl/>
        </w:rPr>
        <w:t>תוכנית</w:t>
      </w:r>
      <w:r w:rsidRPr="00861D72">
        <w:rPr>
          <w:rFonts w:eastAsia="Calibri"/>
          <w:rtl/>
        </w:rPr>
        <w:t xml:space="preserve"> מדריד (2002) להזדקנות האוכלוסייה</w:t>
      </w:r>
      <w:r>
        <w:rPr>
          <w:rFonts w:eastAsia="Calibri"/>
          <w:vertAlign w:val="superscript"/>
          <w:rtl/>
        </w:rPr>
        <w:footnoteReference w:id="30"/>
      </w:r>
      <w:r w:rsidRPr="00861D72">
        <w:rPr>
          <w:rFonts w:eastAsia="Calibri"/>
          <w:rtl/>
        </w:rPr>
        <w:t xml:space="preserve">, המתמקדת בשילוב זקנים בחברה, </w:t>
      </w:r>
      <w:r w:rsidRPr="00861D72">
        <w:rPr>
          <w:rFonts w:eastAsia="Calibri" w:hint="cs"/>
          <w:rtl/>
        </w:rPr>
        <w:t>ב</w:t>
      </w:r>
      <w:r w:rsidRPr="00861D72">
        <w:rPr>
          <w:rFonts w:eastAsia="Calibri"/>
          <w:rtl/>
        </w:rPr>
        <w:t>קידום בריאותם ו</w:t>
      </w:r>
      <w:r w:rsidRPr="00861D72">
        <w:rPr>
          <w:rFonts w:eastAsia="Calibri" w:hint="cs"/>
          <w:rtl/>
        </w:rPr>
        <w:t>ב</w:t>
      </w:r>
      <w:r w:rsidRPr="00861D72">
        <w:rPr>
          <w:rFonts w:eastAsia="Calibri"/>
          <w:rtl/>
        </w:rPr>
        <w:t>פיתוח סביבות תומכות.</w:t>
      </w:r>
      <w:r w:rsidRPr="00861D72">
        <w:rPr>
          <w:rFonts w:eastAsia="Calibri" w:hint="cs"/>
          <w:rtl/>
        </w:rPr>
        <w:t xml:space="preserve"> </w:t>
      </w:r>
      <w:r w:rsidRPr="00861D72">
        <w:rPr>
          <w:rFonts w:eastAsia="Calibri"/>
          <w:rtl/>
        </w:rPr>
        <w:t xml:space="preserve">כחלק מהמחויבות הצהירה ישראל כי </w:t>
      </w:r>
      <w:r w:rsidRPr="00861D72">
        <w:rPr>
          <w:rFonts w:eastAsia="Calibri" w:hint="cs"/>
          <w:rtl/>
        </w:rPr>
        <w:t xml:space="preserve">הגדירה את </w:t>
      </w:r>
      <w:r w:rsidRPr="00861D72">
        <w:rPr>
          <w:rFonts w:eastAsia="Calibri"/>
          <w:rtl/>
        </w:rPr>
        <w:t xml:space="preserve">הזדקנות האוכלוסייה כנושא בעל חשיבות לאומית, וכי </w:t>
      </w:r>
      <w:r w:rsidRPr="00861D72">
        <w:rPr>
          <w:rFonts w:eastAsia="Calibri" w:hint="cs"/>
          <w:rtl/>
        </w:rPr>
        <w:t>נקטה</w:t>
      </w:r>
      <w:r w:rsidRPr="00861D72">
        <w:rPr>
          <w:rFonts w:eastAsia="Calibri"/>
          <w:rtl/>
        </w:rPr>
        <w:t xml:space="preserve"> צעדי חקיקה ומדיניות לקידום </w:t>
      </w:r>
      <w:r w:rsidRPr="00861D72">
        <w:rPr>
          <w:rFonts w:eastAsia="Calibri" w:hint="cs"/>
          <w:rtl/>
        </w:rPr>
        <w:t>ה</w:t>
      </w:r>
      <w:r w:rsidRPr="00861D72">
        <w:rPr>
          <w:rFonts w:eastAsia="Calibri"/>
          <w:rtl/>
        </w:rPr>
        <w:t>היערכות בתחום</w:t>
      </w:r>
      <w:r>
        <w:rPr>
          <w:rFonts w:eastAsia="Calibri"/>
          <w:vertAlign w:val="superscript"/>
          <w:rtl/>
        </w:rPr>
        <w:footnoteReference w:id="31"/>
      </w:r>
      <w:r w:rsidRPr="00861D72">
        <w:rPr>
          <w:rFonts w:eastAsia="Calibri"/>
          <w:rtl/>
        </w:rPr>
        <w:t>.</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eastAsia="Calibri" w:hint="cs"/>
          <w:rtl/>
        </w:rPr>
        <w:t xml:space="preserve">בשל הצורך לחקור את ההשפעות של </w:t>
      </w:r>
      <w:r w:rsidRPr="00861D72">
        <w:rPr>
          <w:rFonts w:eastAsia="Calibri"/>
          <w:rtl/>
        </w:rPr>
        <w:t>מדיניות בריאות, חברה, כלכלה וסביבה</w:t>
      </w:r>
      <w:r w:rsidRPr="00861D72">
        <w:rPr>
          <w:rFonts w:eastAsia="Calibri" w:hint="cs"/>
          <w:rtl/>
        </w:rPr>
        <w:t xml:space="preserve"> של האזרחים הוותיקים</w:t>
      </w:r>
      <w:r w:rsidRPr="00861D72">
        <w:rPr>
          <w:rFonts w:eastAsia="Calibri"/>
          <w:rtl/>
        </w:rPr>
        <w:t xml:space="preserve"> </w:t>
      </w:r>
      <w:r w:rsidRPr="00861D72">
        <w:rPr>
          <w:rFonts w:eastAsia="Calibri" w:hint="cs"/>
          <w:rtl/>
        </w:rPr>
        <w:t xml:space="preserve">הצטרפה מדינת ישראל החל משנת 2012 לארגון </w:t>
      </w:r>
      <w:r w:rsidRPr="00861D72">
        <w:rPr>
          <w:rFonts w:eastAsia="Calibri"/>
        </w:rPr>
        <w:t>SHARE-ERIC</w:t>
      </w:r>
      <w:r w:rsidRPr="00861D72">
        <w:rPr>
          <w:rFonts w:eastAsia="Calibri" w:hint="cs"/>
          <w:rtl/>
        </w:rPr>
        <w:t xml:space="preserve"> המבצע את סקר הבריאות, הזדקנות ופרישה באירופה (להלן - סקר </w:t>
      </w:r>
      <w:r w:rsidRPr="00861D72">
        <w:rPr>
          <w:rFonts w:eastAsia="Calibri" w:hint="cs"/>
        </w:rPr>
        <w:t>SHARE</w:t>
      </w:r>
      <w:r w:rsidRPr="00861D72">
        <w:rPr>
          <w:rFonts w:eastAsia="Calibri" w:hint="cs"/>
          <w:rtl/>
        </w:rPr>
        <w:t>)</w:t>
      </w:r>
      <w:r>
        <w:rPr>
          <w:rFonts w:eastAsia="Calibri"/>
          <w:vertAlign w:val="superscript"/>
          <w:rtl/>
        </w:rPr>
        <w:footnoteReference w:id="32"/>
      </w:r>
      <w:r w:rsidRPr="00861D72">
        <w:rPr>
          <w:rFonts w:eastAsia="Calibri" w:hint="cs"/>
          <w:rtl/>
        </w:rPr>
        <w:t xml:space="preserve">. סקר זה, </w:t>
      </w:r>
      <w:r w:rsidRPr="00861D72">
        <w:rPr>
          <w:rFonts w:eastAsia="Calibri"/>
          <w:rtl/>
        </w:rPr>
        <w:t>הוא תשתית מחקרית שנועדה לחקור את ההשפעות של מדיניות בריאות, חברה, כלכלה ו</w:t>
      </w:r>
      <w:r w:rsidRPr="00861D72">
        <w:rPr>
          <w:rFonts w:eastAsia="Calibri" w:hint="cs"/>
          <w:rtl/>
        </w:rPr>
        <w:t>ה</w:t>
      </w:r>
      <w:r w:rsidRPr="00861D72">
        <w:rPr>
          <w:rFonts w:eastAsia="Calibri"/>
          <w:rtl/>
        </w:rPr>
        <w:t xml:space="preserve">סביבה </w:t>
      </w:r>
      <w:r w:rsidRPr="00861D72">
        <w:rPr>
          <w:rFonts w:eastAsia="Calibri" w:hint="cs"/>
          <w:rtl/>
        </w:rPr>
        <w:t>על אורח</w:t>
      </w:r>
      <w:r w:rsidRPr="00861D72">
        <w:rPr>
          <w:rFonts w:eastAsia="Calibri"/>
          <w:rtl/>
        </w:rPr>
        <w:t xml:space="preserve"> חייהם של אזרחי אירופה ומעבר לה</w:t>
      </w:r>
      <w:r>
        <w:rPr>
          <w:rFonts w:eastAsia="Calibri"/>
          <w:vertAlign w:val="superscript"/>
          <w:rtl/>
        </w:rPr>
        <w:footnoteReference w:id="33"/>
      </w:r>
      <w:r w:rsidRPr="00861D72">
        <w:rPr>
          <w:rFonts w:eastAsia="Calibri"/>
        </w:rPr>
        <w:t>.</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cs"/>
          <w:b/>
          <w:bCs/>
          <w:rtl/>
        </w:rPr>
        <w:t xml:space="preserve">במקבץ הדוחות שלהלן בחן משרד מבקר המדינה </w:t>
      </w:r>
      <w:r w:rsidRPr="00861D72">
        <w:rPr>
          <w:rFonts w:eastAsia="Calibri"/>
          <w:b/>
          <w:bCs/>
          <w:rtl/>
        </w:rPr>
        <w:t xml:space="preserve">את </w:t>
      </w:r>
      <w:r w:rsidRPr="00861D72">
        <w:rPr>
          <w:rFonts w:eastAsia="Calibri" w:hint="cs"/>
          <w:b/>
          <w:bCs/>
          <w:rtl/>
        </w:rPr>
        <w:t>התמודדות</w:t>
      </w:r>
      <w:r w:rsidRPr="00861D72">
        <w:rPr>
          <w:rFonts w:eastAsia="Calibri"/>
          <w:b/>
          <w:bCs/>
          <w:rtl/>
        </w:rPr>
        <w:t xml:space="preserve"> </w:t>
      </w:r>
      <w:r w:rsidRPr="00861D72">
        <w:rPr>
          <w:rFonts w:eastAsia="Calibri" w:hint="cs"/>
          <w:b/>
          <w:bCs/>
          <w:rtl/>
        </w:rPr>
        <w:t xml:space="preserve">הרשויות בישראל עם אתגר ההיערכות להזדקנות האוכלוסייה בקשת רחבה של נושאים הנוגעים לאוכלוסייה זו: ניהול ההיערכות הממשלתית להזדקנות האוכלוסייה, </w:t>
      </w:r>
      <w:r w:rsidRPr="00861D72">
        <w:rPr>
          <w:rFonts w:eastAsia="Calibri"/>
          <w:b/>
          <w:bCs/>
          <w:rtl/>
        </w:rPr>
        <w:t>היערכות הממשלה ומוסדותיה להתמודדות עם העלייה בתוחלת החיים ועם הגידול בחלקה של האוכלוסייה הוותיקה, לרבות תכנון כולל שיבטיח הזדקנות מיטבית, עצמאות ואיכות חיים בגיל המבוגר</w:t>
      </w:r>
      <w:r w:rsidRPr="00861D72">
        <w:rPr>
          <w:rFonts w:eastAsia="Calibri" w:hint="cs"/>
          <w:b/>
          <w:bCs/>
          <w:rtl/>
        </w:rPr>
        <w:t xml:space="preserve">. כמו כן בחן משרד מבקר המדינה </w:t>
      </w:r>
      <w:r w:rsidRPr="00861D72">
        <w:rPr>
          <w:rFonts w:eastAsia="Calibri"/>
          <w:b/>
          <w:bCs/>
          <w:rtl/>
        </w:rPr>
        <w:t>את קיומם ו</w:t>
      </w:r>
      <w:r w:rsidRPr="00861D72">
        <w:rPr>
          <w:rFonts w:eastAsia="Calibri" w:hint="cs"/>
          <w:b/>
          <w:bCs/>
          <w:rtl/>
        </w:rPr>
        <w:t xml:space="preserve">את </w:t>
      </w:r>
      <w:r w:rsidRPr="00861D72">
        <w:rPr>
          <w:rFonts w:eastAsia="Calibri"/>
          <w:b/>
          <w:bCs/>
          <w:rtl/>
        </w:rPr>
        <w:t xml:space="preserve">יעילותם של מנגנונים להכנה לגיל פרישה, את קידום תהליכי </w:t>
      </w:r>
      <w:r w:rsidRPr="00861D72">
        <w:rPr>
          <w:rFonts w:eastAsia="Calibri" w:hint="cs"/>
          <w:b/>
          <w:bCs/>
          <w:rtl/>
        </w:rPr>
        <w:t xml:space="preserve">הרפואה המונעת </w:t>
      </w:r>
      <w:r w:rsidRPr="00861D72">
        <w:rPr>
          <w:rFonts w:eastAsia="Calibri"/>
          <w:b/>
          <w:bCs/>
          <w:rtl/>
        </w:rPr>
        <w:t>במערכת הבריאות וכן את קיומו של תכנון אקטוארי ארוך טווח במוסד לביטוח לאומי, הנדרש לשם שמירה על קיימות כלכלית וביטחון סוציאלי לדורות הבאים</w:t>
      </w:r>
      <w:r w:rsidRPr="00861D72">
        <w:rPr>
          <w:rFonts w:eastAsia="Calibri"/>
          <w:b/>
          <w:bCs/>
        </w:rPr>
        <w:t>.</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cs"/>
          <w:b/>
          <w:bCs/>
          <w:rtl/>
        </w:rPr>
        <w:t>בשל החשיבות הגלובלית של נושא ההיערכות להזדקנות האוכלוסייה ביצע מבקר המדינה בשנת 2025 את הביקורת שבמקבץ דוחות זה, גם כחלק מביקורת בין-לאומית בשיתוף פעולה עם משרדי מבקר המדינה במדינות שונות: אלבניה, ליטא, מלטה, מקדוניה הצפונית, סלובקיה, פולין, פורטוגל, ופרגוואי.</w:t>
      </w:r>
    </w:p>
    <w:p w:rsidR="00861D72" w:rsidRPr="00861D72" w:rsidP="00F90255">
      <w:pPr>
        <w:spacing w:line="269" w:lineRule="auto"/>
        <w:rPr>
          <w:rFonts w:eastAsia="Calibri"/>
          <w:rtl/>
        </w:rPr>
      </w:pPr>
    </w:p>
    <w:p w:rsidR="0020491B" w:rsidP="00F90255">
      <w:pPr>
        <w:spacing w:line="269" w:lineRule="auto"/>
        <w:rPr>
          <w:rFonts w:eastAsia="Calibri"/>
          <w:b/>
          <w:bCs/>
          <w:rtl/>
        </w:rPr>
        <w:sectPr w:rsidSect="006C2C6D">
          <w:headerReference w:type="first" r:id="rId18"/>
          <w:pgSz w:w="11906" w:h="16838"/>
          <w:pgMar w:top="1701" w:right="1985" w:bottom="1588" w:left="1701" w:header="709" w:footer="709" w:gutter="0"/>
          <w:cols w:space="708"/>
          <w:titlePg/>
          <w:bidi/>
          <w:rtlGutter/>
          <w:docGrid w:linePitch="360"/>
        </w:sectPr>
      </w:pPr>
      <w:r w:rsidRPr="00861D72">
        <w:rPr>
          <w:rFonts w:eastAsia="Calibri" w:hint="cs"/>
          <w:b/>
          <w:bCs/>
          <w:rtl/>
        </w:rPr>
        <w:t>בראייה צופה פני עתיד, התמודדות מיטבית עם אתגר ההיערכות להזדקנות האוכלוסייה בתחומי המדיניות, הבריאות, הרווחה והתכנון האקטוארי ארוך הטווח תאפשר לייצר חברה ישראלית טובה יותר באמצעות יצירת מעטפת כוללת לאוכלוסייה הוותיקה אשר תוביל להשגת הזדקנות מיטבית לאוכלוסייה זו.</w:t>
      </w:r>
    </w:p>
    <w:p w:rsidR="00861D72" w:rsidRPr="00861D72" w:rsidP="00F90255">
      <w:pPr>
        <w:spacing w:line="269" w:lineRule="auto"/>
        <w:rPr>
          <w:rFonts w:eastAsia="Calibri"/>
          <w:b/>
          <w:bCs/>
          <w:rtl/>
        </w:rPr>
      </w:pPr>
    </w:p>
    <w:p w:rsidR="00861D72" w:rsidRPr="00861D72" w:rsidP="00F90255">
      <w:pPr>
        <w:keepNext/>
        <w:keepLines/>
        <w:spacing w:line="269" w:lineRule="auto"/>
        <w:jc w:val="center"/>
        <w:outlineLvl w:val="1"/>
        <w:rPr>
          <w:rFonts w:eastAsia="Times New Roman"/>
          <w:bCs/>
          <w:szCs w:val="32"/>
          <w:rtl/>
        </w:rPr>
      </w:pPr>
      <w:r w:rsidRPr="00861D72">
        <w:rPr>
          <w:rFonts w:eastAsia="Times New Roman" w:hint="cs"/>
          <w:bCs/>
          <w:szCs w:val="32"/>
          <w:rtl/>
        </w:rPr>
        <w:t>ניהול ההיערכות הממשלתית להזדקנות האוכלוסייה</w:t>
      </w:r>
    </w:p>
    <w:p w:rsidR="00861D72" w:rsidRPr="00861D72" w:rsidP="00F90255">
      <w:pPr>
        <w:spacing w:line="269" w:lineRule="auto"/>
        <w:rPr>
          <w:rFonts w:eastAsia="Calibri"/>
          <w:rtl/>
        </w:rPr>
      </w:pPr>
    </w:p>
    <w:p w:rsidR="00861D72" w:rsidRPr="00861D72" w:rsidP="00F90255">
      <w:pPr>
        <w:spacing w:line="269" w:lineRule="auto"/>
        <w:rPr>
          <w:rFonts w:eastAsia="Calibri"/>
          <w:sz w:val="24"/>
          <w:rtl/>
        </w:rPr>
      </w:pPr>
      <w:r w:rsidRPr="00861D72">
        <w:rPr>
          <w:rFonts w:eastAsia="Calibri" w:hint="cs"/>
          <w:sz w:val="24"/>
          <w:rtl/>
        </w:rPr>
        <w:t xml:space="preserve">תכנון אסטרטגי ארוך טווח משמש </w:t>
      </w:r>
      <w:r w:rsidRPr="00861D72">
        <w:rPr>
          <w:rFonts w:eastAsia="Calibri"/>
          <w:sz w:val="24"/>
          <w:rtl/>
        </w:rPr>
        <w:t xml:space="preserve">מסגרת </w:t>
      </w:r>
      <w:r w:rsidRPr="00861D72">
        <w:rPr>
          <w:rFonts w:eastAsia="Calibri" w:hint="cs"/>
          <w:sz w:val="24"/>
          <w:rtl/>
        </w:rPr>
        <w:t>ה</w:t>
      </w:r>
      <w:r w:rsidRPr="00861D72">
        <w:rPr>
          <w:rFonts w:eastAsia="Calibri"/>
          <w:sz w:val="24"/>
          <w:rtl/>
        </w:rPr>
        <w:t xml:space="preserve">מתרגמת חזון למשימות, </w:t>
      </w:r>
      <w:r w:rsidRPr="00861D72">
        <w:rPr>
          <w:rFonts w:eastAsia="Calibri" w:hint="cs"/>
          <w:sz w:val="24"/>
          <w:rtl/>
        </w:rPr>
        <w:t>ל</w:t>
      </w:r>
      <w:r w:rsidRPr="00861D72">
        <w:rPr>
          <w:rFonts w:eastAsia="Calibri"/>
          <w:sz w:val="24"/>
          <w:rtl/>
        </w:rPr>
        <w:t>יעדים ו</w:t>
      </w:r>
      <w:r w:rsidRPr="00861D72">
        <w:rPr>
          <w:rFonts w:eastAsia="Calibri" w:hint="cs"/>
          <w:sz w:val="24"/>
          <w:rtl/>
        </w:rPr>
        <w:t>ל</w:t>
      </w:r>
      <w:r w:rsidRPr="00861D72">
        <w:rPr>
          <w:rFonts w:eastAsia="Calibri"/>
          <w:sz w:val="24"/>
          <w:rtl/>
        </w:rPr>
        <w:t>סדרי עדיפויות לאומיים</w:t>
      </w:r>
      <w:r w:rsidRPr="00861D72">
        <w:rPr>
          <w:rFonts w:eastAsia="Calibri" w:hint="cs"/>
          <w:sz w:val="24"/>
          <w:rtl/>
        </w:rPr>
        <w:t xml:space="preserve"> בזמן הווה </w:t>
      </w:r>
      <w:r w:rsidRPr="00861D72">
        <w:rPr>
          <w:rFonts w:eastAsia="Calibri"/>
          <w:sz w:val="24"/>
          <w:rtl/>
        </w:rPr>
        <w:t>ל</w:t>
      </w:r>
      <w:r w:rsidRPr="00861D72">
        <w:rPr>
          <w:rFonts w:eastAsia="Calibri" w:hint="cs"/>
          <w:sz w:val="24"/>
          <w:rtl/>
        </w:rPr>
        <w:t xml:space="preserve">שם </w:t>
      </w:r>
      <w:r w:rsidRPr="00861D72">
        <w:rPr>
          <w:rFonts w:eastAsia="Calibri"/>
          <w:sz w:val="24"/>
          <w:rtl/>
        </w:rPr>
        <w:t>השגת תוצאות עתידיות</w:t>
      </w:r>
      <w:r>
        <w:rPr>
          <w:rFonts w:eastAsia="Calibri"/>
          <w:sz w:val="24"/>
          <w:vertAlign w:val="superscript"/>
          <w:rtl/>
        </w:rPr>
        <w:footnoteReference w:id="34"/>
      </w:r>
      <w:r w:rsidRPr="00861D72">
        <w:rPr>
          <w:rFonts w:eastAsia="Calibri" w:hint="cs"/>
          <w:sz w:val="24"/>
          <w:rtl/>
        </w:rPr>
        <w:t xml:space="preserve">. </w:t>
      </w:r>
      <w:r w:rsidRPr="00861D72">
        <w:rPr>
          <w:rFonts w:eastAsia="Calibri"/>
          <w:sz w:val="24"/>
          <w:rtl/>
        </w:rPr>
        <w:t>תכנון אסטרטגי ארוך</w:t>
      </w:r>
      <w:r w:rsidRPr="00861D72">
        <w:rPr>
          <w:rFonts w:eastAsia="Calibri" w:hint="cs"/>
          <w:sz w:val="24"/>
          <w:rtl/>
        </w:rPr>
        <w:t xml:space="preserve"> </w:t>
      </w:r>
      <w:r w:rsidRPr="00861D72">
        <w:rPr>
          <w:rFonts w:eastAsia="Calibri"/>
          <w:sz w:val="24"/>
          <w:rtl/>
        </w:rPr>
        <w:t xml:space="preserve">טווח הוא תנאי </w:t>
      </w:r>
      <w:r w:rsidRPr="00861D72">
        <w:rPr>
          <w:rFonts w:eastAsia="Calibri" w:hint="cs"/>
          <w:sz w:val="24"/>
          <w:rtl/>
        </w:rPr>
        <w:t>ל</w:t>
      </w:r>
      <w:r w:rsidRPr="00861D72">
        <w:rPr>
          <w:rFonts w:eastAsia="Calibri"/>
          <w:sz w:val="24"/>
          <w:rtl/>
        </w:rPr>
        <w:t>מִמשל אפקטיבי: הוא מציב סדרי עדיפויות, מייעל הקצאת משאבים ומייצר אחריותיות דרך יעדים מדידים ומעקב ביצועים</w:t>
      </w:r>
      <w:r w:rsidRPr="00861D72">
        <w:rPr>
          <w:rFonts w:eastAsia="Calibri" w:hint="cs"/>
          <w:sz w:val="24"/>
          <w:rtl/>
        </w:rPr>
        <w:t xml:space="preserve">. כמו כן הוא </w:t>
      </w:r>
      <w:r w:rsidRPr="00861D72">
        <w:rPr>
          <w:rFonts w:eastAsia="Calibri"/>
          <w:sz w:val="24"/>
          <w:rtl/>
        </w:rPr>
        <w:t>יוצר מנגנוני תיאום בין משרדים וגופים</w:t>
      </w:r>
      <w:r w:rsidRPr="00861D72">
        <w:rPr>
          <w:rFonts w:eastAsia="Calibri" w:hint="cs"/>
          <w:sz w:val="24"/>
          <w:rtl/>
        </w:rPr>
        <w:t xml:space="preserve">, </w:t>
      </w:r>
      <w:r w:rsidRPr="00861D72">
        <w:rPr>
          <w:rFonts w:eastAsia="Calibri"/>
          <w:sz w:val="24"/>
          <w:rtl/>
        </w:rPr>
        <w:t>כך שהמדיניות מתכנסת ליעדים לאומיים</w:t>
      </w:r>
      <w:r>
        <w:rPr>
          <w:rFonts w:eastAsia="Calibri"/>
          <w:sz w:val="24"/>
          <w:vertAlign w:val="superscript"/>
          <w:rtl/>
        </w:rPr>
        <w:footnoteReference w:id="35"/>
      </w:r>
      <w:r w:rsidRPr="00861D72">
        <w:rPr>
          <w:rFonts w:eastAsia="Calibri" w:hint="cs"/>
          <w:sz w:val="24"/>
          <w:rtl/>
        </w:rPr>
        <w:t>.</w:t>
      </w:r>
      <w:r w:rsidRPr="00861D72">
        <w:rPr>
          <w:rFonts w:eastAsia="Calibri"/>
          <w:sz w:val="24"/>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bookmarkStart w:id="13" w:name="_Hlk222216989"/>
      <w:r w:rsidRPr="00861D72">
        <w:rPr>
          <w:rFonts w:eastAsia="Calibri" w:hint="cs"/>
          <w:rtl/>
        </w:rPr>
        <w:t xml:space="preserve">בשנת 2015 הגדירה המועצה הלאומית לכלכלה במשרד ראש הממשלה (להלן - המועצה הלאומית לכלכלה או </w:t>
      </w:r>
      <w:r w:rsidRPr="00861D72">
        <w:rPr>
          <w:rFonts w:eastAsia="Calibri" w:hint="eastAsia"/>
          <w:rtl/>
        </w:rPr>
        <w:t>המועצה</w:t>
      </w:r>
      <w:r w:rsidRPr="00861D72">
        <w:rPr>
          <w:rFonts w:eastAsia="Calibri" w:hint="cs"/>
          <w:rtl/>
        </w:rPr>
        <w:t>)</w:t>
      </w:r>
      <w:r>
        <w:rPr>
          <w:rFonts w:eastAsia="Calibri"/>
          <w:vertAlign w:val="superscript"/>
          <w:rtl/>
        </w:rPr>
        <w:footnoteReference w:id="36"/>
      </w:r>
      <w:r w:rsidRPr="00861D72">
        <w:rPr>
          <w:rFonts w:eastAsia="Calibri" w:hint="cs"/>
          <w:rtl/>
        </w:rPr>
        <w:t xml:space="preserve"> את הזדקנות האוכלוסייה כאחד מששת האתגרים הכלכליים-חברתיים העומדים לפתחה של מדינת ישראל בעשורים הקרובים.</w:t>
      </w:r>
      <w:bookmarkEnd w:id="13"/>
      <w:r w:rsidRPr="00861D72">
        <w:rPr>
          <w:rFonts w:eastAsia="Calibri" w:hint="cs"/>
          <w:rtl/>
        </w:rPr>
        <w:t xml:space="preserve"> בהערכת המצב האסטרטגית הכלכלית-חברתית (להלן - </w:t>
      </w:r>
      <w:r w:rsidRPr="00861D72">
        <w:rPr>
          <w:rFonts w:eastAsia="Calibri" w:hint="eastAsia"/>
          <w:rtl/>
        </w:rPr>
        <w:t>הערכת</w:t>
      </w:r>
      <w:r w:rsidRPr="00861D72">
        <w:rPr>
          <w:rFonts w:eastAsia="Calibri"/>
          <w:rtl/>
        </w:rPr>
        <w:t xml:space="preserve"> </w:t>
      </w:r>
      <w:r w:rsidRPr="00861D72">
        <w:rPr>
          <w:rFonts w:eastAsia="Calibri" w:hint="eastAsia"/>
          <w:rtl/>
        </w:rPr>
        <w:t>המצב</w:t>
      </w:r>
      <w:r w:rsidRPr="00861D72">
        <w:rPr>
          <w:rFonts w:eastAsia="Calibri"/>
          <w:rtl/>
        </w:rPr>
        <w:t xml:space="preserve"> </w:t>
      </w:r>
      <w:r w:rsidRPr="00861D72">
        <w:rPr>
          <w:rFonts w:eastAsia="Calibri" w:hint="eastAsia"/>
          <w:rtl/>
        </w:rPr>
        <w:t>האסטרטגית</w:t>
      </w:r>
      <w:r w:rsidRPr="00861D72">
        <w:rPr>
          <w:rFonts w:eastAsia="Calibri" w:hint="cs"/>
          <w:rtl/>
        </w:rPr>
        <w:t>) קבעה המועצה חמישה כיווני פעולה להתמודדות המדינה עם האתגר</w:t>
      </w:r>
      <w:r>
        <w:rPr>
          <w:rFonts w:ascii="David" w:eastAsia="Calibri" w:hAnsi="David"/>
          <w:sz w:val="24"/>
          <w:vertAlign w:val="superscript"/>
          <w:rtl/>
        </w:rPr>
        <w:footnoteReference w:id="37"/>
      </w:r>
      <w:r w:rsidRPr="00861D72">
        <w:rPr>
          <w:rFonts w:eastAsia="Calibri" w:hint="cs"/>
          <w:rtl/>
        </w:rPr>
        <w:t xml:space="preserve">. </w:t>
      </w:r>
    </w:p>
    <w:p w:rsidR="00861D72" w:rsidRPr="00861D72" w:rsidP="00F90255">
      <w:pPr>
        <w:spacing w:line="269" w:lineRule="auto"/>
        <w:rPr>
          <w:rFonts w:eastAsia="Calibri"/>
          <w:rtl/>
        </w:rPr>
      </w:pPr>
    </w:p>
    <w:p w:rsidR="00861D72" w:rsidRPr="00861D72" w:rsidP="00AB5D27">
      <w:pPr>
        <w:keepNext/>
        <w:keepLines/>
        <w:spacing w:line="269" w:lineRule="auto"/>
        <w:jc w:val="center"/>
        <w:rPr>
          <w:rFonts w:eastAsia="Calibri"/>
          <w:b/>
          <w:bCs/>
          <w:rtl/>
        </w:rPr>
      </w:pPr>
      <w:r w:rsidRPr="00861D72">
        <w:rPr>
          <w:rFonts w:eastAsia="Calibri" w:hint="cs"/>
          <w:rtl/>
        </w:rPr>
        <w:t xml:space="preserve">תרשים 10: </w:t>
      </w:r>
      <w:r w:rsidRPr="00861D72">
        <w:rPr>
          <w:rFonts w:eastAsia="Calibri" w:hint="cs"/>
          <w:b/>
          <w:bCs/>
          <w:rtl/>
        </w:rPr>
        <w:t>כיווני הפעולה להתמודדות עם אתגר הזדקנות האוכלוסייה שהוגדרו בהערכת המצב האסטרטגית, 2015</w:t>
      </w:r>
    </w:p>
    <w:p w:rsidR="00861D72" w:rsidRPr="00861D72" w:rsidP="00F90255">
      <w:pPr>
        <w:spacing w:line="269" w:lineRule="auto"/>
        <w:jc w:val="center"/>
        <w:rPr>
          <w:rFonts w:eastAsia="Calibri"/>
          <w:b/>
          <w:bCs/>
          <w:rtl/>
        </w:rPr>
      </w:pPr>
      <w:r w:rsidRPr="00861D72">
        <w:rPr>
          <w:rFonts w:eastAsia="Calibri"/>
          <w:b/>
          <w:bCs/>
          <w:noProof/>
        </w:rPr>
        <w:drawing>
          <wp:inline distT="0" distB="0" distL="0" distR="0">
            <wp:extent cx="5334635" cy="5401310"/>
            <wp:effectExtent l="0" t="0" r="0" b="8890"/>
            <wp:docPr id="102" name="תמונה 102" descr="מימין:&#10;היערכות של&#10;מערכות הסיעוד&#10;והבריאות&#10;&#10;משמאל:&#10;הזדקנות האוכלוסייה תגדיל את הביקוש לשירותי בריאות וסיעוד,&#10;ולכן נדרש תכנון והיערכות למתן שירותים מערכתיים, הכוללת&#10;הכשרת כוח אדם והרחבת תשתיות&#10;&#10;מימין:&#10;שילוב מבוגרים&#10;בתעסוקה&#10;ובקהילה&#10;&#10;משמאל:&#10;שילוב מבוגרים בעבודה ובקהילה תורם לכלכלה, לחברה ולפרטים&#10;עצמם, ויש לקדמו באמצעות תעסוקה גמישה, הסרת חסמים ועידוד&#10;שינוי תפיסתי לגבי תרומתם&#10;&#10;מימין:&#10;התאמה&#10;הדרגתית של גיל&#10;הפרישה&#10;&#10;משמאל:&#10;כדי לשמור על יציבות מערכת הפנסיה והמוסד לביטוח לאומי, יש&#10;להעלות בהדרגה את גיל הפרישה בהתאמה לעלייה בתוחלת החיים,&#10;במיוחד לנשים. במקביל, נדרשת מדיניות שתעודד ותאפשר תעסוקה&#10;בגיל מבוגר&#10;&#10;מימין:&#10;היערכות&#10;מערכת&#10;הפנסיה&#10;&#10;משמאל:&#10;בעשור האחרון חלה עלייה גדולה מאוד בשיעור החוסכים לפנסיה&#10;ובהיקף החיסכון הפנסיוני הממוצע. עם זאת, יש צורך לספק&#10;פתרונות לקבוצות אוכלוסייה שאינן חוסכות היום לפנסיה, וכן יש&#10;לבצע בדיקה של יציבות וגמישות מערכת הפנסיה לאורך זמן&#10;ובתקופות של משבר וירידה בתשואות&#10;&#10;מימין:&#10;טיפול בגירעון&#10;האקטוארי של&#10;המוסד לביטוח&#10;לאומי&#10;&#10;משמאל:&#10;המוסד לביטוח לאומי סובל מגירעון אקטוארי הולך וגדל, הנובע&#10;מהזדקנות האוכלוסייה ומירידה ביחס בין עובדים המשלמים דמי&#10;ביטוח למקבלי קצבאות. היעדר תכנון ארוך טווח מעמיק את הסיכון,&#10;וצפוי שהוצאות הקצבאות, במיוחד זקנה וסיעוד, יגדילו עוד יותר את&#10;הגירעון בשנים הבא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635" cy="5401310"/>
                    </a:xfrm>
                    <a:prstGeom prst="rect">
                      <a:avLst/>
                    </a:prstGeom>
                    <a:noFill/>
                  </pic:spPr>
                </pic:pic>
              </a:graphicData>
            </a:graphic>
          </wp:inline>
        </w:drawing>
      </w:r>
    </w:p>
    <w:p w:rsidR="00861D72" w:rsidRPr="00861D72" w:rsidP="00F90255">
      <w:pPr>
        <w:spacing w:line="269" w:lineRule="auto"/>
        <w:rPr>
          <w:rFonts w:eastAsia="Calibri"/>
          <w:szCs w:val="20"/>
          <w:rtl/>
        </w:rPr>
      </w:pPr>
      <w:r w:rsidRPr="00861D72">
        <w:rPr>
          <w:rFonts w:eastAsia="Calibri" w:hint="cs"/>
          <w:szCs w:val="20"/>
          <w:rtl/>
        </w:rPr>
        <w:t>על פי הערכת המצב האסטרטגית של המועצה הלאומית לכלכלה</w:t>
      </w:r>
      <w:r>
        <w:rPr>
          <w:rFonts w:eastAsia="Calibri"/>
          <w:vertAlign w:val="superscript"/>
          <w:rtl/>
        </w:rPr>
        <w:footnoteReference w:id="38"/>
      </w:r>
      <w:r w:rsidRPr="00861D72">
        <w:rPr>
          <w:rFonts w:eastAsia="Calibri" w:hint="cs"/>
          <w:szCs w:val="20"/>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bookmarkStart w:id="14" w:name="_Hlk222217009"/>
      <w:r w:rsidRPr="00861D72">
        <w:rPr>
          <w:rFonts w:eastAsia="Calibri" w:hint="cs"/>
          <w:rtl/>
        </w:rPr>
        <w:t xml:space="preserve">ממשלת ישראל, במסגרת החלטת הממשלה 145 מ-2015, אימצה את הערכת </w:t>
      </w:r>
      <w:r w:rsidRPr="00861D72">
        <w:rPr>
          <w:rFonts w:eastAsia="Calibri"/>
          <w:rtl/>
        </w:rPr>
        <w:t>המצב האסטרטגית</w:t>
      </w:r>
      <w:r w:rsidRPr="00861D72">
        <w:rPr>
          <w:rFonts w:eastAsia="Calibri" w:hint="cs"/>
          <w:rtl/>
        </w:rPr>
        <w:t xml:space="preserve"> על כיווני הפעולה המוצגים בה, ובכלל זה את אלו העוסקים בהתמודדות עם אתגר ההזדקנות. </w:t>
      </w:r>
      <w:bookmarkEnd w:id="14"/>
      <w:r w:rsidRPr="00861D72">
        <w:rPr>
          <w:rFonts w:eastAsia="Calibri" w:hint="cs"/>
          <w:rtl/>
        </w:rPr>
        <w:t xml:space="preserve">היא הטילה על שרי הממשלה ליישם את הערכת המצב ולתכנן את </w:t>
      </w:r>
      <w:r w:rsidRPr="00861D72">
        <w:rPr>
          <w:rFonts w:eastAsia="Calibri" w:hint="cs"/>
          <w:rtl/>
        </w:rPr>
        <w:t>תוכניות</w:t>
      </w:r>
      <w:r w:rsidRPr="00861D72">
        <w:rPr>
          <w:rFonts w:eastAsia="Calibri" w:hint="cs"/>
          <w:rtl/>
        </w:rPr>
        <w:t xml:space="preserve"> העבודה של משרדיהם על כיווני הפעולה המוצגים בה</w:t>
      </w:r>
      <w:r>
        <w:rPr>
          <w:rFonts w:eastAsia="Calibri"/>
          <w:vertAlign w:val="superscript"/>
          <w:rtl/>
        </w:rPr>
        <w:footnoteReference w:id="39"/>
      </w:r>
      <w:r w:rsidRPr="00861D72">
        <w:rPr>
          <w:rFonts w:eastAsia="Calibri" w:hint="cs"/>
          <w:rtl/>
        </w:rPr>
        <w:t xml:space="preserve">. </w:t>
      </w:r>
      <w:bookmarkStart w:id="15" w:name="_Hlk222217226"/>
      <w:r w:rsidRPr="00861D72">
        <w:rPr>
          <w:rFonts w:eastAsia="Calibri" w:hint="cs"/>
          <w:rtl/>
        </w:rPr>
        <w:t>במסגרת החלטת הממשלה 150 שהתקבלה באותו יום, הוחלט לקדם את הסוגיה האסטרטגית "היערכות להזדקנות האוכלוסייה" ולהטיל על השרים אחריות לקדמה בתחומי משרדיהם</w:t>
      </w:r>
      <w:r>
        <w:rPr>
          <w:rFonts w:eastAsia="Calibri"/>
          <w:vertAlign w:val="superscript"/>
          <w:rtl/>
        </w:rPr>
        <w:footnoteReference w:id="40"/>
      </w:r>
      <w:r w:rsidRPr="00861D72">
        <w:rPr>
          <w:rFonts w:eastAsia="Calibri" w:hint="cs"/>
          <w:rtl/>
        </w:rPr>
        <w:t>.</w:t>
      </w:r>
    </w:p>
    <w:bookmarkEnd w:id="15"/>
    <w:p w:rsidR="00861D72" w:rsidP="00F90255">
      <w:pPr>
        <w:spacing w:line="269" w:lineRule="auto"/>
        <w:rPr>
          <w:rFonts w:eastAsia="Calibri"/>
          <w:rtl/>
        </w:rPr>
      </w:pPr>
    </w:p>
    <w:p w:rsidR="00D03C42" w:rsidRPr="00861D72" w:rsidP="00F90255">
      <w:pPr>
        <w:spacing w:line="269" w:lineRule="auto"/>
        <w:rPr>
          <w:rFonts w:eastAsia="Calibri"/>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פעולות הביקורת</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eastAsia="Calibri" w:hint="cs"/>
          <w:rtl/>
        </w:rPr>
        <w:t xml:space="preserve">בחודשים ינואר עד אוקטובר 2025 בדק משרד מבקר המדינה את ניהול ההיערכות הממשלתית להזדקנות האוכלוסייה ותיאום מערכתי בטיפול בהזדקנות האוכלוסייה. </w:t>
      </w:r>
      <w:r w:rsidRPr="00861D72">
        <w:rPr>
          <w:rFonts w:eastAsia="Calibri"/>
          <w:rtl/>
        </w:rPr>
        <w:t>הביקורת</w:t>
      </w:r>
      <w:r w:rsidRPr="00861D72">
        <w:rPr>
          <w:rFonts w:ascii="David" w:eastAsia="Calibri" w:hAnsi="David"/>
          <w:sz w:val="24"/>
          <w:rtl/>
        </w:rPr>
        <w:t xml:space="preserve"> </w:t>
      </w:r>
      <w:r w:rsidRPr="00861D72">
        <w:rPr>
          <w:rFonts w:ascii="David" w:eastAsia="Calibri" w:hAnsi="David" w:hint="cs"/>
          <w:sz w:val="24"/>
          <w:rtl/>
        </w:rPr>
        <w:t>נעשתה</w:t>
      </w:r>
      <w:r w:rsidRPr="00861D72">
        <w:rPr>
          <w:rFonts w:ascii="David" w:eastAsia="Calibri" w:hAnsi="David"/>
          <w:sz w:val="24"/>
          <w:rtl/>
        </w:rPr>
        <w:t xml:space="preserve"> באגף בכיר אזרחים ותיקים במשרד לשוויון חברתי</w:t>
      </w:r>
      <w:r w:rsidRPr="00861D72">
        <w:rPr>
          <w:rFonts w:ascii="David" w:eastAsia="Calibri" w:hAnsi="David" w:hint="cs"/>
          <w:sz w:val="24"/>
          <w:rtl/>
        </w:rPr>
        <w:t xml:space="preserve"> וקידום מעמד האישה (להלן - המשרד לשוויון חברתי)</w:t>
      </w:r>
      <w:r w:rsidRPr="00861D72">
        <w:rPr>
          <w:rFonts w:ascii="David" w:eastAsia="Calibri" w:hAnsi="David"/>
          <w:sz w:val="24"/>
          <w:rtl/>
        </w:rPr>
        <w:t xml:space="preserve">, באגף ממשל </w:t>
      </w:r>
      <w:r w:rsidRPr="00861D72">
        <w:rPr>
          <w:rFonts w:ascii="David" w:eastAsia="Calibri" w:hAnsi="David" w:hint="cs"/>
          <w:sz w:val="24"/>
          <w:rtl/>
        </w:rPr>
        <w:t>וחברה</w:t>
      </w:r>
      <w:r w:rsidRPr="00861D72">
        <w:rPr>
          <w:rFonts w:ascii="David" w:eastAsia="Calibri" w:hAnsi="David"/>
          <w:sz w:val="24"/>
          <w:rtl/>
        </w:rPr>
        <w:t xml:space="preserve"> במשרד ראש הממשלה</w:t>
      </w:r>
      <w:r w:rsidRPr="00861D72">
        <w:rPr>
          <w:rFonts w:ascii="David" w:eastAsia="Calibri" w:hAnsi="David" w:hint="cs"/>
          <w:sz w:val="24"/>
          <w:rtl/>
        </w:rPr>
        <w:t xml:space="preserve"> (להלן - משרד </w:t>
      </w:r>
      <w:r w:rsidRPr="00861D72">
        <w:rPr>
          <w:rFonts w:ascii="David" w:eastAsia="Calibri" w:hAnsi="David" w:hint="cs"/>
          <w:sz w:val="24"/>
          <w:rtl/>
        </w:rPr>
        <w:t>רה"ם</w:t>
      </w:r>
      <w:r w:rsidRPr="00861D72">
        <w:rPr>
          <w:rFonts w:ascii="David" w:eastAsia="Calibri" w:hAnsi="David" w:hint="cs"/>
          <w:sz w:val="24"/>
          <w:rtl/>
        </w:rPr>
        <w:t>)</w:t>
      </w:r>
      <w:r w:rsidRPr="00861D72">
        <w:rPr>
          <w:rFonts w:ascii="David" w:eastAsia="Calibri" w:hAnsi="David"/>
          <w:sz w:val="24"/>
          <w:rtl/>
        </w:rPr>
        <w:t xml:space="preserve">, </w:t>
      </w:r>
      <w:r w:rsidRPr="00861D72">
        <w:rPr>
          <w:rFonts w:ascii="David" w:eastAsia="Calibri" w:hAnsi="David"/>
          <w:sz w:val="24"/>
          <w:rtl/>
        </w:rPr>
        <w:t>במינהל</w:t>
      </w:r>
      <w:r w:rsidRPr="00861D72">
        <w:rPr>
          <w:rFonts w:ascii="David" w:eastAsia="Calibri" w:hAnsi="David"/>
          <w:sz w:val="24"/>
          <w:rtl/>
        </w:rPr>
        <w:t xml:space="preserve"> אזרחים ותיקים במשרד הרווחה</w:t>
      </w:r>
      <w:r w:rsidRPr="00861D72">
        <w:rPr>
          <w:rFonts w:ascii="David" w:eastAsia="Calibri" w:hAnsi="David" w:hint="cs"/>
          <w:sz w:val="24"/>
          <w:rtl/>
        </w:rPr>
        <w:t xml:space="preserve"> והביטחון החברתי (להלן - משרד הרווחה)</w:t>
      </w:r>
      <w:r w:rsidRPr="00861D72">
        <w:rPr>
          <w:rFonts w:ascii="David" w:eastAsia="Calibri" w:hAnsi="David"/>
          <w:sz w:val="24"/>
          <w:rtl/>
        </w:rPr>
        <w:t xml:space="preserve">, </w:t>
      </w:r>
      <w:r w:rsidRPr="00861D72">
        <w:rPr>
          <w:rFonts w:ascii="David" w:eastAsia="Calibri" w:hAnsi="David" w:hint="cs"/>
          <w:sz w:val="24"/>
          <w:rtl/>
        </w:rPr>
        <w:t xml:space="preserve">במוסד לביטוח לאומי (להלן - </w:t>
      </w:r>
      <w:r w:rsidRPr="00861D72">
        <w:rPr>
          <w:rFonts w:ascii="David" w:eastAsia="Calibri" w:hAnsi="David" w:hint="cs"/>
          <w:sz w:val="24"/>
          <w:rtl/>
        </w:rPr>
        <w:t>בט"ל</w:t>
      </w:r>
      <w:r w:rsidRPr="00861D72">
        <w:rPr>
          <w:rFonts w:ascii="David" w:eastAsia="Calibri" w:hAnsi="David" w:hint="cs"/>
          <w:sz w:val="24"/>
          <w:rtl/>
        </w:rPr>
        <w:t>) ו</w:t>
      </w:r>
      <w:r w:rsidRPr="00861D72">
        <w:rPr>
          <w:rFonts w:ascii="David" w:eastAsia="Calibri" w:hAnsi="David"/>
          <w:sz w:val="24"/>
          <w:rtl/>
        </w:rPr>
        <w:t>במשרד הבריאות.</w:t>
      </w:r>
      <w:r w:rsidRPr="00861D72">
        <w:rPr>
          <w:rFonts w:ascii="David" w:eastAsia="Calibri" w:hAnsi="David" w:hint="cs"/>
          <w:sz w:val="24"/>
          <w:rtl/>
        </w:rPr>
        <w:t xml:space="preserve"> בדיקות השלמה נעשו במועצה הלאומית לכלכלה. </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eastAsia="Calibri"/>
          <w:rtl/>
        </w:rPr>
        <w:t>דוח זה בוצע באמצעות כלי ביקורת מקובלים ובהתבסס על מידע ו</w:t>
      </w:r>
      <w:r w:rsidRPr="00861D72">
        <w:rPr>
          <w:rFonts w:eastAsia="Calibri" w:hint="cs"/>
          <w:rtl/>
        </w:rPr>
        <w:t xml:space="preserve">על </w:t>
      </w:r>
      <w:r w:rsidRPr="00861D72">
        <w:rPr>
          <w:rFonts w:eastAsia="Calibri"/>
          <w:rtl/>
        </w:rPr>
        <w:t xml:space="preserve">מסמכים שנאספו מכל המקורות </w:t>
      </w:r>
      <w:r w:rsidRPr="00861D72">
        <w:rPr>
          <w:rFonts w:eastAsia="Calibri" w:hint="cs"/>
          <w:rtl/>
        </w:rPr>
        <w:t xml:space="preserve">הנוגעים </w:t>
      </w:r>
      <w:r w:rsidRPr="00861D72">
        <w:rPr>
          <w:rFonts w:eastAsia="Calibri"/>
          <w:rtl/>
        </w:rPr>
        <w:t xml:space="preserve">לנושא המבוקר. נוסף על אלה השתמש צוות הביקורת </w:t>
      </w:r>
      <w:r w:rsidRPr="00861D72">
        <w:rPr>
          <w:rFonts w:eastAsia="Calibri" w:hint="cs"/>
          <w:rtl/>
        </w:rPr>
        <w:t>בשיטות ביקורת מתקדמות ומשלימות, כמפורט להלן</w:t>
      </w:r>
      <w:r w:rsidRPr="00861D72">
        <w:rPr>
          <w:rFonts w:ascii="David" w:eastAsia="Calibri" w:hAnsi="David" w:hint="cs"/>
          <w:sz w:val="24"/>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Times New Roman" w:hint="cs"/>
          <w:bCs/>
          <w:spacing w:val="40"/>
          <w:rtl/>
        </w:rPr>
        <w:t>הליך מיפוי בין-משרדי מובנה</w:t>
      </w:r>
      <w:r w:rsidRPr="00861D72">
        <w:rPr>
          <w:rFonts w:eastAsia="Times New Roman"/>
          <w:bCs/>
          <w:spacing w:val="40"/>
          <w:rtl/>
        </w:rPr>
        <w:t xml:space="preserve"> ממטות משרדי הממשלה </w:t>
      </w:r>
      <w:r w:rsidRPr="00861D72">
        <w:rPr>
          <w:rFonts w:eastAsia="Times New Roman" w:hint="cs"/>
          <w:bCs/>
          <w:spacing w:val="40"/>
          <w:rtl/>
        </w:rPr>
        <w:t>ש</w:t>
      </w:r>
      <w:r w:rsidRPr="00861D72">
        <w:rPr>
          <w:rFonts w:eastAsia="Times New Roman"/>
          <w:bCs/>
          <w:spacing w:val="40"/>
          <w:rtl/>
        </w:rPr>
        <w:t>בהם נערכה הביקורת:</w:t>
      </w:r>
      <w:r w:rsidRPr="00861D72">
        <w:rPr>
          <w:rFonts w:eastAsia="Calibri"/>
          <w:rtl/>
        </w:rPr>
        <w:t xml:space="preserve"> </w:t>
      </w:r>
      <w:r w:rsidRPr="00861D72">
        <w:rPr>
          <w:rFonts w:eastAsia="Calibri" w:hint="cs"/>
          <w:rtl/>
        </w:rPr>
        <w:t>במסגרת הדוח הופצו ל</w:t>
      </w:r>
      <w:r w:rsidRPr="00861D72">
        <w:rPr>
          <w:rFonts w:eastAsia="Calibri"/>
          <w:rtl/>
        </w:rPr>
        <w:t xml:space="preserve">משרד הרווחה, </w:t>
      </w:r>
      <w:r w:rsidRPr="00861D72">
        <w:rPr>
          <w:rFonts w:eastAsia="Calibri" w:hint="cs"/>
          <w:rtl/>
        </w:rPr>
        <w:t>ל</w:t>
      </w:r>
      <w:r w:rsidRPr="00861D72">
        <w:rPr>
          <w:rFonts w:eastAsia="Calibri"/>
          <w:rtl/>
        </w:rPr>
        <w:t xml:space="preserve">משרד לשוויון חברתי, </w:t>
      </w:r>
      <w:r w:rsidRPr="00861D72">
        <w:rPr>
          <w:rFonts w:eastAsia="Calibri" w:hint="cs"/>
          <w:rtl/>
        </w:rPr>
        <w:t>ל</w:t>
      </w:r>
      <w:r w:rsidRPr="00861D72">
        <w:rPr>
          <w:rFonts w:eastAsia="Calibri"/>
          <w:rtl/>
        </w:rPr>
        <w:t xml:space="preserve">משרד הבריאות, </w:t>
      </w:r>
      <w:r w:rsidRPr="00861D72">
        <w:rPr>
          <w:rFonts w:eastAsia="Calibri" w:hint="cs"/>
          <w:rtl/>
        </w:rPr>
        <w:t>ל</w:t>
      </w:r>
      <w:r w:rsidRPr="00861D72">
        <w:rPr>
          <w:rFonts w:eastAsia="Calibri"/>
          <w:rtl/>
        </w:rPr>
        <w:t xml:space="preserve">ארבע קופות החולים, </w:t>
      </w:r>
      <w:r w:rsidRPr="00861D72">
        <w:rPr>
          <w:rFonts w:eastAsia="Calibri" w:hint="cs"/>
          <w:rtl/>
        </w:rPr>
        <w:t>ל</w:t>
      </w:r>
      <w:r w:rsidRPr="00861D72">
        <w:rPr>
          <w:rFonts w:eastAsia="Calibri"/>
          <w:rtl/>
        </w:rPr>
        <w:t xml:space="preserve">אגף ממשל חברתי במשרד </w:t>
      </w:r>
      <w:r w:rsidRPr="00861D72">
        <w:rPr>
          <w:rFonts w:eastAsia="Calibri" w:hint="cs"/>
          <w:rtl/>
        </w:rPr>
        <w:t>רה"ם</w:t>
      </w:r>
      <w:r w:rsidRPr="00861D72">
        <w:rPr>
          <w:rFonts w:eastAsia="Calibri"/>
          <w:rtl/>
        </w:rPr>
        <w:t xml:space="preserve">, </w:t>
      </w:r>
      <w:r w:rsidRPr="00861D72">
        <w:rPr>
          <w:rFonts w:eastAsia="Calibri" w:hint="cs"/>
          <w:rtl/>
        </w:rPr>
        <w:t>לבט"ל</w:t>
      </w:r>
      <w:r w:rsidRPr="00861D72">
        <w:rPr>
          <w:rFonts w:eastAsia="Calibri"/>
          <w:rtl/>
        </w:rPr>
        <w:t xml:space="preserve"> וכן </w:t>
      </w:r>
      <w:r w:rsidRPr="00861D72">
        <w:rPr>
          <w:rFonts w:eastAsia="Calibri" w:hint="cs"/>
          <w:rtl/>
        </w:rPr>
        <w:t>ל</w:t>
      </w:r>
      <w:r w:rsidRPr="00861D72">
        <w:rPr>
          <w:rFonts w:eastAsia="Calibri"/>
          <w:rtl/>
        </w:rPr>
        <w:t>גורמים נוספים</w:t>
      </w:r>
      <w:r w:rsidRPr="00861D72">
        <w:rPr>
          <w:rFonts w:eastAsia="Calibri" w:hint="cs"/>
          <w:rtl/>
        </w:rPr>
        <w:t xml:space="preserve">, כמו </w:t>
      </w:r>
      <w:r w:rsidRPr="00861D72">
        <w:rPr>
          <w:rFonts w:eastAsia="Calibri"/>
          <w:rtl/>
        </w:rPr>
        <w:t xml:space="preserve">המרכז לשלטון מקומי (להלן - </w:t>
      </w:r>
      <w:r w:rsidRPr="00861D72">
        <w:rPr>
          <w:rFonts w:eastAsia="Calibri" w:hint="eastAsia"/>
          <w:rtl/>
        </w:rPr>
        <w:t>הליך</w:t>
      </w:r>
      <w:r w:rsidRPr="00861D72">
        <w:rPr>
          <w:rFonts w:eastAsia="Calibri"/>
          <w:rtl/>
        </w:rPr>
        <w:t xml:space="preserve"> </w:t>
      </w:r>
      <w:r w:rsidRPr="00861D72">
        <w:rPr>
          <w:rFonts w:eastAsia="Calibri" w:hint="eastAsia"/>
          <w:rtl/>
        </w:rPr>
        <w:t>מיפוי</w:t>
      </w:r>
      <w:r w:rsidRPr="00861D72">
        <w:rPr>
          <w:rFonts w:eastAsia="Calibri"/>
          <w:rtl/>
        </w:rPr>
        <w:t xml:space="preserve"> </w:t>
      </w:r>
      <w:r w:rsidRPr="00861D72">
        <w:rPr>
          <w:rFonts w:eastAsia="Calibri" w:hint="eastAsia"/>
          <w:rtl/>
        </w:rPr>
        <w:t>מובנה</w:t>
      </w:r>
      <w:r w:rsidRPr="00861D72">
        <w:rPr>
          <w:rFonts w:eastAsia="Calibri" w:hint="cs"/>
          <w:rtl/>
        </w:rPr>
        <w:t>) כמה שאלות אחידות שנועדו למפות את עמדות אנשי המקצוע בנושא ניהול ההיערכות הממשלתית להזדקנות האוכלוסייה. על השאלות השיבו 21 משיבים</w:t>
      </w:r>
      <w:r>
        <w:rPr>
          <w:rFonts w:eastAsia="Calibri"/>
          <w:vertAlign w:val="superscript"/>
          <w:rtl/>
        </w:rPr>
        <w:footnoteReference w:id="41"/>
      </w:r>
      <w:r w:rsidRPr="00861D72">
        <w:rPr>
          <w:rFonts w:eastAsia="Calibri" w:hint="cs"/>
          <w:rtl/>
        </w:rPr>
        <w:t>. אין</w:t>
      </w:r>
      <w:r w:rsidRPr="00861D72">
        <w:rPr>
          <w:rFonts w:eastAsia="Calibri"/>
          <w:rtl/>
        </w:rPr>
        <w:t xml:space="preserve"> מדובר במדגם מייצג, אלא באיסוף עמדות </w:t>
      </w:r>
      <w:r w:rsidRPr="00861D72">
        <w:rPr>
          <w:rFonts w:eastAsia="Calibri" w:hint="cs"/>
          <w:rtl/>
        </w:rPr>
        <w:t>ה</w:t>
      </w:r>
      <w:r w:rsidRPr="00861D72">
        <w:rPr>
          <w:rFonts w:eastAsia="Calibri"/>
          <w:rtl/>
        </w:rPr>
        <w:t xml:space="preserve">נועד לשקף את נקודת המבט של בעלי </w:t>
      </w:r>
      <w:r w:rsidRPr="00861D72">
        <w:rPr>
          <w:rFonts w:eastAsia="Calibri" w:hint="cs"/>
          <w:rtl/>
        </w:rPr>
        <w:t>ה</w:t>
      </w:r>
      <w:r w:rsidRPr="00861D72">
        <w:rPr>
          <w:rFonts w:eastAsia="Calibri"/>
          <w:rtl/>
        </w:rPr>
        <w:t xml:space="preserve">תפקידים העוסקים בתחום ההזדקנות </w:t>
      </w:r>
      <w:r w:rsidRPr="00861D72">
        <w:rPr>
          <w:rFonts w:eastAsia="Calibri" w:hint="cs"/>
          <w:rtl/>
        </w:rPr>
        <w:t xml:space="preserve">בגופי </w:t>
      </w:r>
      <w:r w:rsidRPr="00861D72">
        <w:rPr>
          <w:rFonts w:eastAsia="Calibri"/>
          <w:rtl/>
        </w:rPr>
        <w:t>הממשל המרכזיי</w:t>
      </w:r>
      <w:r w:rsidRPr="00861D72">
        <w:rPr>
          <w:rFonts w:eastAsia="Calibri" w:hint="cs"/>
          <w:rtl/>
        </w:rPr>
        <w:t xml:space="preserve">ם (להלן - </w:t>
      </w:r>
      <w:bookmarkStart w:id="16" w:name="_Hlk232321037"/>
      <w:r w:rsidRPr="00861D72">
        <w:rPr>
          <w:rFonts w:eastAsia="Calibri" w:hint="cs"/>
          <w:rtl/>
        </w:rPr>
        <w:t>הליך המיפוי המובנה</w:t>
      </w:r>
      <w:bookmarkEnd w:id="16"/>
      <w:r w:rsidRPr="00861D72">
        <w:rPr>
          <w:rFonts w:eastAsia="Calibri" w:hint="cs"/>
          <w:rtl/>
        </w:rPr>
        <w:t>)</w:t>
      </w:r>
      <w:r w:rsidRPr="00861D72">
        <w:rPr>
          <w:rFonts w:eastAsia="Calibri"/>
        </w:rPr>
        <w:t>.</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eastAsia="Times New Roman"/>
          <w:bCs/>
          <w:spacing w:val="40"/>
          <w:rtl/>
        </w:rPr>
        <w:t xml:space="preserve">סקר רווחה לאוכלוסיית </w:t>
      </w:r>
      <w:r w:rsidRPr="00861D72">
        <w:rPr>
          <w:rFonts w:eastAsia="Times New Roman" w:hint="cs"/>
          <w:bCs/>
          <w:spacing w:val="40"/>
          <w:rtl/>
        </w:rPr>
        <w:t>האזרחים הוותיקים</w:t>
      </w:r>
      <w:r w:rsidRPr="00861D72">
        <w:rPr>
          <w:rFonts w:eastAsia="Times New Roman"/>
          <w:bCs/>
          <w:spacing w:val="40"/>
          <w:rtl/>
        </w:rPr>
        <w:t>:</w:t>
      </w:r>
      <w:r w:rsidRPr="00861D72">
        <w:rPr>
          <w:rFonts w:ascii="David" w:eastAsia="Calibri" w:hAnsi="David"/>
          <w:sz w:val="24"/>
          <w:rtl/>
        </w:rPr>
        <w:t xml:space="preserve"> במסגרת הביקורת הופץ שאלון אשר עסק </w:t>
      </w:r>
      <w:r w:rsidRPr="00861D72">
        <w:rPr>
          <w:rFonts w:eastAsia="Calibri" w:hint="eastAsia"/>
          <w:rtl/>
        </w:rPr>
        <w:t>בהקשרים</w:t>
      </w:r>
      <w:r w:rsidRPr="00861D72">
        <w:rPr>
          <w:rFonts w:ascii="David" w:eastAsia="Calibri" w:hAnsi="David" w:hint="cs"/>
          <w:sz w:val="24"/>
          <w:rtl/>
        </w:rPr>
        <w:t xml:space="preserve"> שונים שבהם עוסק דוח ביקורת מורחב זה, ובכל הנוגע לניהול ההיערכות הממשלתית </w:t>
      </w:r>
      <w:r w:rsidRPr="00861D72">
        <w:rPr>
          <w:rFonts w:ascii="David" w:eastAsia="Calibri" w:hAnsi="David"/>
          <w:sz w:val="24"/>
          <w:rtl/>
        </w:rPr>
        <w:t>-</w:t>
      </w:r>
      <w:r w:rsidRPr="00861D72">
        <w:rPr>
          <w:rFonts w:ascii="David" w:eastAsia="Calibri" w:hAnsi="David" w:hint="cs"/>
          <w:sz w:val="24"/>
          <w:rtl/>
        </w:rPr>
        <w:t xml:space="preserve"> עוסק השאלון </w:t>
      </w:r>
      <w:r w:rsidRPr="00861D72">
        <w:rPr>
          <w:rFonts w:ascii="David" w:eastAsia="Calibri" w:hAnsi="David"/>
          <w:sz w:val="24"/>
          <w:rtl/>
        </w:rPr>
        <w:t xml:space="preserve">בין היתר </w:t>
      </w:r>
      <w:r w:rsidRPr="00861D72">
        <w:rPr>
          <w:rFonts w:ascii="David" w:eastAsia="Calibri" w:hAnsi="David" w:hint="cs"/>
          <w:sz w:val="24"/>
          <w:rtl/>
        </w:rPr>
        <w:t>ב</w:t>
      </w:r>
      <w:r w:rsidRPr="00861D72">
        <w:rPr>
          <w:rFonts w:ascii="David" w:eastAsia="Calibri" w:hAnsi="David"/>
          <w:sz w:val="24"/>
          <w:rtl/>
        </w:rPr>
        <w:t>מיצוי זכויות ו</w:t>
      </w:r>
      <w:r w:rsidRPr="00861D72">
        <w:rPr>
          <w:rFonts w:ascii="David" w:eastAsia="Calibri" w:hAnsi="David" w:hint="cs"/>
          <w:sz w:val="24"/>
          <w:rtl/>
        </w:rPr>
        <w:t>ב</w:t>
      </w:r>
      <w:r w:rsidRPr="00861D72">
        <w:rPr>
          <w:rFonts w:ascii="David" w:eastAsia="Calibri" w:hAnsi="David"/>
          <w:sz w:val="24"/>
          <w:rtl/>
        </w:rPr>
        <w:t xml:space="preserve">קבלת שירותים. </w:t>
      </w:r>
      <w:r w:rsidRPr="00861D72">
        <w:rPr>
          <w:rFonts w:ascii="David" w:eastAsia="Calibri" w:hAnsi="David" w:hint="cs"/>
          <w:sz w:val="24"/>
          <w:rtl/>
        </w:rPr>
        <w:t xml:space="preserve">על </w:t>
      </w:r>
      <w:r w:rsidRPr="00861D72">
        <w:rPr>
          <w:rFonts w:ascii="David" w:eastAsia="Calibri" w:hAnsi="David"/>
          <w:sz w:val="24"/>
          <w:rtl/>
        </w:rPr>
        <w:t xml:space="preserve">השאלון </w:t>
      </w:r>
      <w:r w:rsidRPr="00861D72">
        <w:rPr>
          <w:rFonts w:ascii="David" w:eastAsia="Calibri" w:hAnsi="David" w:hint="cs"/>
          <w:sz w:val="24"/>
          <w:rtl/>
        </w:rPr>
        <w:t>ענה</w:t>
      </w:r>
      <w:r w:rsidRPr="00861D72">
        <w:rPr>
          <w:rFonts w:ascii="David" w:eastAsia="Calibri" w:hAnsi="David"/>
          <w:sz w:val="24"/>
          <w:rtl/>
        </w:rPr>
        <w:t xml:space="preserve"> מדגם מייצג של 403 </w:t>
      </w:r>
      <w:r w:rsidRPr="00861D72">
        <w:rPr>
          <w:rFonts w:ascii="David" w:eastAsia="Calibri" w:hAnsi="David" w:hint="cs"/>
          <w:sz w:val="24"/>
          <w:rtl/>
        </w:rPr>
        <w:t>אזרחים ותיקים</w:t>
      </w:r>
      <w:r w:rsidRPr="00861D72">
        <w:rPr>
          <w:rFonts w:ascii="David" w:eastAsia="Calibri" w:hAnsi="David"/>
          <w:sz w:val="24"/>
          <w:rtl/>
        </w:rPr>
        <w:t xml:space="preserve"> בגילי 60 - 75 (להלן - סקר לאוכלוסיית ה</w:t>
      </w:r>
      <w:r w:rsidRPr="00861D72">
        <w:rPr>
          <w:rFonts w:ascii="David" w:eastAsia="Calibri" w:hAnsi="David" w:hint="cs"/>
          <w:sz w:val="24"/>
          <w:rtl/>
        </w:rPr>
        <w:t>אזרחים הוותיקים</w:t>
      </w:r>
      <w:r w:rsidRPr="00861D72">
        <w:rPr>
          <w:rFonts w:ascii="David" w:eastAsia="Calibri" w:hAnsi="David"/>
          <w:sz w:val="24"/>
          <w:rtl/>
        </w:rPr>
        <w:t>)</w:t>
      </w:r>
      <w:r>
        <w:rPr>
          <w:rFonts w:ascii="David" w:eastAsia="Calibri" w:hAnsi="David"/>
          <w:sz w:val="24"/>
          <w:vertAlign w:val="superscript"/>
          <w:rtl/>
        </w:rPr>
        <w:footnoteReference w:id="42"/>
      </w:r>
      <w:r w:rsidRPr="00861D72">
        <w:rPr>
          <w:rFonts w:ascii="David" w:eastAsia="Calibri" w:hAnsi="David"/>
          <w:sz w:val="24"/>
          <w:rtl/>
        </w:rPr>
        <w:t xml:space="preserve">. </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eastAsia="Times New Roman"/>
          <w:bCs/>
          <w:spacing w:val="40"/>
          <w:rtl/>
        </w:rPr>
        <w:t>סקר אנשי מקצוע:</w:t>
      </w:r>
      <w:r w:rsidRPr="00861D72">
        <w:rPr>
          <w:rFonts w:ascii="David" w:eastAsia="Calibri" w:hAnsi="David"/>
          <w:sz w:val="24"/>
          <w:rtl/>
        </w:rPr>
        <w:t xml:space="preserve"> במסגרת הביקורת הופץ שאלון שעסק בבדידות בקרב זקנים </w:t>
      </w:r>
      <w:r w:rsidRPr="00861D72">
        <w:rPr>
          <w:rFonts w:eastAsia="Calibri" w:hint="cs"/>
          <w:rtl/>
        </w:rPr>
        <w:t>וניהול ההיערכות הממשלתית להזדקנות האוכלוסייה</w:t>
      </w:r>
      <w:r w:rsidRPr="00861D72">
        <w:rPr>
          <w:rFonts w:ascii="David" w:eastAsia="Calibri" w:hAnsi="David"/>
          <w:sz w:val="24"/>
          <w:rtl/>
        </w:rPr>
        <w:t xml:space="preserve">. על הסקר השיבו 957 אנשי מקצוע בתחום ההזדקנות: </w:t>
      </w:r>
      <w:r w:rsidRPr="00861D72">
        <w:rPr>
          <w:rFonts w:ascii="David" w:eastAsia="Calibri" w:hAnsi="David"/>
          <w:sz w:val="24"/>
          <w:rtl/>
        </w:rPr>
        <w:t>עו"סי</w:t>
      </w:r>
      <w:r w:rsidRPr="00861D72">
        <w:rPr>
          <w:rFonts w:ascii="David" w:eastAsia="Calibri" w:hAnsi="David" w:hint="cs"/>
          <w:sz w:val="24"/>
          <w:rtl/>
        </w:rPr>
        <w:t>ם</w:t>
      </w:r>
      <w:r w:rsidRPr="00861D72">
        <w:rPr>
          <w:rFonts w:ascii="David" w:eastAsia="Calibri" w:hAnsi="David"/>
          <w:sz w:val="24"/>
          <w:rtl/>
        </w:rPr>
        <w:t xml:space="preserve"> ובעלי תפקידים במחלקות לשירותים חברתיים ברשויות המקומיות (242), יועצים לענייני אזרחים ותיקים ברשויות המקומיות (34), מתנדבים </w:t>
      </w:r>
      <w:r w:rsidRPr="00861D72">
        <w:rPr>
          <w:rFonts w:ascii="David" w:eastAsia="Calibri" w:hAnsi="David" w:hint="cs"/>
          <w:sz w:val="24"/>
          <w:rtl/>
        </w:rPr>
        <w:t>ועו"סים</w:t>
      </w:r>
      <w:r w:rsidRPr="00861D72">
        <w:rPr>
          <w:rFonts w:ascii="David" w:eastAsia="Calibri" w:hAnsi="David"/>
          <w:sz w:val="24"/>
          <w:rtl/>
        </w:rPr>
        <w:t xml:space="preserve"> באגף השירות לאזרח הוותיק ומשפחתו </w:t>
      </w:r>
      <w:r w:rsidRPr="00861D72">
        <w:rPr>
          <w:rFonts w:ascii="David" w:eastAsia="Calibri" w:hAnsi="David"/>
          <w:sz w:val="24"/>
          <w:rtl/>
        </w:rPr>
        <w:t>ב</w:t>
      </w:r>
      <w:r w:rsidRPr="00861D72">
        <w:rPr>
          <w:rFonts w:ascii="David" w:eastAsia="Calibri" w:hAnsi="David" w:hint="cs"/>
          <w:sz w:val="24"/>
          <w:rtl/>
        </w:rPr>
        <w:t>בט"ל</w:t>
      </w:r>
      <w:r w:rsidRPr="00861D72">
        <w:rPr>
          <w:rFonts w:ascii="David" w:eastAsia="Calibri" w:hAnsi="David"/>
          <w:sz w:val="24"/>
          <w:rtl/>
        </w:rPr>
        <w:t xml:space="preserve"> (655) ומפקחות קהילה </w:t>
      </w:r>
      <w:r w:rsidRPr="00861D72">
        <w:rPr>
          <w:rFonts w:ascii="David" w:eastAsia="Calibri" w:hAnsi="David"/>
          <w:sz w:val="24"/>
          <w:rtl/>
        </w:rPr>
        <w:t>במ</w:t>
      </w:r>
      <w:r w:rsidRPr="00861D72">
        <w:rPr>
          <w:rFonts w:ascii="David" w:eastAsia="Calibri" w:hAnsi="David" w:hint="cs"/>
          <w:sz w:val="24"/>
          <w:rtl/>
        </w:rPr>
        <w:t>י</w:t>
      </w:r>
      <w:r w:rsidRPr="00861D72">
        <w:rPr>
          <w:rFonts w:ascii="David" w:eastAsia="Calibri" w:hAnsi="David"/>
          <w:sz w:val="24"/>
          <w:rtl/>
        </w:rPr>
        <w:t>נהל</w:t>
      </w:r>
      <w:r w:rsidRPr="00861D72">
        <w:rPr>
          <w:rFonts w:ascii="David" w:eastAsia="Calibri" w:hAnsi="David"/>
          <w:sz w:val="24"/>
          <w:rtl/>
        </w:rPr>
        <w:t xml:space="preserve"> אזרחים ותיקים במשרד הרווחה (10) (להלן - סקר אנשי מקצוע).</w:t>
      </w:r>
    </w:p>
    <w:p w:rsidR="00861D72" w:rsidRPr="00861D72" w:rsidP="00F90255">
      <w:pPr>
        <w:spacing w:line="269" w:lineRule="auto"/>
        <w:rPr>
          <w:rFonts w:eastAsia="Calibri"/>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המדיניות הממשלתית להזדקנות האוכלוסייה</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lang w:eastAsia="he-IL"/>
        </w:rPr>
        <w:t>מדינת</w:t>
      </w:r>
      <w:r w:rsidRPr="00861D72">
        <w:rPr>
          <w:rFonts w:eastAsia="Calibri" w:hint="cs"/>
          <w:rtl/>
        </w:rPr>
        <w:t xml:space="preserve"> ישראל הציבה את ההיערכות להזדקנות האוכלוסייה כנושא אסטרטגי באמצעות החלטת הממשלה 145</w:t>
      </w:r>
      <w:r>
        <w:rPr>
          <w:rFonts w:eastAsia="Calibri"/>
          <w:vertAlign w:val="superscript"/>
          <w:rtl/>
        </w:rPr>
        <w:footnoteReference w:id="43"/>
      </w:r>
      <w:r w:rsidRPr="00861D72">
        <w:rPr>
          <w:rFonts w:eastAsia="Calibri" w:hint="cs"/>
          <w:rtl/>
        </w:rPr>
        <w:t xml:space="preserve"> אשר אימצה ב-2015 את </w:t>
      </w:r>
      <w:r w:rsidRPr="00861D72">
        <w:rPr>
          <w:rFonts w:eastAsia="Calibri"/>
          <w:rtl/>
        </w:rPr>
        <w:t>הערכת המצב האסטרטגית</w:t>
      </w:r>
      <w:r w:rsidRPr="00861D72">
        <w:rPr>
          <w:rFonts w:eastAsia="Calibri" w:hint="cs"/>
          <w:rtl/>
        </w:rPr>
        <w:t xml:space="preserve"> ו</w:t>
      </w:r>
      <w:r w:rsidRPr="00861D72">
        <w:rPr>
          <w:rFonts w:eastAsia="Calibri" w:hint="cs"/>
          <w:rtl/>
          <w:lang w:eastAsia="he-IL"/>
        </w:rPr>
        <w:t xml:space="preserve">החלטת הממשלה 150, </w:t>
      </w:r>
      <w:r w:rsidRPr="00861D72">
        <w:rPr>
          <w:rFonts w:eastAsia="Calibri" w:hint="cs"/>
          <w:rtl/>
        </w:rPr>
        <w:t>(להלן - החלטה 150)</w:t>
      </w:r>
      <w:r>
        <w:rPr>
          <w:rFonts w:eastAsia="Calibri"/>
          <w:vertAlign w:val="superscript"/>
          <w:rtl/>
          <w:lang w:eastAsia="he-IL"/>
        </w:rPr>
        <w:footnoteReference w:id="44"/>
      </w:r>
      <w:r w:rsidRPr="00861D72">
        <w:rPr>
          <w:rFonts w:eastAsia="Calibri" w:hint="cs"/>
          <w:rtl/>
          <w:lang w:eastAsia="he-IL"/>
        </w:rPr>
        <w:t xml:space="preserve">, שהטילה על שרי הממשלה אחריות לגבש </w:t>
      </w:r>
      <w:r w:rsidRPr="00861D72">
        <w:rPr>
          <w:rFonts w:eastAsia="Calibri" w:hint="cs"/>
          <w:rtl/>
          <w:lang w:eastAsia="he-IL"/>
        </w:rPr>
        <w:t>תוכנית</w:t>
      </w:r>
      <w:r w:rsidRPr="00861D72">
        <w:rPr>
          <w:rFonts w:eastAsia="Calibri" w:hint="cs"/>
          <w:rtl/>
          <w:lang w:eastAsia="he-IL"/>
        </w:rPr>
        <w:t xml:space="preserve"> מתאר ליישום של כיווני הפעולה </w:t>
      </w:r>
      <w:r w:rsidRPr="00861D72">
        <w:rPr>
          <w:rFonts w:eastAsia="Calibri" w:hint="cs"/>
          <w:rtl/>
        </w:rPr>
        <w:t>המפורטים</w:t>
      </w:r>
      <w:r w:rsidRPr="00861D72">
        <w:rPr>
          <w:rFonts w:eastAsia="Calibri" w:hint="cs"/>
          <w:rtl/>
          <w:lang w:eastAsia="he-IL"/>
        </w:rPr>
        <w:t xml:space="preserve"> בהערכת המצב </w:t>
      </w:r>
      <w:r w:rsidRPr="00861D72">
        <w:rPr>
          <w:rFonts w:eastAsia="Calibri" w:hint="cs"/>
          <w:rtl/>
        </w:rPr>
        <w:t>האסטרטגית</w:t>
      </w:r>
      <w:r w:rsidRPr="00861D72">
        <w:rPr>
          <w:rFonts w:eastAsia="Calibri" w:hint="cs"/>
          <w:rtl/>
          <w:lang w:eastAsia="he-IL"/>
        </w:rPr>
        <w:t xml:space="preserve"> וליישם אותה במסגרת </w:t>
      </w:r>
      <w:r w:rsidRPr="00861D72">
        <w:rPr>
          <w:rFonts w:eastAsia="Calibri" w:hint="cs"/>
          <w:rtl/>
          <w:lang w:eastAsia="he-IL"/>
        </w:rPr>
        <w:t>תוכניות</w:t>
      </w:r>
      <w:r w:rsidRPr="00861D72">
        <w:rPr>
          <w:rFonts w:eastAsia="Calibri" w:hint="cs"/>
          <w:rtl/>
          <w:lang w:eastAsia="he-IL"/>
        </w:rPr>
        <w:t xml:space="preserve"> עבודה שנתיות </w:t>
      </w:r>
      <w:r w:rsidRPr="00861D72">
        <w:rPr>
          <w:rFonts w:eastAsia="Calibri" w:hint="cs"/>
          <w:rtl/>
        </w:rPr>
        <w:t>במשרדיהם</w:t>
      </w:r>
      <w:r w:rsidRPr="00861D72">
        <w:rPr>
          <w:rFonts w:eastAsia="Calibri" w:hint="cs"/>
          <w:rtl/>
          <w:lang w:eastAsia="he-IL"/>
        </w:rPr>
        <w:t>.</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הלוח שלהלן מציג את היישום של כיווני הפעולה להיערכות המדינה להזדקנות האוכלוסייה, כפי שמשתקפים מדוח ביקורת זה (</w:t>
      </w:r>
      <w:r w:rsidRPr="00861D72">
        <w:rPr>
          <w:rFonts w:eastAsia="Calibri" w:hint="cs"/>
          <w:b/>
          <w:bCs/>
          <w:rtl/>
          <w:lang w:eastAsia="he-IL"/>
        </w:rPr>
        <w:t>לפירוט והרחבה לגבי יישום כל אחד מכיווני הפעולה, ראו בפרקי הדוח השונים כמפורט להלן</w:t>
      </w:r>
      <w:r w:rsidRPr="00861D72">
        <w:rPr>
          <w:rFonts w:eastAsia="Calibri" w:hint="cs"/>
          <w:rtl/>
          <w:lang w:eastAsia="he-IL"/>
        </w:rPr>
        <w:t>).</w:t>
      </w:r>
    </w:p>
    <w:p w:rsidR="00861D72" w:rsidRPr="00861D72" w:rsidP="00F90255">
      <w:pPr>
        <w:widowControl w:val="0"/>
        <w:spacing w:line="269" w:lineRule="auto"/>
        <w:jc w:val="center"/>
        <w:rPr>
          <w:rFonts w:eastAsia="Calibri"/>
          <w:b/>
          <w:bCs/>
          <w:rtl/>
          <w:lang w:eastAsia="he-IL"/>
        </w:rPr>
      </w:pPr>
      <w:r w:rsidRPr="00861D72">
        <w:rPr>
          <w:rFonts w:eastAsia="Calibri" w:hint="cs"/>
          <w:rtl/>
          <w:lang w:eastAsia="he-IL"/>
        </w:rPr>
        <w:t xml:space="preserve">לוח 1: </w:t>
      </w:r>
      <w:bookmarkStart w:id="17" w:name="_Hlk222221750"/>
      <w:r w:rsidRPr="00861D72">
        <w:rPr>
          <w:rFonts w:eastAsia="Calibri" w:hint="cs"/>
          <w:b/>
          <w:bCs/>
          <w:rtl/>
          <w:lang w:eastAsia="he-IL"/>
        </w:rPr>
        <w:t xml:space="preserve">יישום ארבעת כיווני הפעולה </w:t>
      </w:r>
      <w:r w:rsidRPr="00861D72">
        <w:rPr>
          <w:rFonts w:eastAsia="Calibri" w:hint="eastAsia"/>
          <w:b/>
          <w:bCs/>
          <w:rtl/>
          <w:lang w:eastAsia="he-IL"/>
        </w:rPr>
        <w:t>להיערכות</w:t>
      </w:r>
      <w:r w:rsidRPr="00861D72">
        <w:rPr>
          <w:rFonts w:eastAsia="Calibri"/>
          <w:b/>
          <w:bCs/>
          <w:rtl/>
          <w:lang w:eastAsia="he-IL"/>
        </w:rPr>
        <w:t xml:space="preserve"> </w:t>
      </w:r>
      <w:r w:rsidRPr="00861D72">
        <w:rPr>
          <w:rFonts w:eastAsia="Calibri" w:hint="eastAsia"/>
          <w:b/>
          <w:bCs/>
          <w:rtl/>
          <w:lang w:eastAsia="he-IL"/>
        </w:rPr>
        <w:t>המדינה</w:t>
      </w:r>
      <w:r w:rsidRPr="00861D72">
        <w:rPr>
          <w:rFonts w:eastAsia="Calibri"/>
          <w:b/>
          <w:bCs/>
          <w:rtl/>
          <w:lang w:eastAsia="he-IL"/>
        </w:rPr>
        <w:t xml:space="preserve"> </w:t>
      </w:r>
      <w:r w:rsidRPr="00861D72">
        <w:rPr>
          <w:rFonts w:eastAsia="Calibri" w:hint="eastAsia"/>
          <w:b/>
          <w:bCs/>
          <w:rtl/>
          <w:lang w:eastAsia="he-IL"/>
        </w:rPr>
        <w:t>להזדקנות</w:t>
      </w:r>
      <w:r w:rsidRPr="00861D72">
        <w:rPr>
          <w:rFonts w:eastAsia="Calibri"/>
          <w:b/>
          <w:bCs/>
          <w:rtl/>
          <w:lang w:eastAsia="he-IL"/>
        </w:rPr>
        <w:t xml:space="preserve"> </w:t>
      </w:r>
      <w:r w:rsidRPr="00861D72">
        <w:rPr>
          <w:rFonts w:eastAsia="Calibri" w:hint="cs"/>
          <w:b/>
          <w:bCs/>
          <w:rtl/>
          <w:lang w:eastAsia="he-IL"/>
        </w:rPr>
        <w:t>האוכלוסיי</w:t>
      </w:r>
      <w:r w:rsidRPr="00861D72">
        <w:rPr>
          <w:rFonts w:eastAsia="Calibri" w:hint="eastAsia"/>
          <w:b/>
          <w:bCs/>
          <w:rtl/>
          <w:lang w:eastAsia="he-IL"/>
        </w:rPr>
        <w:t>ה</w:t>
      </w:r>
      <w:r w:rsidRPr="00861D72">
        <w:rPr>
          <w:rFonts w:eastAsia="Calibri" w:hint="cs"/>
          <w:b/>
          <w:bCs/>
          <w:rtl/>
          <w:lang w:eastAsia="he-IL"/>
        </w:rPr>
        <w:t xml:space="preserve"> שנבדקו בדוח</w:t>
      </w:r>
      <w:r>
        <w:rPr>
          <w:rFonts w:ascii="David" w:eastAsia="Calibri" w:hAnsi="David"/>
          <w:vertAlign w:val="superscript"/>
          <w:rtl/>
        </w:rPr>
        <w:footnoteReference w:id="45"/>
      </w:r>
    </w:p>
    <w:tbl>
      <w:tblPr>
        <w:tblStyle w:val="TableGrid"/>
        <w:bidiVisual/>
        <w:tblW w:w="8410" w:type="dxa"/>
        <w:tblInd w:w="30" w:type="dxa"/>
        <w:tblLook w:val="04A0"/>
      </w:tblPr>
      <w:tblGrid>
        <w:gridCol w:w="1619"/>
        <w:gridCol w:w="2976"/>
        <w:gridCol w:w="3815"/>
      </w:tblGrid>
      <w:tr w:rsidTr="00AB5D27">
        <w:tblPrEx>
          <w:tblW w:w="8410" w:type="dxa"/>
          <w:tblInd w:w="30" w:type="dxa"/>
          <w:tblLook w:val="04A0"/>
        </w:tblPrEx>
        <w:trPr>
          <w:tblHeader/>
        </w:trPr>
        <w:tc>
          <w:tcPr>
            <w:tcW w:w="1619" w:type="dxa"/>
            <w:tcBorders>
              <w:bottom w:val="single" w:sz="4" w:space="0" w:color="auto"/>
              <w:right w:val="nil"/>
            </w:tcBorders>
            <w:shd w:val="clear" w:color="auto" w:fill="A6CBFA"/>
          </w:tcPr>
          <w:p w:rsidR="00861D72" w:rsidRPr="00861D72" w:rsidP="00F90255">
            <w:pPr>
              <w:widowControl w:val="0"/>
              <w:spacing w:line="269" w:lineRule="auto"/>
              <w:ind w:left="141"/>
              <w:jc w:val="center"/>
              <w:rPr>
                <w:b/>
                <w:bCs/>
                <w:szCs w:val="20"/>
                <w:rtl/>
                <w:lang w:eastAsia="he-IL"/>
              </w:rPr>
            </w:pPr>
            <w:bookmarkStart w:id="18" w:name="_Hlk222221728"/>
            <w:bookmarkEnd w:id="17"/>
            <w:r w:rsidRPr="00861D72">
              <w:rPr>
                <w:rFonts w:hint="cs"/>
                <w:b/>
                <w:bCs/>
                <w:szCs w:val="20"/>
                <w:rtl/>
                <w:lang w:eastAsia="he-IL"/>
              </w:rPr>
              <w:t>כיווני פעולה</w:t>
            </w:r>
          </w:p>
        </w:tc>
        <w:tc>
          <w:tcPr>
            <w:tcW w:w="2976" w:type="dxa"/>
            <w:tcBorders>
              <w:left w:val="nil"/>
              <w:bottom w:val="single" w:sz="4" w:space="0" w:color="auto"/>
              <w:right w:val="nil"/>
            </w:tcBorders>
            <w:shd w:val="clear" w:color="auto" w:fill="A6CBFA"/>
          </w:tcPr>
          <w:p w:rsidR="00861D72" w:rsidRPr="00861D72" w:rsidP="00F90255">
            <w:pPr>
              <w:widowControl w:val="0"/>
              <w:spacing w:line="269" w:lineRule="auto"/>
              <w:jc w:val="center"/>
              <w:rPr>
                <w:b/>
                <w:bCs/>
                <w:szCs w:val="20"/>
                <w:rtl/>
                <w:lang w:eastAsia="he-IL"/>
              </w:rPr>
            </w:pPr>
            <w:r w:rsidRPr="00861D72">
              <w:rPr>
                <w:rFonts w:hint="cs"/>
                <w:b/>
                <w:bCs/>
                <w:szCs w:val="20"/>
                <w:rtl/>
                <w:lang w:eastAsia="he-IL"/>
              </w:rPr>
              <w:t>החלטות הממשלה בנושא</w:t>
            </w:r>
          </w:p>
        </w:tc>
        <w:tc>
          <w:tcPr>
            <w:tcW w:w="3815" w:type="dxa"/>
            <w:tcBorders>
              <w:left w:val="nil"/>
            </w:tcBorders>
            <w:shd w:val="clear" w:color="auto" w:fill="A6CBFA"/>
          </w:tcPr>
          <w:p w:rsidR="00861D72" w:rsidRPr="00861D72" w:rsidP="00F90255">
            <w:pPr>
              <w:widowControl w:val="0"/>
              <w:spacing w:line="269" w:lineRule="auto"/>
              <w:jc w:val="center"/>
              <w:rPr>
                <w:b/>
                <w:bCs/>
                <w:szCs w:val="20"/>
                <w:rtl/>
                <w:lang w:eastAsia="he-IL"/>
              </w:rPr>
            </w:pPr>
            <w:r w:rsidRPr="00861D72">
              <w:rPr>
                <w:rFonts w:hint="cs"/>
                <w:b/>
                <w:bCs/>
                <w:szCs w:val="20"/>
                <w:rtl/>
                <w:lang w:eastAsia="he-IL"/>
              </w:rPr>
              <w:t>הממצאים שעלו בדוח ביקורת זה</w:t>
            </w:r>
          </w:p>
        </w:tc>
      </w:tr>
      <w:tr w:rsidTr="00861D72">
        <w:tblPrEx>
          <w:tblW w:w="8410" w:type="dxa"/>
          <w:tblInd w:w="30" w:type="dxa"/>
          <w:tblLook w:val="04A0"/>
        </w:tblPrEx>
        <w:trPr>
          <w:trHeight w:val="671"/>
        </w:trPr>
        <w:tc>
          <w:tcPr>
            <w:tcW w:w="1619" w:type="dxa"/>
            <w:tcBorders>
              <w:right w:val="nil"/>
            </w:tcBorders>
            <w:shd w:val="clear" w:color="auto" w:fill="D2E5FD"/>
          </w:tcPr>
          <w:p w:rsidR="00861D72" w:rsidRPr="00861D72" w:rsidP="00F90255">
            <w:pPr>
              <w:widowControl w:val="0"/>
              <w:spacing w:line="269" w:lineRule="auto"/>
              <w:rPr>
                <w:szCs w:val="20"/>
                <w:rtl/>
                <w:lang w:eastAsia="he-IL"/>
              </w:rPr>
            </w:pPr>
            <w:r w:rsidRPr="00861D72">
              <w:rPr>
                <w:rFonts w:hint="cs"/>
                <w:szCs w:val="20"/>
                <w:rtl/>
              </w:rPr>
              <w:t xml:space="preserve">טיפול בגירעון האקטוארי של המוסד לביטוח לאומי </w:t>
            </w:r>
          </w:p>
        </w:tc>
        <w:tc>
          <w:tcPr>
            <w:tcW w:w="2976" w:type="dxa"/>
            <w:tcBorders>
              <w:left w:val="nil"/>
              <w:right w:val="nil"/>
            </w:tcBorders>
            <w:shd w:val="clear" w:color="auto" w:fill="FFFFFF"/>
          </w:tcPr>
          <w:p w:rsidR="00861D72" w:rsidRPr="00861D72" w:rsidP="00F90255">
            <w:pPr>
              <w:widowControl w:val="0"/>
              <w:spacing w:line="269" w:lineRule="auto"/>
              <w:rPr>
                <w:szCs w:val="20"/>
              </w:rPr>
            </w:pPr>
            <w:r w:rsidRPr="00861D72">
              <w:rPr>
                <w:rFonts w:hint="cs"/>
                <w:szCs w:val="20"/>
                <w:rtl/>
              </w:rPr>
              <w:t>החלטת הממשלה 150: גיבוש</w:t>
            </w:r>
            <w:r w:rsidRPr="00861D72">
              <w:rPr>
                <w:szCs w:val="20"/>
                <w:rtl/>
              </w:rPr>
              <w:t xml:space="preserve"> </w:t>
            </w:r>
            <w:r w:rsidRPr="00861D72">
              <w:rPr>
                <w:szCs w:val="20"/>
                <w:rtl/>
              </w:rPr>
              <w:t>תוכנית</w:t>
            </w:r>
            <w:r w:rsidRPr="00861D72">
              <w:rPr>
                <w:szCs w:val="20"/>
                <w:rtl/>
              </w:rPr>
              <w:t xml:space="preserve"> לטיפול בגירעון הנוכחי והאקטוארי של </w:t>
            </w:r>
            <w:r w:rsidRPr="00861D72">
              <w:rPr>
                <w:rFonts w:hint="cs"/>
                <w:szCs w:val="20"/>
                <w:rtl/>
              </w:rPr>
              <w:t>בט"ל</w:t>
            </w:r>
            <w:r w:rsidRPr="00861D72">
              <w:rPr>
                <w:szCs w:val="20"/>
                <w:rtl/>
              </w:rPr>
              <w:t xml:space="preserve"> בראייה</w:t>
            </w:r>
            <w:r w:rsidRPr="00861D72">
              <w:rPr>
                <w:rFonts w:hint="cs"/>
                <w:szCs w:val="20"/>
                <w:rtl/>
              </w:rPr>
              <w:t xml:space="preserve"> </w:t>
            </w:r>
            <w:r w:rsidRPr="00861D72">
              <w:rPr>
                <w:szCs w:val="20"/>
                <w:rtl/>
              </w:rPr>
              <w:t>ארוכת טווח</w:t>
            </w:r>
            <w:r w:rsidRPr="00861D72">
              <w:rPr>
                <w:rFonts w:hint="cs"/>
                <w:szCs w:val="20"/>
                <w:rtl/>
              </w:rPr>
              <w:t xml:space="preserve"> עד דצמבר 2015</w:t>
            </w:r>
            <w:r>
              <w:rPr>
                <w:szCs w:val="20"/>
                <w:vertAlign w:val="superscript"/>
                <w:rtl/>
              </w:rPr>
              <w:footnoteReference w:id="46"/>
            </w:r>
            <w:r w:rsidRPr="00861D72">
              <w:rPr>
                <w:rFonts w:hint="cs"/>
                <w:szCs w:val="20"/>
                <w:rtl/>
              </w:rPr>
              <w:t>.</w:t>
            </w:r>
          </w:p>
        </w:tc>
        <w:tc>
          <w:tcPr>
            <w:tcW w:w="3815" w:type="dxa"/>
            <w:tcBorders>
              <w:left w:val="nil"/>
            </w:tcBorders>
            <w:shd w:val="clear" w:color="auto" w:fill="FFFFFF"/>
          </w:tcPr>
          <w:p w:rsidR="00861D72" w:rsidRPr="00861D72" w:rsidP="00F90255">
            <w:pPr>
              <w:spacing w:line="269" w:lineRule="auto"/>
              <w:rPr>
                <w:szCs w:val="20"/>
                <w:rtl/>
                <w:lang w:eastAsia="he-IL"/>
              </w:rPr>
            </w:pPr>
            <w:r w:rsidRPr="00861D72">
              <w:rPr>
                <w:noProof/>
                <w:szCs w:val="20"/>
              </w:rPr>
              <w:drawing>
                <wp:inline distT="0" distB="0" distL="0" distR="0">
                  <wp:extent cx="182880" cy="182880"/>
                  <wp:effectExtent l="0" t="0" r="7620" b="762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82880" cy="182880"/>
                          </a:xfrm>
                          <a:prstGeom prst="rect">
                            <a:avLst/>
                          </a:prstGeom>
                          <a:noFill/>
                          <a:ln>
                            <a:noFill/>
                          </a:ln>
                        </pic:spPr>
                      </pic:pic>
                    </a:graphicData>
                  </a:graphic>
                </wp:inline>
              </w:drawing>
            </w:r>
            <w:r w:rsidRPr="00861D72">
              <w:rPr>
                <w:rFonts w:ascii="David" w:hAnsi="David" w:hint="cs"/>
                <w:szCs w:val="20"/>
                <w:rtl/>
              </w:rPr>
              <w:t xml:space="preserve"> הג</w:t>
            </w:r>
            <w:r w:rsidR="00EF461F">
              <w:rPr>
                <w:rFonts w:ascii="David" w:hAnsi="David" w:hint="cs"/>
                <w:szCs w:val="20"/>
                <w:rtl/>
              </w:rPr>
              <w:t>י</w:t>
            </w:r>
            <w:r w:rsidRPr="00861D72">
              <w:rPr>
                <w:rFonts w:ascii="David" w:hAnsi="David" w:hint="cs"/>
                <w:szCs w:val="20"/>
                <w:rtl/>
              </w:rPr>
              <w:t xml:space="preserve">רעון האקטוארי של </w:t>
            </w:r>
            <w:r w:rsidRPr="00861D72">
              <w:rPr>
                <w:rFonts w:ascii="David" w:hAnsi="David" w:hint="cs"/>
                <w:szCs w:val="20"/>
                <w:rtl/>
              </w:rPr>
              <w:t>בט"ל</w:t>
            </w:r>
            <w:r w:rsidRPr="00861D72">
              <w:rPr>
                <w:rFonts w:ascii="David" w:hAnsi="David" w:hint="cs"/>
                <w:szCs w:val="20"/>
                <w:rtl/>
              </w:rPr>
              <w:t xml:space="preserve"> לא צומצם כפי שעולה מה</w:t>
            </w:r>
            <w:r w:rsidRPr="00861D72">
              <w:rPr>
                <w:rFonts w:ascii="David" w:hAnsi="David"/>
                <w:szCs w:val="20"/>
                <w:rtl/>
              </w:rPr>
              <w:t xml:space="preserve">דוח האקטוארי </w:t>
            </w:r>
            <w:r w:rsidRPr="00861D72">
              <w:rPr>
                <w:rFonts w:ascii="David" w:hAnsi="David" w:hint="cs"/>
                <w:szCs w:val="20"/>
                <w:rtl/>
              </w:rPr>
              <w:t>מ-</w:t>
            </w:r>
            <w:r w:rsidRPr="00861D72">
              <w:rPr>
                <w:rFonts w:ascii="David" w:hAnsi="David"/>
                <w:szCs w:val="20"/>
                <w:rtl/>
              </w:rPr>
              <w:t>202</w:t>
            </w:r>
            <w:r w:rsidRPr="00861D72">
              <w:rPr>
                <w:rFonts w:ascii="David" w:hAnsi="David" w:hint="cs"/>
                <w:szCs w:val="20"/>
                <w:rtl/>
              </w:rPr>
              <w:t xml:space="preserve">5, שנכון לנתוני 2023, שבו </w:t>
            </w:r>
            <w:r w:rsidRPr="00861D72">
              <w:rPr>
                <w:rFonts w:ascii="David" w:hAnsi="David"/>
                <w:szCs w:val="20"/>
                <w:rtl/>
              </w:rPr>
              <w:t>נמצא כי שנת איפוס הקרן הוקדמה</w:t>
            </w:r>
            <w:r w:rsidRPr="00861D72">
              <w:rPr>
                <w:rFonts w:ascii="David" w:hAnsi="David" w:hint="cs"/>
                <w:szCs w:val="20"/>
                <w:rtl/>
              </w:rPr>
              <w:t>,</w:t>
            </w:r>
            <w:r w:rsidRPr="00861D72">
              <w:rPr>
                <w:rFonts w:ascii="David" w:hAnsi="David"/>
                <w:szCs w:val="20"/>
                <w:rtl/>
              </w:rPr>
              <w:t xml:space="preserve"> וכעת היא 203</w:t>
            </w:r>
            <w:r w:rsidRPr="00861D72">
              <w:rPr>
                <w:rFonts w:ascii="David" w:hAnsi="David" w:hint="cs"/>
                <w:szCs w:val="20"/>
                <w:rtl/>
              </w:rPr>
              <w:t>5</w:t>
            </w:r>
            <w:r>
              <w:rPr>
                <w:rFonts w:ascii="David" w:hAnsi="David"/>
                <w:szCs w:val="20"/>
                <w:vertAlign w:val="superscript"/>
                <w:rtl/>
              </w:rPr>
              <w:footnoteReference w:id="47"/>
            </w:r>
            <w:r w:rsidRPr="00861D72">
              <w:rPr>
                <w:rFonts w:ascii="David" w:hAnsi="David" w:hint="cs"/>
                <w:szCs w:val="20"/>
                <w:rtl/>
              </w:rPr>
              <w:t>. לעומת</w:t>
            </w:r>
            <w:r w:rsidRPr="00861D72">
              <w:rPr>
                <w:rFonts w:ascii="David" w:hAnsi="David"/>
                <w:szCs w:val="20"/>
                <w:rtl/>
              </w:rPr>
              <w:t xml:space="preserve"> </w:t>
            </w:r>
            <w:r w:rsidRPr="00861D72">
              <w:rPr>
                <w:rFonts w:hint="cs"/>
                <w:szCs w:val="20"/>
                <w:rtl/>
                <w:lang w:eastAsia="he-IL"/>
              </w:rPr>
              <w:t xml:space="preserve">זאת </w:t>
            </w:r>
            <w:r w:rsidRPr="00861D72">
              <w:rPr>
                <w:rFonts w:ascii="David" w:hAnsi="David" w:hint="cs"/>
                <w:szCs w:val="20"/>
                <w:rtl/>
              </w:rPr>
              <w:t>ב</w:t>
            </w:r>
            <w:r w:rsidRPr="00861D72">
              <w:rPr>
                <w:rFonts w:ascii="David" w:hAnsi="David"/>
                <w:szCs w:val="20"/>
                <w:rtl/>
              </w:rPr>
              <w:t xml:space="preserve">דוח האקטוארי </w:t>
            </w:r>
            <w:r w:rsidRPr="00861D72">
              <w:rPr>
                <w:rFonts w:ascii="David" w:hAnsi="David" w:hint="cs"/>
                <w:szCs w:val="20"/>
                <w:rtl/>
              </w:rPr>
              <w:t>מ-</w:t>
            </w:r>
            <w:r w:rsidRPr="00861D72">
              <w:rPr>
                <w:rFonts w:ascii="David" w:hAnsi="David"/>
                <w:szCs w:val="20"/>
                <w:rtl/>
              </w:rPr>
              <w:t xml:space="preserve">2020, </w:t>
            </w:r>
            <w:r w:rsidRPr="00861D72">
              <w:rPr>
                <w:rFonts w:ascii="David" w:hAnsi="David" w:hint="cs"/>
                <w:szCs w:val="20"/>
                <w:rtl/>
              </w:rPr>
              <w:t>ש</w:t>
            </w:r>
            <w:r w:rsidRPr="00861D72">
              <w:rPr>
                <w:rFonts w:ascii="David" w:hAnsi="David"/>
                <w:szCs w:val="20"/>
                <w:rtl/>
              </w:rPr>
              <w:t>היה נכון לנתוני 2016, נמצא כי שנת איפוס הקרן</w:t>
            </w:r>
            <w:r w:rsidRPr="00861D72">
              <w:rPr>
                <w:rFonts w:ascii="David" w:hAnsi="David" w:hint="cs"/>
                <w:szCs w:val="20"/>
                <w:rtl/>
              </w:rPr>
              <w:t xml:space="preserve"> הייתה</w:t>
            </w:r>
            <w:r w:rsidRPr="00861D72">
              <w:rPr>
                <w:rFonts w:ascii="David" w:hAnsi="David"/>
                <w:szCs w:val="20"/>
                <w:rtl/>
              </w:rPr>
              <w:t xml:space="preserve"> 2044</w:t>
            </w:r>
            <w:r>
              <w:rPr>
                <w:rFonts w:ascii="David" w:hAnsi="David"/>
                <w:szCs w:val="20"/>
                <w:vertAlign w:val="superscript"/>
                <w:rtl/>
              </w:rPr>
              <w:footnoteReference w:id="48"/>
            </w:r>
            <w:r w:rsidRPr="00861D72">
              <w:rPr>
                <w:rFonts w:ascii="David" w:hAnsi="David" w:hint="cs"/>
                <w:szCs w:val="20"/>
                <w:rtl/>
              </w:rPr>
              <w:t xml:space="preserve"> (ראו הרחבה בפרק מערך הביטוח הסיעודי בישראל)</w:t>
            </w:r>
          </w:p>
        </w:tc>
      </w:tr>
      <w:tr w:rsidTr="00AB5D27">
        <w:tblPrEx>
          <w:tblW w:w="8410" w:type="dxa"/>
          <w:tblInd w:w="30" w:type="dxa"/>
          <w:tblLook w:val="04A0"/>
        </w:tblPrEx>
        <w:tc>
          <w:tcPr>
            <w:tcW w:w="1619" w:type="dxa"/>
            <w:tcBorders>
              <w:right w:val="nil"/>
            </w:tcBorders>
            <w:shd w:val="clear" w:color="auto" w:fill="D2E5FD"/>
          </w:tcPr>
          <w:p w:rsidR="00861D72" w:rsidRPr="00861D72" w:rsidP="00F90255">
            <w:pPr>
              <w:widowControl w:val="0"/>
              <w:spacing w:line="269" w:lineRule="auto"/>
              <w:rPr>
                <w:szCs w:val="20"/>
                <w:rtl/>
                <w:lang w:eastAsia="he-IL"/>
              </w:rPr>
            </w:pPr>
            <w:r w:rsidRPr="00861D72">
              <w:rPr>
                <w:rFonts w:hint="cs"/>
                <w:szCs w:val="20"/>
                <w:rtl/>
              </w:rPr>
              <w:t>שילוב מבוגרים בתעסוקה ובקהילה</w:t>
            </w:r>
          </w:p>
        </w:tc>
        <w:tc>
          <w:tcPr>
            <w:tcW w:w="2976" w:type="dxa"/>
            <w:tcBorders>
              <w:left w:val="nil"/>
              <w:right w:val="nil"/>
            </w:tcBorders>
          </w:tcPr>
          <w:p w:rsidR="00861D72" w:rsidRPr="00861D72" w:rsidP="00F90255">
            <w:pPr>
              <w:widowControl w:val="0"/>
              <w:spacing w:line="269" w:lineRule="auto"/>
              <w:rPr>
                <w:szCs w:val="20"/>
              </w:rPr>
            </w:pPr>
            <w:r w:rsidRPr="00861D72">
              <w:rPr>
                <w:rFonts w:hint="cs"/>
                <w:szCs w:val="20"/>
                <w:rtl/>
              </w:rPr>
              <w:t>החלטת ממשלה 198:</w:t>
            </w:r>
            <w:r w:rsidRPr="00861D72">
              <w:rPr>
                <w:szCs w:val="20"/>
                <w:rtl/>
              </w:rPr>
              <w:t xml:space="preserve"> העלאת שיעור התעסוקה לגברים בני 67 - 74 </w:t>
            </w:r>
            <w:r w:rsidRPr="00861D72">
              <w:rPr>
                <w:szCs w:val="20"/>
                <w:rtl/>
              </w:rPr>
              <w:br/>
              <w:t xml:space="preserve">מ-33.5% בשנת 2020 ל-43.5% בשנת 2030, </w:t>
            </w:r>
            <w:r w:rsidRPr="00861D72">
              <w:rPr>
                <w:rFonts w:hint="cs"/>
                <w:szCs w:val="20"/>
                <w:rtl/>
              </w:rPr>
              <w:t xml:space="preserve">ולנשים </w:t>
            </w:r>
            <w:r w:rsidRPr="00861D72">
              <w:rPr>
                <w:szCs w:val="20"/>
                <w:rtl/>
              </w:rPr>
              <w:t xml:space="preserve">מ-18.5% בשנת 2020 </w:t>
            </w:r>
            <w:r w:rsidRPr="00861D72">
              <w:rPr>
                <w:szCs w:val="20"/>
                <w:rtl/>
              </w:rPr>
              <w:br/>
              <w:t>ל-28.5% בשנת 2030</w:t>
            </w:r>
            <w:r>
              <w:rPr>
                <w:vertAlign w:val="superscript"/>
                <w:rtl/>
              </w:rPr>
              <w:footnoteReference w:id="49"/>
            </w:r>
            <w:r w:rsidRPr="00861D72">
              <w:rPr>
                <w:rFonts w:hint="cs"/>
                <w:szCs w:val="20"/>
                <w:rtl/>
              </w:rPr>
              <w:t xml:space="preserve">; החלטת הממשלה 150: הגשת </w:t>
            </w:r>
            <w:r w:rsidRPr="00861D72">
              <w:rPr>
                <w:rFonts w:hint="cs"/>
                <w:szCs w:val="20"/>
                <w:rtl/>
              </w:rPr>
              <w:t>תוכנית</w:t>
            </w:r>
            <w:r w:rsidRPr="00861D72">
              <w:rPr>
                <w:rFonts w:hint="cs"/>
                <w:szCs w:val="20"/>
                <w:rtl/>
              </w:rPr>
              <w:t xml:space="preserve"> לממשלה עד ספטמבר 2015 המקדמת </w:t>
            </w:r>
            <w:r w:rsidRPr="00861D72">
              <w:rPr>
                <w:szCs w:val="20"/>
                <w:rtl/>
              </w:rPr>
              <w:t>שילוב מבוגרים מעל גיל 60 בתעסוקה ובקהילה</w:t>
            </w:r>
            <w:r>
              <w:rPr>
                <w:szCs w:val="20"/>
                <w:vertAlign w:val="superscript"/>
                <w:rtl/>
                <w:lang w:eastAsia="he-IL"/>
              </w:rPr>
              <w:footnoteReference w:id="50"/>
            </w:r>
            <w:r w:rsidRPr="00861D72">
              <w:rPr>
                <w:rFonts w:hint="cs"/>
                <w:szCs w:val="20"/>
                <w:rtl/>
              </w:rPr>
              <w:t>.</w:t>
            </w:r>
          </w:p>
        </w:tc>
        <w:tc>
          <w:tcPr>
            <w:tcW w:w="3815" w:type="dxa"/>
            <w:tcBorders>
              <w:left w:val="nil"/>
            </w:tcBorders>
          </w:tcPr>
          <w:p w:rsidR="00861D72" w:rsidRPr="00861D72" w:rsidP="00F90255">
            <w:pPr>
              <w:spacing w:line="269" w:lineRule="auto"/>
              <w:rPr>
                <w:rFonts w:ascii="David" w:hAnsi="David"/>
                <w:szCs w:val="20"/>
                <w:rtl/>
              </w:rPr>
            </w:pPr>
            <w:r w:rsidRPr="00861D72">
              <w:rPr>
                <w:noProof/>
                <w:szCs w:val="20"/>
              </w:rPr>
              <w:drawing>
                <wp:inline distT="0" distB="0" distL="0" distR="0">
                  <wp:extent cx="274320" cy="182880"/>
                  <wp:effectExtent l="0" t="0" r="0" b="762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 cy="182880"/>
                          </a:xfrm>
                          <a:prstGeom prst="rect">
                            <a:avLst/>
                          </a:prstGeom>
                          <a:noFill/>
                          <a:ln>
                            <a:noFill/>
                          </a:ln>
                        </pic:spPr>
                      </pic:pic>
                    </a:graphicData>
                  </a:graphic>
                </wp:inline>
              </w:drawing>
            </w:r>
            <w:r w:rsidRPr="00861D72">
              <w:rPr>
                <w:rFonts w:hint="cs"/>
                <w:szCs w:val="20"/>
                <w:rtl/>
                <w:lang w:eastAsia="he-IL"/>
              </w:rPr>
              <w:t xml:space="preserve"> תעסוקה: המשרד לשוויון חברתי גיבש את </w:t>
            </w:r>
            <w:r w:rsidRPr="00861D72">
              <w:rPr>
                <w:rFonts w:hint="cs"/>
                <w:szCs w:val="20"/>
                <w:rtl/>
                <w:lang w:eastAsia="he-IL"/>
              </w:rPr>
              <w:t>תוכנית</w:t>
            </w:r>
            <w:r w:rsidRPr="00861D72">
              <w:rPr>
                <w:rFonts w:hint="cs"/>
                <w:szCs w:val="20"/>
                <w:rtl/>
                <w:lang w:eastAsia="he-IL"/>
              </w:rPr>
              <w:t xml:space="preserve"> "ותיקים בעבודה" להעסקת אזרחים ותיקים והחל בהפעלתה עם זאת,</w:t>
            </w:r>
            <w:r w:rsidRPr="00861D72">
              <w:rPr>
                <w:rFonts w:ascii="Tahoma" w:hAnsi="Tahoma" w:cs="Tahoma"/>
                <w:sz w:val="19"/>
                <w:szCs w:val="19"/>
                <w:rtl/>
              </w:rPr>
              <w:t xml:space="preserve"> </w:t>
            </w:r>
            <w:r w:rsidRPr="00861D72">
              <w:rPr>
                <w:rFonts w:ascii="David" w:hAnsi="David"/>
                <w:szCs w:val="20"/>
                <w:rtl/>
              </w:rPr>
              <w:t>ההשתתפות של אזרחים ותיקים ב</w:t>
            </w:r>
            <w:r w:rsidRPr="00861D72">
              <w:rPr>
                <w:rFonts w:ascii="David" w:hAnsi="David" w:hint="cs"/>
                <w:szCs w:val="20"/>
                <w:rtl/>
              </w:rPr>
              <w:t>ג</w:t>
            </w:r>
            <w:r w:rsidRPr="00861D72">
              <w:rPr>
                <w:rFonts w:ascii="David" w:hAnsi="David"/>
                <w:szCs w:val="20"/>
                <w:rtl/>
              </w:rPr>
              <w:t xml:space="preserve">ילי 67 - 74 בתעסוקה עמד בשנת 2025 על 22.3% לנשים ו-35.4% לגברים; </w:t>
            </w:r>
            <w:r w:rsidRPr="00861D72">
              <w:rPr>
                <w:rFonts w:ascii="David" w:hAnsi="David" w:hint="cs"/>
                <w:szCs w:val="20"/>
                <w:rtl/>
              </w:rPr>
              <w:t>על פי</w:t>
            </w:r>
            <w:r w:rsidRPr="00861D72">
              <w:rPr>
                <w:rFonts w:ascii="David" w:hAnsi="David"/>
                <w:szCs w:val="20"/>
                <w:rtl/>
              </w:rPr>
              <w:t xml:space="preserve"> התחזית המוערכת המבוססת על המגמה הקיימת, צפוי שיעור האזרחים ה</w:t>
            </w:r>
            <w:r w:rsidRPr="00861D72">
              <w:rPr>
                <w:rFonts w:ascii="David" w:hAnsi="David" w:hint="cs"/>
                <w:szCs w:val="20"/>
                <w:rtl/>
              </w:rPr>
              <w:t>ו</w:t>
            </w:r>
            <w:r w:rsidRPr="00861D72">
              <w:rPr>
                <w:rFonts w:ascii="David" w:hAnsi="David"/>
                <w:szCs w:val="20"/>
                <w:rtl/>
              </w:rPr>
              <w:t>ותיקים המועסקים בגילים אלה להגיע ל-</w:t>
            </w:r>
            <w:r w:rsidRPr="00861D72">
              <w:rPr>
                <w:rFonts w:ascii="David" w:hAnsi="David" w:hint="cs"/>
                <w:szCs w:val="20"/>
                <w:rtl/>
              </w:rPr>
              <w:t>27%</w:t>
            </w:r>
            <w:r w:rsidRPr="00861D72">
              <w:rPr>
                <w:rFonts w:ascii="David" w:hAnsi="David"/>
                <w:szCs w:val="20"/>
                <w:rtl/>
              </w:rPr>
              <w:t xml:space="preserve"> בקרב נשים ו</w:t>
            </w:r>
            <w:r w:rsidRPr="00861D72">
              <w:rPr>
                <w:rFonts w:ascii="David" w:hAnsi="David" w:hint="cs"/>
                <w:szCs w:val="20"/>
                <w:rtl/>
              </w:rPr>
              <w:t>ל</w:t>
            </w:r>
            <w:r w:rsidRPr="00861D72">
              <w:rPr>
                <w:rFonts w:ascii="David" w:hAnsi="David"/>
                <w:szCs w:val="20"/>
                <w:rtl/>
              </w:rPr>
              <w:t>-</w:t>
            </w:r>
            <w:r w:rsidRPr="00861D72">
              <w:rPr>
                <w:rFonts w:ascii="David" w:hAnsi="David" w:hint="cs"/>
                <w:szCs w:val="20"/>
                <w:rtl/>
              </w:rPr>
              <w:t>39.9%</w:t>
            </w:r>
            <w:r w:rsidRPr="00861D72">
              <w:rPr>
                <w:rFonts w:ascii="David" w:hAnsi="David"/>
                <w:szCs w:val="20"/>
                <w:rtl/>
              </w:rPr>
              <w:t xml:space="preserve"> בקרב גברים בשנת 2030 ועל כן אינו צפוי לעמוד ביעדי הממשלה לשנת 2030 (28.5% לנשים ו-43.5% לגברים)</w:t>
            </w:r>
            <w:r w:rsidRPr="00861D72">
              <w:rPr>
                <w:rFonts w:ascii="David" w:hAnsi="David" w:hint="cs"/>
                <w:szCs w:val="20"/>
                <w:rtl/>
              </w:rPr>
              <w:t>. (ראו הרחבה בפרק בנושא השמירה על רווחת האוכלוסייה המזדקנת)</w:t>
            </w:r>
          </w:p>
        </w:tc>
      </w:tr>
      <w:tr w:rsidTr="00AB5D27">
        <w:tblPrEx>
          <w:tblW w:w="8410" w:type="dxa"/>
          <w:tblInd w:w="30" w:type="dxa"/>
          <w:tblLook w:val="04A0"/>
        </w:tblPrEx>
        <w:tc>
          <w:tcPr>
            <w:tcW w:w="1619" w:type="dxa"/>
            <w:tcBorders>
              <w:right w:val="nil"/>
            </w:tcBorders>
            <w:shd w:val="clear" w:color="auto" w:fill="D2E5FD"/>
          </w:tcPr>
          <w:p w:rsidR="00861D72" w:rsidRPr="00861D72" w:rsidP="00F90255">
            <w:pPr>
              <w:widowControl w:val="0"/>
              <w:spacing w:line="269" w:lineRule="auto"/>
              <w:rPr>
                <w:szCs w:val="20"/>
                <w:rtl/>
                <w:lang w:eastAsia="he-IL"/>
              </w:rPr>
            </w:pPr>
            <w:r w:rsidRPr="00861D72">
              <w:rPr>
                <w:rFonts w:hint="cs"/>
                <w:szCs w:val="20"/>
                <w:rtl/>
              </w:rPr>
              <w:t>היערכות של מערכות הסיעוד והבריאות</w:t>
            </w:r>
          </w:p>
        </w:tc>
        <w:tc>
          <w:tcPr>
            <w:tcW w:w="2976" w:type="dxa"/>
            <w:tcBorders>
              <w:left w:val="nil"/>
              <w:right w:val="nil"/>
            </w:tcBorders>
          </w:tcPr>
          <w:p w:rsidR="00861D72" w:rsidRPr="00861D72" w:rsidP="00F90255">
            <w:pPr>
              <w:widowControl w:val="0"/>
              <w:spacing w:line="269" w:lineRule="auto"/>
              <w:rPr>
                <w:szCs w:val="20"/>
              </w:rPr>
            </w:pPr>
            <w:r w:rsidRPr="00861D72">
              <w:rPr>
                <w:rFonts w:hint="cs"/>
                <w:szCs w:val="20"/>
                <w:rtl/>
              </w:rPr>
              <w:t xml:space="preserve">החלטת הממשלה 150: משרד הבריאות ציין לפני הממשלה כי </w:t>
            </w:r>
            <w:r w:rsidRPr="00861D72">
              <w:rPr>
                <w:szCs w:val="20"/>
                <w:rtl/>
              </w:rPr>
              <w:t xml:space="preserve">החל בגיבוש </w:t>
            </w:r>
            <w:r w:rsidRPr="00861D72">
              <w:rPr>
                <w:szCs w:val="20"/>
                <w:rtl/>
              </w:rPr>
              <w:t>תוכנית</w:t>
            </w:r>
            <w:r w:rsidRPr="00861D72">
              <w:rPr>
                <w:szCs w:val="20"/>
                <w:rtl/>
              </w:rPr>
              <w:t xml:space="preserve"> מקיפה להיערכות </w:t>
            </w:r>
            <w:r w:rsidRPr="00861D72">
              <w:rPr>
                <w:rFonts w:hint="cs"/>
                <w:szCs w:val="20"/>
                <w:rtl/>
              </w:rPr>
              <w:t xml:space="preserve">של </w:t>
            </w:r>
            <w:r w:rsidRPr="00861D72">
              <w:rPr>
                <w:szCs w:val="20"/>
                <w:rtl/>
              </w:rPr>
              <w:t>מערכת הבריאות להזדקנות האוכלוסייה</w:t>
            </w:r>
            <w:r w:rsidRPr="00861D72">
              <w:rPr>
                <w:rFonts w:hint="cs"/>
                <w:szCs w:val="20"/>
                <w:rtl/>
              </w:rPr>
              <w:t xml:space="preserve">. התוכנית מתייחסת לצורכי המערכת ב- 20 השנים הקרובות מבחינת </w:t>
            </w:r>
            <w:r w:rsidRPr="00861D72">
              <w:rPr>
                <w:szCs w:val="20"/>
                <w:rtl/>
              </w:rPr>
              <w:t>משאבי כוח אדם, מיטות אשפוז, תקציבים, מחירים, כלים דיגיטליים ותשתיות</w:t>
            </w:r>
            <w:r w:rsidRPr="00861D72">
              <w:rPr>
                <w:rFonts w:hint="cs"/>
                <w:szCs w:val="20"/>
                <w:rtl/>
              </w:rPr>
              <w:t>.</w:t>
            </w:r>
            <w:r w:rsidRPr="00861D72">
              <w:rPr>
                <w:szCs w:val="20"/>
                <w:rtl/>
              </w:rPr>
              <w:t xml:space="preserve"> גיבוש עבודת </w:t>
            </w:r>
            <w:r w:rsidRPr="00861D72">
              <w:rPr>
                <w:rFonts w:hint="cs"/>
                <w:szCs w:val="20"/>
                <w:rtl/>
              </w:rPr>
              <w:t>ה</w:t>
            </w:r>
            <w:r w:rsidRPr="00861D72">
              <w:rPr>
                <w:szCs w:val="20"/>
                <w:rtl/>
              </w:rPr>
              <w:t xml:space="preserve">מטה </w:t>
            </w:r>
            <w:r w:rsidRPr="00861D72">
              <w:rPr>
                <w:rFonts w:hint="cs"/>
                <w:szCs w:val="20"/>
                <w:rtl/>
              </w:rPr>
              <w:t xml:space="preserve">נעשה </w:t>
            </w:r>
            <w:r w:rsidRPr="00861D72">
              <w:rPr>
                <w:szCs w:val="20"/>
                <w:rtl/>
              </w:rPr>
              <w:t>בשיתוף עם גורמי הממשלה הנוגעים בדבר</w:t>
            </w:r>
            <w:r w:rsidRPr="00861D72">
              <w:rPr>
                <w:rFonts w:hint="cs"/>
                <w:szCs w:val="20"/>
                <w:rtl/>
              </w:rPr>
              <w:t>, והוא היה אמור להיות מושלם עד</w:t>
            </w:r>
            <w:r w:rsidRPr="00861D72">
              <w:rPr>
                <w:szCs w:val="20"/>
                <w:rtl/>
              </w:rPr>
              <w:t xml:space="preserve"> ינואר 2016</w:t>
            </w:r>
            <w:r>
              <w:rPr>
                <w:szCs w:val="20"/>
                <w:vertAlign w:val="superscript"/>
                <w:rtl/>
                <w:lang w:eastAsia="he-IL"/>
              </w:rPr>
              <w:footnoteReference w:id="51"/>
            </w:r>
            <w:r w:rsidRPr="00861D72">
              <w:rPr>
                <w:szCs w:val="20"/>
                <w:rtl/>
              </w:rPr>
              <w:t>.</w:t>
            </w:r>
          </w:p>
        </w:tc>
        <w:tc>
          <w:tcPr>
            <w:tcW w:w="3815" w:type="dxa"/>
            <w:tcBorders>
              <w:left w:val="nil"/>
            </w:tcBorders>
          </w:tcPr>
          <w:p w:rsidR="00861D72" w:rsidRPr="00861D72" w:rsidP="00F90255">
            <w:pPr>
              <w:widowControl w:val="0"/>
              <w:spacing w:line="269" w:lineRule="auto"/>
              <w:rPr>
                <w:szCs w:val="20"/>
                <w:rtl/>
                <w:lang w:eastAsia="he-IL"/>
              </w:rPr>
            </w:pPr>
            <w:r w:rsidRPr="00861D72">
              <w:rPr>
                <w:noProof/>
              </w:rPr>
              <w:drawing>
                <wp:inline distT="0" distB="0" distL="0" distR="0">
                  <wp:extent cx="153670" cy="182880"/>
                  <wp:effectExtent l="0" t="0" r="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15"/>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3670" cy="182880"/>
                          </a:xfrm>
                          <a:prstGeom prst="rect">
                            <a:avLst/>
                          </a:prstGeom>
                          <a:noFill/>
                          <a:ln>
                            <a:noFill/>
                          </a:ln>
                        </pic:spPr>
                      </pic:pic>
                    </a:graphicData>
                  </a:graphic>
                </wp:inline>
              </w:drawing>
            </w:r>
            <w:r w:rsidRPr="00861D72">
              <w:rPr>
                <w:rFonts w:hint="cs"/>
                <w:szCs w:val="20"/>
                <w:rtl/>
                <w:lang w:eastAsia="he-IL"/>
              </w:rPr>
              <w:t xml:space="preserve"> משרד הבריאות לא גיבש </w:t>
            </w:r>
            <w:r w:rsidRPr="00861D72">
              <w:rPr>
                <w:rFonts w:hint="cs"/>
                <w:szCs w:val="20"/>
                <w:rtl/>
                <w:lang w:eastAsia="he-IL"/>
              </w:rPr>
              <w:t>תוכנית</w:t>
            </w:r>
            <w:r w:rsidRPr="00861D72">
              <w:rPr>
                <w:rFonts w:hint="cs"/>
                <w:szCs w:val="20"/>
                <w:rtl/>
                <w:lang w:eastAsia="he-IL"/>
              </w:rPr>
              <w:t xml:space="preserve"> אופרטיבית רב-שנתית כוללת ליישום המדיניות להיערכות להזדקנות האוכלוסייה. כמו כן קצב גידול מיטות האשפוז אינו תואם את קצב גידול האוכלוסייה, כך - </w:t>
            </w:r>
            <w:r w:rsidRPr="00861D72">
              <w:rPr>
                <w:szCs w:val="20"/>
                <w:rtl/>
                <w:lang w:eastAsia="he-IL"/>
              </w:rPr>
              <w:t>בין השנים 2020 - 2023 חלה ירידה של 16% במספר מיטות האשפוז הגריאטרי ל-1,000 איש בני 75 ומעלה בשנים אלה (מכ-65 מיטות לכ-55)</w:t>
            </w:r>
            <w:r w:rsidRPr="00861D72">
              <w:rPr>
                <w:rFonts w:hint="cs"/>
                <w:szCs w:val="20"/>
                <w:rtl/>
                <w:lang w:eastAsia="he-IL"/>
              </w:rPr>
              <w:t>; וקיים מחסור גדול ברופאים גריאטריי</w:t>
            </w:r>
            <w:r w:rsidRPr="00861D72">
              <w:rPr>
                <w:rFonts w:hint="eastAsia"/>
                <w:szCs w:val="20"/>
                <w:rtl/>
                <w:lang w:eastAsia="he-IL"/>
              </w:rPr>
              <w:t>ם</w:t>
            </w:r>
            <w:r w:rsidRPr="00861D72">
              <w:rPr>
                <w:rFonts w:hint="cs"/>
                <w:szCs w:val="20"/>
                <w:rtl/>
                <w:lang w:eastAsia="he-IL"/>
              </w:rPr>
              <w:t xml:space="preserve">. כך בין השנים 2020 </w:t>
            </w:r>
            <w:r w:rsidRPr="00861D72">
              <w:rPr>
                <w:szCs w:val="20"/>
                <w:rtl/>
                <w:lang w:eastAsia="he-IL"/>
              </w:rPr>
              <w:t>-</w:t>
            </w:r>
            <w:r w:rsidRPr="00861D72">
              <w:rPr>
                <w:rFonts w:hint="cs"/>
                <w:szCs w:val="20"/>
                <w:rtl/>
                <w:lang w:eastAsia="he-IL"/>
              </w:rPr>
              <w:t xml:space="preserve"> 2024 לא חל שינוי משמעותי במספר הרופאים הגריאטריים ל-1,000 איש בני 65 </w:t>
            </w:r>
            <w:r w:rsidRPr="00861D72">
              <w:rPr>
                <w:szCs w:val="20"/>
                <w:rtl/>
                <w:lang w:eastAsia="he-IL"/>
              </w:rPr>
              <w:t>-</w:t>
            </w:r>
            <w:r w:rsidRPr="00861D72">
              <w:rPr>
                <w:rFonts w:hint="cs"/>
                <w:szCs w:val="20"/>
                <w:rtl/>
                <w:lang w:eastAsia="he-IL"/>
              </w:rPr>
              <w:t xml:space="preserve"> 75 </w:t>
            </w:r>
            <w:r w:rsidRPr="00861D72">
              <w:rPr>
                <w:szCs w:val="20"/>
                <w:rtl/>
                <w:lang w:eastAsia="he-IL"/>
              </w:rPr>
              <w:t>(0.86 רופאים ב-2024 לעומת 0.72 רופאים ב-2020) וכן לבני 75 ומעלה (1.05 רופאים ב-2024 לעומת 1.07 רופאים ב-2020).</w:t>
            </w:r>
          </w:p>
          <w:p w:rsidR="00861D72" w:rsidRPr="00861D72" w:rsidP="00F90255">
            <w:pPr>
              <w:spacing w:line="269" w:lineRule="auto"/>
              <w:rPr>
                <w:rFonts w:ascii="David" w:hAnsi="David"/>
                <w:szCs w:val="20"/>
                <w:rtl/>
              </w:rPr>
            </w:pPr>
            <w:r w:rsidRPr="00861D72">
              <w:rPr>
                <w:rFonts w:ascii="David" w:hAnsi="David" w:hint="cs"/>
                <w:szCs w:val="20"/>
                <w:rtl/>
              </w:rPr>
              <w:t>(ראו הרחבה בפרק בנושא היערכות מערכת הבריאות בישראל להזדקנות האוכלוסייה).</w:t>
            </w:r>
          </w:p>
        </w:tc>
      </w:tr>
      <w:tr w:rsidTr="00AB5D27">
        <w:tblPrEx>
          <w:tblW w:w="8410" w:type="dxa"/>
          <w:tblInd w:w="30" w:type="dxa"/>
          <w:tblLook w:val="04A0"/>
        </w:tblPrEx>
        <w:tc>
          <w:tcPr>
            <w:tcW w:w="1619" w:type="dxa"/>
            <w:tcBorders>
              <w:right w:val="nil"/>
            </w:tcBorders>
            <w:shd w:val="clear" w:color="auto" w:fill="D2E5FD"/>
          </w:tcPr>
          <w:p w:rsidR="00861D72" w:rsidRPr="00861D72" w:rsidP="00F90255">
            <w:pPr>
              <w:widowControl w:val="0"/>
              <w:spacing w:line="269" w:lineRule="auto"/>
              <w:rPr>
                <w:szCs w:val="20"/>
                <w:rtl/>
              </w:rPr>
            </w:pPr>
            <w:r w:rsidRPr="00861D72">
              <w:rPr>
                <w:rFonts w:hint="cs"/>
                <w:szCs w:val="20"/>
                <w:rtl/>
              </w:rPr>
              <w:t>התאמה הדרגתית של גיל הפרישה</w:t>
            </w:r>
            <w:r>
              <w:rPr>
                <w:szCs w:val="20"/>
                <w:vertAlign w:val="superscript"/>
                <w:rtl/>
                <w:lang w:eastAsia="he-IL"/>
              </w:rPr>
              <w:footnoteReference w:id="52"/>
            </w:r>
          </w:p>
        </w:tc>
        <w:tc>
          <w:tcPr>
            <w:tcW w:w="2976" w:type="dxa"/>
            <w:tcBorders>
              <w:left w:val="nil"/>
              <w:right w:val="nil"/>
            </w:tcBorders>
          </w:tcPr>
          <w:p w:rsidR="00861D72" w:rsidRPr="00861D72" w:rsidP="00F90255">
            <w:pPr>
              <w:widowControl w:val="0"/>
              <w:spacing w:line="269" w:lineRule="auto"/>
              <w:rPr>
                <w:szCs w:val="20"/>
                <w:rtl/>
              </w:rPr>
            </w:pPr>
            <w:r w:rsidRPr="00861D72">
              <w:rPr>
                <w:szCs w:val="20"/>
                <w:rtl/>
              </w:rPr>
              <w:t xml:space="preserve">החלטת </w:t>
            </w:r>
            <w:r w:rsidRPr="00861D72">
              <w:rPr>
                <w:rFonts w:hint="cs"/>
                <w:szCs w:val="20"/>
                <w:rtl/>
              </w:rPr>
              <w:t>ה</w:t>
            </w:r>
            <w:r w:rsidRPr="00861D72">
              <w:rPr>
                <w:szCs w:val="20"/>
                <w:rtl/>
              </w:rPr>
              <w:t>ממשלה 197</w:t>
            </w:r>
            <w:r w:rsidRPr="00861D72">
              <w:rPr>
                <w:rFonts w:hint="cs"/>
                <w:szCs w:val="20"/>
                <w:rtl/>
              </w:rPr>
              <w:t>:</w:t>
            </w:r>
            <w:r w:rsidRPr="00861D72">
              <w:rPr>
                <w:szCs w:val="20"/>
                <w:rtl/>
              </w:rPr>
              <w:t xml:space="preserve"> </w:t>
            </w:r>
            <w:r w:rsidRPr="00861D72">
              <w:rPr>
                <w:rFonts w:hint="cs"/>
                <w:szCs w:val="20"/>
                <w:rtl/>
              </w:rPr>
              <w:t>לתקן את חוק גיל הפרישה, כך שגיל הפרישה לאישה יעלה בהדרגה לגיל 65.</w:t>
            </w:r>
          </w:p>
        </w:tc>
        <w:tc>
          <w:tcPr>
            <w:tcW w:w="3815" w:type="dxa"/>
            <w:tcBorders>
              <w:left w:val="nil"/>
            </w:tcBorders>
          </w:tcPr>
          <w:p w:rsidR="00861D72" w:rsidRPr="00861D72" w:rsidP="00F90255">
            <w:pPr>
              <w:widowControl w:val="0"/>
              <w:spacing w:line="269" w:lineRule="auto"/>
              <w:rPr>
                <w:szCs w:val="20"/>
                <w:rtl/>
                <w:lang w:eastAsia="he-IL"/>
              </w:rPr>
            </w:pPr>
            <w:r w:rsidRPr="00861D72">
              <w:rPr>
                <w:noProof/>
                <w:szCs w:val="20"/>
              </w:rPr>
              <w:drawing>
                <wp:inline distT="0" distB="0" distL="0" distR="0">
                  <wp:extent cx="274320" cy="182880"/>
                  <wp:effectExtent l="0" t="0" r="0" b="762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 cy="182880"/>
                          </a:xfrm>
                          <a:prstGeom prst="rect">
                            <a:avLst/>
                          </a:prstGeom>
                          <a:noFill/>
                          <a:ln>
                            <a:noFill/>
                          </a:ln>
                        </pic:spPr>
                      </pic:pic>
                    </a:graphicData>
                  </a:graphic>
                </wp:inline>
              </w:drawing>
            </w:r>
            <w:r w:rsidRPr="00861D72">
              <w:rPr>
                <w:rFonts w:hint="cs"/>
                <w:szCs w:val="20"/>
                <w:rtl/>
                <w:lang w:eastAsia="he-IL"/>
              </w:rPr>
              <w:t xml:space="preserve"> גיל הפרישה לנשים הועלה, אך גיל הפרישה אינו תואם את העלייה בתוחלת החיים.</w:t>
            </w:r>
          </w:p>
          <w:p w:rsidR="00861D72" w:rsidRPr="00861D72" w:rsidP="00F90255">
            <w:pPr>
              <w:widowControl w:val="0"/>
              <w:spacing w:line="269" w:lineRule="auto"/>
              <w:rPr>
                <w:szCs w:val="20"/>
              </w:rPr>
            </w:pPr>
            <w:r w:rsidRPr="00861D72">
              <w:rPr>
                <w:rFonts w:ascii="David" w:hAnsi="David" w:hint="cs"/>
                <w:szCs w:val="20"/>
                <w:rtl/>
              </w:rPr>
              <w:t>(ראו הרחבה בפרק בנושא השמירה על רווחת האוכלוסייה המזדקנת)</w:t>
            </w:r>
          </w:p>
        </w:tc>
      </w:tr>
      <w:bookmarkEnd w:id="18"/>
    </w:tbl>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cs"/>
          <w:b/>
          <w:bCs/>
          <w:rtl/>
          <w:lang w:eastAsia="he-IL"/>
        </w:rPr>
        <w:t xml:space="preserve">מהלוח עולה כי </w:t>
      </w:r>
      <w:bookmarkStart w:id="20" w:name="_Hlk222218784"/>
      <w:r w:rsidRPr="00861D72">
        <w:rPr>
          <w:rFonts w:eastAsia="Calibri" w:hint="cs"/>
          <w:b/>
          <w:bCs/>
          <w:rtl/>
          <w:lang w:eastAsia="he-IL"/>
        </w:rPr>
        <w:t>ארבעת כיווני הפעולה להיערכות המדינה להזדקנות האוכלוסייה אשר נבדקו בדוח זה לא יושמו או יושמו באופן חלקי. כך, הג</w:t>
      </w:r>
      <w:r w:rsidR="00EF461F">
        <w:rPr>
          <w:rFonts w:eastAsia="Calibri" w:hint="cs"/>
          <w:b/>
          <w:bCs/>
          <w:rtl/>
          <w:lang w:eastAsia="he-IL"/>
        </w:rPr>
        <w:t>י</w:t>
      </w:r>
      <w:r w:rsidRPr="00861D72">
        <w:rPr>
          <w:rFonts w:eastAsia="Calibri" w:hint="cs"/>
          <w:b/>
          <w:bCs/>
          <w:rtl/>
          <w:lang w:eastAsia="he-IL"/>
        </w:rPr>
        <w:t xml:space="preserve">רעון האקטוארי של </w:t>
      </w:r>
      <w:r w:rsidRPr="00861D72">
        <w:rPr>
          <w:rFonts w:eastAsia="Calibri" w:hint="cs"/>
          <w:b/>
          <w:bCs/>
          <w:rtl/>
          <w:lang w:eastAsia="he-IL"/>
        </w:rPr>
        <w:t>בט"ל</w:t>
      </w:r>
      <w:r w:rsidRPr="00861D72">
        <w:rPr>
          <w:rFonts w:eastAsia="Calibri" w:hint="cs"/>
          <w:b/>
          <w:bCs/>
          <w:rtl/>
          <w:lang w:eastAsia="he-IL"/>
        </w:rPr>
        <w:t xml:space="preserve"> גדל, גיל הפרישה לא הותאם לתוחלת החיים, </w:t>
      </w:r>
      <w:r w:rsidRPr="00861D72">
        <w:rPr>
          <w:rFonts w:eastAsia="Calibri"/>
          <w:b/>
          <w:bCs/>
          <w:rtl/>
          <w:lang w:eastAsia="he-IL"/>
        </w:rPr>
        <w:t>שיעור ההשתתפות של אזרחים ותיקים בתעסוקה</w:t>
      </w:r>
      <w:r w:rsidRPr="00861D72">
        <w:rPr>
          <w:rFonts w:eastAsia="Calibri" w:hint="cs"/>
          <w:b/>
          <w:bCs/>
          <w:rtl/>
          <w:lang w:eastAsia="he-IL"/>
        </w:rPr>
        <w:t xml:space="preserve"> אינו צפוי לעמוד ביעד שהציבה הממשלה לשנת 2030 וכן יש מחסור במיטות אשפוז וברופאים גריאטריים (0.86 רופאים גריאטריים ל-1,000 איש בני 65 -75, ו-1.05 לבני 75 ומעלה בשנת 2024).</w:t>
      </w:r>
    </w:p>
    <w:bookmarkEnd w:id="20"/>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b/>
          <w:bCs/>
          <w:rtl/>
          <w:lang w:eastAsia="he-IL"/>
        </w:rPr>
        <w:t xml:space="preserve">ממצאים אלה מעידים כי </w:t>
      </w:r>
      <w:bookmarkStart w:id="21" w:name="_Hlk222218871"/>
      <w:r w:rsidRPr="00861D72">
        <w:rPr>
          <w:rFonts w:eastAsia="Calibri" w:hint="cs"/>
          <w:b/>
          <w:bCs/>
          <w:rtl/>
          <w:lang w:eastAsia="he-IL"/>
        </w:rPr>
        <w:t xml:space="preserve">חלף </w:t>
      </w:r>
      <w:r w:rsidRPr="00861D72">
        <w:rPr>
          <w:rFonts w:eastAsia="Calibri"/>
          <w:b/>
          <w:bCs/>
          <w:rtl/>
          <w:lang w:eastAsia="he-IL"/>
        </w:rPr>
        <w:t xml:space="preserve">עשור </w:t>
      </w:r>
      <w:r w:rsidRPr="00861D72">
        <w:rPr>
          <w:rFonts w:eastAsia="Calibri" w:hint="cs"/>
          <w:b/>
          <w:bCs/>
          <w:rtl/>
          <w:lang w:eastAsia="he-IL"/>
        </w:rPr>
        <w:t xml:space="preserve">מהחלטות הממשלה 145 ו-150 בשנת 2015, אשר הציבו </w:t>
      </w:r>
      <w:r w:rsidRPr="00861D72">
        <w:rPr>
          <w:rFonts w:eastAsia="Calibri" w:hint="eastAsia"/>
          <w:b/>
          <w:bCs/>
          <w:rtl/>
        </w:rPr>
        <w:t>את</w:t>
      </w:r>
      <w:r w:rsidRPr="00861D72">
        <w:rPr>
          <w:rFonts w:eastAsia="Calibri"/>
          <w:b/>
          <w:bCs/>
          <w:rtl/>
        </w:rPr>
        <w:t xml:space="preserve"> ההיערכות להזדקנות האוכלוסייה כנושא אסטרטגי </w:t>
      </w:r>
      <w:r w:rsidRPr="00861D72">
        <w:rPr>
          <w:rFonts w:eastAsia="Calibri" w:hint="eastAsia"/>
          <w:b/>
          <w:bCs/>
          <w:rtl/>
        </w:rPr>
        <w:t>והטילו</w:t>
      </w:r>
      <w:r w:rsidRPr="00861D72">
        <w:rPr>
          <w:rFonts w:eastAsia="Calibri"/>
          <w:b/>
          <w:bCs/>
          <w:rtl/>
        </w:rPr>
        <w:t xml:space="preserve"> על </w:t>
      </w:r>
      <w:r w:rsidRPr="00861D72">
        <w:rPr>
          <w:rFonts w:eastAsia="Calibri"/>
          <w:b/>
          <w:bCs/>
          <w:rtl/>
          <w:lang w:eastAsia="he-IL"/>
        </w:rPr>
        <w:t xml:space="preserve">שרי הממשלה </w:t>
      </w:r>
      <w:r w:rsidRPr="00861D72">
        <w:rPr>
          <w:rFonts w:eastAsia="Calibri" w:hint="eastAsia"/>
          <w:b/>
          <w:bCs/>
          <w:rtl/>
          <w:lang w:eastAsia="he-IL"/>
        </w:rPr>
        <w:t>ליישמה</w:t>
      </w:r>
      <w:r w:rsidRPr="00861D72">
        <w:rPr>
          <w:rFonts w:eastAsia="Calibri"/>
          <w:b/>
          <w:bCs/>
          <w:rtl/>
          <w:lang w:eastAsia="he-IL"/>
        </w:rPr>
        <w:t xml:space="preserve"> </w:t>
      </w:r>
      <w:r w:rsidRPr="00861D72">
        <w:rPr>
          <w:rFonts w:eastAsia="Calibri" w:hint="eastAsia"/>
          <w:b/>
          <w:bCs/>
          <w:rtl/>
          <w:lang w:eastAsia="he-IL"/>
        </w:rPr>
        <w:t>במסגרת</w:t>
      </w:r>
      <w:r w:rsidRPr="00861D72">
        <w:rPr>
          <w:rFonts w:eastAsia="Calibri"/>
          <w:b/>
          <w:bCs/>
          <w:rtl/>
          <w:lang w:eastAsia="he-IL"/>
        </w:rPr>
        <w:t xml:space="preserve"> </w:t>
      </w:r>
      <w:r w:rsidRPr="00861D72">
        <w:rPr>
          <w:rFonts w:eastAsia="Calibri"/>
          <w:b/>
          <w:bCs/>
          <w:rtl/>
          <w:lang w:eastAsia="he-IL"/>
        </w:rPr>
        <w:t>ת</w:t>
      </w:r>
      <w:r w:rsidRPr="00861D72">
        <w:rPr>
          <w:rFonts w:eastAsia="Calibri" w:hint="cs"/>
          <w:b/>
          <w:bCs/>
          <w:rtl/>
          <w:lang w:eastAsia="he-IL"/>
        </w:rPr>
        <w:t>ו</w:t>
      </w:r>
      <w:r w:rsidRPr="00861D72">
        <w:rPr>
          <w:rFonts w:eastAsia="Calibri"/>
          <w:b/>
          <w:bCs/>
          <w:rtl/>
          <w:lang w:eastAsia="he-IL"/>
        </w:rPr>
        <w:t>כניות</w:t>
      </w:r>
      <w:r w:rsidRPr="00861D72">
        <w:rPr>
          <w:rFonts w:eastAsia="Calibri"/>
          <w:b/>
          <w:bCs/>
          <w:rtl/>
          <w:lang w:eastAsia="he-IL"/>
        </w:rPr>
        <w:t xml:space="preserve"> עבודה שנתיות </w:t>
      </w:r>
      <w:r w:rsidRPr="00861D72">
        <w:rPr>
          <w:rFonts w:eastAsia="Calibri" w:hint="eastAsia"/>
          <w:b/>
          <w:bCs/>
          <w:rtl/>
        </w:rPr>
        <w:t>במשרדיהם</w:t>
      </w:r>
      <w:bookmarkEnd w:id="21"/>
      <w:r w:rsidRPr="00861D72">
        <w:rPr>
          <w:rFonts w:eastAsia="Calibri" w:hint="cs"/>
          <w:b/>
          <w:bCs/>
          <w:rtl/>
        </w:rPr>
        <w:t>,</w:t>
      </w:r>
      <w:r w:rsidRPr="00861D72">
        <w:rPr>
          <w:rFonts w:eastAsia="Calibri"/>
          <w:b/>
          <w:bCs/>
          <w:rtl/>
        </w:rPr>
        <w:t xml:space="preserve"> </w:t>
      </w:r>
      <w:r w:rsidRPr="00861D72">
        <w:rPr>
          <w:rFonts w:eastAsia="Calibri" w:hint="eastAsia"/>
          <w:b/>
          <w:bCs/>
          <w:rtl/>
        </w:rPr>
        <w:t>בין</w:t>
      </w:r>
      <w:r w:rsidRPr="00861D72">
        <w:rPr>
          <w:rFonts w:eastAsia="Calibri"/>
          <w:b/>
          <w:bCs/>
          <w:rtl/>
        </w:rPr>
        <w:t xml:space="preserve"> השאר בכל הנוגע לה</w:t>
      </w:r>
      <w:r w:rsidRPr="00861D72">
        <w:rPr>
          <w:rFonts w:eastAsia="Calibri" w:hint="cs"/>
          <w:b/>
          <w:bCs/>
          <w:rtl/>
        </w:rPr>
        <w:t>י</w:t>
      </w:r>
      <w:r w:rsidRPr="00861D72">
        <w:rPr>
          <w:rFonts w:eastAsia="Calibri"/>
          <w:b/>
          <w:bCs/>
          <w:rtl/>
        </w:rPr>
        <w:t xml:space="preserve">ערכות מערכת הבריאות והסיעוד </w:t>
      </w:r>
      <w:r w:rsidRPr="00861D72">
        <w:rPr>
          <w:rFonts w:eastAsia="Calibri" w:hint="eastAsia"/>
          <w:b/>
          <w:bCs/>
          <w:rtl/>
        </w:rPr>
        <w:t>להזדקנות</w:t>
      </w:r>
      <w:r w:rsidRPr="00861D72">
        <w:rPr>
          <w:rFonts w:eastAsia="Calibri"/>
          <w:b/>
          <w:bCs/>
          <w:rtl/>
        </w:rPr>
        <w:t xml:space="preserve"> </w:t>
      </w:r>
      <w:r w:rsidRPr="00861D72">
        <w:rPr>
          <w:rFonts w:eastAsia="Calibri" w:hint="eastAsia"/>
          <w:b/>
          <w:bCs/>
          <w:rtl/>
        </w:rPr>
        <w:t>האוכלוסייה</w:t>
      </w:r>
      <w:r w:rsidRPr="00861D72">
        <w:rPr>
          <w:rFonts w:eastAsia="Calibri"/>
          <w:b/>
          <w:bCs/>
          <w:rtl/>
        </w:rPr>
        <w:t xml:space="preserve">, </w:t>
      </w:r>
      <w:r w:rsidRPr="00861D72">
        <w:rPr>
          <w:rFonts w:eastAsia="Calibri" w:hint="cs"/>
          <w:b/>
          <w:bCs/>
          <w:rtl/>
        </w:rPr>
        <w:t>ל</w:t>
      </w:r>
      <w:r w:rsidRPr="00861D72">
        <w:rPr>
          <w:rFonts w:eastAsia="Calibri" w:hint="eastAsia"/>
          <w:b/>
          <w:bCs/>
          <w:rtl/>
        </w:rPr>
        <w:t>שילוב</w:t>
      </w:r>
      <w:r w:rsidRPr="00861D72">
        <w:rPr>
          <w:rFonts w:eastAsia="Calibri"/>
          <w:b/>
          <w:bCs/>
          <w:rtl/>
        </w:rPr>
        <w:t xml:space="preserve"> </w:t>
      </w:r>
      <w:r w:rsidRPr="00861D72">
        <w:rPr>
          <w:rFonts w:eastAsia="Calibri" w:hint="eastAsia"/>
          <w:b/>
          <w:bCs/>
          <w:rtl/>
        </w:rPr>
        <w:t>מבוגרים</w:t>
      </w:r>
      <w:r w:rsidRPr="00861D72">
        <w:rPr>
          <w:rFonts w:eastAsia="Calibri"/>
          <w:b/>
          <w:bCs/>
          <w:rtl/>
        </w:rPr>
        <w:t xml:space="preserve"> </w:t>
      </w:r>
      <w:r w:rsidRPr="00861D72">
        <w:rPr>
          <w:rFonts w:eastAsia="Calibri" w:hint="eastAsia"/>
          <w:b/>
          <w:bCs/>
          <w:rtl/>
        </w:rPr>
        <w:t>בקהילה</w:t>
      </w:r>
      <w:r w:rsidRPr="00861D72">
        <w:rPr>
          <w:rFonts w:eastAsia="Calibri"/>
          <w:b/>
          <w:bCs/>
          <w:rtl/>
        </w:rPr>
        <w:t>,</w:t>
      </w:r>
      <w:r w:rsidRPr="00861D72">
        <w:rPr>
          <w:rFonts w:eastAsia="Calibri" w:hint="cs"/>
          <w:b/>
          <w:bCs/>
          <w:rtl/>
        </w:rPr>
        <w:t xml:space="preserve"> ל</w:t>
      </w:r>
      <w:r w:rsidRPr="00861D72">
        <w:rPr>
          <w:rFonts w:eastAsia="Calibri" w:hint="eastAsia"/>
          <w:b/>
          <w:bCs/>
          <w:rtl/>
        </w:rPr>
        <w:t>התאמה</w:t>
      </w:r>
      <w:r w:rsidRPr="00861D72">
        <w:rPr>
          <w:rFonts w:eastAsia="Calibri"/>
          <w:b/>
          <w:bCs/>
          <w:rtl/>
        </w:rPr>
        <w:t xml:space="preserve"> הדרגתית של גיל הפרישה ו</w:t>
      </w:r>
      <w:r w:rsidRPr="00861D72">
        <w:rPr>
          <w:rFonts w:eastAsia="Calibri" w:hint="cs"/>
          <w:b/>
          <w:bCs/>
          <w:rtl/>
        </w:rPr>
        <w:t>ל</w:t>
      </w:r>
      <w:r w:rsidRPr="00861D72">
        <w:rPr>
          <w:rFonts w:eastAsia="Calibri"/>
          <w:b/>
          <w:bCs/>
          <w:rtl/>
        </w:rPr>
        <w:t>טיפול בג</w:t>
      </w:r>
      <w:r w:rsidRPr="00861D72">
        <w:rPr>
          <w:rFonts w:eastAsia="Calibri" w:hint="cs"/>
          <w:b/>
          <w:bCs/>
          <w:rtl/>
        </w:rPr>
        <w:t>י</w:t>
      </w:r>
      <w:r w:rsidRPr="00861D72">
        <w:rPr>
          <w:rFonts w:eastAsia="Calibri"/>
          <w:b/>
          <w:bCs/>
          <w:rtl/>
        </w:rPr>
        <w:t xml:space="preserve">רעון </w:t>
      </w:r>
      <w:r w:rsidRPr="00861D72">
        <w:rPr>
          <w:rFonts w:eastAsia="Calibri" w:hint="eastAsia"/>
          <w:b/>
          <w:bCs/>
          <w:rtl/>
        </w:rPr>
        <w:t>בט</w:t>
      </w:r>
      <w:r w:rsidRPr="00861D72">
        <w:rPr>
          <w:rFonts w:eastAsia="Calibri"/>
          <w:b/>
          <w:bCs/>
          <w:rtl/>
        </w:rPr>
        <w:t>"ל</w:t>
      </w:r>
      <w:r w:rsidRPr="00861D72">
        <w:rPr>
          <w:rFonts w:eastAsia="Calibri" w:hint="cs"/>
          <w:b/>
          <w:bCs/>
          <w:rtl/>
        </w:rPr>
        <w:t>.</w:t>
      </w:r>
      <w:r w:rsidRPr="00861D72">
        <w:rPr>
          <w:rFonts w:eastAsia="Calibri"/>
          <w:b/>
          <w:bCs/>
          <w:rtl/>
          <w:lang w:eastAsia="he-IL"/>
        </w:rPr>
        <w:t xml:space="preserve"> </w:t>
      </w:r>
      <w:r w:rsidRPr="00861D72">
        <w:rPr>
          <w:rFonts w:eastAsia="Calibri" w:hint="cs"/>
          <w:b/>
          <w:bCs/>
          <w:rtl/>
          <w:lang w:eastAsia="he-IL"/>
        </w:rPr>
        <w:t xml:space="preserve">חרף זאת </w:t>
      </w:r>
      <w:bookmarkStart w:id="22" w:name="_Hlk222218890"/>
      <w:r w:rsidRPr="00861D72">
        <w:rPr>
          <w:rFonts w:eastAsia="Calibri" w:hint="cs"/>
          <w:b/>
          <w:bCs/>
          <w:rtl/>
          <w:lang w:eastAsia="he-IL"/>
        </w:rPr>
        <w:t xml:space="preserve">גופי הממשל הרלוונטיים, ובהם </w:t>
      </w:r>
      <w:r w:rsidRPr="00861D72">
        <w:rPr>
          <w:rFonts w:eastAsia="Calibri" w:hint="cs"/>
          <w:b/>
          <w:bCs/>
          <w:rtl/>
          <w:lang w:eastAsia="he-IL"/>
        </w:rPr>
        <w:t>בט"ל</w:t>
      </w:r>
      <w:r w:rsidRPr="00861D72">
        <w:rPr>
          <w:rFonts w:eastAsia="Calibri" w:hint="cs"/>
          <w:b/>
          <w:bCs/>
          <w:rtl/>
          <w:lang w:eastAsia="he-IL"/>
        </w:rPr>
        <w:t xml:space="preserve">, משרד הבריאות, משרד הרווחה והמשרד לשוויון חברתי, </w:t>
      </w:r>
      <w:r w:rsidRPr="00861D72">
        <w:rPr>
          <w:rFonts w:eastAsia="Calibri"/>
          <w:b/>
          <w:bCs/>
          <w:rtl/>
          <w:lang w:eastAsia="he-IL"/>
        </w:rPr>
        <w:t>טרם גיבש</w:t>
      </w:r>
      <w:r w:rsidRPr="00861D72">
        <w:rPr>
          <w:rFonts w:eastAsia="Calibri" w:hint="cs"/>
          <w:b/>
          <w:bCs/>
          <w:rtl/>
          <w:lang w:eastAsia="he-IL"/>
        </w:rPr>
        <w:t>ו</w:t>
      </w:r>
      <w:r w:rsidRPr="00861D72">
        <w:rPr>
          <w:rFonts w:eastAsia="Calibri"/>
          <w:b/>
          <w:bCs/>
          <w:rtl/>
          <w:lang w:eastAsia="he-IL"/>
        </w:rPr>
        <w:t xml:space="preserve"> מענה מערכתי, מתואם וארוך טווח </w:t>
      </w:r>
      <w:r w:rsidRPr="00861D72">
        <w:rPr>
          <w:rFonts w:eastAsia="Calibri" w:hint="cs"/>
          <w:b/>
          <w:bCs/>
          <w:rtl/>
          <w:lang w:eastAsia="he-IL"/>
        </w:rPr>
        <w:t>-</w:t>
      </w:r>
      <w:r w:rsidRPr="00861D72">
        <w:rPr>
          <w:rFonts w:eastAsia="Calibri"/>
          <w:b/>
          <w:bCs/>
          <w:rtl/>
          <w:lang w:eastAsia="he-IL"/>
        </w:rPr>
        <w:t xml:space="preserve"> ואינ</w:t>
      </w:r>
      <w:r w:rsidRPr="00861D72">
        <w:rPr>
          <w:rFonts w:eastAsia="Calibri" w:hint="cs"/>
          <w:b/>
          <w:bCs/>
          <w:rtl/>
          <w:lang w:eastAsia="he-IL"/>
        </w:rPr>
        <w:t>ם</w:t>
      </w:r>
      <w:r w:rsidRPr="00861D72">
        <w:rPr>
          <w:rFonts w:eastAsia="Calibri"/>
          <w:b/>
          <w:bCs/>
          <w:rtl/>
          <w:lang w:eastAsia="he-IL"/>
        </w:rPr>
        <w:t xml:space="preserve"> ערוכ</w:t>
      </w:r>
      <w:r w:rsidRPr="00861D72">
        <w:rPr>
          <w:rFonts w:eastAsia="Calibri" w:hint="cs"/>
          <w:b/>
          <w:bCs/>
          <w:rtl/>
          <w:lang w:eastAsia="he-IL"/>
        </w:rPr>
        <w:t>ים</w:t>
      </w:r>
      <w:r w:rsidRPr="00861D72">
        <w:rPr>
          <w:rFonts w:eastAsia="Calibri"/>
          <w:b/>
          <w:bCs/>
          <w:rtl/>
          <w:lang w:eastAsia="he-IL"/>
        </w:rPr>
        <w:t xml:space="preserve"> ל</w:t>
      </w:r>
      <w:r w:rsidRPr="00861D72">
        <w:rPr>
          <w:rFonts w:eastAsia="Calibri" w:hint="cs"/>
          <w:b/>
          <w:bCs/>
          <w:rtl/>
          <w:lang w:eastAsia="he-IL"/>
        </w:rPr>
        <w:t>הזדקנות האוכלוסייה, כפי שהגדירה המועצה הלאומית לכלכלה.</w:t>
      </w:r>
      <w:r w:rsidRPr="00861D72">
        <w:rPr>
          <w:rFonts w:eastAsia="Calibri" w:hint="cs"/>
          <w:b/>
          <w:bCs/>
          <w:rtl/>
        </w:rPr>
        <w:t xml:space="preserve"> </w:t>
      </w:r>
      <w:bookmarkEnd w:id="22"/>
      <w:r w:rsidRPr="00861D72">
        <w:rPr>
          <w:rFonts w:eastAsia="Calibri" w:hint="cs"/>
          <w:b/>
          <w:bCs/>
          <w:rtl/>
        </w:rPr>
        <w:t xml:space="preserve">כך לדוגמה, בדוח האקטוארי של </w:t>
      </w:r>
      <w:r w:rsidRPr="00861D72">
        <w:rPr>
          <w:rFonts w:eastAsia="Calibri" w:hint="cs"/>
          <w:b/>
          <w:bCs/>
          <w:rtl/>
        </w:rPr>
        <w:t>בט"ל</w:t>
      </w:r>
      <w:r w:rsidRPr="00861D72">
        <w:rPr>
          <w:rFonts w:eastAsia="Calibri" w:hint="cs"/>
          <w:b/>
          <w:bCs/>
          <w:rtl/>
        </w:rPr>
        <w:t xml:space="preserve">, שיצא ב-2025, הוקדמה שנת איפוס הקרן ב-9 שנים, ביחס לדוח האקטוארי משנת 2020, משנת 2044 לשנת 2035. </w:t>
      </w:r>
      <w:r w:rsidRPr="00861D72">
        <w:rPr>
          <w:rFonts w:eastAsia="Calibri" w:hint="cs"/>
          <w:b/>
          <w:bCs/>
          <w:rtl/>
          <w:lang w:eastAsia="he-IL"/>
        </w:rPr>
        <w:t xml:space="preserve">משמעות הדבר היא </w:t>
      </w:r>
      <w:r w:rsidRPr="00861D72">
        <w:rPr>
          <w:rFonts w:eastAsia="Calibri" w:hint="cs"/>
          <w:b/>
          <w:bCs/>
          <w:rtl/>
          <w:lang w:eastAsia="he-IL"/>
        </w:rPr>
        <w:t>שבט"ל</w:t>
      </w:r>
      <w:r w:rsidRPr="00861D72">
        <w:rPr>
          <w:rFonts w:eastAsia="Calibri" w:hint="cs"/>
          <w:b/>
          <w:bCs/>
          <w:rtl/>
          <w:lang w:eastAsia="he-IL"/>
        </w:rPr>
        <w:t xml:space="preserve"> יתקשה להמשיך לשלם גמלאות, כדוגמת גמלת סיעוד וגמלת אזרח ותיק לזקנים העתידיים</w:t>
      </w:r>
      <w:r>
        <w:rPr>
          <w:rFonts w:eastAsia="Calibri"/>
          <w:b/>
          <w:bCs/>
          <w:vertAlign w:val="superscript"/>
          <w:rtl/>
          <w:lang w:eastAsia="he-IL"/>
        </w:rPr>
        <w:footnoteReference w:id="53"/>
      </w:r>
      <w:r w:rsidRPr="00861D72">
        <w:rPr>
          <w:rFonts w:eastAsia="Calibri" w:hint="cs"/>
          <w:b/>
          <w:bCs/>
          <w:rtl/>
          <w:lang w:eastAsia="he-IL"/>
        </w:rPr>
        <w:t xml:space="preserve">; </w:t>
      </w:r>
      <w:r w:rsidRPr="00861D72">
        <w:rPr>
          <w:rFonts w:eastAsia="Calibri" w:hint="cs"/>
          <w:b/>
          <w:bCs/>
          <w:rtl/>
        </w:rPr>
        <w:t>כמו כן, אף שחוק גיל הפרישה העלה את גיל הפרישה לנשים, לא נעשתה ההתאמה הנדרשת לשינוי שחל בתוחלת החיים</w:t>
      </w:r>
      <w:r>
        <w:rPr>
          <w:rFonts w:eastAsia="Calibri"/>
          <w:b/>
          <w:bCs/>
          <w:vertAlign w:val="superscript"/>
          <w:rtl/>
        </w:rPr>
        <w:footnoteReference w:id="54"/>
      </w:r>
      <w:r w:rsidRPr="00861D72">
        <w:rPr>
          <w:rFonts w:eastAsia="Calibri" w:hint="cs"/>
          <w:b/>
          <w:bCs/>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cs"/>
          <w:b/>
          <w:bCs/>
          <w:rtl/>
        </w:rPr>
        <w:t xml:space="preserve">מומלץ כי </w:t>
      </w:r>
      <w:r w:rsidRPr="00861D72">
        <w:rPr>
          <w:rFonts w:eastAsia="Calibri" w:hint="cs"/>
          <w:b/>
          <w:bCs/>
          <w:rtl/>
          <w:lang w:eastAsia="he-IL"/>
        </w:rPr>
        <w:t xml:space="preserve">גופי הממשל הרלוונטיים להיערכות להזדקנות האוכלוסייה ובהם, </w:t>
      </w:r>
      <w:r w:rsidRPr="00861D72">
        <w:rPr>
          <w:rFonts w:eastAsia="Calibri" w:hint="cs"/>
          <w:b/>
          <w:bCs/>
          <w:rtl/>
          <w:lang w:eastAsia="he-IL"/>
        </w:rPr>
        <w:t>בט"ל</w:t>
      </w:r>
      <w:r w:rsidRPr="00861D72">
        <w:rPr>
          <w:rFonts w:eastAsia="Calibri" w:hint="cs"/>
          <w:b/>
          <w:bCs/>
          <w:rtl/>
          <w:lang w:eastAsia="he-IL"/>
        </w:rPr>
        <w:t xml:space="preserve">, משרד הרווחה, המשרד לשוויון חברתי ומשרד הבריאות, יפעלו ליישום הערכת המצב האסטרטגית ויעדכנו בכל שנה את הממשלה על מצב ההתקדמות של היישום במשרדם. לשם כך מומלץ שיגבשו </w:t>
      </w:r>
      <w:r w:rsidRPr="00861D72">
        <w:rPr>
          <w:rFonts w:eastAsia="Calibri" w:hint="cs"/>
          <w:b/>
          <w:bCs/>
          <w:rtl/>
          <w:lang w:eastAsia="he-IL"/>
        </w:rPr>
        <w:t>תוכנית</w:t>
      </w:r>
      <w:r w:rsidRPr="00861D72">
        <w:rPr>
          <w:rFonts w:eastAsia="Calibri" w:hint="cs"/>
          <w:b/>
          <w:bCs/>
          <w:rtl/>
          <w:lang w:eastAsia="he-IL"/>
        </w:rPr>
        <w:t xml:space="preserve"> מתאר ליישום של כיווני הפעולה וכן </w:t>
      </w:r>
      <w:r w:rsidRPr="00861D72">
        <w:rPr>
          <w:rFonts w:eastAsia="Calibri" w:hint="cs"/>
          <w:b/>
          <w:bCs/>
          <w:rtl/>
          <w:lang w:eastAsia="he-IL"/>
        </w:rPr>
        <w:t>תוכניות</w:t>
      </w:r>
      <w:r w:rsidRPr="00861D72">
        <w:rPr>
          <w:rFonts w:eastAsia="Calibri" w:hint="cs"/>
          <w:b/>
          <w:bCs/>
          <w:rtl/>
          <w:lang w:eastAsia="he-IL"/>
        </w:rPr>
        <w:t xml:space="preserve"> עבודה שנתיות </w:t>
      </w:r>
      <w:r w:rsidRPr="00861D72">
        <w:rPr>
          <w:rFonts w:eastAsia="Calibri" w:hint="cs"/>
          <w:b/>
          <w:bCs/>
          <w:rtl/>
        </w:rPr>
        <w:t>במשרדיהם.</w:t>
      </w:r>
    </w:p>
    <w:p w:rsidR="00861D72" w:rsidRPr="00861D72" w:rsidP="00F90255">
      <w:pPr>
        <w:spacing w:line="269" w:lineRule="auto"/>
        <w:rPr>
          <w:rFonts w:eastAsia="Calibri"/>
          <w:b/>
          <w:bCs/>
          <w:rtl/>
          <w:lang w:eastAsia="he-IL"/>
        </w:rPr>
      </w:pPr>
    </w:p>
    <w:p w:rsidR="00861D72" w:rsidRPr="00861D72" w:rsidP="00F90255">
      <w:pPr>
        <w:keepNext/>
        <w:keepLines/>
        <w:spacing w:line="269" w:lineRule="auto"/>
        <w:outlineLvl w:val="3"/>
        <w:rPr>
          <w:rFonts w:eastAsia="Times New Roman"/>
          <w:bCs/>
          <w:szCs w:val="26"/>
          <w:rtl/>
          <w:lang w:eastAsia="he-IL"/>
        </w:rPr>
      </w:pPr>
      <w:r w:rsidRPr="00861D72">
        <w:rPr>
          <w:rFonts w:eastAsia="Calibri" w:hint="eastAsia"/>
          <w:bCs/>
          <w:szCs w:val="26"/>
          <w:rtl/>
          <w:lang w:eastAsia="he-IL"/>
        </w:rPr>
        <w:t>מעקב</w:t>
      </w:r>
      <w:r w:rsidRPr="00861D72">
        <w:rPr>
          <w:rFonts w:eastAsia="Calibri"/>
          <w:bCs/>
          <w:szCs w:val="26"/>
          <w:rtl/>
          <w:lang w:eastAsia="he-IL"/>
        </w:rPr>
        <w:t xml:space="preserve"> אחר יישום התוכנית האסטרטגית</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 xml:space="preserve">כאמור ממשלת ישראל בהחלטת הממשלה 145 </w:t>
      </w:r>
      <w:r w:rsidRPr="00861D72">
        <w:rPr>
          <w:rFonts w:eastAsia="Calibri" w:hint="cs"/>
          <w:rtl/>
        </w:rPr>
        <w:t xml:space="preserve">הציבה את ההיערכות להזדקנות האוכלוסייה כיעד אסטרטגי. </w:t>
      </w:r>
      <w:r w:rsidRPr="00861D72">
        <w:rPr>
          <w:rFonts w:eastAsia="Calibri" w:hint="cs"/>
          <w:rtl/>
          <w:lang w:eastAsia="he-IL"/>
        </w:rPr>
        <w:t>לפי החלטת ממשלה משנת 2012</w:t>
      </w:r>
      <w:r>
        <w:rPr>
          <w:rFonts w:eastAsia="Calibri"/>
          <w:vertAlign w:val="superscript"/>
          <w:rtl/>
          <w:lang w:eastAsia="he-IL"/>
        </w:rPr>
        <w:footnoteReference w:id="55"/>
      </w:r>
      <w:r w:rsidRPr="00861D72">
        <w:rPr>
          <w:rFonts w:eastAsia="Calibri" w:hint="cs"/>
          <w:rtl/>
          <w:lang w:eastAsia="he-IL"/>
        </w:rPr>
        <w:t xml:space="preserve">, הוקם הצוות לניהול אסטרטגיה בראשות מנכ"ל משרד </w:t>
      </w:r>
      <w:r w:rsidRPr="00861D72">
        <w:rPr>
          <w:rFonts w:eastAsia="Calibri" w:hint="cs"/>
          <w:rtl/>
        </w:rPr>
        <w:t>רה"ם</w:t>
      </w:r>
      <w:r w:rsidRPr="00861D72">
        <w:rPr>
          <w:rFonts w:eastAsia="Calibri" w:hint="cs"/>
          <w:rtl/>
        </w:rPr>
        <w:t xml:space="preserve"> ותפקידו, בין היתר, </w:t>
      </w:r>
      <w:r w:rsidRPr="00861D72">
        <w:rPr>
          <w:rFonts w:eastAsia="Calibri"/>
          <w:rtl/>
        </w:rPr>
        <w:t xml:space="preserve">לעקוב אחר תכנון מפורט ויישום של </w:t>
      </w:r>
      <w:r w:rsidRPr="00861D72">
        <w:rPr>
          <w:rFonts w:eastAsia="Calibri"/>
          <w:rtl/>
        </w:rPr>
        <w:t>ת</w:t>
      </w:r>
      <w:r w:rsidR="005167AC">
        <w:rPr>
          <w:rFonts w:eastAsia="Calibri" w:hint="cs"/>
          <w:rtl/>
        </w:rPr>
        <w:t>ו</w:t>
      </w:r>
      <w:r w:rsidRPr="00861D72">
        <w:rPr>
          <w:rFonts w:eastAsia="Calibri"/>
          <w:rtl/>
        </w:rPr>
        <w:t>כניות</w:t>
      </w:r>
      <w:r w:rsidRPr="00861D72">
        <w:rPr>
          <w:rFonts w:eastAsia="Calibri"/>
          <w:rtl/>
        </w:rPr>
        <w:t xml:space="preserve"> מתאר אסטרטגיות על-ידי הגורמים הרלוונטיים, ולהציג</w:t>
      </w:r>
      <w:r w:rsidRPr="00861D72">
        <w:rPr>
          <w:rFonts w:eastAsia="Calibri" w:hint="cs"/>
          <w:rtl/>
        </w:rPr>
        <w:t xml:space="preserve"> </w:t>
      </w:r>
      <w:r w:rsidRPr="00861D72">
        <w:rPr>
          <w:rFonts w:eastAsia="Calibri"/>
          <w:rtl/>
        </w:rPr>
        <w:t>עדכונים תקופתיים של פעם אחת בשנה לכל הפחות, בפני ועדת השרים, אם תוקם, או בפני הממשל</w:t>
      </w:r>
      <w:r w:rsidRPr="00861D72">
        <w:rPr>
          <w:rFonts w:eastAsia="Calibri" w:hint="cs"/>
          <w:rtl/>
        </w:rPr>
        <w:t>ה.</w:t>
      </w:r>
      <w:r w:rsidRPr="00861D72">
        <w:rPr>
          <w:rFonts w:eastAsia="Calibri" w:hint="cs"/>
          <w:rtl/>
          <w:lang w:eastAsia="he-IL"/>
        </w:rPr>
        <w:t xml:space="preserve"> על פי החלטה זו, המועצה הלאומית לכלכלה אחראית לרכז את עבודת הצוות. </w:t>
      </w:r>
      <w:r w:rsidRPr="00861D72">
        <w:rPr>
          <w:rFonts w:eastAsia="Calibri" w:hint="eastAsia"/>
          <w:rtl/>
          <w:lang w:eastAsia="he-IL"/>
        </w:rPr>
        <w:t>החלטת</w:t>
      </w:r>
      <w:r w:rsidRPr="00861D72">
        <w:rPr>
          <w:rFonts w:eastAsia="Calibri" w:hint="cs"/>
          <w:rtl/>
          <w:lang w:eastAsia="he-IL"/>
        </w:rPr>
        <w:t xml:space="preserve"> הממשלה</w:t>
      </w:r>
      <w:r w:rsidRPr="00861D72">
        <w:rPr>
          <w:rFonts w:eastAsia="Calibri"/>
          <w:rtl/>
          <w:lang w:eastAsia="he-IL"/>
        </w:rPr>
        <w:t xml:space="preserve"> 150 </w:t>
      </w:r>
      <w:r w:rsidRPr="00861D72">
        <w:rPr>
          <w:rFonts w:eastAsia="Calibri" w:hint="cs"/>
          <w:rtl/>
          <w:lang w:eastAsia="he-IL"/>
        </w:rPr>
        <w:t xml:space="preserve">קבעה כאמור כי </w:t>
      </w:r>
      <w:r w:rsidRPr="00861D72">
        <w:rPr>
          <w:rFonts w:eastAsia="Calibri" w:hint="eastAsia"/>
          <w:rtl/>
          <w:lang w:eastAsia="he-IL"/>
        </w:rPr>
        <w:t>על</w:t>
      </w:r>
      <w:r w:rsidRPr="00861D72">
        <w:rPr>
          <w:rFonts w:eastAsia="Calibri"/>
          <w:rtl/>
          <w:lang w:eastAsia="he-IL"/>
        </w:rPr>
        <w:t xml:space="preserve"> משרדי הממשלה </w:t>
      </w:r>
      <w:r w:rsidRPr="00861D72">
        <w:rPr>
          <w:rFonts w:eastAsia="Calibri" w:hint="cs"/>
          <w:rtl/>
          <w:lang w:eastAsia="he-IL"/>
        </w:rPr>
        <w:t>ה</w:t>
      </w:r>
      <w:r w:rsidRPr="00861D72">
        <w:rPr>
          <w:rFonts w:eastAsia="Calibri"/>
          <w:rtl/>
          <w:lang w:eastAsia="he-IL"/>
        </w:rPr>
        <w:t>אמורים ו</w:t>
      </w:r>
      <w:r w:rsidRPr="00861D72">
        <w:rPr>
          <w:rFonts w:eastAsia="Calibri" w:hint="cs"/>
          <w:rtl/>
          <w:lang w:eastAsia="he-IL"/>
        </w:rPr>
        <w:t xml:space="preserve">על </w:t>
      </w:r>
      <w:r w:rsidRPr="00861D72">
        <w:rPr>
          <w:rFonts w:eastAsia="Calibri"/>
          <w:rtl/>
          <w:lang w:eastAsia="he-IL"/>
        </w:rPr>
        <w:t xml:space="preserve">השרים </w:t>
      </w:r>
      <w:r w:rsidRPr="00861D72">
        <w:rPr>
          <w:rFonts w:eastAsia="Calibri" w:hint="eastAsia"/>
          <w:rtl/>
          <w:lang w:eastAsia="he-IL"/>
        </w:rPr>
        <w:t>שבראשיהם</w:t>
      </w:r>
      <w:r w:rsidRPr="00861D72">
        <w:rPr>
          <w:rFonts w:eastAsia="Calibri" w:hint="cs"/>
          <w:rtl/>
          <w:lang w:eastAsia="he-IL"/>
        </w:rPr>
        <w:t xml:space="preserve"> </w:t>
      </w:r>
      <w:r w:rsidRPr="00861D72">
        <w:rPr>
          <w:rFonts w:eastAsia="Calibri"/>
          <w:rtl/>
          <w:lang w:eastAsia="he-IL"/>
        </w:rPr>
        <w:t xml:space="preserve">לגבש </w:t>
      </w:r>
      <w:r w:rsidRPr="00861D72">
        <w:rPr>
          <w:rFonts w:eastAsia="Calibri" w:hint="eastAsia"/>
          <w:rtl/>
          <w:lang w:eastAsia="he-IL"/>
        </w:rPr>
        <w:t>תוכניות</w:t>
      </w:r>
      <w:r w:rsidRPr="00861D72">
        <w:rPr>
          <w:rFonts w:eastAsia="Calibri"/>
          <w:rtl/>
          <w:lang w:eastAsia="he-IL"/>
        </w:rPr>
        <w:t xml:space="preserve"> מתאר ליישום </w:t>
      </w:r>
      <w:r w:rsidRPr="00861D72">
        <w:rPr>
          <w:rFonts w:eastAsia="Calibri" w:hint="cs"/>
          <w:rtl/>
          <w:lang w:eastAsia="he-IL"/>
        </w:rPr>
        <w:t xml:space="preserve">של </w:t>
      </w:r>
      <w:r w:rsidRPr="00861D72">
        <w:rPr>
          <w:rFonts w:eastAsia="Calibri"/>
          <w:rtl/>
          <w:lang w:eastAsia="he-IL"/>
        </w:rPr>
        <w:t>כיווני הפעולה המפורטים בהערכת המצב האסטרטגית</w:t>
      </w:r>
      <w:r w:rsidRPr="00861D72">
        <w:rPr>
          <w:rFonts w:eastAsia="Calibri" w:hint="eastAsia"/>
          <w:rtl/>
          <w:lang w:eastAsia="he-IL"/>
        </w:rPr>
        <w:t xml:space="preserve"> בתיאום</w:t>
      </w:r>
      <w:r w:rsidRPr="00861D72">
        <w:rPr>
          <w:rFonts w:eastAsia="Calibri"/>
          <w:rtl/>
          <w:lang w:eastAsia="he-IL"/>
        </w:rPr>
        <w:t xml:space="preserve"> עם הצוות לניהול אסטרטגיה, </w:t>
      </w:r>
      <w:r w:rsidRPr="00861D72">
        <w:rPr>
          <w:rFonts w:eastAsia="Calibri" w:hint="eastAsia"/>
          <w:rtl/>
          <w:lang w:eastAsia="he-IL"/>
        </w:rPr>
        <w:t>ולהטמיען</w:t>
      </w:r>
      <w:r w:rsidRPr="00861D72">
        <w:rPr>
          <w:rFonts w:eastAsia="Calibri"/>
          <w:rtl/>
          <w:lang w:eastAsia="he-IL"/>
        </w:rPr>
        <w:t xml:space="preserve"> בת</w:t>
      </w:r>
      <w:r w:rsidRPr="00861D72">
        <w:rPr>
          <w:rFonts w:eastAsia="Calibri" w:hint="cs"/>
          <w:rtl/>
          <w:lang w:eastAsia="he-IL"/>
        </w:rPr>
        <w:t>ו</w:t>
      </w:r>
      <w:r w:rsidRPr="00861D72">
        <w:rPr>
          <w:rFonts w:eastAsia="Calibri"/>
          <w:rtl/>
          <w:lang w:eastAsia="he-IL"/>
        </w:rPr>
        <w:t>כניות העבודה השנתיות של משרדיה</w:t>
      </w:r>
      <w:r w:rsidRPr="00861D72">
        <w:rPr>
          <w:rFonts w:eastAsia="Calibri" w:hint="cs"/>
          <w:rtl/>
          <w:lang w:eastAsia="he-IL"/>
        </w:rPr>
        <w:t>ם.</w:t>
      </w:r>
      <w:r w:rsidRPr="00861D72">
        <w:rPr>
          <w:rFonts w:eastAsia="Calibri" w:hint="eastAsia"/>
          <w:rtl/>
          <w:lang w:eastAsia="he-IL"/>
        </w:rPr>
        <w:t xml:space="preserve"> כמו</w:t>
      </w:r>
      <w:r w:rsidRPr="00861D72">
        <w:rPr>
          <w:rFonts w:eastAsia="Calibri"/>
          <w:rtl/>
          <w:lang w:eastAsia="he-IL"/>
        </w:rPr>
        <w:t xml:space="preserve"> </w:t>
      </w:r>
      <w:r w:rsidRPr="00861D72">
        <w:rPr>
          <w:rFonts w:eastAsia="Calibri" w:hint="eastAsia"/>
          <w:rtl/>
          <w:lang w:eastAsia="he-IL"/>
        </w:rPr>
        <w:t>כן</w:t>
      </w:r>
      <w:r w:rsidRPr="00861D72">
        <w:rPr>
          <w:rFonts w:eastAsia="Calibri"/>
          <w:rtl/>
          <w:lang w:eastAsia="he-IL"/>
        </w:rPr>
        <w:t xml:space="preserve"> </w:t>
      </w:r>
      <w:r w:rsidRPr="00861D72">
        <w:rPr>
          <w:rFonts w:eastAsia="Calibri" w:hint="eastAsia"/>
          <w:rtl/>
          <w:lang w:eastAsia="he-IL"/>
        </w:rPr>
        <w:t>נקבע</w:t>
      </w:r>
      <w:r w:rsidRPr="00861D72">
        <w:rPr>
          <w:rFonts w:eastAsia="Calibri"/>
          <w:rtl/>
          <w:lang w:eastAsia="he-IL"/>
        </w:rPr>
        <w:t xml:space="preserve"> </w:t>
      </w:r>
      <w:r w:rsidRPr="00861D72">
        <w:rPr>
          <w:rFonts w:eastAsia="Calibri" w:hint="eastAsia"/>
          <w:rtl/>
          <w:lang w:eastAsia="he-IL"/>
        </w:rPr>
        <w:t>כי</w:t>
      </w:r>
      <w:r w:rsidRPr="00861D72">
        <w:rPr>
          <w:rFonts w:eastAsia="Calibri"/>
          <w:rtl/>
          <w:lang w:eastAsia="he-IL"/>
        </w:rPr>
        <w:t xml:space="preserve"> על </w:t>
      </w:r>
      <w:r w:rsidRPr="00861D72">
        <w:rPr>
          <w:rFonts w:eastAsia="Calibri" w:hint="cs"/>
          <w:rtl/>
          <w:lang w:eastAsia="he-IL"/>
        </w:rPr>
        <w:t xml:space="preserve">מנכ״לי </w:t>
      </w:r>
      <w:r w:rsidRPr="00861D72">
        <w:rPr>
          <w:rFonts w:eastAsia="Calibri"/>
          <w:rtl/>
          <w:lang w:eastAsia="he-IL"/>
        </w:rPr>
        <w:t xml:space="preserve">המשרדים לעיל </w:t>
      </w:r>
      <w:r w:rsidRPr="00861D72">
        <w:rPr>
          <w:rFonts w:eastAsia="Calibri" w:hint="cs"/>
          <w:rtl/>
          <w:lang w:eastAsia="he-IL"/>
        </w:rPr>
        <w:t>לדווח ל</w:t>
      </w:r>
      <w:r w:rsidRPr="00861D72">
        <w:rPr>
          <w:rFonts w:eastAsia="Calibri"/>
          <w:rtl/>
          <w:lang w:eastAsia="he-IL"/>
        </w:rPr>
        <w:t xml:space="preserve">צוות לניהול אסטרטגיה אחת לחצי שנה על אודות </w:t>
      </w:r>
      <w:r w:rsidRPr="00861D72">
        <w:rPr>
          <w:rFonts w:eastAsia="Calibri" w:hint="cs"/>
          <w:rtl/>
          <w:lang w:eastAsia="he-IL"/>
        </w:rPr>
        <w:t>מצב</w:t>
      </w:r>
      <w:r w:rsidRPr="00861D72">
        <w:rPr>
          <w:rFonts w:eastAsia="Calibri"/>
          <w:rtl/>
          <w:lang w:eastAsia="he-IL"/>
        </w:rPr>
        <w:t xml:space="preserve"> </w:t>
      </w:r>
      <w:r w:rsidRPr="00861D72">
        <w:rPr>
          <w:rFonts w:eastAsia="Calibri" w:hint="cs"/>
          <w:rtl/>
          <w:lang w:eastAsia="he-IL"/>
        </w:rPr>
        <w:t>ה</w:t>
      </w:r>
      <w:r w:rsidRPr="00861D72">
        <w:rPr>
          <w:rFonts w:eastAsia="Calibri"/>
          <w:rtl/>
          <w:lang w:eastAsia="he-IL"/>
        </w:rPr>
        <w:t xml:space="preserve">התקדמות </w:t>
      </w:r>
      <w:r w:rsidRPr="00861D72">
        <w:rPr>
          <w:rFonts w:eastAsia="Calibri" w:hint="cs"/>
          <w:rtl/>
          <w:lang w:eastAsia="he-IL"/>
        </w:rPr>
        <w:t xml:space="preserve">של </w:t>
      </w:r>
      <w:r w:rsidRPr="00861D72">
        <w:rPr>
          <w:rFonts w:eastAsia="Calibri"/>
          <w:rtl/>
          <w:lang w:eastAsia="he-IL"/>
        </w:rPr>
        <w:t xml:space="preserve">יישום ההחלטה, ועל בסיס דיווחים אלו ובהתאם לשיקול דעתו, </w:t>
      </w:r>
      <w:r w:rsidRPr="00861D72">
        <w:rPr>
          <w:rFonts w:eastAsia="Calibri" w:hint="cs"/>
          <w:rtl/>
          <w:lang w:eastAsia="he-IL"/>
        </w:rPr>
        <w:t xml:space="preserve">על הצוות </w:t>
      </w:r>
      <w:r w:rsidRPr="00861D72">
        <w:rPr>
          <w:rFonts w:eastAsia="Calibri" w:hint="eastAsia"/>
          <w:rtl/>
          <w:lang w:eastAsia="he-IL"/>
        </w:rPr>
        <w:t>לדווח</w:t>
      </w:r>
      <w:r w:rsidRPr="00861D72">
        <w:rPr>
          <w:rFonts w:eastAsia="Calibri"/>
          <w:rtl/>
          <w:lang w:eastAsia="he-IL"/>
        </w:rPr>
        <w:t xml:space="preserve"> </w:t>
      </w:r>
      <w:r w:rsidRPr="00861D72">
        <w:rPr>
          <w:rFonts w:eastAsia="Calibri" w:hint="eastAsia"/>
          <w:rtl/>
          <w:lang w:eastAsia="he-IL"/>
        </w:rPr>
        <w:t>לממשלה</w:t>
      </w:r>
      <w:r w:rsidRPr="00861D72">
        <w:rPr>
          <w:rFonts w:eastAsia="Calibri"/>
          <w:rtl/>
          <w:lang w:eastAsia="he-IL"/>
        </w:rPr>
        <w:t xml:space="preserve"> </w:t>
      </w:r>
      <w:r w:rsidRPr="00861D72">
        <w:rPr>
          <w:rFonts w:eastAsia="Calibri" w:hint="eastAsia"/>
          <w:rtl/>
          <w:lang w:eastAsia="he-IL"/>
        </w:rPr>
        <w:t>או</w:t>
      </w:r>
      <w:r w:rsidRPr="00861D72">
        <w:rPr>
          <w:rFonts w:eastAsia="Calibri"/>
          <w:rtl/>
          <w:lang w:eastAsia="he-IL"/>
        </w:rPr>
        <w:t xml:space="preserve"> </w:t>
      </w:r>
      <w:r w:rsidRPr="00861D72">
        <w:rPr>
          <w:rFonts w:eastAsia="Calibri" w:hint="eastAsia"/>
          <w:rtl/>
          <w:lang w:eastAsia="he-IL"/>
        </w:rPr>
        <w:t>לקבינט</w:t>
      </w:r>
      <w:r w:rsidRPr="00861D72">
        <w:rPr>
          <w:rFonts w:eastAsia="Calibri"/>
          <w:rtl/>
          <w:lang w:eastAsia="he-IL"/>
        </w:rPr>
        <w:t xml:space="preserve"> </w:t>
      </w:r>
      <w:r w:rsidRPr="00861D72">
        <w:rPr>
          <w:rFonts w:eastAsia="Calibri" w:hint="eastAsia"/>
          <w:rtl/>
          <w:lang w:eastAsia="he-IL"/>
        </w:rPr>
        <w:t>החברתי</w:t>
      </w:r>
      <w:r w:rsidRPr="00861D72">
        <w:rPr>
          <w:rFonts w:eastAsia="Calibri"/>
          <w:rtl/>
          <w:lang w:eastAsia="he-IL"/>
        </w:rPr>
        <w:t xml:space="preserve">-כלכלי על אודות התקדמות </w:t>
      </w:r>
      <w:r w:rsidRPr="00861D72">
        <w:rPr>
          <w:rFonts w:eastAsia="Calibri" w:hint="cs"/>
          <w:rtl/>
          <w:lang w:eastAsia="he-IL"/>
        </w:rPr>
        <w:t>ה</w:t>
      </w:r>
      <w:r w:rsidRPr="00861D72">
        <w:rPr>
          <w:rFonts w:eastAsia="Calibri"/>
          <w:rtl/>
          <w:lang w:eastAsia="he-IL"/>
        </w:rPr>
        <w:t xml:space="preserve">יישום </w:t>
      </w:r>
      <w:r w:rsidRPr="00861D72">
        <w:rPr>
          <w:rFonts w:eastAsia="Calibri" w:hint="cs"/>
          <w:rtl/>
          <w:lang w:eastAsia="he-IL"/>
        </w:rPr>
        <w:t xml:space="preserve">של </w:t>
      </w:r>
      <w:r w:rsidRPr="00861D72">
        <w:rPr>
          <w:rFonts w:eastAsia="Calibri"/>
          <w:rtl/>
          <w:lang w:eastAsia="he-IL"/>
        </w:rPr>
        <w:t>ת</w:t>
      </w:r>
      <w:r w:rsidRPr="00861D72">
        <w:rPr>
          <w:rFonts w:eastAsia="Calibri" w:hint="cs"/>
          <w:rtl/>
          <w:lang w:eastAsia="he-IL"/>
        </w:rPr>
        <w:t>ו</w:t>
      </w:r>
      <w:r w:rsidRPr="00861D72">
        <w:rPr>
          <w:rFonts w:eastAsia="Calibri"/>
          <w:rtl/>
          <w:lang w:eastAsia="he-IL"/>
        </w:rPr>
        <w:t>כניות</w:t>
      </w:r>
      <w:r w:rsidRPr="00861D72">
        <w:rPr>
          <w:rFonts w:eastAsia="Calibri"/>
          <w:rtl/>
          <w:lang w:eastAsia="he-IL"/>
        </w:rPr>
        <w:t xml:space="preserve"> המתאר.</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בהתאם, המועצה פרסמה דוח בשנת 2018 בדבר המעקב אחר ביצוע החלטות הממשלה בנוגע להערכת המצב האסטרטגית</w:t>
      </w:r>
      <w:r>
        <w:rPr>
          <w:rFonts w:eastAsia="Calibri"/>
          <w:vertAlign w:val="superscript"/>
          <w:rtl/>
          <w:lang w:eastAsia="he-IL"/>
        </w:rPr>
        <w:footnoteReference w:id="56"/>
      </w:r>
      <w:r w:rsidRPr="00861D72">
        <w:rPr>
          <w:rFonts w:eastAsia="Calibri" w:hint="cs"/>
          <w:rtl/>
          <w:lang w:eastAsia="he-IL"/>
        </w:rPr>
        <w:t xml:space="preserve">. במסגרת מעקב זה עלה כי החלטות הממשלה, בכל הנוגע להזדקנות האוכלוסייה, יושמו באופן חלקי. </w:t>
      </w:r>
    </w:p>
    <w:p w:rsidR="00861D72" w:rsidRPr="00861D72" w:rsidP="00F90255">
      <w:pPr>
        <w:spacing w:line="269" w:lineRule="auto"/>
        <w:rPr>
          <w:rFonts w:eastAsia="Calibri"/>
          <w:rtl/>
          <w:lang w:eastAsia="he-IL"/>
        </w:rPr>
      </w:pPr>
    </w:p>
    <w:p w:rsidR="00861D72" w:rsidRPr="00861D72" w:rsidP="00F90255">
      <w:pPr>
        <w:spacing w:line="269" w:lineRule="auto"/>
        <w:rPr>
          <w:rFonts w:eastAsia="Calibri"/>
          <w:b/>
          <w:bCs/>
          <w:rtl/>
          <w:lang w:eastAsia="he-IL"/>
        </w:rPr>
      </w:pPr>
      <w:r w:rsidRPr="00861D72">
        <w:rPr>
          <w:rFonts w:eastAsia="Calibri"/>
          <w:b/>
          <w:bCs/>
          <w:rtl/>
          <w:lang w:eastAsia="he-IL"/>
        </w:rPr>
        <w:t xml:space="preserve">מבקר </w:t>
      </w:r>
      <w:r w:rsidRPr="00861D72">
        <w:rPr>
          <w:rFonts w:eastAsia="Calibri" w:hint="eastAsia"/>
          <w:b/>
          <w:bCs/>
          <w:rtl/>
          <w:lang w:eastAsia="he-IL"/>
        </w:rPr>
        <w:t>ה</w:t>
      </w:r>
      <w:r w:rsidRPr="00861D72">
        <w:rPr>
          <w:rFonts w:eastAsia="Calibri"/>
          <w:b/>
          <w:bCs/>
          <w:rtl/>
          <w:lang w:eastAsia="he-IL"/>
        </w:rPr>
        <w:t xml:space="preserve">מדינה </w:t>
      </w:r>
      <w:r w:rsidRPr="00861D72">
        <w:rPr>
          <w:rFonts w:eastAsia="Calibri" w:hint="cs"/>
          <w:b/>
          <w:bCs/>
          <w:rtl/>
          <w:lang w:eastAsia="he-IL"/>
        </w:rPr>
        <w:t>העלה</w:t>
      </w:r>
      <w:r w:rsidRPr="00861D72">
        <w:rPr>
          <w:rFonts w:eastAsia="Calibri"/>
          <w:b/>
          <w:bCs/>
          <w:rtl/>
          <w:lang w:eastAsia="he-IL"/>
        </w:rPr>
        <w:t xml:space="preserve"> בדוח </w:t>
      </w:r>
      <w:r w:rsidRPr="00861D72">
        <w:rPr>
          <w:rFonts w:eastAsia="Calibri" w:hint="eastAsia"/>
          <w:b/>
          <w:bCs/>
          <w:rtl/>
          <w:lang w:eastAsia="he-IL"/>
        </w:rPr>
        <w:t>בעניין</w:t>
      </w:r>
      <w:r w:rsidRPr="00861D72">
        <w:rPr>
          <w:rFonts w:eastAsia="Calibri" w:hint="cs"/>
          <w:b/>
          <w:bCs/>
          <w:rtl/>
          <w:lang w:eastAsia="he-IL"/>
        </w:rPr>
        <w:t xml:space="preserve"> המועצה הלאומית לכלכלה</w:t>
      </w:r>
      <w:r w:rsidRPr="00861D72">
        <w:rPr>
          <w:rFonts w:eastAsia="Calibri"/>
          <w:b/>
          <w:bCs/>
          <w:rtl/>
          <w:lang w:eastAsia="he-IL"/>
        </w:rPr>
        <w:t xml:space="preserve"> </w:t>
      </w:r>
      <w:r w:rsidRPr="00861D72">
        <w:rPr>
          <w:rFonts w:eastAsia="Calibri" w:hint="eastAsia"/>
          <w:b/>
          <w:bCs/>
          <w:rtl/>
          <w:lang w:eastAsia="he-IL"/>
        </w:rPr>
        <w:t>מ</w:t>
      </w:r>
      <w:r w:rsidRPr="00861D72">
        <w:rPr>
          <w:rFonts w:eastAsia="Calibri"/>
          <w:b/>
          <w:bCs/>
          <w:rtl/>
          <w:lang w:eastAsia="he-IL"/>
        </w:rPr>
        <w:t>-2023</w:t>
      </w:r>
      <w:r>
        <w:rPr>
          <w:rFonts w:eastAsia="Calibri"/>
          <w:b/>
          <w:bCs/>
          <w:vertAlign w:val="superscript"/>
          <w:rtl/>
          <w:lang w:eastAsia="he-IL"/>
        </w:rPr>
        <w:footnoteReference w:id="57"/>
      </w:r>
      <w:r w:rsidRPr="00861D72">
        <w:rPr>
          <w:rFonts w:eastAsia="Calibri"/>
          <w:b/>
          <w:bCs/>
          <w:rtl/>
          <w:lang w:eastAsia="he-IL"/>
        </w:rPr>
        <w:t xml:space="preserve"> כי מיולי 2018 לא הג</w:t>
      </w:r>
      <w:r w:rsidRPr="00861D72">
        <w:rPr>
          <w:rFonts w:eastAsia="Calibri" w:hint="cs"/>
          <w:b/>
          <w:bCs/>
          <w:rtl/>
          <w:lang w:eastAsia="he-IL"/>
        </w:rPr>
        <w:t>י</w:t>
      </w:r>
      <w:r w:rsidRPr="00861D72">
        <w:rPr>
          <w:rFonts w:eastAsia="Calibri"/>
          <w:b/>
          <w:bCs/>
          <w:rtl/>
          <w:lang w:eastAsia="he-IL"/>
        </w:rPr>
        <w:t>ש</w:t>
      </w:r>
      <w:r w:rsidRPr="00861D72">
        <w:rPr>
          <w:rFonts w:eastAsia="Calibri" w:hint="cs"/>
          <w:b/>
          <w:bCs/>
          <w:rtl/>
          <w:lang w:eastAsia="he-IL"/>
        </w:rPr>
        <w:t>ה</w:t>
      </w:r>
      <w:r w:rsidRPr="00861D72">
        <w:rPr>
          <w:rFonts w:eastAsia="Calibri"/>
          <w:b/>
          <w:bCs/>
          <w:rtl/>
          <w:lang w:eastAsia="he-IL"/>
        </w:rPr>
        <w:t xml:space="preserve"> </w:t>
      </w:r>
      <w:r w:rsidRPr="00861D72">
        <w:rPr>
          <w:rFonts w:eastAsia="Calibri" w:hint="cs"/>
          <w:b/>
          <w:bCs/>
          <w:rtl/>
          <w:lang w:eastAsia="he-IL"/>
        </w:rPr>
        <w:t xml:space="preserve">המועצה הלאומית לכלכלה </w:t>
      </w:r>
      <w:r w:rsidRPr="00861D72">
        <w:rPr>
          <w:rFonts w:eastAsia="Calibri"/>
          <w:b/>
          <w:bCs/>
          <w:rtl/>
          <w:lang w:eastAsia="he-IL"/>
        </w:rPr>
        <w:t>דוח מעקב אחר יישום הערכת המצב האסטרטגית לשנת</w:t>
      </w:r>
      <w:r w:rsidRPr="00861D72">
        <w:rPr>
          <w:rFonts w:eastAsia="Calibri" w:hint="cs"/>
          <w:b/>
          <w:bCs/>
          <w:rtl/>
          <w:lang w:eastAsia="he-IL"/>
        </w:rPr>
        <w:t xml:space="preserve"> </w:t>
      </w:r>
      <w:r w:rsidRPr="00861D72">
        <w:rPr>
          <w:rFonts w:eastAsia="Calibri"/>
          <w:b/>
          <w:bCs/>
          <w:rtl/>
          <w:lang w:eastAsia="he-IL"/>
        </w:rPr>
        <w:t>2015</w:t>
      </w:r>
      <w:r w:rsidRPr="00861D72">
        <w:rPr>
          <w:rFonts w:eastAsia="Calibri" w:hint="cs"/>
          <w:b/>
          <w:bCs/>
          <w:rtl/>
          <w:lang w:eastAsia="he-IL"/>
        </w:rPr>
        <w:t xml:space="preserve"> </w:t>
      </w:r>
      <w:r w:rsidRPr="00861D72">
        <w:rPr>
          <w:rFonts w:eastAsia="Calibri" w:hint="cs"/>
          <w:b/>
          <w:bCs/>
          <w:rtl/>
          <w:lang w:eastAsia="he-IL"/>
        </w:rPr>
        <w:t>לממשלה</w:t>
      </w:r>
      <w:r w:rsidRPr="00861D72">
        <w:rPr>
          <w:rFonts w:eastAsia="Calibri"/>
          <w:b/>
          <w:bCs/>
          <w:rtl/>
          <w:lang w:eastAsia="he-IL"/>
        </w:rPr>
        <w:t xml:space="preserve">, </w:t>
      </w:r>
      <w:r w:rsidRPr="00861D72">
        <w:rPr>
          <w:rFonts w:eastAsia="Calibri" w:hint="cs"/>
          <w:b/>
          <w:bCs/>
          <w:rtl/>
          <w:lang w:eastAsia="he-IL"/>
        </w:rPr>
        <w:t>ו</w:t>
      </w:r>
      <w:r w:rsidRPr="00861D72">
        <w:rPr>
          <w:rFonts w:eastAsia="Calibri"/>
          <w:b/>
          <w:bCs/>
          <w:rtl/>
          <w:lang w:eastAsia="he-IL"/>
        </w:rPr>
        <w:t xml:space="preserve">לא </w:t>
      </w:r>
      <w:r w:rsidRPr="00861D72">
        <w:rPr>
          <w:rFonts w:eastAsia="Calibri" w:hint="cs"/>
          <w:b/>
          <w:bCs/>
          <w:rtl/>
          <w:lang w:eastAsia="he-IL"/>
        </w:rPr>
        <w:t>ביצעה</w:t>
      </w:r>
      <w:r w:rsidRPr="00861D72">
        <w:rPr>
          <w:rFonts w:eastAsia="Calibri"/>
          <w:b/>
          <w:bCs/>
          <w:rtl/>
          <w:lang w:eastAsia="he-IL"/>
        </w:rPr>
        <w:t xml:space="preserve"> מעקב אחר יישום החלטות </w:t>
      </w:r>
      <w:r w:rsidRPr="00861D72">
        <w:rPr>
          <w:rFonts w:eastAsia="Calibri" w:hint="cs"/>
          <w:b/>
          <w:bCs/>
          <w:rtl/>
          <w:lang w:eastAsia="he-IL"/>
        </w:rPr>
        <w:t xml:space="preserve">הממשלה המתבססות על הערכת המצב האסטרטגית, </w:t>
      </w:r>
      <w:r w:rsidRPr="00861D72">
        <w:rPr>
          <w:rFonts w:eastAsia="Calibri"/>
          <w:b/>
          <w:bCs/>
          <w:rtl/>
          <w:lang w:eastAsia="he-IL"/>
        </w:rPr>
        <w:t>כנדרש מהצוות לניהול האסטרטגיה.</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eastAsia"/>
          <w:rtl/>
          <w:lang w:eastAsia="he-IL"/>
        </w:rPr>
        <w:t>בתשובה</w:t>
      </w:r>
      <w:r w:rsidRPr="00861D72">
        <w:rPr>
          <w:rFonts w:eastAsia="Calibri"/>
          <w:rtl/>
          <w:lang w:eastAsia="he-IL"/>
        </w:rPr>
        <w:t xml:space="preserve"> לדוח</w:t>
      </w:r>
      <w:r w:rsidRPr="00861D72">
        <w:rPr>
          <w:rFonts w:eastAsia="Calibri" w:hint="cs"/>
          <w:rtl/>
          <w:lang w:eastAsia="he-IL"/>
        </w:rPr>
        <w:t xml:space="preserve"> מבקר המדינה מ-2023</w:t>
      </w:r>
      <w:r w:rsidRPr="00861D72">
        <w:rPr>
          <w:rFonts w:eastAsia="Calibri"/>
          <w:rtl/>
          <w:lang w:eastAsia="he-IL"/>
        </w:rPr>
        <w:t xml:space="preserve"> ציין משרד </w:t>
      </w:r>
      <w:r w:rsidRPr="00861D72">
        <w:rPr>
          <w:rFonts w:eastAsia="Calibri" w:hint="cs"/>
          <w:rtl/>
          <w:lang w:eastAsia="he-IL"/>
        </w:rPr>
        <w:t>רה"ם</w:t>
      </w:r>
      <w:r w:rsidRPr="00861D72">
        <w:rPr>
          <w:rFonts w:eastAsia="Calibri"/>
          <w:rtl/>
          <w:lang w:eastAsia="he-IL"/>
        </w:rPr>
        <w:t xml:space="preserve"> כי בשנת 2017 החלה המועצה בהליך לגיבוש הערכת מצב אסטרטגית חדשה לממשלה (שתחליף את הקודמת), </w:t>
      </w:r>
      <w:r w:rsidRPr="00861D72">
        <w:rPr>
          <w:rFonts w:eastAsia="Calibri" w:hint="cs"/>
          <w:rtl/>
          <w:lang w:eastAsia="he-IL"/>
        </w:rPr>
        <w:t>ו</w:t>
      </w:r>
      <w:r w:rsidRPr="00861D72">
        <w:rPr>
          <w:rFonts w:eastAsia="Calibri"/>
          <w:rtl/>
          <w:lang w:eastAsia="he-IL"/>
        </w:rPr>
        <w:t>במסגרתה נבחנו מחדש מגמות עולמיות ומקומיות וכן נושאים אסטרטגיים לטיפול; ומשכך</w:t>
      </w:r>
      <w:r w:rsidRPr="00861D72">
        <w:rPr>
          <w:rFonts w:eastAsia="Calibri" w:hint="cs"/>
          <w:rtl/>
          <w:lang w:eastAsia="he-IL"/>
        </w:rPr>
        <w:t xml:space="preserve"> לדעתו</w:t>
      </w:r>
      <w:r w:rsidRPr="00861D72">
        <w:rPr>
          <w:rFonts w:eastAsia="Calibri"/>
          <w:rtl/>
          <w:lang w:eastAsia="he-IL"/>
        </w:rPr>
        <w:t xml:space="preserve">, </w:t>
      </w:r>
      <w:r w:rsidRPr="00861D72">
        <w:rPr>
          <w:rFonts w:eastAsia="Calibri" w:hint="cs"/>
          <w:rtl/>
          <w:lang w:eastAsia="he-IL"/>
        </w:rPr>
        <w:t>לא היה</w:t>
      </w:r>
      <w:r w:rsidRPr="00861D72">
        <w:rPr>
          <w:rFonts w:eastAsia="Calibri"/>
          <w:rtl/>
          <w:lang w:eastAsia="he-IL"/>
        </w:rPr>
        <w:t xml:space="preserve"> טעם לעקוב אחר יישום התוכניות המפורטות בעקבות הערכת המצב הקודמת.</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eastAsia"/>
          <w:rtl/>
          <w:lang w:eastAsia="he-IL"/>
        </w:rPr>
        <w:t>בתגובה</w:t>
      </w:r>
      <w:r w:rsidRPr="00861D72">
        <w:rPr>
          <w:rFonts w:eastAsia="Calibri"/>
          <w:rtl/>
          <w:lang w:eastAsia="he-IL"/>
        </w:rPr>
        <w:t xml:space="preserve"> לכך ציין מבקר המדינה כי על פי החלטת הממשלה משנת 2012, יש לעקוב אחר ביצוע התוכניות המפורטות מדי שנה</w:t>
      </w:r>
      <w:r w:rsidRPr="00861D72">
        <w:rPr>
          <w:rFonts w:eastAsia="Calibri" w:hint="cs"/>
          <w:rtl/>
          <w:lang w:eastAsia="he-IL"/>
        </w:rPr>
        <w:t xml:space="preserve"> בשנה</w:t>
      </w:r>
      <w:r w:rsidRPr="00861D72">
        <w:rPr>
          <w:rFonts w:eastAsia="Calibri"/>
          <w:rtl/>
          <w:lang w:eastAsia="he-IL"/>
        </w:rPr>
        <w:t xml:space="preserve">; </w:t>
      </w:r>
      <w:r w:rsidRPr="00861D72">
        <w:rPr>
          <w:rFonts w:eastAsia="Calibri" w:hint="eastAsia"/>
          <w:rtl/>
          <w:lang w:eastAsia="he-IL"/>
        </w:rPr>
        <w:t>א</w:t>
      </w:r>
      <w:r w:rsidRPr="00861D72">
        <w:rPr>
          <w:rFonts w:eastAsia="Calibri"/>
          <w:rtl/>
          <w:lang w:eastAsia="he-IL"/>
        </w:rPr>
        <w:t xml:space="preserve">ם משרד </w:t>
      </w:r>
      <w:r w:rsidRPr="00861D72">
        <w:rPr>
          <w:rFonts w:eastAsia="Calibri" w:hint="cs"/>
          <w:rtl/>
          <w:lang w:eastAsia="he-IL"/>
        </w:rPr>
        <w:t>רה"ם</w:t>
      </w:r>
      <w:r w:rsidRPr="00861D72">
        <w:rPr>
          <w:rFonts w:eastAsia="Calibri"/>
          <w:rtl/>
          <w:lang w:eastAsia="he-IL"/>
        </w:rPr>
        <w:t xml:space="preserve"> סבור כי יש לשנות את נוסח ההחלטה ולסייג את חובת המעקב עד לגיבוש הערכת מצב חדשה, מומלץ כי ייזום החלטת ממשלה</w:t>
      </w:r>
      <w:r w:rsidRPr="00861D72">
        <w:rPr>
          <w:rFonts w:eastAsia="Calibri" w:hint="cs"/>
          <w:rtl/>
          <w:lang w:eastAsia="he-IL"/>
        </w:rPr>
        <w:t>,</w:t>
      </w:r>
      <w:r w:rsidRPr="00861D72">
        <w:rPr>
          <w:rFonts w:eastAsia="Calibri"/>
          <w:rtl/>
          <w:lang w:eastAsia="he-IL"/>
        </w:rPr>
        <w:t xml:space="preserve"> ולפיה יש לסייג את חובת המעקב.</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במסגרת הביקורת הנוכחית מסרה המועצה לצוות הביקורת בספטמבר 2025 כי</w:t>
      </w:r>
      <w:r w:rsidRPr="00861D72">
        <w:rPr>
          <w:rFonts w:eastAsia="Calibri"/>
          <w:rtl/>
          <w:lang w:eastAsia="he-IL"/>
        </w:rPr>
        <w:t xml:space="preserve"> </w:t>
      </w:r>
      <w:r w:rsidRPr="00861D72">
        <w:rPr>
          <w:rFonts w:eastAsia="Calibri" w:hint="cs"/>
          <w:rtl/>
          <w:lang w:eastAsia="he-IL"/>
        </w:rPr>
        <w:t>היא</w:t>
      </w:r>
      <w:r w:rsidRPr="00861D72">
        <w:rPr>
          <w:rFonts w:eastAsia="Calibri"/>
          <w:rtl/>
          <w:lang w:eastAsia="he-IL"/>
        </w:rPr>
        <w:t xml:space="preserve"> עוקבת אחרי המגמות</w:t>
      </w:r>
      <w:r w:rsidRPr="00861D72">
        <w:rPr>
          <w:rFonts w:eastAsia="Calibri" w:hint="cs"/>
          <w:rtl/>
          <w:lang w:eastAsia="he-IL"/>
        </w:rPr>
        <w:t xml:space="preserve"> בהערכת המצב אך לא באופן סדור,</w:t>
      </w:r>
      <w:r w:rsidRPr="00861D72">
        <w:rPr>
          <w:rFonts w:eastAsia="Calibri"/>
          <w:rtl/>
          <w:lang w:eastAsia="he-IL"/>
        </w:rPr>
        <w:t xml:space="preserve"> </w:t>
      </w:r>
      <w:r w:rsidRPr="00861D72">
        <w:rPr>
          <w:rFonts w:eastAsia="Calibri" w:hint="cs"/>
          <w:rtl/>
          <w:lang w:eastAsia="he-IL"/>
        </w:rPr>
        <w:t xml:space="preserve">והיא </w:t>
      </w:r>
      <w:r w:rsidRPr="00861D72">
        <w:rPr>
          <w:rFonts w:eastAsia="Calibri"/>
          <w:rtl/>
          <w:lang w:eastAsia="he-IL"/>
        </w:rPr>
        <w:t xml:space="preserve">אינה אוספת את </w:t>
      </w:r>
      <w:r w:rsidRPr="00861D72">
        <w:rPr>
          <w:rFonts w:eastAsia="Calibri"/>
          <w:rtl/>
          <w:lang w:eastAsia="he-IL"/>
        </w:rPr>
        <w:t>תוכניות</w:t>
      </w:r>
      <w:r w:rsidRPr="00861D72">
        <w:rPr>
          <w:rFonts w:eastAsia="Calibri"/>
          <w:rtl/>
          <w:lang w:eastAsia="he-IL"/>
        </w:rPr>
        <w:t xml:space="preserve"> העבודה של המשרדים לטובת מעקב אחר ההתקדמות בכיווני הפעולה שהוגדרו בהערכת המצב</w:t>
      </w:r>
      <w:r w:rsidRPr="00861D72">
        <w:rPr>
          <w:rFonts w:eastAsia="Calibri" w:hint="cs"/>
          <w:rtl/>
          <w:lang w:eastAsia="he-IL"/>
        </w:rPr>
        <w:t xml:space="preserve">. עוד הוסיפה המועצה כי מאז דוח המעקב משנת 2018 </w:t>
      </w:r>
      <w:r w:rsidRPr="00861D72">
        <w:rPr>
          <w:rFonts w:eastAsia="Calibri"/>
          <w:rtl/>
          <w:lang w:eastAsia="he-IL"/>
        </w:rPr>
        <w:t xml:space="preserve">לא נעשה דוח מעקב נוסף.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כמו כן, המועצה מסרה לצוות הביקורת כי </w:t>
      </w:r>
      <w:r w:rsidRPr="00861D72">
        <w:rPr>
          <w:rFonts w:eastAsia="Calibri" w:hint="cs"/>
          <w:rtl/>
        </w:rPr>
        <w:t>תוכנית</w:t>
      </w:r>
      <w:r w:rsidRPr="00861D72">
        <w:rPr>
          <w:rFonts w:eastAsia="Calibri" w:hint="cs"/>
          <w:rtl/>
        </w:rPr>
        <w:t xml:space="preserve"> אסטרטגית חדשה צפויה להתפרסם, ובמסגרתה ייכלל נושא הזדקנות האוכלוסייה במדרג חשיבות נמוך בהרבה, וזאת, </w:t>
      </w:r>
      <w:r w:rsidRPr="00861D72">
        <w:rPr>
          <w:rFonts w:eastAsia="Calibri"/>
          <w:rtl/>
        </w:rPr>
        <w:t>בין היתר</w:t>
      </w:r>
      <w:r w:rsidRPr="00861D72">
        <w:rPr>
          <w:rFonts w:eastAsia="Calibri" w:hint="cs"/>
          <w:rtl/>
        </w:rPr>
        <w:t>,</w:t>
      </w:r>
      <w:r w:rsidRPr="00861D72">
        <w:rPr>
          <w:rFonts w:eastAsia="Calibri"/>
          <w:rtl/>
        </w:rPr>
        <w:t xml:space="preserve"> משום שביחס למדינות אחרות בעולם, הזדקנות האוכלוסייה היא בעיה פחות משמעותית בישראל</w:t>
      </w:r>
      <w:r w:rsidRPr="00861D72">
        <w:rPr>
          <w:rFonts w:eastAsia="Calibri" w:hint="cs"/>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cs"/>
          <w:b/>
          <w:bCs/>
          <w:rtl/>
          <w:lang w:eastAsia="he-IL"/>
        </w:rPr>
        <w:t xml:space="preserve">מן האמור עולה </w:t>
      </w:r>
      <w:r w:rsidRPr="00861D72">
        <w:rPr>
          <w:rFonts w:eastAsia="Calibri"/>
          <w:b/>
          <w:bCs/>
          <w:rtl/>
          <w:lang w:eastAsia="he-IL"/>
        </w:rPr>
        <w:t xml:space="preserve">כי </w:t>
      </w:r>
      <w:r w:rsidRPr="00861D72">
        <w:rPr>
          <w:rFonts w:eastAsia="Calibri" w:hint="eastAsia"/>
          <w:b/>
          <w:bCs/>
          <w:rtl/>
          <w:lang w:eastAsia="he-IL"/>
        </w:rPr>
        <w:t>עד</w:t>
      </w:r>
      <w:r w:rsidRPr="00861D72">
        <w:rPr>
          <w:rFonts w:eastAsia="Calibri"/>
          <w:b/>
          <w:bCs/>
          <w:rtl/>
          <w:lang w:eastAsia="he-IL"/>
        </w:rPr>
        <w:t xml:space="preserve"> </w:t>
      </w:r>
      <w:r w:rsidRPr="00861D72">
        <w:rPr>
          <w:rFonts w:eastAsia="Calibri" w:hint="eastAsia"/>
          <w:b/>
          <w:bCs/>
          <w:rtl/>
          <w:lang w:eastAsia="he-IL"/>
        </w:rPr>
        <w:t>למועד</w:t>
      </w:r>
      <w:r w:rsidRPr="00861D72">
        <w:rPr>
          <w:rFonts w:eastAsia="Calibri"/>
          <w:b/>
          <w:bCs/>
          <w:rtl/>
          <w:lang w:eastAsia="he-IL"/>
        </w:rPr>
        <w:t xml:space="preserve"> </w:t>
      </w:r>
      <w:r w:rsidRPr="00861D72">
        <w:rPr>
          <w:rFonts w:eastAsia="Calibri" w:hint="eastAsia"/>
          <w:b/>
          <w:bCs/>
          <w:rtl/>
          <w:lang w:eastAsia="he-IL"/>
        </w:rPr>
        <w:t>סיום</w:t>
      </w:r>
      <w:r w:rsidRPr="00861D72">
        <w:rPr>
          <w:rFonts w:eastAsia="Calibri"/>
          <w:b/>
          <w:bCs/>
          <w:rtl/>
          <w:lang w:eastAsia="he-IL"/>
        </w:rPr>
        <w:t xml:space="preserve"> </w:t>
      </w:r>
      <w:r w:rsidRPr="00861D72">
        <w:rPr>
          <w:rFonts w:eastAsia="Calibri" w:hint="eastAsia"/>
          <w:b/>
          <w:bCs/>
          <w:rtl/>
          <w:lang w:eastAsia="he-IL"/>
        </w:rPr>
        <w:t>הביקורת</w:t>
      </w:r>
      <w:r w:rsidRPr="00861D72">
        <w:rPr>
          <w:rFonts w:eastAsia="Calibri"/>
          <w:b/>
          <w:bCs/>
          <w:rtl/>
          <w:lang w:eastAsia="he-IL"/>
        </w:rPr>
        <w:t xml:space="preserve">, </w:t>
      </w:r>
      <w:r w:rsidRPr="00861D72">
        <w:rPr>
          <w:rFonts w:eastAsia="Calibri" w:hint="cs"/>
          <w:b/>
          <w:bCs/>
          <w:rtl/>
          <w:lang w:eastAsia="he-IL"/>
        </w:rPr>
        <w:t xml:space="preserve">המועצה הלאומית לכלכלה עדין לא הביאה לאישור הממשלה </w:t>
      </w:r>
      <w:r w:rsidRPr="00861D72">
        <w:rPr>
          <w:rFonts w:eastAsia="Calibri" w:hint="eastAsia"/>
          <w:b/>
          <w:bCs/>
          <w:rtl/>
          <w:lang w:eastAsia="he-IL"/>
        </w:rPr>
        <w:t>הערכת</w:t>
      </w:r>
      <w:r w:rsidRPr="00861D72">
        <w:rPr>
          <w:rFonts w:eastAsia="Calibri"/>
          <w:b/>
          <w:bCs/>
          <w:rtl/>
          <w:lang w:eastAsia="he-IL"/>
        </w:rPr>
        <w:t xml:space="preserve"> </w:t>
      </w:r>
      <w:r w:rsidRPr="00861D72">
        <w:rPr>
          <w:rFonts w:eastAsia="Calibri" w:hint="eastAsia"/>
          <w:b/>
          <w:bCs/>
          <w:rtl/>
          <w:lang w:eastAsia="he-IL"/>
        </w:rPr>
        <w:t>מצב</w:t>
      </w:r>
      <w:r w:rsidRPr="00861D72">
        <w:rPr>
          <w:rFonts w:eastAsia="Calibri"/>
          <w:b/>
          <w:bCs/>
          <w:rtl/>
          <w:lang w:eastAsia="he-IL"/>
        </w:rPr>
        <w:t xml:space="preserve"> </w:t>
      </w:r>
      <w:r w:rsidRPr="00861D72">
        <w:rPr>
          <w:rFonts w:eastAsia="Calibri" w:hint="eastAsia"/>
          <w:b/>
          <w:bCs/>
          <w:rtl/>
          <w:lang w:eastAsia="he-IL"/>
        </w:rPr>
        <w:t>אסטרטגית</w:t>
      </w:r>
      <w:r w:rsidRPr="00861D72">
        <w:rPr>
          <w:rFonts w:eastAsia="Calibri"/>
          <w:b/>
          <w:bCs/>
          <w:rtl/>
          <w:lang w:eastAsia="he-IL"/>
        </w:rPr>
        <w:t xml:space="preserve"> </w:t>
      </w:r>
      <w:r w:rsidRPr="00861D72">
        <w:rPr>
          <w:rFonts w:eastAsia="Calibri" w:hint="eastAsia"/>
          <w:b/>
          <w:bCs/>
          <w:rtl/>
          <w:lang w:eastAsia="he-IL"/>
        </w:rPr>
        <w:t>חדשה</w:t>
      </w:r>
      <w:r w:rsidRPr="00861D72">
        <w:rPr>
          <w:rFonts w:eastAsia="Calibri"/>
          <w:b/>
          <w:bCs/>
          <w:rtl/>
          <w:lang w:eastAsia="he-IL"/>
        </w:rPr>
        <w:t xml:space="preserve">, כך שהערכת המצב האסטרטגית מ-2015 </w:t>
      </w:r>
      <w:r w:rsidRPr="00861D72">
        <w:rPr>
          <w:rFonts w:eastAsia="Calibri" w:hint="cs"/>
          <w:b/>
          <w:bCs/>
          <w:rtl/>
          <w:lang w:eastAsia="he-IL"/>
        </w:rPr>
        <w:t xml:space="preserve">והחלטות הממשלה ביחס אליה </w:t>
      </w:r>
      <w:r w:rsidRPr="00861D72">
        <w:rPr>
          <w:rFonts w:eastAsia="Calibri" w:hint="eastAsia"/>
          <w:b/>
          <w:bCs/>
          <w:rtl/>
          <w:lang w:eastAsia="he-IL"/>
        </w:rPr>
        <w:t>עוד</w:t>
      </w:r>
      <w:r w:rsidRPr="00861D72">
        <w:rPr>
          <w:rFonts w:eastAsia="Calibri"/>
          <w:b/>
          <w:bCs/>
          <w:rtl/>
          <w:lang w:eastAsia="he-IL"/>
        </w:rPr>
        <w:t xml:space="preserve"> </w:t>
      </w:r>
      <w:r w:rsidRPr="00861D72">
        <w:rPr>
          <w:rFonts w:eastAsia="Calibri" w:hint="cs"/>
          <w:b/>
          <w:bCs/>
          <w:rtl/>
          <w:lang w:eastAsia="he-IL"/>
        </w:rPr>
        <w:t>בתוקף ומחייבות את הצוות לניהול אסטרטגיה ואת המועצה</w:t>
      </w:r>
      <w:r w:rsidRPr="00861D72">
        <w:rPr>
          <w:rFonts w:eastAsia="Calibri"/>
          <w:b/>
          <w:bCs/>
          <w:rtl/>
          <w:lang w:eastAsia="he-IL"/>
        </w:rPr>
        <w:t xml:space="preserve">; ואף על פי כן, עלה כי </w:t>
      </w:r>
      <w:r w:rsidRPr="00861D72">
        <w:rPr>
          <w:rFonts w:eastAsia="Calibri" w:hint="eastAsia"/>
          <w:b/>
          <w:bCs/>
          <w:rtl/>
          <w:lang w:eastAsia="he-IL"/>
        </w:rPr>
        <w:t>המועצה</w:t>
      </w:r>
      <w:r w:rsidRPr="00861D72">
        <w:rPr>
          <w:rFonts w:eastAsia="Calibri"/>
          <w:b/>
          <w:bCs/>
          <w:rtl/>
          <w:lang w:eastAsia="he-IL"/>
        </w:rPr>
        <w:t xml:space="preserve"> </w:t>
      </w:r>
      <w:r w:rsidRPr="00861D72">
        <w:rPr>
          <w:rFonts w:eastAsia="Calibri" w:hint="eastAsia"/>
          <w:b/>
          <w:bCs/>
          <w:rtl/>
          <w:lang w:eastAsia="he-IL"/>
        </w:rPr>
        <w:t>הלאומית</w:t>
      </w:r>
      <w:r w:rsidRPr="00861D72">
        <w:rPr>
          <w:rFonts w:eastAsia="Calibri"/>
          <w:b/>
          <w:bCs/>
          <w:rtl/>
          <w:lang w:eastAsia="he-IL"/>
        </w:rPr>
        <w:t xml:space="preserve"> </w:t>
      </w:r>
      <w:r w:rsidRPr="00861D72">
        <w:rPr>
          <w:rFonts w:eastAsia="Calibri" w:hint="eastAsia"/>
          <w:b/>
          <w:bCs/>
          <w:rtl/>
          <w:lang w:eastAsia="he-IL"/>
        </w:rPr>
        <w:t>לכלכלה</w:t>
      </w:r>
      <w:r w:rsidRPr="00861D72">
        <w:rPr>
          <w:rFonts w:eastAsia="Calibri"/>
          <w:b/>
          <w:bCs/>
          <w:rtl/>
          <w:lang w:eastAsia="he-IL"/>
        </w:rPr>
        <w:t xml:space="preserve"> </w:t>
      </w:r>
      <w:r w:rsidRPr="00861D72">
        <w:rPr>
          <w:rFonts w:eastAsia="Calibri" w:hint="cs"/>
          <w:b/>
          <w:bCs/>
          <w:rtl/>
          <w:lang w:eastAsia="he-IL"/>
        </w:rPr>
        <w:t>איננה</w:t>
      </w:r>
      <w:r w:rsidRPr="00861D72">
        <w:rPr>
          <w:rFonts w:eastAsia="Calibri"/>
          <w:b/>
          <w:bCs/>
          <w:rtl/>
          <w:lang w:eastAsia="he-IL"/>
        </w:rPr>
        <w:t xml:space="preserve"> </w:t>
      </w:r>
      <w:r w:rsidRPr="00861D72">
        <w:rPr>
          <w:rFonts w:eastAsia="Calibri" w:hint="eastAsia"/>
          <w:b/>
          <w:bCs/>
          <w:rtl/>
          <w:lang w:eastAsia="he-IL"/>
        </w:rPr>
        <w:t>מבצעת</w:t>
      </w:r>
      <w:r w:rsidRPr="00861D72">
        <w:rPr>
          <w:rFonts w:eastAsia="Calibri"/>
          <w:b/>
          <w:bCs/>
          <w:rtl/>
          <w:lang w:eastAsia="he-IL"/>
        </w:rPr>
        <w:t xml:space="preserve"> </w:t>
      </w:r>
      <w:r w:rsidRPr="00861D72">
        <w:rPr>
          <w:rFonts w:eastAsia="Calibri" w:hint="eastAsia"/>
          <w:b/>
          <w:bCs/>
          <w:rtl/>
          <w:lang w:eastAsia="he-IL"/>
        </w:rPr>
        <w:t>מעקב</w:t>
      </w:r>
      <w:r w:rsidRPr="00861D72">
        <w:rPr>
          <w:rFonts w:eastAsia="Calibri"/>
          <w:b/>
          <w:bCs/>
          <w:rtl/>
          <w:lang w:eastAsia="he-IL"/>
        </w:rPr>
        <w:t xml:space="preserve"> </w:t>
      </w:r>
      <w:r w:rsidRPr="00861D72">
        <w:rPr>
          <w:rFonts w:eastAsia="Calibri" w:hint="eastAsia"/>
          <w:b/>
          <w:bCs/>
          <w:rtl/>
          <w:lang w:eastAsia="he-IL"/>
        </w:rPr>
        <w:t>אחר</w:t>
      </w:r>
      <w:r w:rsidRPr="00861D72">
        <w:rPr>
          <w:rFonts w:eastAsia="Calibri"/>
          <w:b/>
          <w:bCs/>
          <w:rtl/>
          <w:lang w:eastAsia="he-IL"/>
        </w:rPr>
        <w:t xml:space="preserve"> </w:t>
      </w:r>
      <w:r w:rsidRPr="00861D72">
        <w:rPr>
          <w:rFonts w:eastAsia="Calibri" w:hint="cs"/>
          <w:b/>
          <w:bCs/>
          <w:rtl/>
          <w:lang w:eastAsia="he-IL"/>
        </w:rPr>
        <w:t>ה</w:t>
      </w:r>
      <w:r w:rsidRPr="00861D72">
        <w:rPr>
          <w:rFonts w:eastAsia="Calibri" w:hint="eastAsia"/>
          <w:b/>
          <w:bCs/>
          <w:rtl/>
          <w:lang w:eastAsia="he-IL"/>
        </w:rPr>
        <w:t>יישום</w:t>
      </w:r>
      <w:r w:rsidRPr="00861D72">
        <w:rPr>
          <w:rFonts w:eastAsia="Calibri"/>
          <w:b/>
          <w:bCs/>
          <w:rtl/>
          <w:lang w:eastAsia="he-IL"/>
        </w:rPr>
        <w:t xml:space="preserve"> </w:t>
      </w:r>
      <w:r w:rsidRPr="00861D72">
        <w:rPr>
          <w:rFonts w:eastAsia="Calibri" w:hint="cs"/>
          <w:b/>
          <w:bCs/>
          <w:rtl/>
          <w:lang w:eastAsia="he-IL"/>
        </w:rPr>
        <w:t xml:space="preserve">של </w:t>
      </w:r>
      <w:r w:rsidRPr="00861D72">
        <w:rPr>
          <w:rFonts w:eastAsia="Calibri" w:hint="eastAsia"/>
          <w:b/>
          <w:bCs/>
          <w:rtl/>
          <w:lang w:eastAsia="he-IL"/>
        </w:rPr>
        <w:t>כיווני</w:t>
      </w:r>
      <w:r w:rsidRPr="00861D72">
        <w:rPr>
          <w:rFonts w:eastAsia="Calibri"/>
          <w:b/>
          <w:bCs/>
          <w:rtl/>
          <w:lang w:eastAsia="he-IL"/>
        </w:rPr>
        <w:t xml:space="preserve"> </w:t>
      </w:r>
      <w:r w:rsidRPr="00861D72">
        <w:rPr>
          <w:rFonts w:eastAsia="Calibri" w:hint="eastAsia"/>
          <w:b/>
          <w:bCs/>
          <w:rtl/>
          <w:lang w:eastAsia="he-IL"/>
        </w:rPr>
        <w:t>הפעולה</w:t>
      </w:r>
      <w:r w:rsidRPr="00861D72">
        <w:rPr>
          <w:rFonts w:eastAsia="Calibri"/>
          <w:b/>
          <w:bCs/>
          <w:rtl/>
          <w:lang w:eastAsia="he-IL"/>
        </w:rPr>
        <w:t xml:space="preserve"> </w:t>
      </w:r>
      <w:r w:rsidRPr="00861D72">
        <w:rPr>
          <w:rFonts w:eastAsia="Calibri" w:hint="eastAsia"/>
          <w:b/>
          <w:bCs/>
          <w:rtl/>
          <w:lang w:eastAsia="he-IL"/>
        </w:rPr>
        <w:t>בהערכת</w:t>
      </w:r>
      <w:r w:rsidRPr="00861D72">
        <w:rPr>
          <w:rFonts w:eastAsia="Calibri"/>
          <w:b/>
          <w:bCs/>
          <w:rtl/>
          <w:lang w:eastAsia="he-IL"/>
        </w:rPr>
        <w:t xml:space="preserve"> </w:t>
      </w:r>
      <w:r w:rsidRPr="00861D72">
        <w:rPr>
          <w:rFonts w:eastAsia="Calibri" w:hint="eastAsia"/>
          <w:b/>
          <w:bCs/>
          <w:rtl/>
          <w:lang w:eastAsia="he-IL"/>
        </w:rPr>
        <w:t>המצב</w:t>
      </w:r>
      <w:r w:rsidRPr="00861D72">
        <w:rPr>
          <w:rFonts w:eastAsia="Calibri"/>
          <w:b/>
          <w:bCs/>
          <w:rtl/>
          <w:lang w:eastAsia="he-IL"/>
        </w:rPr>
        <w:t xml:space="preserve"> בכל הקשור להיערכות להזדקנות האוכלוסייה</w:t>
      </w:r>
      <w:r w:rsidRPr="00861D72">
        <w:rPr>
          <w:rFonts w:eastAsia="Calibri" w:hint="cs"/>
          <w:b/>
          <w:bCs/>
          <w:rtl/>
          <w:lang w:eastAsia="he-IL"/>
        </w:rPr>
        <w:t>, והיא איננה אוספת דיווחים ממנכ"לי המשרדים על אודות המצב של התקדמות ההחלטה, ומשכך, אינה מדווחת לממשלה או לקבינט על התקדמות.</w:t>
      </w:r>
      <w:r w:rsidRPr="00861D72">
        <w:rPr>
          <w:rFonts w:eastAsia="Calibri"/>
          <w:b/>
          <w:bCs/>
          <w:rtl/>
          <w:lang w:eastAsia="he-I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rPr>
        <w:t xml:space="preserve">המועצה הלאומית לכלכלה במשרד </w:t>
      </w:r>
      <w:r w:rsidRPr="00861D72">
        <w:rPr>
          <w:rFonts w:eastAsia="Calibri" w:hint="cs"/>
          <w:rtl/>
        </w:rPr>
        <w:t>רה"ם</w:t>
      </w:r>
      <w:r w:rsidRPr="00861D72">
        <w:rPr>
          <w:rFonts w:eastAsia="Calibri" w:hint="cs"/>
          <w:rtl/>
        </w:rPr>
        <w:t xml:space="preserve"> מסרה בתשובתה למשרד מבקר המדינה ממאי 2026 (להלן - תשובת המועצה הלאומית לכלכלה), </w:t>
      </w:r>
      <w:r w:rsidRPr="00861D72">
        <w:rPr>
          <w:rFonts w:eastAsia="Calibri"/>
          <w:rtl/>
        </w:rPr>
        <w:t>כי בנקודת הזמן הנוכחית השקעת משאבי המטה בביצוע דוח מעקב רטרוספקטיבי על יעדים שחלקם אינם הולמים את המציאות הכלכלית העדכנית תניב תועלת פחותה לעומת גיבוש מדדים ויעדים חדשים במסגרת התוכנית האסטרטגית המתגבשת.</w:t>
      </w:r>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cs"/>
          <w:b/>
          <w:bCs/>
          <w:rtl/>
          <w:lang w:eastAsia="he-IL"/>
        </w:rPr>
        <w:t>היות</w:t>
      </w:r>
      <w:r w:rsidRPr="00861D72">
        <w:rPr>
          <w:rFonts w:eastAsia="Calibri"/>
          <w:b/>
          <w:bCs/>
          <w:rtl/>
        </w:rPr>
        <w:t xml:space="preserve"> </w:t>
      </w:r>
      <w:r w:rsidRPr="00861D72">
        <w:rPr>
          <w:rFonts w:eastAsia="Calibri" w:hint="cs"/>
          <w:b/>
          <w:bCs/>
          <w:rtl/>
        </w:rPr>
        <w:t>ש</w:t>
      </w:r>
      <w:r w:rsidRPr="00861D72">
        <w:rPr>
          <w:rFonts w:eastAsia="Calibri"/>
          <w:b/>
          <w:bCs/>
          <w:rtl/>
        </w:rPr>
        <w:t xml:space="preserve">אתגר </w:t>
      </w:r>
      <w:r w:rsidRPr="00861D72">
        <w:rPr>
          <w:rFonts w:eastAsia="Calibri" w:hint="cs"/>
          <w:b/>
          <w:bCs/>
          <w:rtl/>
        </w:rPr>
        <w:t>ההזדקנות מ</w:t>
      </w:r>
      <w:r w:rsidRPr="00861D72">
        <w:rPr>
          <w:rFonts w:eastAsia="Calibri"/>
          <w:b/>
          <w:bCs/>
          <w:rtl/>
        </w:rPr>
        <w:t>וגדר כאתגר אסטרטגי לאומי</w:t>
      </w:r>
      <w:r w:rsidRPr="00861D72">
        <w:rPr>
          <w:rFonts w:eastAsia="Calibri" w:hint="cs"/>
          <w:b/>
          <w:bCs/>
          <w:rtl/>
        </w:rPr>
        <w:t xml:space="preserve"> והיות שהחלטות הממשלה בנושא עומדות בתוקפן המחייב</w:t>
      </w:r>
      <w:r w:rsidRPr="00861D72">
        <w:rPr>
          <w:rFonts w:eastAsia="Calibri" w:hint="cs"/>
          <w:b/>
          <w:bCs/>
          <w:rtl/>
          <w:lang w:eastAsia="he-IL"/>
        </w:rPr>
        <w:t>,</w:t>
      </w:r>
      <w:r w:rsidRPr="00861D72">
        <w:rPr>
          <w:rFonts w:eastAsia="Calibri" w:hint="eastAsia"/>
          <w:b/>
          <w:bCs/>
          <w:rtl/>
          <w:lang w:eastAsia="he-IL"/>
        </w:rPr>
        <w:t xml:space="preserve"> </w:t>
      </w:r>
      <w:r w:rsidRPr="00861D72">
        <w:rPr>
          <w:rFonts w:eastAsia="Calibri" w:hint="cs"/>
          <w:b/>
          <w:bCs/>
          <w:rtl/>
          <w:lang w:eastAsia="he-IL"/>
        </w:rPr>
        <w:t>על</w:t>
      </w:r>
      <w:r w:rsidRPr="00861D72">
        <w:rPr>
          <w:rFonts w:eastAsia="Calibri"/>
          <w:b/>
          <w:bCs/>
          <w:rtl/>
          <w:lang w:eastAsia="he-IL"/>
        </w:rPr>
        <w:t xml:space="preserve"> </w:t>
      </w:r>
      <w:r w:rsidRPr="00861D72">
        <w:rPr>
          <w:rFonts w:eastAsia="Calibri" w:hint="eastAsia"/>
          <w:b/>
          <w:bCs/>
          <w:rtl/>
          <w:lang w:eastAsia="he-IL"/>
        </w:rPr>
        <w:t>המועצה</w:t>
      </w:r>
      <w:r w:rsidRPr="00861D72">
        <w:rPr>
          <w:rFonts w:eastAsia="Calibri"/>
          <w:b/>
          <w:bCs/>
          <w:rtl/>
          <w:lang w:eastAsia="he-IL"/>
        </w:rPr>
        <w:t xml:space="preserve"> הלאומית לכלכלה</w:t>
      </w:r>
      <w:r w:rsidRPr="00861D72">
        <w:rPr>
          <w:rFonts w:eastAsia="Calibri" w:hint="cs"/>
          <w:b/>
          <w:bCs/>
          <w:rtl/>
          <w:lang w:eastAsia="he-IL"/>
        </w:rPr>
        <w:t xml:space="preserve"> והצוות לניהול אסטרטגיה לאסוף ממשרדי הממשלה דיווחים עיתיים ולמלא את התפקידים שהוטלו עליהם, ובהם ל</w:t>
      </w:r>
      <w:r w:rsidRPr="00861D72">
        <w:rPr>
          <w:rFonts w:eastAsia="Calibri" w:hint="eastAsia"/>
          <w:b/>
          <w:bCs/>
          <w:rtl/>
          <w:lang w:eastAsia="he-IL"/>
        </w:rPr>
        <w:t>ערוך</w:t>
      </w:r>
      <w:r w:rsidRPr="00861D72">
        <w:rPr>
          <w:rFonts w:eastAsia="Calibri"/>
          <w:b/>
          <w:bCs/>
          <w:rtl/>
          <w:lang w:eastAsia="he-IL"/>
        </w:rPr>
        <w:t xml:space="preserve"> </w:t>
      </w:r>
      <w:r w:rsidRPr="00861D72">
        <w:rPr>
          <w:rFonts w:eastAsia="Calibri" w:hint="eastAsia"/>
          <w:b/>
          <w:bCs/>
          <w:rtl/>
          <w:lang w:eastAsia="he-IL"/>
        </w:rPr>
        <w:t>מעקב</w:t>
      </w:r>
      <w:r w:rsidRPr="00861D72">
        <w:rPr>
          <w:rFonts w:eastAsia="Calibri"/>
          <w:b/>
          <w:bCs/>
          <w:rtl/>
          <w:lang w:eastAsia="he-IL"/>
        </w:rPr>
        <w:t xml:space="preserve"> </w:t>
      </w:r>
      <w:r w:rsidRPr="00861D72">
        <w:rPr>
          <w:rFonts w:eastAsia="Calibri" w:hint="eastAsia"/>
          <w:b/>
          <w:bCs/>
          <w:rtl/>
          <w:lang w:eastAsia="he-IL"/>
        </w:rPr>
        <w:t>תקופתי</w:t>
      </w:r>
      <w:r w:rsidRPr="00861D72">
        <w:rPr>
          <w:rFonts w:eastAsia="Calibri"/>
          <w:b/>
          <w:bCs/>
          <w:rtl/>
          <w:lang w:eastAsia="he-IL"/>
        </w:rPr>
        <w:t xml:space="preserve"> </w:t>
      </w:r>
      <w:r w:rsidRPr="00861D72">
        <w:rPr>
          <w:rFonts w:eastAsia="Calibri" w:hint="eastAsia"/>
          <w:b/>
          <w:bCs/>
          <w:rtl/>
          <w:lang w:eastAsia="he-IL"/>
        </w:rPr>
        <w:t>אחר</w:t>
      </w:r>
      <w:r w:rsidRPr="00861D72">
        <w:rPr>
          <w:rFonts w:eastAsia="Calibri"/>
          <w:b/>
          <w:bCs/>
          <w:rtl/>
          <w:lang w:eastAsia="he-IL"/>
        </w:rPr>
        <w:t xml:space="preserve"> </w:t>
      </w:r>
      <w:r w:rsidRPr="00861D72">
        <w:rPr>
          <w:rFonts w:eastAsia="Calibri" w:hint="cs"/>
          <w:b/>
          <w:bCs/>
          <w:rtl/>
          <w:lang w:eastAsia="he-IL"/>
        </w:rPr>
        <w:t>ה</w:t>
      </w:r>
      <w:r w:rsidRPr="00861D72">
        <w:rPr>
          <w:rFonts w:eastAsia="Calibri" w:hint="eastAsia"/>
          <w:b/>
          <w:bCs/>
          <w:rtl/>
          <w:lang w:eastAsia="he-IL"/>
        </w:rPr>
        <w:t>יישום</w:t>
      </w:r>
      <w:r w:rsidRPr="00861D72">
        <w:rPr>
          <w:rFonts w:eastAsia="Calibri"/>
          <w:b/>
          <w:bCs/>
          <w:rtl/>
          <w:lang w:eastAsia="he-IL"/>
        </w:rPr>
        <w:t xml:space="preserve"> </w:t>
      </w:r>
      <w:r w:rsidRPr="00861D72">
        <w:rPr>
          <w:rFonts w:eastAsia="Calibri" w:hint="cs"/>
          <w:b/>
          <w:bCs/>
          <w:rtl/>
          <w:lang w:eastAsia="he-IL"/>
        </w:rPr>
        <w:t xml:space="preserve">של </w:t>
      </w:r>
      <w:r w:rsidRPr="00861D72">
        <w:rPr>
          <w:rFonts w:eastAsia="Calibri" w:hint="eastAsia"/>
          <w:b/>
          <w:bCs/>
          <w:rtl/>
          <w:lang w:eastAsia="he-IL"/>
        </w:rPr>
        <w:t>כיווני</w:t>
      </w:r>
      <w:r w:rsidRPr="00861D72">
        <w:rPr>
          <w:rFonts w:eastAsia="Calibri"/>
          <w:b/>
          <w:bCs/>
          <w:rtl/>
          <w:lang w:eastAsia="he-IL"/>
        </w:rPr>
        <w:t xml:space="preserve"> </w:t>
      </w:r>
      <w:r w:rsidRPr="00861D72">
        <w:rPr>
          <w:rFonts w:eastAsia="Calibri" w:hint="eastAsia"/>
          <w:b/>
          <w:bCs/>
          <w:rtl/>
          <w:lang w:eastAsia="he-IL"/>
        </w:rPr>
        <w:t>הפעולה</w:t>
      </w:r>
      <w:r w:rsidRPr="00861D72">
        <w:rPr>
          <w:rFonts w:eastAsia="Calibri" w:hint="cs"/>
          <w:b/>
          <w:bCs/>
          <w:rtl/>
          <w:lang w:eastAsia="he-IL"/>
        </w:rPr>
        <w:t xml:space="preserve">. עוד </w:t>
      </w:r>
      <w:r w:rsidRPr="00861D72">
        <w:rPr>
          <w:rFonts w:eastAsia="Calibri"/>
          <w:b/>
          <w:bCs/>
          <w:rtl/>
        </w:rPr>
        <w:t>מומלץ כי המועצה הלאומית לכלכלה</w:t>
      </w:r>
      <w:r w:rsidRPr="00861D72">
        <w:rPr>
          <w:rFonts w:eastAsia="Calibri" w:hint="cs"/>
          <w:b/>
          <w:bCs/>
          <w:rtl/>
        </w:rPr>
        <w:t xml:space="preserve"> </w:t>
      </w:r>
      <w:r w:rsidRPr="00861D72">
        <w:rPr>
          <w:rFonts w:eastAsia="Calibri"/>
          <w:b/>
          <w:bCs/>
          <w:rtl/>
        </w:rPr>
        <w:t>תמסד מנגנון בקרה ודיווח מחייב</w:t>
      </w:r>
      <w:r w:rsidRPr="00861D72">
        <w:rPr>
          <w:rFonts w:eastAsia="Calibri" w:hint="cs"/>
          <w:b/>
          <w:bCs/>
          <w:rtl/>
        </w:rPr>
        <w:t xml:space="preserve"> שיכלול </w:t>
      </w:r>
      <w:r w:rsidRPr="00861D72">
        <w:rPr>
          <w:rFonts w:eastAsia="Calibri"/>
          <w:b/>
          <w:bCs/>
          <w:rtl/>
        </w:rPr>
        <w:t xml:space="preserve">חובת דיווח רבעוני של מנכ״לי המשרדים על </w:t>
      </w:r>
      <w:r w:rsidRPr="00861D72">
        <w:rPr>
          <w:rFonts w:eastAsia="Calibri" w:hint="cs"/>
          <w:b/>
          <w:bCs/>
          <w:rtl/>
        </w:rPr>
        <w:t>מצב ה</w:t>
      </w:r>
      <w:r w:rsidRPr="00861D72">
        <w:rPr>
          <w:rFonts w:eastAsia="Calibri"/>
          <w:b/>
          <w:bCs/>
          <w:rtl/>
        </w:rPr>
        <w:t xml:space="preserve">יישום </w:t>
      </w:r>
      <w:r w:rsidRPr="00861D72">
        <w:rPr>
          <w:rFonts w:eastAsia="Calibri" w:hint="cs"/>
          <w:b/>
          <w:bCs/>
          <w:rtl/>
        </w:rPr>
        <w:t xml:space="preserve">של </w:t>
      </w:r>
      <w:r w:rsidRPr="00861D72">
        <w:rPr>
          <w:rFonts w:eastAsia="Calibri"/>
          <w:b/>
          <w:bCs/>
          <w:rtl/>
        </w:rPr>
        <w:t>כיווני הפעולה</w:t>
      </w:r>
      <w:r w:rsidRPr="00861D72">
        <w:rPr>
          <w:rFonts w:eastAsia="Calibri" w:hint="cs"/>
          <w:b/>
          <w:bCs/>
          <w:rtl/>
        </w:rPr>
        <w:t xml:space="preserve"> </w:t>
      </w:r>
      <w:r w:rsidRPr="00861D72">
        <w:rPr>
          <w:rFonts w:eastAsia="Calibri"/>
          <w:b/>
          <w:bCs/>
          <w:rtl/>
        </w:rPr>
        <w:t xml:space="preserve">והגשת דוח התקדמות </w:t>
      </w:r>
      <w:r w:rsidRPr="00861D72">
        <w:rPr>
          <w:rFonts w:eastAsia="Calibri" w:hint="cs"/>
          <w:b/>
          <w:bCs/>
          <w:rtl/>
        </w:rPr>
        <w:t xml:space="preserve">עיתי לממשלה. </w:t>
      </w:r>
    </w:p>
    <w:p w:rsidR="00861D72" w:rsidRPr="00861D72" w:rsidP="00F90255">
      <w:pPr>
        <w:spacing w:line="269" w:lineRule="auto"/>
        <w:rPr>
          <w:rFonts w:eastAsia="Calibri"/>
          <w:rtl/>
        </w:rPr>
      </w:pPr>
    </w:p>
    <w:p w:rsidR="00861D72" w:rsidP="00F90255">
      <w:pPr>
        <w:spacing w:line="269" w:lineRule="auto"/>
        <w:rPr>
          <w:rFonts w:eastAsia="Calibri"/>
          <w:b/>
          <w:bCs/>
          <w:rtl/>
          <w:lang w:eastAsia="he-IL"/>
        </w:rPr>
      </w:pPr>
      <w:r w:rsidRPr="00861D72">
        <w:rPr>
          <w:rFonts w:eastAsia="Calibri" w:hint="cs"/>
          <w:rtl/>
        </w:rPr>
        <w:t xml:space="preserve">המועצה הלאומית לכלכלה ציינה בתשובתה כי היא </w:t>
      </w:r>
      <w:r w:rsidRPr="00861D72">
        <w:rPr>
          <w:rFonts w:eastAsia="Calibri"/>
          <w:rtl/>
        </w:rPr>
        <w:t>תפעל להטמעת מנגנוני</w:t>
      </w:r>
      <w:r w:rsidRPr="00861D72">
        <w:rPr>
          <w:rFonts w:eastAsia="Calibri" w:hint="cs"/>
          <w:rtl/>
        </w:rPr>
        <w:t xml:space="preserve"> </w:t>
      </w:r>
      <w:r w:rsidRPr="00861D72">
        <w:rPr>
          <w:rFonts w:eastAsia="Calibri"/>
          <w:rtl/>
        </w:rPr>
        <w:t>דיווח ובקרה משופרים בתוכנית החדשה,</w:t>
      </w:r>
      <w:r w:rsidRPr="00861D72">
        <w:rPr>
          <w:rFonts w:eastAsia="Calibri" w:hint="cs"/>
          <w:rtl/>
        </w:rPr>
        <w:t xml:space="preserve"> </w:t>
      </w:r>
      <w:r w:rsidRPr="00861D72">
        <w:rPr>
          <w:rFonts w:eastAsia="Calibri"/>
          <w:rtl/>
        </w:rPr>
        <w:t>על מנת להבטיח שקביעת המדיניות</w:t>
      </w:r>
      <w:r w:rsidRPr="00861D72">
        <w:rPr>
          <w:rFonts w:eastAsia="Calibri" w:hint="cs"/>
          <w:rtl/>
        </w:rPr>
        <w:t xml:space="preserve"> </w:t>
      </w:r>
      <w:r w:rsidRPr="00861D72">
        <w:rPr>
          <w:rFonts w:eastAsia="Calibri"/>
          <w:rtl/>
        </w:rPr>
        <w:t>תתורגם ליישום עקבי ומדיד</w:t>
      </w:r>
      <w:r w:rsidRPr="00861D72">
        <w:rPr>
          <w:rFonts w:eastAsia="Calibri" w:hint="cs"/>
          <w:rtl/>
        </w:rPr>
        <w:t>.</w:t>
      </w:r>
    </w:p>
    <w:p w:rsidR="00D26FBE" w:rsidRPr="00861D72" w:rsidP="00F90255">
      <w:pPr>
        <w:spacing w:line="269" w:lineRule="auto"/>
        <w:rPr>
          <w:rFonts w:eastAsia="Calibri"/>
          <w:b/>
          <w:bCs/>
          <w:rtl/>
          <w:lang w:eastAsia="he-IL"/>
        </w:rPr>
      </w:pPr>
    </w:p>
    <w:p w:rsidR="00861D72" w:rsidRPr="00861D72" w:rsidP="00F90255">
      <w:pPr>
        <w:spacing w:line="269" w:lineRule="auto"/>
        <w:rPr>
          <w:rFonts w:eastAsia="Calibri"/>
          <w:bCs/>
          <w:rtl/>
        </w:rPr>
      </w:pPr>
      <w:r w:rsidRPr="00861D72">
        <w:rPr>
          <w:rFonts w:eastAsia="Calibri" w:hint="cs"/>
          <w:bCs/>
          <w:rtl/>
        </w:rPr>
        <w:t>כמו כן כדי להציב את</w:t>
      </w:r>
      <w:r w:rsidRPr="00861D72">
        <w:rPr>
          <w:rFonts w:eastAsia="Calibri"/>
          <w:bCs/>
          <w:rtl/>
        </w:rPr>
        <w:t xml:space="preserve"> הנושא </w:t>
      </w:r>
      <w:r w:rsidRPr="00861D72">
        <w:rPr>
          <w:rFonts w:eastAsia="Calibri" w:hint="cs"/>
          <w:bCs/>
          <w:rtl/>
        </w:rPr>
        <w:t>ב</w:t>
      </w:r>
      <w:r w:rsidRPr="00861D72">
        <w:rPr>
          <w:rFonts w:eastAsia="Calibri"/>
          <w:bCs/>
          <w:rtl/>
        </w:rPr>
        <w:t>סדר היום התקציבי והביצועי</w:t>
      </w:r>
      <w:r w:rsidRPr="00861D72">
        <w:rPr>
          <w:rFonts w:eastAsia="Calibri" w:hint="cs"/>
          <w:bCs/>
          <w:rtl/>
        </w:rPr>
        <w:t xml:space="preserve"> של הממשלה</w:t>
      </w:r>
      <w:r w:rsidRPr="00861D72">
        <w:rPr>
          <w:rFonts w:eastAsia="Calibri"/>
          <w:bCs/>
          <w:rtl/>
        </w:rPr>
        <w:t xml:space="preserve"> </w:t>
      </w:r>
      <w:r w:rsidRPr="00861D72">
        <w:rPr>
          <w:rFonts w:eastAsia="Calibri" w:hint="cs"/>
          <w:bCs/>
          <w:rtl/>
        </w:rPr>
        <w:t xml:space="preserve">וכדי לצמצם </w:t>
      </w:r>
      <w:r w:rsidRPr="00861D72">
        <w:rPr>
          <w:rFonts w:eastAsia="Calibri"/>
          <w:bCs/>
          <w:rtl/>
        </w:rPr>
        <w:t xml:space="preserve">את הפערים בשירות </w:t>
      </w:r>
      <w:r w:rsidRPr="00861D72">
        <w:rPr>
          <w:rFonts w:eastAsia="Calibri" w:hint="cs"/>
          <w:bCs/>
          <w:rtl/>
        </w:rPr>
        <w:t>לזקנים</w:t>
      </w:r>
      <w:r w:rsidRPr="00861D72">
        <w:rPr>
          <w:rFonts w:eastAsia="Calibri"/>
          <w:bCs/>
        </w:rPr>
        <w:t xml:space="preserve"> </w:t>
      </w:r>
      <w:r w:rsidRPr="00861D72">
        <w:rPr>
          <w:rFonts w:eastAsia="Calibri" w:hint="cs"/>
          <w:bCs/>
          <w:rtl/>
        </w:rPr>
        <w:t>מומלץ כי המועצה הלאומית לכלכלה תבחן את הכללת הנושא בהערכת המצב הבאה.</w:t>
      </w:r>
      <w:r w:rsidRPr="00861D72">
        <w:rPr>
          <w:rFonts w:eastAsia="Calibri"/>
          <w:bCs/>
          <w:rtl/>
        </w:rPr>
        <w:t xml:space="preserve"> </w:t>
      </w:r>
    </w:p>
    <w:p w:rsidR="00861D72" w:rsidRPr="00861D72" w:rsidP="00F90255">
      <w:pPr>
        <w:spacing w:line="269" w:lineRule="auto"/>
        <w:rPr>
          <w:rFonts w:eastAsia="Calibri"/>
          <w:bCs/>
          <w:rtl/>
        </w:rPr>
      </w:pPr>
    </w:p>
    <w:p w:rsidR="00861D72" w:rsidRPr="00861D72" w:rsidP="00F90255">
      <w:pPr>
        <w:keepNext/>
        <w:keepLines/>
        <w:spacing w:line="269" w:lineRule="auto"/>
        <w:outlineLvl w:val="3"/>
        <w:rPr>
          <w:rFonts w:eastAsia="Times New Roman"/>
          <w:bCs/>
          <w:szCs w:val="26"/>
          <w:rtl/>
        </w:rPr>
      </w:pPr>
      <w:r w:rsidRPr="00861D72">
        <w:rPr>
          <w:rFonts w:eastAsia="Times New Roman" w:hint="cs"/>
          <w:bCs/>
          <w:szCs w:val="26"/>
          <w:rtl/>
        </w:rPr>
        <w:t xml:space="preserve">מפת המדדים הלאומיים להזדקנות מיטבית </w:t>
      </w:r>
    </w:p>
    <w:p w:rsidR="00861D72" w:rsidRPr="00861D72" w:rsidP="00F90255">
      <w:pPr>
        <w:spacing w:line="269" w:lineRule="auto"/>
        <w:rPr>
          <w:rFonts w:eastAsia="Calibri"/>
          <w:rtl/>
        </w:rPr>
      </w:pPr>
    </w:p>
    <w:p w:rsidR="00861D72" w:rsidRPr="00861D72" w:rsidP="00F90255">
      <w:pPr>
        <w:spacing w:line="269" w:lineRule="auto"/>
        <w:rPr>
          <w:rFonts w:eastAsia="Calibri"/>
          <w:rtl/>
        </w:rPr>
      </w:pPr>
      <w:bookmarkStart w:id="23" w:name="_Hlk222217128"/>
      <w:r w:rsidRPr="00861D72">
        <w:rPr>
          <w:rFonts w:eastAsia="Calibri" w:hint="cs"/>
          <w:rtl/>
        </w:rPr>
        <w:t>הזדקנות מיטבית היא מצב שבו אדם זקן מרגיש בריא, בעל משמעות, ובעל יכולת כלכלית למימון מצבו</w:t>
      </w:r>
      <w:r>
        <w:rPr>
          <w:rFonts w:eastAsia="Calibri"/>
          <w:vertAlign w:val="superscript"/>
          <w:rtl/>
        </w:rPr>
        <w:footnoteReference w:id="58"/>
      </w:r>
      <w:r w:rsidRPr="00861D72">
        <w:rPr>
          <w:rFonts w:eastAsia="Calibri" w:hint="cs"/>
          <w:rtl/>
        </w:rPr>
        <w:t xml:space="preserve"> (להלן - הזדקנות מיטבית).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ב-2021 גיבש צוות עבודה משותף של נציגים ממשרדי הממשלה</w:t>
      </w:r>
      <w:r w:rsidRPr="00861D72">
        <w:rPr>
          <w:rFonts w:eastAsia="Calibri" w:hint="cs"/>
          <w:b/>
          <w:bCs/>
          <w:rtl/>
        </w:rPr>
        <w:t xml:space="preserve"> </w:t>
      </w:r>
      <w:r w:rsidRPr="00861D72">
        <w:rPr>
          <w:rFonts w:eastAsia="Calibri" w:hint="cs"/>
          <w:rtl/>
        </w:rPr>
        <w:t xml:space="preserve">העוסקים בתחום ההזדקנות ומהמגזר השלישי (להלן - </w:t>
      </w:r>
      <w:r w:rsidRPr="00861D72">
        <w:rPr>
          <w:rFonts w:eastAsia="Calibri" w:hint="eastAsia"/>
          <w:rtl/>
        </w:rPr>
        <w:t>צוות</w:t>
      </w:r>
      <w:r w:rsidRPr="00861D72">
        <w:rPr>
          <w:rFonts w:eastAsia="Calibri"/>
          <w:rtl/>
        </w:rPr>
        <w:t xml:space="preserve"> </w:t>
      </w:r>
      <w:r w:rsidRPr="00861D72">
        <w:rPr>
          <w:rFonts w:eastAsia="Calibri" w:hint="eastAsia"/>
          <w:rtl/>
        </w:rPr>
        <w:t>העבודה</w:t>
      </w:r>
      <w:r w:rsidRPr="00861D72">
        <w:rPr>
          <w:rFonts w:eastAsia="Calibri"/>
          <w:rtl/>
        </w:rPr>
        <w:t xml:space="preserve"> </w:t>
      </w:r>
      <w:r w:rsidRPr="00861D72">
        <w:rPr>
          <w:rFonts w:eastAsia="Calibri" w:hint="eastAsia"/>
          <w:rtl/>
        </w:rPr>
        <w:t>המשותף</w:t>
      </w:r>
      <w:r w:rsidRPr="00861D72">
        <w:rPr>
          <w:rFonts w:eastAsia="Calibri" w:hint="cs"/>
          <w:rtl/>
        </w:rPr>
        <w:t>)</w:t>
      </w:r>
      <w:r>
        <w:rPr>
          <w:rFonts w:eastAsia="Calibri"/>
          <w:vertAlign w:val="superscript"/>
          <w:rtl/>
        </w:rPr>
        <w:footnoteReference w:id="59"/>
      </w:r>
      <w:r w:rsidRPr="00861D72">
        <w:rPr>
          <w:rFonts w:eastAsia="Calibri" w:hint="cs"/>
          <w:rtl/>
        </w:rPr>
        <w:t xml:space="preserve"> את מפת המדדים הלאומיים להזדקנות מיטבית (להלן - </w:t>
      </w:r>
      <w:r w:rsidRPr="00861D72">
        <w:rPr>
          <w:rFonts w:eastAsia="Calibri" w:hint="eastAsia"/>
          <w:rtl/>
        </w:rPr>
        <w:t>מפת</w:t>
      </w:r>
      <w:r w:rsidRPr="00861D72">
        <w:rPr>
          <w:rFonts w:eastAsia="Calibri"/>
          <w:rtl/>
        </w:rPr>
        <w:t xml:space="preserve"> </w:t>
      </w:r>
      <w:r w:rsidRPr="00861D72">
        <w:rPr>
          <w:rFonts w:eastAsia="Calibri" w:hint="eastAsia"/>
          <w:rtl/>
        </w:rPr>
        <w:t>המדדים</w:t>
      </w:r>
      <w:r w:rsidRPr="00861D72">
        <w:rPr>
          <w:rFonts w:eastAsia="Calibri" w:hint="cs"/>
          <w:rtl/>
        </w:rPr>
        <w:t>)</w:t>
      </w:r>
      <w:r>
        <w:rPr>
          <w:rFonts w:eastAsia="Calibri"/>
          <w:vertAlign w:val="superscript"/>
          <w:rtl/>
        </w:rPr>
        <w:footnoteReference w:id="60"/>
      </w:r>
      <w:r w:rsidRPr="00861D72">
        <w:rPr>
          <w:rFonts w:eastAsia="Calibri" w:hint="cs"/>
          <w:rtl/>
        </w:rPr>
        <w:t xml:space="preserve">. </w:t>
      </w:r>
      <w:r w:rsidRPr="00861D72">
        <w:rPr>
          <w:rFonts w:eastAsia="Calibri"/>
          <w:rtl/>
        </w:rPr>
        <w:t xml:space="preserve">מפת המדדים נועדה לספק לממשלה כלי לקבלת החלטות מבוססות נתונים, שיאפשרו ניהול יעיל של משאבים ציבוריים, צמצום פערים וחיזוק תהליכי הזדקנות מיטבית בישראל. </w:t>
      </w:r>
      <w:bookmarkEnd w:id="23"/>
      <w:r w:rsidRPr="00861D72">
        <w:rPr>
          <w:rFonts w:eastAsia="Calibri"/>
          <w:rtl/>
        </w:rPr>
        <w:t>היא מיועדת לשמש גם את כלל הגורמים העוסקים בתחום - רשויות מקומיות, המגזר העסקי והחברה האזרחית.</w:t>
      </w:r>
      <w:r w:rsidRPr="00861D72">
        <w:rPr>
          <w:rFonts w:eastAsia="Calibri" w:hint="cs"/>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מפת המדדים מציגה שני סוגים של מדדים</w:t>
      </w:r>
      <w:r>
        <w:rPr>
          <w:rFonts w:ascii="David" w:eastAsia="Calibri" w:hAnsi="David"/>
          <w:sz w:val="24"/>
          <w:vertAlign w:val="superscript"/>
          <w:rtl/>
        </w:rPr>
        <w:footnoteReference w:id="61"/>
      </w:r>
      <w:r w:rsidRPr="00861D72">
        <w:rPr>
          <w:rFonts w:eastAsia="Calibri" w:hint="cs"/>
          <w:rtl/>
        </w:rPr>
        <w:t xml:space="preserve">: </w:t>
      </w:r>
    </w:p>
    <w:p w:rsidR="00861D72" w:rsidRPr="00861D72" w:rsidP="00F90255">
      <w:pPr>
        <w:spacing w:line="269" w:lineRule="auto"/>
        <w:rPr>
          <w:rFonts w:eastAsia="Calibri"/>
          <w:rtl/>
        </w:rPr>
      </w:pPr>
    </w:p>
    <w:p w:rsidR="00861D72" w:rsidRPr="00861D72" w:rsidP="00F90255">
      <w:pPr>
        <w:numPr>
          <w:ilvl w:val="0"/>
          <w:numId w:val="12"/>
        </w:numPr>
        <w:spacing w:line="269" w:lineRule="auto"/>
        <w:rPr>
          <w:rFonts w:ascii="David" w:eastAsia="Calibri" w:hAnsi="David"/>
          <w:sz w:val="24"/>
        </w:rPr>
      </w:pPr>
      <w:r w:rsidRPr="00861D72">
        <w:rPr>
          <w:rFonts w:ascii="David" w:eastAsia="Calibri" w:hAnsi="David"/>
          <w:sz w:val="24"/>
          <w:rtl/>
        </w:rPr>
        <w:t xml:space="preserve">הסוג הראשון, מדדי-על להזדקנות מיטבית בשלושה תחומים: בריאות, משמעות וחוסן כלכלי. הזדקנות מיטבית תבוא לידי ביטוי בשיפור במדדי העל. עם זאת </w:t>
      </w:r>
      <w:r w:rsidRPr="00861D72">
        <w:rPr>
          <w:rFonts w:ascii="David" w:eastAsia="Calibri" w:hAnsi="David" w:hint="cs"/>
          <w:sz w:val="24"/>
          <w:rtl/>
        </w:rPr>
        <w:t>אי אפשר</w:t>
      </w:r>
      <w:r w:rsidRPr="00861D72">
        <w:rPr>
          <w:rFonts w:ascii="David" w:eastAsia="Calibri" w:hAnsi="David"/>
          <w:sz w:val="24"/>
          <w:rtl/>
        </w:rPr>
        <w:t xml:space="preserve"> להשפיע באופן ישיר על מדדים אלו</w:t>
      </w:r>
      <w:r w:rsidRPr="00861D72">
        <w:rPr>
          <w:rFonts w:ascii="David" w:eastAsia="Calibri" w:hAnsi="David" w:hint="cs"/>
          <w:sz w:val="24"/>
          <w:rtl/>
        </w:rPr>
        <w:t>, אלא נדרשת</w:t>
      </w:r>
      <w:r w:rsidRPr="00861D72">
        <w:rPr>
          <w:rFonts w:ascii="David" w:eastAsia="Calibri" w:hAnsi="David"/>
          <w:sz w:val="24"/>
          <w:rtl/>
        </w:rPr>
        <w:t xml:space="preserve"> </w:t>
      </w:r>
      <w:r w:rsidRPr="00861D72">
        <w:rPr>
          <w:rFonts w:ascii="David" w:eastAsia="Calibri" w:hAnsi="David" w:hint="cs"/>
          <w:sz w:val="24"/>
          <w:rtl/>
        </w:rPr>
        <w:t>השפעה</w:t>
      </w:r>
      <w:r w:rsidRPr="00861D72">
        <w:rPr>
          <w:rFonts w:ascii="David" w:eastAsia="Calibri" w:hAnsi="David"/>
          <w:sz w:val="24"/>
          <w:rtl/>
        </w:rPr>
        <w:t xml:space="preserve"> </w:t>
      </w:r>
      <w:r w:rsidRPr="00861D72">
        <w:rPr>
          <w:rFonts w:ascii="David" w:eastAsia="Calibri" w:hAnsi="David" w:hint="cs"/>
          <w:sz w:val="24"/>
          <w:rtl/>
        </w:rPr>
        <w:t>על</w:t>
      </w:r>
      <w:r w:rsidRPr="00861D72">
        <w:rPr>
          <w:rFonts w:ascii="David" w:eastAsia="Calibri" w:hAnsi="David"/>
          <w:sz w:val="24"/>
          <w:rtl/>
        </w:rPr>
        <w:t xml:space="preserve"> </w:t>
      </w:r>
      <w:r w:rsidRPr="00861D72">
        <w:rPr>
          <w:rFonts w:ascii="David" w:eastAsia="Calibri" w:hAnsi="David" w:hint="cs"/>
          <w:sz w:val="24"/>
          <w:rtl/>
        </w:rPr>
        <w:t>מגוון</w:t>
      </w:r>
      <w:r w:rsidRPr="00861D72">
        <w:rPr>
          <w:rFonts w:ascii="David" w:eastAsia="Calibri" w:hAnsi="David"/>
          <w:sz w:val="24"/>
          <w:rtl/>
        </w:rPr>
        <w:t xml:space="preserve"> </w:t>
      </w:r>
      <w:r w:rsidRPr="00861D72">
        <w:rPr>
          <w:rFonts w:ascii="David" w:eastAsia="Calibri" w:hAnsi="David" w:hint="cs"/>
          <w:sz w:val="24"/>
          <w:rtl/>
        </w:rPr>
        <w:t>משתנים</w:t>
      </w:r>
      <w:r w:rsidRPr="00861D72">
        <w:rPr>
          <w:rFonts w:ascii="David" w:eastAsia="Calibri" w:hAnsi="David"/>
          <w:sz w:val="24"/>
          <w:rtl/>
        </w:rPr>
        <w:t xml:space="preserve"> </w:t>
      </w:r>
      <w:r w:rsidRPr="00861D72">
        <w:rPr>
          <w:rFonts w:ascii="David" w:eastAsia="Calibri" w:hAnsi="David" w:hint="cs"/>
          <w:sz w:val="24"/>
          <w:rtl/>
        </w:rPr>
        <w:t>בחייו</w:t>
      </w:r>
      <w:r w:rsidRPr="00861D72">
        <w:rPr>
          <w:rFonts w:ascii="David" w:eastAsia="Calibri" w:hAnsi="David"/>
          <w:sz w:val="24"/>
          <w:rtl/>
        </w:rPr>
        <w:t xml:space="preserve"> </w:t>
      </w:r>
      <w:r w:rsidRPr="00861D72">
        <w:rPr>
          <w:rFonts w:ascii="David" w:eastAsia="Calibri" w:hAnsi="David" w:hint="cs"/>
          <w:sz w:val="24"/>
          <w:rtl/>
        </w:rPr>
        <w:t>של</w:t>
      </w:r>
      <w:r w:rsidRPr="00861D72">
        <w:rPr>
          <w:rFonts w:ascii="David" w:eastAsia="Calibri" w:hAnsi="David"/>
          <w:sz w:val="24"/>
          <w:rtl/>
        </w:rPr>
        <w:t xml:space="preserve"> </w:t>
      </w:r>
      <w:r w:rsidRPr="00861D72">
        <w:rPr>
          <w:rFonts w:ascii="David" w:eastAsia="Calibri" w:hAnsi="David" w:hint="cs"/>
          <w:sz w:val="24"/>
          <w:rtl/>
        </w:rPr>
        <w:t>כל</w:t>
      </w:r>
      <w:r w:rsidRPr="00861D72">
        <w:rPr>
          <w:rFonts w:ascii="David" w:eastAsia="Calibri" w:hAnsi="David"/>
          <w:sz w:val="24"/>
          <w:rtl/>
        </w:rPr>
        <w:t xml:space="preserve"> </w:t>
      </w:r>
      <w:r w:rsidRPr="00861D72">
        <w:rPr>
          <w:rFonts w:ascii="David" w:eastAsia="Calibri" w:hAnsi="David" w:hint="cs"/>
          <w:sz w:val="24"/>
          <w:rtl/>
        </w:rPr>
        <w:t>אדם</w:t>
      </w:r>
      <w:r w:rsidRPr="00861D72">
        <w:rPr>
          <w:rFonts w:ascii="David" w:eastAsia="Calibri" w:hAnsi="David"/>
          <w:sz w:val="24"/>
          <w:rtl/>
        </w:rPr>
        <w:t xml:space="preserve">. </w:t>
      </w:r>
    </w:p>
    <w:p w:rsidR="00861D72" w:rsidRPr="00861D72" w:rsidP="00F90255">
      <w:pPr>
        <w:spacing w:line="269" w:lineRule="auto"/>
        <w:ind w:left="340"/>
        <w:rPr>
          <w:rFonts w:ascii="David" w:eastAsia="Calibri" w:hAnsi="David"/>
          <w:sz w:val="24"/>
        </w:rPr>
      </w:pPr>
    </w:p>
    <w:p w:rsidR="00861D72" w:rsidRPr="00861D72" w:rsidP="00F90255">
      <w:pPr>
        <w:numPr>
          <w:ilvl w:val="0"/>
          <w:numId w:val="12"/>
        </w:numPr>
        <w:spacing w:line="269" w:lineRule="auto"/>
        <w:rPr>
          <w:rFonts w:ascii="David" w:eastAsia="Calibri" w:hAnsi="David"/>
          <w:sz w:val="24"/>
        </w:rPr>
      </w:pPr>
      <w:r w:rsidRPr="00861D72">
        <w:rPr>
          <w:rFonts w:ascii="David" w:eastAsia="Calibri" w:hAnsi="David"/>
          <w:sz w:val="24"/>
          <w:rtl/>
        </w:rPr>
        <w:t>הסוג השני, מדדים מנבאים להזדקנות מיטבית. אלו מדדים התנהגותיים או תפיסתיים שנמצאו בספרות כבעלי השפעה לה</w:t>
      </w:r>
      <w:r w:rsidRPr="00861D72">
        <w:rPr>
          <w:rFonts w:ascii="David" w:eastAsia="Calibri" w:hAnsi="David" w:hint="cs"/>
          <w:sz w:val="24"/>
          <w:rtl/>
        </w:rPr>
        <w:t>ש</w:t>
      </w:r>
      <w:r w:rsidRPr="00861D72">
        <w:rPr>
          <w:rFonts w:ascii="David" w:eastAsia="Calibri" w:hAnsi="David"/>
          <w:sz w:val="24"/>
          <w:rtl/>
        </w:rPr>
        <w:t xml:space="preserve">גת הזדקנות מיטבית, והתערבות במדדים אלו בכל גיל משפיעה על הזדקנות מיטבית. </w:t>
      </w:r>
      <w:r w:rsidRPr="00861D72">
        <w:rPr>
          <w:rFonts w:ascii="David" w:eastAsia="Calibri" w:hAnsi="David" w:hint="cs"/>
          <w:sz w:val="24"/>
          <w:rtl/>
        </w:rPr>
        <w:t xml:space="preserve">בדוח הלשכה המרכזית לסטטיסטיקה (להלן - </w:t>
      </w:r>
      <w:r w:rsidRPr="00861D72">
        <w:rPr>
          <w:rFonts w:ascii="David" w:eastAsia="Calibri" w:hAnsi="David" w:hint="cs"/>
          <w:sz w:val="24"/>
          <w:rtl/>
        </w:rPr>
        <w:t>הלמ"ס</w:t>
      </w:r>
      <w:r w:rsidRPr="00861D72">
        <w:rPr>
          <w:rFonts w:ascii="David" w:eastAsia="Calibri" w:hAnsi="David" w:hint="cs"/>
          <w:sz w:val="24"/>
          <w:rtl/>
        </w:rPr>
        <w:t xml:space="preserve">) שפורסם ב-2022 על מפת המדדים היו 24 מדדים מנבאים, ובדוח השני והאחרון שפורסם </w:t>
      </w:r>
      <w:r w:rsidR="00A804DA">
        <w:rPr>
          <w:rFonts w:ascii="David" w:eastAsia="Calibri" w:hAnsi="David"/>
          <w:sz w:val="24"/>
          <w:rtl/>
        </w:rPr>
        <w:br/>
      </w:r>
      <w:r w:rsidRPr="00861D72">
        <w:rPr>
          <w:rFonts w:ascii="David" w:eastAsia="Calibri" w:hAnsi="David" w:hint="cs"/>
          <w:sz w:val="24"/>
          <w:rtl/>
        </w:rPr>
        <w:t xml:space="preserve">ב-2024 הוצגו 31 </w:t>
      </w:r>
      <w:r w:rsidRPr="00861D72">
        <w:rPr>
          <w:rFonts w:ascii="David" w:eastAsia="Calibri" w:hAnsi="David"/>
          <w:sz w:val="24"/>
          <w:rtl/>
        </w:rPr>
        <w:t xml:space="preserve">מדדים מנבאים בחמישה תחומים: ניהול בריאות, אורח חיים בריא, אורח חיים חברתי פעיל, מוכנות כלכלית ואוריינות דיגיטלית. </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ascii="David" w:eastAsia="Calibri" w:hAnsi="David"/>
          <w:sz w:val="24"/>
          <w:rtl/>
        </w:rPr>
        <w:t xml:space="preserve">התרשים שלהלן מציג את </w:t>
      </w:r>
      <w:r w:rsidRPr="00861D72">
        <w:rPr>
          <w:rFonts w:ascii="David" w:eastAsia="Calibri" w:hAnsi="David" w:hint="cs"/>
          <w:sz w:val="24"/>
          <w:rtl/>
        </w:rPr>
        <w:t>מדדי-העל וחלק מהמדדים המנבאים במפת המדדים</w:t>
      </w:r>
      <w:r w:rsidRPr="00861D72">
        <w:rPr>
          <w:rFonts w:ascii="David" w:eastAsia="Calibri" w:hAnsi="David"/>
          <w:sz w:val="24"/>
          <w:rtl/>
        </w:rPr>
        <w:t>.</w:t>
      </w:r>
    </w:p>
    <w:p w:rsidR="00861D72" w:rsidRPr="00861D72" w:rsidP="00F90255">
      <w:pPr>
        <w:spacing w:line="269" w:lineRule="auto"/>
        <w:rPr>
          <w:rFonts w:ascii="David" w:eastAsia="Calibri" w:hAnsi="David"/>
          <w:sz w:val="24"/>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F90255">
      <w:pPr>
        <w:spacing w:line="269" w:lineRule="auto"/>
        <w:jc w:val="center"/>
        <w:rPr>
          <w:rFonts w:eastAsia="Calibri"/>
          <w:rtl/>
        </w:rPr>
      </w:pPr>
    </w:p>
    <w:p w:rsidR="00861D72" w:rsidRPr="00861D72" w:rsidP="00D26FBE">
      <w:pPr>
        <w:keepNext/>
        <w:keepLines/>
        <w:spacing w:line="269" w:lineRule="auto"/>
        <w:jc w:val="center"/>
        <w:rPr>
          <w:rFonts w:eastAsia="Calibri"/>
          <w:rtl/>
        </w:rPr>
      </w:pPr>
      <w:r w:rsidRPr="00861D72">
        <w:rPr>
          <w:rFonts w:eastAsia="Calibri" w:hint="cs"/>
          <w:rtl/>
        </w:rPr>
        <w:t xml:space="preserve">תרשים 11: </w:t>
      </w:r>
      <w:r w:rsidRPr="00861D72">
        <w:rPr>
          <w:rFonts w:eastAsia="Calibri" w:hint="cs"/>
          <w:b/>
          <w:bCs/>
          <w:rtl/>
        </w:rPr>
        <w:t>מפת המדדים להזדקנות מיטבית, 2024</w:t>
      </w:r>
    </w:p>
    <w:p w:rsidR="00861D72" w:rsidRPr="00861D72" w:rsidP="00F90255">
      <w:pPr>
        <w:spacing w:line="269" w:lineRule="auto"/>
        <w:jc w:val="center"/>
        <w:rPr>
          <w:rFonts w:eastAsia="Calibri"/>
          <w:rtl/>
        </w:rPr>
      </w:pPr>
      <w:r w:rsidRPr="00861D72">
        <w:rPr>
          <w:rFonts w:eastAsia="Calibri"/>
          <w:noProof/>
        </w:rPr>
        <w:drawing>
          <wp:inline distT="0" distB="0" distL="0" distR="0">
            <wp:extent cx="5346700" cy="7626985"/>
            <wp:effectExtent l="0" t="0" r="0" b="0"/>
            <wp:docPr id="103" name="תמונה 103" descr="מדדי-על&#10;&#10;בריאות&#10;&#10;שנות חיים בריאים&#10;&#10;מספר השנים&#10;הצפויות לאדם&#10;לחיות ללא&#10;מגבלה&#10;תפקודית עקב&#10;בעיה בריאותית&#10;&#10;תפקוד&#10;&#10;יכולתו של&#10;אדם לבצע&#10;פעולות יום-&#10;יומיות&#10;הכרחיות&#10;לתפקוד&#10;בסיסי או&#10;המכתיבות&#10;את מידת&#10;התלות&#10;בזולת&#10;&#10;משמעות&#10;&#10;תחושת&#10;בדידות&#10;&#10;הערכה&#10;עצמית של&#10;הפרט ביחס&#10;למצבו&#10;החברתי&#10;והרגשי&#10;&#10;איכות חיים&#10;&#10;רווחה אישית&#10;וסובייקטיבית&#10;בתחומי&#10;שליטה,&#10;אוטונומיה,&#10;מימוש עצמי&#10;והנאה&#10;&#10;חוסן כלכלי&#10;&#10;יכולת&#10;להסתדר&#10;כלכלית&#10;&#10;התפיסה&#10;העצמית של&#10;האדם על מצבו&#10;הכלכלי ועל&#10;יכולתו לכסות&#10;את הוצאות&#10;משק הבית&#10;&#10;עוני&#10;&#10;שיעור&#10;המשפחות&#10;העניות&#10;מתוך משקי&#10;בית שבהם&#10;לפחות פרט&#10;אחד בן 65&#10;ומעלה&#10;&#10;מדדים מנבאים&#10;&#10;ניהול&#10;בריאות&#10;&#10;הערכה עצמית&#10;של המצב&#10;הבריאותי&#10;&#10;קבלת חיסונים&#10;&#10;ביצוע בדיקות&#10;לגילוי מוקדם&#10;של סרטן השד&#10;(ממוגרפיה)&#10;וסרטן המעי&#10;הגס (דם סמוי)&#10;&#10;אורח חיים&#10;בריא&#10;&#10;עיסוק בפעילות&#10;גופנית קלה או&#10;מאומצת לפחות&#10;פעם בשבוע&#10;&#10;תת-משקל או&#10;השמנת יתר&#10;&#10;מדד מסכם של&#10;התנהגויות&#10;בריאות&#10;&#10;אורח חיים חברתי פעיל&#10;&#10;מידת שביעות&#10;הרצון מהרשת&#10;החברתית&#10;ומהקרבה לחברים&#10;בה&#10;&#10;מידת שביעות&#10;הרצון מהקשר&#10;עם בני&#10;המשפחה&#10;והשכנים&#10;ותחושת הערכה&#10;מהם&#10;&#10;אמון כללי&#10;ותחושה שיש&#10;על מי לסמוך&#10;&#10;שיעור&#10;התעסוקה&#10;&#10;שיעור&#10;המועסקים&#10;במשרה חלקית&#10;שלא מרצון&#10;&#10;עיסוק בפעילות&#10;התנדבותית&#10;ופנאי ייחודית&#10;&#10;מוכנות כלכלית&#10;&#10;מקבלי פנסיה וגובה פנסיה&#10;ממוצעת&#10;&#10;מקבלי הכנסה מעבודה והכנסה&#10;מעבודה&#10;&#10;היכולת להתמודד עם הוצאה&#10;בלתי צפויה&#10;&#10;אוריינות דיגיטלית&#10;&#10;נגישות למחשב&#10;&#10;שימוש באינטרנט (מרשתת)&#10;&#10;שימוש בשירותי ממשל מקוונ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6700" cy="7626985"/>
                    </a:xfrm>
                    <a:prstGeom prst="rect">
                      <a:avLst/>
                    </a:prstGeom>
                    <a:noFill/>
                  </pic:spPr>
                </pic:pic>
              </a:graphicData>
            </a:graphic>
          </wp:inline>
        </w:drawing>
      </w:r>
    </w:p>
    <w:p w:rsidR="00861D72" w:rsidRPr="00861D72" w:rsidP="00F90255">
      <w:pPr>
        <w:spacing w:line="269" w:lineRule="auto"/>
        <w:rPr>
          <w:rFonts w:eastAsia="Calibri"/>
          <w:szCs w:val="20"/>
          <w:rtl/>
        </w:rPr>
      </w:pPr>
      <w:r w:rsidRPr="00861D72">
        <w:rPr>
          <w:rFonts w:eastAsia="Calibri" w:hint="eastAsia"/>
          <w:szCs w:val="20"/>
          <w:rtl/>
        </w:rPr>
        <w:t>ע</w:t>
      </w:r>
      <w:r w:rsidRPr="00861D72">
        <w:rPr>
          <w:rFonts w:eastAsia="Calibri" w:hint="cs"/>
          <w:szCs w:val="20"/>
          <w:rtl/>
        </w:rPr>
        <w:t xml:space="preserve">ל פי נתוני </w:t>
      </w:r>
      <w:r w:rsidRPr="00861D72">
        <w:rPr>
          <w:rFonts w:eastAsia="Calibri" w:hint="cs"/>
          <w:szCs w:val="20"/>
          <w:rtl/>
        </w:rPr>
        <w:t>הלמ"ס</w:t>
      </w:r>
      <w:r w:rsidRPr="00861D72">
        <w:rPr>
          <w:rFonts w:eastAsia="Calibri" w:hint="cs"/>
          <w:szCs w:val="20"/>
          <w:rtl/>
        </w:rPr>
        <w:t xml:space="preserve">, בעיבוד משרד מבקר המדינה. </w:t>
      </w:r>
    </w:p>
    <w:p w:rsidR="00861D72" w:rsidRPr="00861D72" w:rsidP="00F90255">
      <w:pPr>
        <w:spacing w:line="269" w:lineRule="auto"/>
        <w:rPr>
          <w:rFonts w:eastAsia="Calibri"/>
          <w:rtl/>
        </w:rPr>
      </w:pPr>
    </w:p>
    <w:p w:rsidR="00861D72" w:rsidRPr="00861D72" w:rsidP="00F90255">
      <w:pPr>
        <w:spacing w:line="269" w:lineRule="auto"/>
        <w:rPr>
          <w:rFonts w:eastAsia="Calibri"/>
          <w:rtl/>
        </w:rPr>
      </w:pPr>
      <w:bookmarkStart w:id="24" w:name="_Hlk222217155"/>
      <w:r w:rsidRPr="00861D72">
        <w:rPr>
          <w:rFonts w:eastAsia="Calibri" w:hint="cs"/>
          <w:rtl/>
        </w:rPr>
        <w:t>ביולי 2021 אימצה הממשלה במסגרת החלטת הממשלה 127 את מפת המדדים</w:t>
      </w:r>
      <w:r>
        <w:rPr>
          <w:rFonts w:ascii="David" w:eastAsia="Calibri" w:hAnsi="David"/>
          <w:sz w:val="24"/>
          <w:vertAlign w:val="superscript"/>
          <w:rtl/>
        </w:rPr>
        <w:footnoteReference w:id="62"/>
      </w:r>
      <w:r w:rsidRPr="00861D72">
        <w:rPr>
          <w:rFonts w:eastAsia="Calibri" w:hint="cs"/>
          <w:rtl/>
        </w:rPr>
        <w:t xml:space="preserve"> (להלן - החלטה 127), </w:t>
      </w:r>
      <w:bookmarkStart w:id="25" w:name="_Hlk222217177"/>
      <w:bookmarkEnd w:id="24"/>
      <w:r w:rsidRPr="00861D72">
        <w:rPr>
          <w:rFonts w:eastAsia="Calibri" w:hint="cs"/>
          <w:rtl/>
        </w:rPr>
        <w:t xml:space="preserve">וקבעה, בין היתר, </w:t>
      </w:r>
      <w:bookmarkEnd w:id="25"/>
      <w:r w:rsidRPr="00861D72">
        <w:rPr>
          <w:rFonts w:eastAsia="Calibri" w:hint="cs"/>
          <w:rtl/>
        </w:rPr>
        <w:t>כדלקמן:</w:t>
      </w:r>
    </w:p>
    <w:p w:rsidR="00861D72" w:rsidRPr="00861D72" w:rsidP="00F90255">
      <w:pPr>
        <w:spacing w:line="269" w:lineRule="auto"/>
        <w:rPr>
          <w:rFonts w:eastAsia="Calibri"/>
          <w:rtl/>
        </w:rPr>
      </w:pPr>
    </w:p>
    <w:p w:rsidR="00861D72" w:rsidRPr="00861D72" w:rsidP="00F90255">
      <w:pPr>
        <w:numPr>
          <w:ilvl w:val="0"/>
          <w:numId w:val="11"/>
        </w:numPr>
        <w:spacing w:line="269" w:lineRule="auto"/>
        <w:rPr>
          <w:rFonts w:ascii="David" w:eastAsia="Calibri" w:hAnsi="David"/>
          <w:sz w:val="24"/>
        </w:rPr>
      </w:pPr>
      <w:r w:rsidRPr="00861D72">
        <w:rPr>
          <w:rFonts w:ascii="David" w:eastAsia="Calibri" w:hAnsi="David" w:hint="cs"/>
          <w:sz w:val="24"/>
          <w:rtl/>
        </w:rPr>
        <w:t xml:space="preserve">על צוות העבודה המשותף </w:t>
      </w:r>
      <w:r w:rsidRPr="00861D72">
        <w:rPr>
          <w:rFonts w:ascii="David" w:eastAsia="Calibri" w:hAnsi="David"/>
          <w:sz w:val="24"/>
          <w:rtl/>
        </w:rPr>
        <w:t>להמשיך את עבודת המטה</w:t>
      </w:r>
      <w:r w:rsidRPr="00861D72">
        <w:rPr>
          <w:rFonts w:ascii="David" w:eastAsia="Calibri" w:hAnsi="David" w:hint="cs"/>
          <w:sz w:val="24"/>
          <w:rtl/>
        </w:rPr>
        <w:t>,</w:t>
      </w:r>
      <w:r w:rsidRPr="00861D72">
        <w:rPr>
          <w:rFonts w:ascii="David" w:eastAsia="Calibri" w:hAnsi="David"/>
          <w:sz w:val="24"/>
          <w:rtl/>
        </w:rPr>
        <w:t xml:space="preserve"> </w:t>
      </w:r>
      <w:r w:rsidRPr="00861D72">
        <w:rPr>
          <w:rFonts w:ascii="David" w:eastAsia="Calibri" w:hAnsi="David" w:hint="cs"/>
          <w:sz w:val="24"/>
          <w:rtl/>
        </w:rPr>
        <w:t>ו</w:t>
      </w:r>
      <w:r w:rsidRPr="00861D72">
        <w:rPr>
          <w:rFonts w:ascii="David" w:eastAsia="Calibri" w:hAnsi="David"/>
          <w:sz w:val="24"/>
          <w:rtl/>
        </w:rPr>
        <w:t xml:space="preserve">במסגרתה ייבחן הצורך בפיתוח מדדים חדשים נוסף </w:t>
      </w:r>
      <w:r w:rsidRPr="00861D72">
        <w:rPr>
          <w:rFonts w:ascii="David" w:eastAsia="Calibri" w:hAnsi="David" w:hint="cs"/>
          <w:sz w:val="24"/>
          <w:rtl/>
        </w:rPr>
        <w:t xml:space="preserve">על </w:t>
      </w:r>
      <w:r w:rsidRPr="00861D72">
        <w:rPr>
          <w:rFonts w:ascii="David" w:eastAsia="Calibri" w:hAnsi="David"/>
          <w:sz w:val="24"/>
          <w:rtl/>
        </w:rPr>
        <w:t>אחד המדדים המוזכרים לעיל</w:t>
      </w:r>
      <w:r w:rsidRPr="00861D72">
        <w:rPr>
          <w:rFonts w:ascii="David" w:eastAsia="Calibri" w:hAnsi="David" w:hint="cs"/>
          <w:sz w:val="24"/>
          <w:rtl/>
        </w:rPr>
        <w:t xml:space="preserve"> </w:t>
      </w:r>
      <w:r w:rsidRPr="00861D72">
        <w:rPr>
          <w:rFonts w:ascii="David" w:eastAsia="Calibri" w:hAnsi="David"/>
          <w:sz w:val="24"/>
          <w:rtl/>
        </w:rPr>
        <w:t>או כתחליף</w:t>
      </w:r>
      <w:r w:rsidRPr="00861D72">
        <w:rPr>
          <w:rFonts w:ascii="David" w:eastAsia="Calibri" w:hAnsi="David" w:hint="cs"/>
          <w:sz w:val="24"/>
          <w:rtl/>
        </w:rPr>
        <w:t xml:space="preserve"> לו</w:t>
      </w:r>
      <w:r w:rsidRPr="00861D72">
        <w:rPr>
          <w:rFonts w:ascii="David" w:eastAsia="Calibri" w:hAnsi="David"/>
          <w:sz w:val="24"/>
          <w:rtl/>
        </w:rPr>
        <w:t xml:space="preserve">; יפורט מערך המדדים המשלימים שיש למדוד; </w:t>
      </w:r>
      <w:r w:rsidRPr="00861D72">
        <w:rPr>
          <w:rFonts w:ascii="David" w:eastAsia="Calibri" w:hAnsi="David" w:hint="cs"/>
          <w:sz w:val="24"/>
          <w:rtl/>
        </w:rPr>
        <w:t>ו</w:t>
      </w:r>
      <w:r w:rsidRPr="00861D72">
        <w:rPr>
          <w:rFonts w:ascii="David" w:eastAsia="Calibri" w:hAnsi="David"/>
          <w:sz w:val="24"/>
          <w:rtl/>
        </w:rPr>
        <w:t xml:space="preserve">ייבחן הצורך בקביעת יעדים לאומיים להזדקנות מיטבית. </w:t>
      </w:r>
    </w:p>
    <w:p w:rsidR="00861D72" w:rsidRPr="00861D72" w:rsidP="00F90255">
      <w:pPr>
        <w:spacing w:line="269" w:lineRule="auto"/>
        <w:ind w:left="340"/>
        <w:rPr>
          <w:rFonts w:ascii="David" w:eastAsia="Calibri" w:hAnsi="David"/>
          <w:sz w:val="24"/>
        </w:rPr>
      </w:pPr>
    </w:p>
    <w:p w:rsidR="00861D72" w:rsidRPr="00861D72" w:rsidP="00F90255">
      <w:pPr>
        <w:numPr>
          <w:ilvl w:val="0"/>
          <w:numId w:val="11"/>
        </w:numPr>
        <w:spacing w:line="269" w:lineRule="auto"/>
        <w:rPr>
          <w:rFonts w:ascii="David" w:eastAsia="Calibri" w:hAnsi="David"/>
          <w:sz w:val="24"/>
        </w:rPr>
      </w:pPr>
      <w:bookmarkStart w:id="26" w:name="_Hlk222217187"/>
      <w:r w:rsidRPr="00861D72">
        <w:rPr>
          <w:rFonts w:ascii="David" w:eastAsia="Calibri" w:hAnsi="David"/>
          <w:sz w:val="24"/>
          <w:rtl/>
        </w:rPr>
        <w:t>על משרדי הממשלה</w:t>
      </w:r>
      <w:r w:rsidRPr="00861D72">
        <w:rPr>
          <w:rFonts w:ascii="David" w:eastAsia="Calibri" w:hAnsi="David" w:hint="cs"/>
          <w:sz w:val="24"/>
          <w:rtl/>
        </w:rPr>
        <w:t>, ובפרט המשרדים שבהם מתן שירותים לאזרחים ותיקים הוא עיסוק מרכזי,</w:t>
      </w:r>
      <w:r w:rsidRPr="00861D72">
        <w:rPr>
          <w:rFonts w:ascii="David" w:eastAsia="Calibri" w:hAnsi="David"/>
          <w:sz w:val="24"/>
          <w:rtl/>
        </w:rPr>
        <w:t xml:space="preserve"> להכווין את פעולותיהם</w:t>
      </w:r>
      <w:r w:rsidRPr="00861D72">
        <w:rPr>
          <w:rFonts w:ascii="David" w:eastAsia="Calibri" w:hAnsi="David" w:hint="cs"/>
          <w:sz w:val="24"/>
          <w:rtl/>
        </w:rPr>
        <w:t xml:space="preserve"> ואת דרכי ההתערבות שלהם</w:t>
      </w:r>
      <w:r w:rsidRPr="00861D72">
        <w:rPr>
          <w:rFonts w:ascii="David" w:eastAsia="Calibri" w:hAnsi="David"/>
          <w:sz w:val="24"/>
          <w:rtl/>
        </w:rPr>
        <w:t xml:space="preserve"> כדי להשפיע על מדדי ההזדקנות ולצמצם את הפערים במדדים בין קבוצות דמוגרפיות. </w:t>
      </w:r>
    </w:p>
    <w:p w:rsidR="00861D72" w:rsidRPr="00861D72" w:rsidP="00F90255">
      <w:pPr>
        <w:spacing w:line="269" w:lineRule="auto"/>
        <w:rPr>
          <w:rFonts w:ascii="David" w:eastAsia="Calibri" w:hAnsi="David"/>
          <w:sz w:val="24"/>
        </w:rPr>
      </w:pPr>
    </w:p>
    <w:bookmarkEnd w:id="26"/>
    <w:p w:rsidR="00861D72" w:rsidRPr="00861D72" w:rsidP="00F90255">
      <w:pPr>
        <w:numPr>
          <w:ilvl w:val="0"/>
          <w:numId w:val="11"/>
        </w:numPr>
        <w:spacing w:line="269" w:lineRule="auto"/>
        <w:rPr>
          <w:rFonts w:ascii="David" w:eastAsia="Calibri" w:hAnsi="David"/>
          <w:sz w:val="24"/>
        </w:rPr>
      </w:pPr>
      <w:r w:rsidRPr="00861D72">
        <w:rPr>
          <w:rFonts w:ascii="David" w:eastAsia="Calibri" w:hAnsi="David" w:hint="cs"/>
          <w:sz w:val="24"/>
          <w:rtl/>
        </w:rPr>
        <w:t>על</w:t>
      </w:r>
      <w:r w:rsidRPr="00861D72">
        <w:rPr>
          <w:rFonts w:ascii="David" w:eastAsia="Calibri" w:hAnsi="David"/>
          <w:sz w:val="24"/>
          <w:rtl/>
        </w:rPr>
        <w:t xml:space="preserve"> </w:t>
      </w:r>
      <w:r w:rsidRPr="00861D72">
        <w:rPr>
          <w:rFonts w:ascii="David" w:eastAsia="Calibri" w:hAnsi="David"/>
          <w:sz w:val="24"/>
          <w:rtl/>
        </w:rPr>
        <w:t>הלמ"ס</w:t>
      </w:r>
      <w:r w:rsidRPr="00861D72">
        <w:rPr>
          <w:rFonts w:ascii="David" w:eastAsia="Calibri" w:hAnsi="David"/>
          <w:sz w:val="24"/>
          <w:rtl/>
        </w:rPr>
        <w:t xml:space="preserve"> </w:t>
      </w:r>
      <w:r w:rsidRPr="00861D72">
        <w:rPr>
          <w:rFonts w:ascii="David" w:eastAsia="Calibri" w:hAnsi="David" w:hint="cs"/>
          <w:sz w:val="24"/>
          <w:rtl/>
        </w:rPr>
        <w:t xml:space="preserve">לפרסם פעם בשנתיים דוח הפורט את המדדים </w:t>
      </w:r>
      <w:r w:rsidRPr="00861D72">
        <w:rPr>
          <w:rFonts w:ascii="David" w:eastAsia="Calibri" w:hAnsi="David"/>
          <w:sz w:val="24"/>
          <w:rtl/>
        </w:rPr>
        <w:t>בהשוואה בין-לאומית וביחס לחתכים דמוגרפיים</w:t>
      </w:r>
      <w:r w:rsidRPr="00861D72">
        <w:rPr>
          <w:rFonts w:ascii="David" w:eastAsia="Calibri" w:hAnsi="David" w:hint="cs"/>
          <w:sz w:val="24"/>
          <w:rtl/>
        </w:rPr>
        <w:t>,</w:t>
      </w:r>
      <w:r w:rsidRPr="00861D72">
        <w:rPr>
          <w:rFonts w:ascii="David" w:eastAsia="Calibri" w:hAnsi="David"/>
          <w:sz w:val="24"/>
          <w:rtl/>
        </w:rPr>
        <w:t xml:space="preserve"> כגון קבוצות אוכלוסייה, קבוצות גיל, מגדר, אזורים בארץ או כל חתך רלוונטי</w:t>
      </w:r>
      <w:r w:rsidRPr="00861D72">
        <w:rPr>
          <w:rFonts w:ascii="David" w:eastAsia="Calibri" w:hAnsi="David" w:hint="cs"/>
          <w:sz w:val="24"/>
          <w:rtl/>
        </w:rPr>
        <w:t>.</w:t>
      </w:r>
    </w:p>
    <w:p w:rsidR="00861D72" w:rsidRPr="00861D72" w:rsidP="00F90255">
      <w:pPr>
        <w:spacing w:line="269" w:lineRule="auto"/>
        <w:rPr>
          <w:rFonts w:eastAsia="Calibri"/>
          <w:rtl/>
        </w:rPr>
      </w:pPr>
    </w:p>
    <w:p w:rsidR="00861D72" w:rsidRPr="00861D72" w:rsidP="00F90255">
      <w:pPr>
        <w:keepNext/>
        <w:keepLines/>
        <w:spacing w:line="269" w:lineRule="auto"/>
        <w:outlineLvl w:val="4"/>
        <w:rPr>
          <w:rFonts w:eastAsia="Times New Roman"/>
          <w:bCs/>
          <w:spacing w:val="40"/>
          <w:rtl/>
        </w:rPr>
      </w:pPr>
      <w:bookmarkStart w:id="27" w:name="_Hlk209086042"/>
      <w:r w:rsidRPr="00861D72">
        <w:rPr>
          <w:rFonts w:eastAsia="Times New Roman" w:hint="cs"/>
          <w:bCs/>
          <w:spacing w:val="40"/>
          <w:rtl/>
        </w:rPr>
        <w:t>קביעת גורם אחראי לקידום המדדים</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על פי ארגון ה-</w:t>
      </w:r>
      <w:r w:rsidRPr="00861D72">
        <w:rPr>
          <w:rFonts w:eastAsia="Calibri" w:hint="cs"/>
        </w:rPr>
        <w:t>OECD</w:t>
      </w:r>
      <w:r>
        <w:rPr>
          <w:rFonts w:eastAsia="Calibri"/>
          <w:vertAlign w:val="superscript"/>
        </w:rPr>
        <w:footnoteReference w:id="63"/>
      </w:r>
      <w:r w:rsidRPr="00861D72">
        <w:rPr>
          <w:rFonts w:eastAsia="Calibri" w:hint="cs"/>
          <w:rtl/>
        </w:rPr>
        <w:t xml:space="preserve">, </w:t>
      </w:r>
      <w:r w:rsidRPr="00861D72">
        <w:rPr>
          <w:rFonts w:eastAsia="Calibri"/>
          <w:rtl/>
        </w:rPr>
        <w:t xml:space="preserve">הגדרה ברורה של תפקידים, תחומי אחריות וכישורים היא יסוד מרכזי במתן שירותים </w:t>
      </w:r>
      <w:r w:rsidRPr="00861D72">
        <w:rPr>
          <w:rFonts w:eastAsia="Calibri"/>
          <w:rtl/>
        </w:rPr>
        <w:t>מ</w:t>
      </w:r>
      <w:r w:rsidRPr="00861D72">
        <w:rPr>
          <w:rFonts w:eastAsia="Calibri" w:hint="cs"/>
          <w:rtl/>
        </w:rPr>
        <w:t>י</w:t>
      </w:r>
      <w:r w:rsidRPr="00861D72">
        <w:rPr>
          <w:rFonts w:eastAsia="Calibri"/>
          <w:rtl/>
        </w:rPr>
        <w:t>נהליים</w:t>
      </w:r>
      <w:r w:rsidRPr="00861D72">
        <w:rPr>
          <w:rFonts w:eastAsia="Calibri"/>
          <w:rtl/>
        </w:rPr>
        <w:t xml:space="preserve"> הממוקדים באדם</w:t>
      </w:r>
      <w:r>
        <w:rPr>
          <w:rFonts w:eastAsia="Calibri"/>
          <w:vertAlign w:val="superscript"/>
          <w:rtl/>
        </w:rPr>
        <w:footnoteReference w:id="64"/>
      </w:r>
      <w:r w:rsidRPr="00861D72">
        <w:rPr>
          <w:rFonts w:eastAsia="Calibri"/>
        </w:rPr>
        <w:t>.</w:t>
      </w:r>
      <w:r w:rsidRPr="00861D72">
        <w:rPr>
          <w:rFonts w:eastAsia="Calibri" w:hint="cs"/>
          <w:rtl/>
        </w:rPr>
        <w:t xml:space="preserve"> עוד קובעים </w:t>
      </w:r>
      <w:bookmarkStart w:id="28" w:name="_Hlk222740284"/>
      <w:r w:rsidRPr="00861D72">
        <w:rPr>
          <w:rFonts w:eastAsia="Calibri" w:hint="cs"/>
          <w:rtl/>
        </w:rPr>
        <w:t>ה-</w:t>
      </w:r>
      <w:r w:rsidRPr="00861D72">
        <w:rPr>
          <w:rFonts w:eastAsia="Calibri" w:hint="cs"/>
        </w:rPr>
        <w:t>OECD</w:t>
      </w:r>
      <w:r w:rsidRPr="00861D72">
        <w:rPr>
          <w:rFonts w:eastAsia="Calibri" w:hint="cs"/>
          <w:rtl/>
        </w:rPr>
        <w:t xml:space="preserve"> וה-</w:t>
      </w:r>
      <w:r w:rsidRPr="00861D72">
        <w:rPr>
          <w:rFonts w:eastAsia="Calibri" w:hint="cs"/>
        </w:rPr>
        <w:t>EU</w:t>
      </w:r>
      <w:r>
        <w:rPr>
          <w:rFonts w:eastAsia="Calibri"/>
          <w:vertAlign w:val="superscript"/>
          <w:rtl/>
        </w:rPr>
        <w:footnoteReference w:id="65"/>
      </w:r>
      <w:r w:rsidRPr="00861D72">
        <w:rPr>
          <w:rFonts w:eastAsia="Calibri" w:hint="cs"/>
          <w:rtl/>
        </w:rPr>
        <w:t xml:space="preserve"> ש</w:t>
      </w:r>
      <w:r w:rsidRPr="00861D72">
        <w:rPr>
          <w:rFonts w:eastAsia="Calibri"/>
          <w:rtl/>
        </w:rPr>
        <w:t>כדי להבטיח שאסטרטגיה תיושם בפועל ולא תישאר רק על הנייר, חייבים להבטיח</w:t>
      </w:r>
      <w:r w:rsidRPr="00861D72">
        <w:rPr>
          <w:rFonts w:eastAsia="Calibri" w:hint="cs"/>
          <w:rtl/>
        </w:rPr>
        <w:t>, בין היתר, תחומי</w:t>
      </w:r>
      <w:r w:rsidRPr="00861D72">
        <w:rPr>
          <w:rFonts w:eastAsia="Calibri"/>
          <w:rtl/>
        </w:rPr>
        <w:t xml:space="preserve"> אחריות מוגדרים בבירור</w:t>
      </w:r>
      <w:r>
        <w:rPr>
          <w:rFonts w:eastAsia="Calibri"/>
          <w:vertAlign w:val="superscript"/>
          <w:rtl/>
        </w:rPr>
        <w:footnoteReference w:id="66"/>
      </w:r>
      <w:r w:rsidRPr="00861D72">
        <w:rPr>
          <w:rFonts w:eastAsia="Calibri"/>
        </w:rPr>
        <w:t>.</w:t>
      </w:r>
      <w:bookmarkEnd w:id="28"/>
      <w:r w:rsidRPr="00861D72">
        <w:rPr>
          <w:rFonts w:eastAsia="Calibri" w:hint="cs"/>
          <w:rtl/>
        </w:rPr>
        <w:t xml:space="preserve"> </w:t>
      </w:r>
      <w:r w:rsidRPr="00861D72">
        <w:rPr>
          <w:rFonts w:eastAsia="Calibri"/>
          <w:rtl/>
        </w:rPr>
        <w:t>הגדרה ברורה ומעוגנת של תפקידים, סמכויות ותחומי אחריות בין גורמים ו</w:t>
      </w:r>
      <w:r w:rsidRPr="00861D72">
        <w:rPr>
          <w:rFonts w:eastAsia="Calibri" w:hint="cs"/>
          <w:rtl/>
        </w:rPr>
        <w:t xml:space="preserve">בין </w:t>
      </w:r>
      <w:r w:rsidRPr="00861D72">
        <w:rPr>
          <w:rFonts w:eastAsia="Calibri"/>
          <w:rtl/>
        </w:rPr>
        <w:t xml:space="preserve">יחידות בשירות הציבורי היא </w:t>
      </w:r>
      <w:r w:rsidRPr="00861D72">
        <w:rPr>
          <w:rFonts w:eastAsia="Calibri" w:hint="cs"/>
          <w:rtl/>
        </w:rPr>
        <w:t xml:space="preserve">גם </w:t>
      </w:r>
      <w:r w:rsidRPr="00861D72">
        <w:rPr>
          <w:rFonts w:eastAsia="Calibri"/>
          <w:rtl/>
        </w:rPr>
        <w:t>תנאי יסוד לתפקוד מקצועי, מתואם ואחראי של המערכת הממשלתית, ומשמשת בסיס ליישום מדיניות</w:t>
      </w:r>
      <w:r>
        <w:rPr>
          <w:rFonts w:eastAsia="Calibri"/>
          <w:vertAlign w:val="superscript"/>
          <w:rtl/>
        </w:rPr>
        <w:footnoteReference w:id="67"/>
      </w:r>
      <w:r w:rsidRPr="00861D72">
        <w:rPr>
          <w:rFonts w:eastAsia="Calibri" w:hint="cs"/>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מדינות שהבינו את החשיבות בקביעת גורם אחראי לטובת יישום אסטרטגיה התייחסו לכך גם במסגרת האסטרטגיה שגיבשו לשם היערכות להזדקנות האוכלוסייה. כך לדוגמה - בתוכנית הלאומית להזדקנות חיובית באירלנד הוגדרו ארבע מטרות לאומיות ויעדי משנה לכל מטרה. לכל יעד משנה הוגדר הגורם האחראי להובלה של הפעולות הנעשות לטובת מימוש יעד זה. לדוגמה, עבור היעד של פיתוח טווח רחב של אפשרויות תעסוקה וזיהוי חסמים לתעסוקה בקרב מזדקנים הוגדר שמשרד המשרות, החברות והחדשנות יהיה אחראי ליצירת מקומות עבודה "ידידותיים" מבחינת גיל. גם בתוכנית הפעולה הלאומית להזדקנות חיובית בצ'כיה נקבעו גורמים אחראיים לכל מטרה בתוכנית</w:t>
      </w:r>
      <w:r>
        <w:rPr>
          <w:rFonts w:eastAsia="Calibri"/>
          <w:vertAlign w:val="superscript"/>
          <w:rtl/>
        </w:rPr>
        <w:footnoteReference w:id="68"/>
      </w:r>
      <w:r w:rsidRPr="00861D72">
        <w:rPr>
          <w:rFonts w:eastAsia="Calibri" w:hint="cs"/>
          <w:rtl/>
        </w:rPr>
        <w:t>.</w:t>
      </w:r>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bookmarkStart w:id="29" w:name="_Hlk222218939"/>
      <w:r w:rsidRPr="00861D72">
        <w:rPr>
          <w:rFonts w:eastAsia="Calibri" w:hint="cs"/>
          <w:b/>
          <w:bCs/>
          <w:rtl/>
          <w:lang w:eastAsia="he-IL"/>
        </w:rPr>
        <w:t>בביקורת עלה כי מפת המדדים וגם החלטת הממשלה 127</w:t>
      </w:r>
      <w:r w:rsidRPr="00861D72">
        <w:rPr>
          <w:rFonts w:eastAsia="Calibri" w:hint="cs"/>
          <w:b/>
          <w:bCs/>
          <w:lang w:eastAsia="he-IL"/>
        </w:rPr>
        <w:t xml:space="preserve"> </w:t>
      </w:r>
      <w:r w:rsidRPr="00861D72">
        <w:rPr>
          <w:rFonts w:eastAsia="Calibri" w:hint="cs"/>
          <w:b/>
          <w:bCs/>
          <w:rtl/>
          <w:lang w:eastAsia="he-IL"/>
        </w:rPr>
        <w:t xml:space="preserve">מ-2021 אשר אימצה את מפת המדדים לא קבעו מי הגוף שאחראי להובלה של כל אחד מהמדדים ולריכוז כל הפעולות הנעשות לטובת </w:t>
      </w:r>
      <w:r w:rsidRPr="00861D72">
        <w:rPr>
          <w:rFonts w:eastAsia="Calibri" w:hint="cs"/>
          <w:b/>
          <w:bCs/>
          <w:rtl/>
          <w:lang w:eastAsia="he-IL"/>
        </w:rPr>
        <w:t>אותו מדד. זאת אף על פי</w:t>
      </w:r>
      <w:r w:rsidRPr="00861D72">
        <w:rPr>
          <w:rFonts w:eastAsia="Calibri"/>
          <w:b/>
          <w:bCs/>
          <w:rtl/>
        </w:rPr>
        <w:t xml:space="preserve"> שחלק מהמדדים רלוונטיים </w:t>
      </w:r>
      <w:r w:rsidRPr="00861D72">
        <w:rPr>
          <w:rFonts w:eastAsia="Calibri" w:hint="cs"/>
          <w:b/>
          <w:bCs/>
          <w:rtl/>
        </w:rPr>
        <w:t>לכמה</w:t>
      </w:r>
      <w:r w:rsidRPr="00861D72">
        <w:rPr>
          <w:rFonts w:eastAsia="Calibri"/>
          <w:b/>
          <w:bCs/>
          <w:rtl/>
        </w:rPr>
        <w:t xml:space="preserve"> </w:t>
      </w:r>
      <w:r w:rsidRPr="00861D72">
        <w:rPr>
          <w:rFonts w:eastAsia="Calibri" w:hint="cs"/>
          <w:b/>
          <w:bCs/>
          <w:rtl/>
        </w:rPr>
        <w:t>גופי ממשל</w:t>
      </w:r>
      <w:r w:rsidRPr="00861D72">
        <w:rPr>
          <w:rFonts w:eastAsia="Calibri"/>
          <w:b/>
          <w:bCs/>
          <w:rtl/>
        </w:rPr>
        <w:t xml:space="preserve"> שונים</w:t>
      </w:r>
      <w:r w:rsidRPr="00861D72">
        <w:rPr>
          <w:rFonts w:eastAsia="Calibri" w:hint="cs"/>
          <w:b/>
          <w:bCs/>
          <w:rtl/>
        </w:rPr>
        <w:t xml:space="preserve"> - </w:t>
      </w:r>
      <w:r w:rsidRPr="00861D72">
        <w:rPr>
          <w:rFonts w:eastAsia="Calibri" w:hint="cs"/>
          <w:b/>
          <w:bCs/>
          <w:rtl/>
          <w:lang w:eastAsia="he-IL"/>
        </w:rPr>
        <w:t xml:space="preserve">כך למשל, משרד הרווחה, משרד הבריאות </w:t>
      </w:r>
      <w:r w:rsidRPr="00861D72">
        <w:rPr>
          <w:rFonts w:eastAsia="Calibri" w:hint="cs"/>
          <w:b/>
          <w:bCs/>
          <w:rtl/>
          <w:lang w:eastAsia="he-IL"/>
        </w:rPr>
        <w:t>ובט"ל</w:t>
      </w:r>
      <w:r w:rsidRPr="00861D72">
        <w:rPr>
          <w:rFonts w:eastAsia="Calibri" w:hint="cs"/>
          <w:b/>
          <w:bCs/>
          <w:rtl/>
          <w:lang w:eastAsia="he-IL"/>
        </w:rPr>
        <w:t xml:space="preserve"> פועלים כולם לשיפור מדד התפקוד</w:t>
      </w:r>
      <w:r>
        <w:rPr>
          <w:rFonts w:eastAsia="Calibri"/>
          <w:b/>
          <w:bCs/>
          <w:vertAlign w:val="superscript"/>
          <w:rtl/>
          <w:lang w:eastAsia="he-IL"/>
        </w:rPr>
        <w:footnoteReference w:id="69"/>
      </w:r>
      <w:r w:rsidRPr="00861D72">
        <w:rPr>
          <w:rFonts w:eastAsia="Calibri" w:hint="cs"/>
          <w:b/>
          <w:bCs/>
          <w:rtl/>
          <w:lang w:eastAsia="he-IL"/>
        </w:rPr>
        <w:t xml:space="preserve"> ללא גורם אחד המוביל את כל הפעולות שנעשות לטובת שיפור מדד זה ומרכז אותן.</w:t>
      </w:r>
      <w:r w:rsidRPr="00861D72">
        <w:rPr>
          <w:rFonts w:ascii="David" w:eastAsia="Times New Roman" w:hAnsi="David" w:hint="cs"/>
          <w:b/>
          <w:bCs/>
          <w:sz w:val="24"/>
          <w:rtl/>
          <w:lang w:eastAsia="he-IL"/>
        </w:rPr>
        <w:t xml:space="preserve"> </w:t>
      </w:r>
    </w:p>
    <w:bookmarkEnd w:id="29"/>
    <w:p w:rsidR="00861D72" w:rsidRPr="00861D72" w:rsidP="00F90255">
      <w:pPr>
        <w:spacing w:line="269" w:lineRule="auto"/>
        <w:rPr>
          <w:rFonts w:eastAsia="Calibri"/>
        </w:rPr>
      </w:pPr>
    </w:p>
    <w:p w:rsidR="00861D72" w:rsidRPr="00861D72" w:rsidP="00F90255">
      <w:pPr>
        <w:spacing w:line="269" w:lineRule="auto"/>
        <w:rPr>
          <w:rFonts w:eastAsia="Calibri"/>
          <w:b/>
          <w:bCs/>
          <w:rtl/>
          <w:lang w:eastAsia="he-IL"/>
        </w:rPr>
      </w:pPr>
      <w:r w:rsidRPr="00861D72">
        <w:rPr>
          <w:rFonts w:eastAsia="Calibri"/>
          <w:b/>
          <w:bCs/>
          <w:rtl/>
        </w:rPr>
        <w:t>היעדר הגדר</w:t>
      </w:r>
      <w:r w:rsidRPr="00861D72">
        <w:rPr>
          <w:rFonts w:eastAsia="Calibri" w:hint="cs"/>
          <w:b/>
          <w:bCs/>
          <w:rtl/>
        </w:rPr>
        <w:t>ת גורם אחראי להובלה</w:t>
      </w:r>
      <w:r w:rsidRPr="00861D72">
        <w:rPr>
          <w:rFonts w:eastAsia="Calibri"/>
          <w:b/>
          <w:bCs/>
          <w:rtl/>
        </w:rPr>
        <w:t xml:space="preserve"> מקשה </w:t>
      </w:r>
      <w:r w:rsidRPr="00861D72">
        <w:rPr>
          <w:rFonts w:eastAsia="Calibri" w:hint="cs"/>
          <w:b/>
          <w:bCs/>
          <w:rtl/>
        </w:rPr>
        <w:t>את</w:t>
      </w:r>
      <w:r w:rsidRPr="00861D72">
        <w:rPr>
          <w:rFonts w:eastAsia="Calibri"/>
          <w:b/>
          <w:bCs/>
          <w:rtl/>
        </w:rPr>
        <w:t xml:space="preserve"> תיאום הפעולות ו</w:t>
      </w:r>
      <w:r w:rsidRPr="00861D72">
        <w:rPr>
          <w:rFonts w:eastAsia="Calibri" w:hint="cs"/>
          <w:b/>
          <w:bCs/>
          <w:rtl/>
        </w:rPr>
        <w:t>את</w:t>
      </w:r>
      <w:r w:rsidRPr="00861D72">
        <w:rPr>
          <w:rFonts w:eastAsia="Calibri"/>
          <w:b/>
          <w:bCs/>
          <w:rtl/>
        </w:rPr>
        <w:t xml:space="preserve"> מיקוד האחריות ליישום המדדים</w:t>
      </w:r>
      <w:r w:rsidRPr="00861D72">
        <w:rPr>
          <w:rFonts w:eastAsia="Calibri"/>
          <w:b/>
          <w:bCs/>
        </w:rPr>
        <w:t>.</w:t>
      </w:r>
      <w:r w:rsidRPr="00861D72">
        <w:rPr>
          <w:rFonts w:eastAsia="Calibri"/>
          <w:b/>
          <w:bCs/>
          <w:rtl/>
        </w:rPr>
        <w:t xml:space="preserve"> כאשר מספר </w:t>
      </w:r>
      <w:r w:rsidRPr="00861D72">
        <w:rPr>
          <w:rFonts w:eastAsia="Calibri" w:hint="cs"/>
          <w:b/>
          <w:bCs/>
          <w:rtl/>
        </w:rPr>
        <w:t>גופי ממשל</w:t>
      </w:r>
      <w:r w:rsidRPr="00861D72">
        <w:rPr>
          <w:rFonts w:eastAsia="Calibri"/>
          <w:b/>
          <w:bCs/>
          <w:rtl/>
        </w:rPr>
        <w:t xml:space="preserve"> פועלים במקביל לקידום אותו מדד, עלולה להיווצר חפיפה בפעילות, </w:t>
      </w:r>
      <w:r w:rsidRPr="00861D72">
        <w:rPr>
          <w:rFonts w:eastAsia="Calibri" w:hint="cs"/>
          <w:b/>
          <w:bCs/>
          <w:rtl/>
        </w:rPr>
        <w:t>והיא</w:t>
      </w:r>
      <w:r w:rsidRPr="00861D72">
        <w:rPr>
          <w:rFonts w:eastAsia="Calibri"/>
          <w:b/>
          <w:bCs/>
          <w:rtl/>
        </w:rPr>
        <w:t xml:space="preserve"> עשויה לגרום לבזבוז משאבים ולחוסר יעילות בניצולם</w:t>
      </w:r>
      <w:r w:rsidRPr="00861D72">
        <w:rPr>
          <w:rFonts w:eastAsia="Calibri" w:hint="cs"/>
          <w:b/>
          <w:bCs/>
          <w:rtl/>
        </w:rPr>
        <w:t xml:space="preserve"> או לחלופין למצב של חוסר בהירות אשר לגורם האחראי למדד</w:t>
      </w:r>
      <w:r w:rsidRPr="00861D72">
        <w:rPr>
          <w:rFonts w:eastAsia="Calibri"/>
          <w:b/>
          <w:bCs/>
          <w:rtl/>
        </w:rPr>
        <w:t xml:space="preserve">. </w:t>
      </w:r>
      <w:r w:rsidRPr="00861D72">
        <w:rPr>
          <w:rFonts w:eastAsia="Calibri" w:hint="cs"/>
          <w:b/>
          <w:bCs/>
          <w:rtl/>
        </w:rPr>
        <w:t xml:space="preserve">כך לדוגמה, בהקשר של מדד הבדידות, נמצא כי אנשי מקצוע רבים (רופאי משפחה, </w:t>
      </w:r>
      <w:r w:rsidRPr="00861D72">
        <w:rPr>
          <w:rFonts w:eastAsia="Calibri" w:hint="cs"/>
          <w:b/>
          <w:bCs/>
          <w:rtl/>
        </w:rPr>
        <w:t>עו"סים</w:t>
      </w:r>
      <w:r w:rsidRPr="00861D72">
        <w:rPr>
          <w:rFonts w:eastAsia="Calibri" w:hint="cs"/>
          <w:b/>
          <w:bCs/>
          <w:rtl/>
        </w:rPr>
        <w:t xml:space="preserve"> ברשויות המקומיות ומתנדבים בשירות הייעוץ לאזרח הוותיק ומשפחתו </w:t>
      </w:r>
      <w:r w:rsidRPr="00861D72">
        <w:rPr>
          <w:rFonts w:eastAsia="Calibri" w:hint="cs"/>
          <w:b/>
          <w:bCs/>
          <w:rtl/>
        </w:rPr>
        <w:t>בבט"ל</w:t>
      </w:r>
      <w:r w:rsidRPr="00861D72">
        <w:rPr>
          <w:rFonts w:eastAsia="Calibri" w:hint="cs"/>
          <w:b/>
          <w:bCs/>
          <w:rtl/>
        </w:rPr>
        <w:t>) מדווחים כי הם עוסקים באיתור זקנים בודדים. עם זאת מעטים מהאזרחים הוותיקים מעידים כי איש מקצוע שוחח איתם בנושא, ובהתאם, רבים אינם מאותרים (כ-82% מהאזרחים הוותיקים שחשים בדידות לא אותרו)</w:t>
      </w:r>
      <w:r>
        <w:rPr>
          <w:rFonts w:eastAsia="Calibri"/>
          <w:b/>
          <w:bCs/>
          <w:vertAlign w:val="superscript"/>
          <w:rtl/>
        </w:rPr>
        <w:footnoteReference w:id="70"/>
      </w:r>
      <w:r w:rsidRPr="00861D72">
        <w:rPr>
          <w:rFonts w:eastAsia="Calibri" w:hint="cs"/>
          <w:b/>
          <w:bCs/>
          <w:rtl/>
        </w:rPr>
        <w:t>. כמו כן</w:t>
      </w:r>
      <w:r w:rsidRPr="00861D72">
        <w:rPr>
          <w:rFonts w:eastAsia="Calibri"/>
          <w:b/>
          <w:bCs/>
          <w:rtl/>
        </w:rPr>
        <w:t xml:space="preserve"> היעדר חלוק</w:t>
      </w:r>
      <w:r w:rsidRPr="00861D72">
        <w:rPr>
          <w:rFonts w:eastAsia="Calibri" w:hint="cs"/>
          <w:b/>
          <w:bCs/>
          <w:rtl/>
        </w:rPr>
        <w:t>ה של</w:t>
      </w:r>
      <w:r w:rsidRPr="00861D72">
        <w:rPr>
          <w:rFonts w:eastAsia="Calibri"/>
          <w:b/>
          <w:bCs/>
          <w:rtl/>
        </w:rPr>
        <w:t xml:space="preserve"> אחריות ברורה עלול להוביל לבלבול בקרב הציבור </w:t>
      </w:r>
      <w:r w:rsidRPr="00861D72">
        <w:rPr>
          <w:rFonts w:eastAsia="Calibri" w:hint="cs"/>
          <w:b/>
          <w:bCs/>
          <w:rtl/>
        </w:rPr>
        <w:t>בנוגע</w:t>
      </w:r>
      <w:r w:rsidRPr="00861D72">
        <w:rPr>
          <w:rFonts w:eastAsia="Calibri"/>
          <w:b/>
          <w:bCs/>
          <w:rtl/>
        </w:rPr>
        <w:t xml:space="preserve"> לגוף המוסמך שאליו יש לפנות לקבלת מידע או שירות וכן לפערי תיאום בין המשרדים עצמ</w:t>
      </w:r>
      <w:r w:rsidRPr="00861D72">
        <w:rPr>
          <w:rFonts w:eastAsia="Calibri" w:hint="cs"/>
          <w:b/>
          <w:bCs/>
          <w:rtl/>
        </w:rPr>
        <w:t>ם.</w:t>
      </w:r>
      <w:r w:rsidRPr="00861D72">
        <w:rPr>
          <w:rFonts w:ascii="David" w:eastAsia="Times New Roman" w:hAnsi="David" w:hint="cs"/>
          <w:b/>
          <w:bCs/>
          <w:sz w:val="24"/>
          <w:rtl/>
          <w:lang w:eastAsia="he-IL"/>
        </w:rPr>
        <w:t xml:space="preserve"> </w:t>
      </w:r>
      <w:r w:rsidRPr="00861D72">
        <w:rPr>
          <w:rFonts w:eastAsia="Calibri" w:hint="cs"/>
          <w:b/>
          <w:bCs/>
          <w:rtl/>
          <w:lang w:eastAsia="he-IL"/>
        </w:rPr>
        <w:t xml:space="preserve">כך, בסקר אנשי מקצוע, ציינו אנשי המקצוע </w:t>
      </w:r>
      <w:r w:rsidRPr="00861D72">
        <w:rPr>
          <w:rFonts w:eastAsia="Calibri"/>
          <w:b/>
          <w:bCs/>
          <w:rtl/>
          <w:lang w:eastAsia="he-IL"/>
        </w:rPr>
        <w:t>כי אזרחים ותיקים</w:t>
      </w:r>
      <w:r w:rsidRPr="00861D72">
        <w:rPr>
          <w:rFonts w:eastAsia="Calibri" w:hint="cs"/>
          <w:b/>
          <w:bCs/>
          <w:rtl/>
          <w:lang w:eastAsia="he-IL"/>
        </w:rPr>
        <w:t xml:space="preserve"> </w:t>
      </w:r>
      <w:r w:rsidRPr="00861D72">
        <w:rPr>
          <w:rFonts w:eastAsia="Calibri"/>
          <w:b/>
          <w:bCs/>
          <w:rtl/>
          <w:lang w:eastAsia="he-IL"/>
        </w:rPr>
        <w:t xml:space="preserve">מתלוננים על ריבוי גופים מטפלים, </w:t>
      </w:r>
      <w:r w:rsidRPr="00861D72">
        <w:rPr>
          <w:rFonts w:eastAsia="Calibri" w:hint="cs"/>
          <w:b/>
          <w:bCs/>
          <w:rtl/>
          <w:lang w:eastAsia="he-IL"/>
        </w:rPr>
        <w:t>וכי</w:t>
      </w:r>
      <w:r w:rsidRPr="00861D72">
        <w:rPr>
          <w:rFonts w:eastAsia="Calibri"/>
          <w:b/>
          <w:bCs/>
          <w:rtl/>
          <w:lang w:eastAsia="he-IL"/>
        </w:rPr>
        <w:t xml:space="preserve"> כל גוף מפנה לאחר</w:t>
      </w:r>
      <w:r w:rsidRPr="00861D72">
        <w:rPr>
          <w:rFonts w:eastAsia="Calibri" w:hint="cs"/>
          <w:b/>
          <w:bCs/>
          <w:rtl/>
          <w:lang w:eastAsia="he-IL"/>
        </w:rPr>
        <w:t>,</w:t>
      </w:r>
      <w:r w:rsidRPr="00861D72">
        <w:rPr>
          <w:rFonts w:eastAsia="Calibri"/>
          <w:b/>
          <w:bCs/>
          <w:rtl/>
          <w:lang w:eastAsia="he-IL"/>
        </w:rPr>
        <w:t xml:space="preserve"> ו</w:t>
      </w:r>
      <w:r w:rsidRPr="00861D72">
        <w:rPr>
          <w:rFonts w:eastAsia="Calibri" w:hint="cs"/>
          <w:b/>
          <w:bCs/>
          <w:rtl/>
          <w:lang w:eastAsia="he-IL"/>
        </w:rPr>
        <w:t xml:space="preserve">חלוקת </w:t>
      </w:r>
      <w:r w:rsidRPr="00861D72">
        <w:rPr>
          <w:rFonts w:eastAsia="Calibri"/>
          <w:b/>
          <w:bCs/>
          <w:rtl/>
          <w:lang w:eastAsia="he-IL"/>
        </w:rPr>
        <w:t>האחריות אינה ברורה</w:t>
      </w:r>
      <w:r w:rsidRPr="00861D72">
        <w:rPr>
          <w:rFonts w:eastAsia="Calibri" w:hint="cs"/>
          <w:b/>
          <w:bCs/>
          <w:rtl/>
          <w:lang w:eastAsia="he-IL"/>
        </w:rPr>
        <w:t>.</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משרד מבקר המדינה פנה במסגרת דוח זה למטות משרדי הממשלה ולגופים המרכזיים בתחום העיסוק בהזדקנות האוכלוסייה</w:t>
      </w:r>
      <w:r>
        <w:rPr>
          <w:rFonts w:eastAsia="Calibri"/>
          <w:vertAlign w:val="superscript"/>
          <w:rtl/>
          <w:lang w:eastAsia="he-IL"/>
        </w:rPr>
        <w:footnoteReference w:id="71"/>
      </w:r>
      <w:r w:rsidRPr="00861D72">
        <w:rPr>
          <w:rFonts w:eastAsia="Calibri" w:hint="cs"/>
          <w:rtl/>
          <w:lang w:eastAsia="he-IL"/>
        </w:rPr>
        <w:t xml:space="preserve"> לצורך </w:t>
      </w:r>
      <w:r w:rsidRPr="00861D72">
        <w:rPr>
          <w:rFonts w:eastAsia="Calibri"/>
          <w:rtl/>
          <w:lang w:eastAsia="he-IL"/>
        </w:rPr>
        <w:t>הליך המיפוי המובנה</w:t>
      </w:r>
      <w:r w:rsidRPr="00861D72">
        <w:rPr>
          <w:rFonts w:eastAsia="Calibri" w:hint="cs"/>
          <w:rtl/>
          <w:lang w:eastAsia="he-IL"/>
        </w:rPr>
        <w:t>. במסגרת זו התבקשו בעלי התפקידים המשיבים להשיב על כמה שאלות בנוגע לניהול ההיערכות הממשלתית להזדקנות האוכלוסייה. בין היתר, ציינו המשיבים מי בעיניהם המשרד האחראי לטיפול בכל מדד במפת המדדים. בתרשים שלהלן מוצגות תשובותיהם.</w:t>
      </w:r>
    </w:p>
    <w:p w:rsidR="00861D72" w:rsidRPr="00861D72" w:rsidP="00F90255">
      <w:pPr>
        <w:spacing w:line="269" w:lineRule="auto"/>
        <w:jc w:val="center"/>
        <w:rPr>
          <w:rFonts w:eastAsia="Calibri"/>
          <w:rtl/>
          <w:lang w:eastAsia="he-IL"/>
        </w:rPr>
      </w:pPr>
    </w:p>
    <w:p w:rsidR="00A804DA">
      <w:pPr>
        <w:bidi w:val="0"/>
        <w:spacing w:after="200" w:line="276" w:lineRule="auto"/>
        <w:rPr>
          <w:rFonts w:eastAsia="Calibri"/>
          <w:rtl/>
          <w:lang w:eastAsia="he-IL"/>
        </w:rPr>
      </w:pPr>
      <w:r>
        <w:rPr>
          <w:rFonts w:eastAsia="Calibri"/>
          <w:rtl/>
          <w:lang w:eastAsia="he-IL"/>
        </w:rPr>
        <w:br w:type="page"/>
      </w:r>
    </w:p>
    <w:p w:rsidR="00861D72" w:rsidP="00F90255">
      <w:pPr>
        <w:spacing w:line="269" w:lineRule="auto"/>
        <w:jc w:val="center"/>
        <w:rPr>
          <w:rFonts w:eastAsia="Calibri"/>
          <w:b/>
          <w:bCs/>
          <w:rtl/>
          <w:lang w:eastAsia="he-IL"/>
        </w:rPr>
      </w:pPr>
      <w:r w:rsidRPr="00861D72">
        <w:rPr>
          <w:rFonts w:eastAsia="Calibri" w:hint="cs"/>
          <w:rtl/>
          <w:lang w:eastAsia="he-IL"/>
        </w:rPr>
        <w:t xml:space="preserve">תרשים 12: </w:t>
      </w:r>
      <w:r w:rsidRPr="00861D72">
        <w:rPr>
          <w:rFonts w:eastAsia="Calibri" w:hint="cs"/>
          <w:b/>
          <w:bCs/>
          <w:rtl/>
          <w:lang w:eastAsia="he-IL"/>
        </w:rPr>
        <w:t>עמדות הגופים העוסקים בהזדקנות לגבי זהות הגוף האחראי לכל מדד במפת המדדים, על פי מיפוי המידע המובנה</w:t>
      </w:r>
      <w:r>
        <w:rPr>
          <w:rFonts w:eastAsia="Calibri"/>
          <w:b/>
          <w:bCs/>
          <w:vertAlign w:val="superscript"/>
          <w:rtl/>
          <w:lang w:eastAsia="he-IL"/>
        </w:rPr>
        <w:footnoteReference w:id="72"/>
      </w:r>
    </w:p>
    <w:p w:rsidR="005167AC" w:rsidRPr="00861D72" w:rsidP="00F90255">
      <w:pPr>
        <w:spacing w:line="269" w:lineRule="auto"/>
        <w:jc w:val="center"/>
        <w:rPr>
          <w:rFonts w:eastAsia="Calibri"/>
          <w:b/>
          <w:bCs/>
          <w:rtl/>
          <w:lang w:eastAsia="he-IL"/>
        </w:rPr>
      </w:pPr>
      <w:bookmarkStart w:id="30" w:name="_GoBack"/>
      <w:r>
        <w:rPr>
          <w:rFonts w:eastAsia="Calibri"/>
          <w:noProof/>
          <w:rtl/>
          <w:lang w:val="he-IL"/>
        </w:rPr>
        <w:drawing>
          <wp:inline distT="0" distB="0" distL="0" distR="0">
            <wp:extent cx="5219700" cy="3329305"/>
            <wp:effectExtent l="0" t="0" r="0" b="4445"/>
            <wp:docPr id="66" name="תמונה 66" descr="עמדות הגופים העוסקים בהזדקנות לגבי זהות הגוף האחראי לכל מדד במפת המדדים, על פי מיפוי המידע המובנה:&#10;&#10;שנות חיים בריאים&#10;18% לא ברור מי אחראי&#10;71% בריאות&#10;6% שוויון&#10;6% ראש ממשלה&#10;&#10;תפקוד&#10;17% לא ברור מי אחראי&#10;33% בריאות&#10;33% רווחה&#10;11% בט&quot;ל&#10;6% אחר&#10;&#10;בדידות&#10;13% לא ברור מי אחראי&#10;69% רווחה&#10;6% בט&quot;ל&#10;13% שוויון&#10;&#10;איכות חיים&#10;16% לא ברור מי אחראי&#10;11% בריאות&#10;26% רווחה&#10;16% בט&quot;ל&#10;21% שוויון&#10;5% ראש ממשלה&#10;5% אחר&#10;&#10;ניהול בריאות&#10;6% לא ברור מי אחראי&#10;78% בריאות&#10;6% רווחה&#10;6% שוויון&#10;6% פורום בר&quot;ק&#10;&#10;אורח חיים בריא&#10;17% לא ברור מי אחראי&#10;56% בריאות&#10;6% רווחה&#10;17% שוויון&#10;6% אחר&#10;&#10;תעסוקת אזרחים ותיקים&#10;18% לא ברור מי אחראי&#10;6% רווחה&#10;65% שוויון&#10;12% אחר&#10;&#10;התנדבות אזרחים ותיקים&#10;12% לא ברור מי אחראי&#10;29% רווחה&#10;6% בט&quot;ל&#10;47% שוויון&#10;6% ראש ממשלה&#10;&#10;חוסן כלכלי&#10;22% לא ברור מי אחראי&#10;6% רווחה&#10;22% בט&quot;ל&#10;28% שוויון&#10;11% ראש ממשלה&#10;11% אחר&#10;&#10;פורום בר&quot;ק - פורום משותף של בט&quot;ל, משרד הרווחה וקופות החולים בנושא הזדק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גרף 1.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219700" cy="3329305"/>
                    </a:xfrm>
                    <a:prstGeom prst="rect">
                      <a:avLst/>
                    </a:prstGeom>
                  </pic:spPr>
                </pic:pic>
              </a:graphicData>
            </a:graphic>
          </wp:inline>
        </w:drawing>
      </w:r>
      <w:bookmarkEnd w:id="30"/>
    </w:p>
    <w:p w:rsidR="00861D72" w:rsidP="00F90255">
      <w:pPr>
        <w:spacing w:line="269" w:lineRule="auto"/>
        <w:rPr>
          <w:rFonts w:eastAsia="Calibri"/>
          <w:szCs w:val="20"/>
          <w:rtl/>
        </w:rPr>
      </w:pPr>
      <w:r w:rsidRPr="00861D72">
        <w:rPr>
          <w:rFonts w:eastAsia="Calibri" w:hint="cs"/>
          <w:szCs w:val="20"/>
          <w:rtl/>
        </w:rPr>
        <w:t xml:space="preserve">* פורום </w:t>
      </w:r>
      <w:r w:rsidRPr="00861D72">
        <w:rPr>
          <w:rFonts w:eastAsia="Calibri" w:hint="cs"/>
          <w:szCs w:val="20"/>
          <w:rtl/>
        </w:rPr>
        <w:t>בר"ק</w:t>
      </w:r>
      <w:r w:rsidRPr="00861D72">
        <w:rPr>
          <w:rFonts w:eastAsia="Calibri" w:hint="cs"/>
          <w:szCs w:val="20"/>
          <w:rtl/>
        </w:rPr>
        <w:t xml:space="preserve"> - פורום משותף של </w:t>
      </w:r>
      <w:r w:rsidRPr="00861D72">
        <w:rPr>
          <w:rFonts w:eastAsia="Calibri" w:hint="cs"/>
          <w:szCs w:val="20"/>
          <w:rtl/>
        </w:rPr>
        <w:t>בט"ל</w:t>
      </w:r>
      <w:r w:rsidRPr="00861D72">
        <w:rPr>
          <w:rFonts w:eastAsia="Calibri" w:hint="cs"/>
          <w:szCs w:val="20"/>
          <w:rtl/>
        </w:rPr>
        <w:t>, משרד הרווחה וקופות החולים בנושא הזדקנות.</w:t>
      </w:r>
    </w:p>
    <w:p w:rsidR="005167AC" w:rsidRPr="00861D72" w:rsidP="00F90255">
      <w:pPr>
        <w:spacing w:line="269" w:lineRule="auto"/>
        <w:rPr>
          <w:rFonts w:eastAsia="Calibri"/>
          <w:szCs w:val="20"/>
          <w:rtl/>
        </w:rPr>
      </w:pPr>
    </w:p>
    <w:p w:rsidR="00861D72" w:rsidRPr="00861D72" w:rsidP="00F90255">
      <w:pPr>
        <w:spacing w:line="269" w:lineRule="auto"/>
        <w:rPr>
          <w:rFonts w:ascii="David" w:eastAsia="Calibri" w:hAnsi="David"/>
          <w:b/>
          <w:bCs/>
          <w:sz w:val="24"/>
          <w:rtl/>
          <w:lang w:eastAsia="he-IL"/>
        </w:rPr>
      </w:pPr>
      <w:r w:rsidRPr="00861D72">
        <w:rPr>
          <w:rFonts w:eastAsia="Calibri" w:hint="cs"/>
          <w:b/>
          <w:bCs/>
          <w:rtl/>
        </w:rPr>
        <w:t>אף על פי</w:t>
      </w:r>
      <w:r w:rsidRPr="00861D72">
        <w:rPr>
          <w:rFonts w:eastAsia="Calibri"/>
          <w:b/>
          <w:bCs/>
          <w:rtl/>
        </w:rPr>
        <w:t xml:space="preserve"> </w:t>
      </w:r>
      <w:r w:rsidRPr="00861D72">
        <w:rPr>
          <w:rFonts w:eastAsia="Calibri" w:hint="cs"/>
          <w:b/>
          <w:bCs/>
          <w:rtl/>
        </w:rPr>
        <w:t>ש</w:t>
      </w:r>
      <w:r w:rsidRPr="00861D72">
        <w:rPr>
          <w:rFonts w:eastAsia="Calibri"/>
          <w:b/>
          <w:bCs/>
          <w:rtl/>
        </w:rPr>
        <w:t xml:space="preserve">הגדרה ברורה של תפקידים, תחומי אחריות וכישורים היא יסוד מרכזי במתן שירותים </w:t>
      </w:r>
      <w:r w:rsidRPr="00861D72">
        <w:rPr>
          <w:rFonts w:eastAsia="Calibri"/>
          <w:b/>
          <w:bCs/>
          <w:rtl/>
        </w:rPr>
        <w:t>מ</w:t>
      </w:r>
      <w:r w:rsidRPr="00861D72">
        <w:rPr>
          <w:rFonts w:eastAsia="Calibri" w:hint="cs"/>
          <w:b/>
          <w:bCs/>
          <w:rtl/>
        </w:rPr>
        <w:t>י</w:t>
      </w:r>
      <w:r w:rsidRPr="00861D72">
        <w:rPr>
          <w:rFonts w:eastAsia="Calibri"/>
          <w:b/>
          <w:bCs/>
          <w:rtl/>
        </w:rPr>
        <w:t>נהליים</w:t>
      </w:r>
      <w:r w:rsidRPr="00861D72">
        <w:rPr>
          <w:rFonts w:eastAsia="Calibri"/>
          <w:b/>
          <w:bCs/>
          <w:rtl/>
        </w:rPr>
        <w:t xml:space="preserve"> הממוקדים באדם, </w:t>
      </w:r>
      <w:r w:rsidRPr="00861D72">
        <w:rPr>
          <w:rFonts w:eastAsia="Calibri" w:hint="eastAsia"/>
          <w:b/>
          <w:bCs/>
          <w:rtl/>
        </w:rPr>
        <w:t>מתשובות</w:t>
      </w:r>
      <w:r w:rsidRPr="00861D72">
        <w:rPr>
          <w:rFonts w:eastAsia="Calibri"/>
          <w:b/>
          <w:bCs/>
          <w:rtl/>
        </w:rPr>
        <w:t xml:space="preserve"> </w:t>
      </w:r>
      <w:r w:rsidRPr="00861D72">
        <w:rPr>
          <w:rFonts w:eastAsia="Calibri" w:hint="eastAsia"/>
          <w:b/>
          <w:bCs/>
          <w:rtl/>
        </w:rPr>
        <w:t>בעלי</w:t>
      </w:r>
      <w:r w:rsidRPr="00861D72">
        <w:rPr>
          <w:rFonts w:eastAsia="Calibri"/>
          <w:b/>
          <w:bCs/>
          <w:rtl/>
        </w:rPr>
        <w:t xml:space="preserve"> </w:t>
      </w:r>
      <w:r w:rsidRPr="00861D72">
        <w:rPr>
          <w:rFonts w:eastAsia="Calibri" w:hint="eastAsia"/>
          <w:b/>
          <w:bCs/>
          <w:rtl/>
        </w:rPr>
        <w:t>תפקידים</w:t>
      </w:r>
      <w:r w:rsidRPr="00861D72">
        <w:rPr>
          <w:rFonts w:eastAsia="Calibri"/>
          <w:b/>
          <w:bCs/>
          <w:rtl/>
        </w:rPr>
        <w:t xml:space="preserve"> בגופים המרכזיים </w:t>
      </w:r>
      <w:bookmarkStart w:id="31" w:name="_Hlk222219020"/>
      <w:r w:rsidRPr="00861D72">
        <w:rPr>
          <w:rFonts w:eastAsia="Calibri" w:hint="cs"/>
          <w:b/>
          <w:bCs/>
          <w:rtl/>
        </w:rPr>
        <w:t xml:space="preserve">(ובהם המשרד לשוויון חברתי, משרד הרווחה, משרד הבריאות, </w:t>
      </w:r>
      <w:r w:rsidRPr="00861D72">
        <w:rPr>
          <w:rFonts w:eastAsia="Calibri" w:hint="cs"/>
          <w:b/>
          <w:bCs/>
          <w:rtl/>
        </w:rPr>
        <w:t>בט"ל</w:t>
      </w:r>
      <w:r w:rsidRPr="00861D72">
        <w:rPr>
          <w:rFonts w:eastAsia="Calibri" w:hint="cs"/>
          <w:b/>
          <w:bCs/>
          <w:rtl/>
        </w:rPr>
        <w:t xml:space="preserve">, קופות החולים, ומשרד </w:t>
      </w:r>
      <w:r w:rsidRPr="00861D72">
        <w:rPr>
          <w:rFonts w:eastAsia="Calibri" w:hint="cs"/>
          <w:b/>
          <w:bCs/>
          <w:rtl/>
        </w:rPr>
        <w:t>רה"ם</w:t>
      </w:r>
      <w:r w:rsidRPr="00861D72">
        <w:rPr>
          <w:rFonts w:eastAsia="Calibri" w:hint="cs"/>
          <w:b/>
          <w:bCs/>
          <w:rtl/>
        </w:rPr>
        <w:t xml:space="preserve">) </w:t>
      </w:r>
      <w:bookmarkEnd w:id="31"/>
      <w:r w:rsidRPr="00861D72">
        <w:rPr>
          <w:rFonts w:eastAsia="Calibri" w:hint="cs"/>
          <w:b/>
          <w:bCs/>
          <w:rtl/>
        </w:rPr>
        <w:t xml:space="preserve">עולה כי </w:t>
      </w:r>
      <w:r w:rsidRPr="00861D72">
        <w:rPr>
          <w:rFonts w:ascii="David" w:eastAsia="Calibri" w:hAnsi="David" w:hint="cs"/>
          <w:b/>
          <w:bCs/>
          <w:sz w:val="24"/>
          <w:rtl/>
          <w:lang w:eastAsia="he-IL"/>
        </w:rPr>
        <w:t xml:space="preserve">בארבעה </w:t>
      </w:r>
      <w:r w:rsidRPr="00861D72">
        <w:rPr>
          <w:rFonts w:ascii="David" w:eastAsia="Calibri" w:hAnsi="David"/>
          <w:b/>
          <w:bCs/>
          <w:sz w:val="24"/>
          <w:rtl/>
          <w:lang w:eastAsia="he-IL"/>
        </w:rPr>
        <w:t xml:space="preserve">מדדים - התנדבות אזרחים ותיקים, תפקוד, חוסן כלכלי ואיכות חיים - שונות </w:t>
      </w:r>
      <w:r w:rsidRPr="00861D72">
        <w:rPr>
          <w:rFonts w:ascii="David" w:eastAsia="Calibri" w:hAnsi="David" w:hint="cs"/>
          <w:b/>
          <w:bCs/>
          <w:sz w:val="24"/>
          <w:rtl/>
          <w:lang w:eastAsia="he-IL"/>
        </w:rPr>
        <w:t>ה</w:t>
      </w:r>
      <w:r w:rsidRPr="00861D72">
        <w:rPr>
          <w:rFonts w:ascii="David" w:eastAsia="Calibri" w:hAnsi="David"/>
          <w:b/>
          <w:bCs/>
          <w:sz w:val="24"/>
          <w:rtl/>
          <w:lang w:eastAsia="he-IL"/>
        </w:rPr>
        <w:t xml:space="preserve">תשובות </w:t>
      </w:r>
      <w:r w:rsidRPr="00861D72">
        <w:rPr>
          <w:rFonts w:ascii="David" w:eastAsia="Calibri" w:hAnsi="David" w:hint="cs"/>
          <w:b/>
          <w:bCs/>
          <w:sz w:val="24"/>
          <w:rtl/>
          <w:lang w:eastAsia="he-IL"/>
        </w:rPr>
        <w:t xml:space="preserve">של </w:t>
      </w:r>
      <w:r w:rsidRPr="00861D72">
        <w:rPr>
          <w:rFonts w:ascii="David" w:eastAsia="Calibri" w:hAnsi="David"/>
          <w:b/>
          <w:bCs/>
          <w:sz w:val="24"/>
          <w:rtl/>
          <w:lang w:eastAsia="he-IL"/>
        </w:rPr>
        <w:t>המשיבים</w:t>
      </w:r>
      <w:r w:rsidRPr="00861D72">
        <w:rPr>
          <w:rFonts w:ascii="David" w:eastAsia="Calibri" w:hAnsi="David" w:hint="cs"/>
          <w:b/>
          <w:bCs/>
          <w:sz w:val="24"/>
          <w:rtl/>
          <w:lang w:eastAsia="he-IL"/>
        </w:rPr>
        <w:t xml:space="preserve"> בנוגע לגורם האחראי,</w:t>
      </w:r>
      <w:r w:rsidRPr="00861D72">
        <w:rPr>
          <w:rFonts w:ascii="David" w:eastAsia="Calibri" w:hAnsi="David"/>
          <w:b/>
          <w:bCs/>
          <w:sz w:val="24"/>
          <w:rtl/>
          <w:lang w:eastAsia="he-IL"/>
        </w:rPr>
        <w:t xml:space="preserve"> גדולה</w:t>
      </w:r>
      <w:r w:rsidRPr="00861D72">
        <w:rPr>
          <w:rFonts w:ascii="David" w:eastAsia="Calibri" w:hAnsi="David" w:hint="cs"/>
          <w:b/>
          <w:bCs/>
          <w:sz w:val="24"/>
          <w:rtl/>
          <w:lang w:eastAsia="he-IL"/>
        </w:rPr>
        <w:t>.</w:t>
      </w:r>
      <w:r w:rsidRPr="00861D72">
        <w:rPr>
          <w:rFonts w:ascii="David" w:eastAsia="Calibri" w:hAnsi="David"/>
          <w:b/>
          <w:bCs/>
          <w:sz w:val="24"/>
          <w:rtl/>
          <w:lang w:eastAsia="he-IL"/>
        </w:rPr>
        <w:t xml:space="preserve"> </w:t>
      </w:r>
      <w:r w:rsidRPr="00861D72">
        <w:rPr>
          <w:rFonts w:ascii="David" w:eastAsia="Calibri" w:hAnsi="David" w:hint="cs"/>
          <w:b/>
          <w:bCs/>
          <w:sz w:val="24"/>
          <w:rtl/>
          <w:lang w:eastAsia="he-IL"/>
        </w:rPr>
        <w:t>שונות זו</w:t>
      </w:r>
      <w:r w:rsidRPr="00861D72">
        <w:rPr>
          <w:rFonts w:ascii="David" w:eastAsia="Calibri" w:hAnsi="David"/>
          <w:b/>
          <w:bCs/>
          <w:sz w:val="24"/>
          <w:rtl/>
          <w:lang w:eastAsia="he-IL"/>
        </w:rPr>
        <w:t xml:space="preserve"> </w:t>
      </w:r>
      <w:r w:rsidRPr="00861D72">
        <w:rPr>
          <w:rFonts w:ascii="David" w:eastAsia="Calibri" w:hAnsi="David" w:hint="cs"/>
          <w:b/>
          <w:bCs/>
          <w:sz w:val="24"/>
          <w:rtl/>
          <w:lang w:eastAsia="he-IL"/>
        </w:rPr>
        <w:t>מצביעה</w:t>
      </w:r>
      <w:r w:rsidRPr="00861D72">
        <w:rPr>
          <w:rFonts w:ascii="David" w:eastAsia="Calibri" w:hAnsi="David"/>
          <w:b/>
          <w:bCs/>
          <w:sz w:val="24"/>
          <w:rtl/>
          <w:lang w:eastAsia="he-IL"/>
        </w:rPr>
        <w:t xml:space="preserve"> על </w:t>
      </w:r>
      <w:r w:rsidRPr="00861D72">
        <w:rPr>
          <w:rFonts w:ascii="David" w:eastAsia="Calibri" w:hAnsi="David" w:hint="cs"/>
          <w:b/>
          <w:bCs/>
          <w:sz w:val="24"/>
          <w:rtl/>
          <w:lang w:eastAsia="he-IL"/>
        </w:rPr>
        <w:t>חוסר בהירות בקרב גופי</w:t>
      </w:r>
      <w:r w:rsidRPr="00861D72">
        <w:rPr>
          <w:rFonts w:ascii="David" w:eastAsia="Calibri" w:hAnsi="David"/>
          <w:b/>
          <w:bCs/>
          <w:sz w:val="24"/>
          <w:rtl/>
          <w:lang w:eastAsia="he-IL"/>
        </w:rPr>
        <w:t xml:space="preserve"> הממשל הפועלים בתחום ההזדקנות </w:t>
      </w:r>
      <w:r w:rsidRPr="00861D72">
        <w:rPr>
          <w:rFonts w:ascii="David" w:eastAsia="Calibri" w:hAnsi="David" w:hint="cs"/>
          <w:b/>
          <w:bCs/>
          <w:sz w:val="24"/>
          <w:rtl/>
          <w:lang w:eastAsia="he-IL"/>
        </w:rPr>
        <w:t>בנוגע ל</w:t>
      </w:r>
      <w:r w:rsidRPr="00861D72">
        <w:rPr>
          <w:rFonts w:ascii="David" w:eastAsia="Calibri" w:hAnsi="David"/>
          <w:b/>
          <w:bCs/>
          <w:sz w:val="24"/>
          <w:rtl/>
          <w:lang w:eastAsia="he-IL"/>
        </w:rPr>
        <w:t>גורם האחראי על מדדים אלו</w:t>
      </w:r>
      <w:r w:rsidRPr="00861D72">
        <w:rPr>
          <w:rFonts w:eastAsia="Calibri" w:hint="cs"/>
          <w:b/>
          <w:bCs/>
          <w:rtl/>
          <w:lang w:eastAsia="he-IL"/>
        </w:rPr>
        <w:t>.</w:t>
      </w:r>
      <w:r w:rsidRPr="00861D72">
        <w:rPr>
          <w:rFonts w:ascii="David" w:eastAsia="Calibri" w:hAnsi="David"/>
          <w:b/>
          <w:bCs/>
          <w:sz w:val="24"/>
          <w:rtl/>
          <w:lang w:eastAsia="he-IL"/>
        </w:rPr>
        <w:t xml:space="preserve"> בחמישה מדדים - ניהול בריאות, שנות חיים בריאים, בדידות, תעסוקת אזרחים ותיקים ואורח חיים בריא - יש הסכמה רחבה, מעל 50%, </w:t>
      </w:r>
      <w:r w:rsidRPr="00861D72">
        <w:rPr>
          <w:rFonts w:ascii="David" w:eastAsia="Calibri" w:hAnsi="David" w:hint="cs"/>
          <w:b/>
          <w:bCs/>
          <w:sz w:val="24"/>
          <w:rtl/>
          <w:lang w:eastAsia="he-IL"/>
        </w:rPr>
        <w:t xml:space="preserve">על </w:t>
      </w:r>
      <w:r w:rsidRPr="00861D72">
        <w:rPr>
          <w:rFonts w:ascii="David" w:eastAsia="Calibri" w:hAnsi="David"/>
          <w:b/>
          <w:bCs/>
          <w:sz w:val="24"/>
          <w:rtl/>
          <w:lang w:eastAsia="he-IL"/>
        </w:rPr>
        <w:t>אודות זהות הגורם האחראי.</w:t>
      </w:r>
      <w:r w:rsidRPr="00861D72">
        <w:rPr>
          <w:rFonts w:ascii="David" w:eastAsia="Calibri" w:hAnsi="David" w:hint="cs"/>
          <w:b/>
          <w:bCs/>
          <w:sz w:val="24"/>
          <w:rtl/>
          <w:lang w:eastAsia="he-IL"/>
        </w:rPr>
        <w:t xml:space="preserve"> </w:t>
      </w:r>
      <w:bookmarkStart w:id="32" w:name="_Hlk222219033"/>
      <w:r w:rsidRPr="00861D72">
        <w:rPr>
          <w:rFonts w:eastAsia="Calibri" w:hint="cs"/>
          <w:b/>
          <w:bCs/>
          <w:rtl/>
          <w:lang w:eastAsia="he-IL"/>
        </w:rPr>
        <w:t xml:space="preserve">עוד עולה בבירור מהתרשים כי </w:t>
      </w:r>
      <w:r w:rsidRPr="00861D72">
        <w:rPr>
          <w:rFonts w:ascii="David" w:eastAsia="Calibri" w:hAnsi="David" w:hint="cs"/>
          <w:b/>
          <w:bCs/>
          <w:sz w:val="24"/>
          <w:rtl/>
          <w:lang w:eastAsia="he-IL"/>
        </w:rPr>
        <w:t>ב</w:t>
      </w:r>
      <w:r w:rsidRPr="00861D72">
        <w:rPr>
          <w:rFonts w:ascii="David" w:eastAsia="Calibri" w:hAnsi="David"/>
          <w:b/>
          <w:bCs/>
          <w:sz w:val="24"/>
          <w:rtl/>
          <w:lang w:eastAsia="he-IL"/>
        </w:rPr>
        <w:t>כל אחד מהמדדים</w:t>
      </w:r>
      <w:r w:rsidRPr="00861D72">
        <w:rPr>
          <w:rFonts w:ascii="David" w:eastAsia="Calibri" w:hAnsi="David" w:hint="cs"/>
          <w:b/>
          <w:bCs/>
          <w:sz w:val="24"/>
          <w:rtl/>
          <w:lang w:eastAsia="he-IL"/>
        </w:rPr>
        <w:t xml:space="preserve"> </w:t>
      </w:r>
      <w:r w:rsidRPr="00861D72">
        <w:rPr>
          <w:rFonts w:ascii="David" w:eastAsia="Calibri" w:hAnsi="David"/>
          <w:b/>
          <w:bCs/>
          <w:sz w:val="24"/>
          <w:rtl/>
          <w:lang w:eastAsia="he-IL"/>
        </w:rPr>
        <w:t xml:space="preserve">קיים שיעור </w:t>
      </w:r>
      <w:r w:rsidRPr="00861D72">
        <w:rPr>
          <w:rFonts w:ascii="David" w:eastAsia="Calibri" w:hAnsi="David" w:hint="cs"/>
          <w:b/>
          <w:bCs/>
          <w:sz w:val="24"/>
          <w:rtl/>
          <w:lang w:eastAsia="he-IL"/>
        </w:rPr>
        <w:t xml:space="preserve">של </w:t>
      </w:r>
      <w:r w:rsidRPr="00861D72">
        <w:rPr>
          <w:rFonts w:ascii="David" w:eastAsia="Calibri" w:hAnsi="David"/>
          <w:b/>
          <w:bCs/>
          <w:sz w:val="24"/>
          <w:rtl/>
          <w:lang w:eastAsia="he-IL"/>
        </w:rPr>
        <w:t>משיבים</w:t>
      </w:r>
      <w:r w:rsidRPr="00861D72">
        <w:rPr>
          <w:rFonts w:ascii="David" w:eastAsia="Calibri" w:hAnsi="David" w:hint="cs"/>
          <w:b/>
          <w:bCs/>
          <w:sz w:val="24"/>
          <w:rtl/>
          <w:lang w:eastAsia="he-IL"/>
        </w:rPr>
        <w:t xml:space="preserve"> </w:t>
      </w:r>
      <w:r w:rsidRPr="00861D72">
        <w:rPr>
          <w:rFonts w:ascii="David" w:eastAsia="Calibri" w:hAnsi="David"/>
          <w:b/>
          <w:bCs/>
          <w:sz w:val="24"/>
          <w:rtl/>
          <w:lang w:eastAsia="he-IL"/>
        </w:rPr>
        <w:t>שאינם יודעים מי הגורם</w:t>
      </w:r>
      <w:r w:rsidRPr="00861D72">
        <w:rPr>
          <w:rFonts w:ascii="David" w:eastAsia="Calibri" w:hAnsi="David" w:hint="cs"/>
          <w:b/>
          <w:bCs/>
          <w:sz w:val="24"/>
          <w:rtl/>
          <w:lang w:eastAsia="he-IL"/>
        </w:rPr>
        <w:t xml:space="preserve"> </w:t>
      </w:r>
      <w:r w:rsidRPr="00861D72">
        <w:rPr>
          <w:rFonts w:ascii="David" w:eastAsia="Calibri" w:hAnsi="David"/>
          <w:b/>
          <w:bCs/>
          <w:sz w:val="24"/>
          <w:rtl/>
          <w:lang w:eastAsia="he-IL"/>
        </w:rPr>
        <w:t>אחראי על אותו מדד (בין 6% משיבים במדד של ניהול בריאות ל-22% משיבים במדד של חוסן כלכלי).</w:t>
      </w:r>
      <w:r w:rsidRPr="00861D72">
        <w:rPr>
          <w:rFonts w:ascii="David" w:eastAsia="Calibri" w:hAnsi="David" w:hint="cs"/>
          <w:b/>
          <w:bCs/>
          <w:sz w:val="24"/>
          <w:rtl/>
          <w:lang w:eastAsia="he-IL"/>
        </w:rPr>
        <w:t xml:space="preserve"> </w:t>
      </w:r>
      <w:bookmarkEnd w:id="32"/>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cs"/>
          <w:b/>
          <w:bCs/>
          <w:rtl/>
          <w:lang w:eastAsia="he-IL"/>
        </w:rPr>
        <w:t xml:space="preserve">תמונת מצב זו משקפת את היעדר האסדרה בנוגע לאחריות לטיפול ולריכוז של מדדי ההזדקנות המיטבית, ומדגישה את החשיבות בקביעת גורם אחראי לכל מדד, שכן אין חלוקה מוסכמת לגבי האחריות על המדדים. </w:t>
      </w:r>
      <w:r w:rsidRPr="00861D72">
        <w:rPr>
          <w:rFonts w:eastAsia="Calibri"/>
          <w:b/>
          <w:bCs/>
          <w:rtl/>
          <w:lang w:eastAsia="he-IL"/>
        </w:rPr>
        <w:t>ה</w:t>
      </w:r>
      <w:r w:rsidRPr="00861D72">
        <w:rPr>
          <w:rFonts w:eastAsia="Calibri" w:hint="cs"/>
          <w:b/>
          <w:bCs/>
          <w:rtl/>
          <w:lang w:eastAsia="he-IL"/>
        </w:rPr>
        <w:t>י</w:t>
      </w:r>
      <w:r w:rsidRPr="00861D72">
        <w:rPr>
          <w:rFonts w:eastAsia="Calibri"/>
          <w:b/>
          <w:bCs/>
          <w:rtl/>
          <w:lang w:eastAsia="he-IL"/>
        </w:rPr>
        <w:t>עדר</w:t>
      </w:r>
      <w:r w:rsidRPr="00861D72">
        <w:rPr>
          <w:rFonts w:eastAsia="Calibri" w:hint="cs"/>
          <w:b/>
          <w:bCs/>
          <w:rtl/>
          <w:lang w:eastAsia="he-IL"/>
        </w:rPr>
        <w:t>ן</w:t>
      </w:r>
      <w:r w:rsidRPr="00861D72">
        <w:rPr>
          <w:rFonts w:eastAsia="Calibri"/>
          <w:b/>
          <w:bCs/>
          <w:rtl/>
          <w:lang w:eastAsia="he-IL"/>
        </w:rPr>
        <w:t xml:space="preserve"> של סמכות </w:t>
      </w:r>
      <w:r w:rsidRPr="00861D72">
        <w:rPr>
          <w:rFonts w:eastAsia="Calibri" w:hint="cs"/>
          <w:b/>
          <w:bCs/>
          <w:rtl/>
          <w:lang w:eastAsia="he-IL"/>
        </w:rPr>
        <w:t xml:space="preserve">ושל אחריות </w:t>
      </w:r>
      <w:r w:rsidRPr="00861D72">
        <w:rPr>
          <w:rFonts w:eastAsia="Calibri"/>
          <w:b/>
          <w:bCs/>
          <w:rtl/>
          <w:lang w:eastAsia="he-IL"/>
        </w:rPr>
        <w:t>ברורה ומוסכמת על כל מדד במפת המדדים פוגעת באחריותיות, מקשה על קביעת יעדים מדידים ומערימה קשיים בתיאום הפעולות בין הגופים הרלוונטיים. מצב זה עלול להוביל לכפילויות בפעולה, לפערים בטיפול ולחוסר עקביות</w:t>
      </w:r>
      <w:r w:rsidRPr="00861D72">
        <w:rPr>
          <w:rFonts w:eastAsia="Calibri" w:hint="cs"/>
          <w:b/>
          <w:bCs/>
          <w:rtl/>
          <w:lang w:eastAsia="he-IL"/>
        </w:rPr>
        <w:t>,</w:t>
      </w:r>
      <w:r w:rsidRPr="00861D72">
        <w:rPr>
          <w:rFonts w:eastAsia="Calibri"/>
          <w:b/>
          <w:bCs/>
          <w:rtl/>
          <w:lang w:eastAsia="he-IL"/>
        </w:rPr>
        <w:t xml:space="preserve"> הן במעקב אחר הביצוע והן ביישום התוכניות.</w:t>
      </w:r>
    </w:p>
    <w:p w:rsidR="00861D72" w:rsidRPr="00861D72" w:rsidP="00F90255">
      <w:pPr>
        <w:spacing w:line="269" w:lineRule="auto"/>
        <w:rPr>
          <w:rFonts w:eastAsia="Calibri"/>
          <w:rtl/>
        </w:rPr>
      </w:pPr>
    </w:p>
    <w:bookmarkEnd w:id="27"/>
    <w:p w:rsidR="00861D72" w:rsidRPr="00861D72" w:rsidP="00F90255">
      <w:pPr>
        <w:spacing w:line="269" w:lineRule="auto"/>
        <w:rPr>
          <w:rFonts w:eastAsia="Calibri"/>
          <w:b/>
          <w:bCs/>
          <w:rtl/>
        </w:rPr>
      </w:pPr>
      <w:r w:rsidRPr="00861D72">
        <w:rPr>
          <w:rFonts w:eastAsia="Calibri"/>
          <w:b/>
          <w:bCs/>
          <w:rtl/>
        </w:rPr>
        <w:t xml:space="preserve">אחד הנזקים בהיעדר גורם אחראי </w:t>
      </w:r>
      <w:r w:rsidRPr="00861D72">
        <w:rPr>
          <w:rFonts w:eastAsia="Calibri" w:hint="eastAsia"/>
          <w:b/>
          <w:bCs/>
          <w:rtl/>
        </w:rPr>
        <w:t>עלה</w:t>
      </w:r>
      <w:r w:rsidRPr="00861D72">
        <w:rPr>
          <w:rFonts w:eastAsia="Calibri"/>
          <w:b/>
          <w:bCs/>
          <w:rtl/>
        </w:rPr>
        <w:t xml:space="preserve"> </w:t>
      </w:r>
      <w:r w:rsidRPr="00861D72">
        <w:rPr>
          <w:rFonts w:eastAsia="Calibri" w:hint="eastAsia"/>
          <w:b/>
          <w:bCs/>
          <w:rtl/>
        </w:rPr>
        <w:t>בדוח</w:t>
      </w:r>
      <w:r w:rsidRPr="00861D72">
        <w:rPr>
          <w:rFonts w:eastAsia="Calibri"/>
          <w:b/>
          <w:bCs/>
          <w:rtl/>
        </w:rPr>
        <w:t xml:space="preserve"> </w:t>
      </w:r>
      <w:r w:rsidRPr="00861D72">
        <w:rPr>
          <w:rFonts w:eastAsia="Calibri" w:hint="eastAsia"/>
          <w:b/>
          <w:bCs/>
          <w:rtl/>
        </w:rPr>
        <w:t>מיוחד</w:t>
      </w:r>
      <w:r w:rsidRPr="00861D72">
        <w:rPr>
          <w:rFonts w:eastAsia="Calibri"/>
          <w:b/>
          <w:bCs/>
          <w:rtl/>
        </w:rPr>
        <w:t xml:space="preserve"> </w:t>
      </w:r>
      <w:r w:rsidRPr="00861D72">
        <w:rPr>
          <w:rFonts w:eastAsia="Calibri" w:hint="eastAsia"/>
          <w:b/>
          <w:bCs/>
          <w:rtl/>
        </w:rPr>
        <w:t>שפרסם</w:t>
      </w:r>
      <w:r w:rsidRPr="00861D72">
        <w:rPr>
          <w:rFonts w:eastAsia="Calibri"/>
          <w:b/>
          <w:bCs/>
          <w:rtl/>
        </w:rPr>
        <w:t xml:space="preserve"> </w:t>
      </w:r>
      <w:r w:rsidRPr="00861D72">
        <w:rPr>
          <w:rFonts w:eastAsia="Calibri" w:hint="eastAsia"/>
          <w:b/>
          <w:bCs/>
          <w:rtl/>
        </w:rPr>
        <w:t>מבקר</w:t>
      </w:r>
      <w:r w:rsidRPr="00861D72">
        <w:rPr>
          <w:rFonts w:eastAsia="Calibri"/>
          <w:b/>
          <w:bCs/>
          <w:rtl/>
        </w:rPr>
        <w:t xml:space="preserve"> </w:t>
      </w:r>
      <w:r w:rsidRPr="00861D72">
        <w:rPr>
          <w:rFonts w:eastAsia="Calibri" w:hint="eastAsia"/>
          <w:b/>
          <w:bCs/>
          <w:rtl/>
        </w:rPr>
        <w:t>המדינה</w:t>
      </w:r>
      <w:r w:rsidRPr="00861D72">
        <w:rPr>
          <w:rFonts w:eastAsia="Calibri"/>
          <w:b/>
          <w:bCs/>
          <w:rtl/>
        </w:rPr>
        <w:t xml:space="preserve"> </w:t>
      </w:r>
      <w:r w:rsidRPr="00861D72">
        <w:rPr>
          <w:rFonts w:eastAsia="Calibri" w:hint="eastAsia"/>
          <w:b/>
          <w:bCs/>
          <w:rtl/>
        </w:rPr>
        <w:t>ונציב</w:t>
      </w:r>
      <w:r w:rsidRPr="00861D72">
        <w:rPr>
          <w:rFonts w:eastAsia="Calibri"/>
          <w:b/>
          <w:bCs/>
          <w:rtl/>
        </w:rPr>
        <w:t xml:space="preserve"> </w:t>
      </w:r>
      <w:r w:rsidRPr="00861D72">
        <w:rPr>
          <w:rFonts w:eastAsia="Calibri" w:hint="eastAsia"/>
          <w:b/>
          <w:bCs/>
          <w:rtl/>
        </w:rPr>
        <w:t>תלונות</w:t>
      </w:r>
      <w:r w:rsidRPr="00861D72">
        <w:rPr>
          <w:rFonts w:eastAsia="Calibri"/>
          <w:b/>
          <w:bCs/>
          <w:rtl/>
        </w:rPr>
        <w:t xml:space="preserve"> </w:t>
      </w:r>
      <w:r w:rsidRPr="00861D72">
        <w:rPr>
          <w:rFonts w:eastAsia="Calibri" w:hint="eastAsia"/>
          <w:b/>
          <w:bCs/>
          <w:rtl/>
        </w:rPr>
        <w:t>הציבור</w:t>
      </w:r>
      <w:r w:rsidRPr="00861D72">
        <w:rPr>
          <w:rFonts w:eastAsia="Calibri"/>
          <w:b/>
          <w:bCs/>
          <w:rtl/>
        </w:rPr>
        <w:t xml:space="preserve"> </w:t>
      </w:r>
      <w:r w:rsidRPr="00861D72">
        <w:rPr>
          <w:rFonts w:eastAsia="Calibri" w:hint="eastAsia"/>
          <w:b/>
          <w:bCs/>
          <w:rtl/>
        </w:rPr>
        <w:t>ב</w:t>
      </w:r>
      <w:r w:rsidRPr="00861D72">
        <w:rPr>
          <w:rFonts w:eastAsia="Calibri"/>
          <w:b/>
          <w:bCs/>
          <w:rtl/>
        </w:rPr>
        <w:t xml:space="preserve">-2023 </w:t>
      </w:r>
      <w:r w:rsidRPr="00861D72">
        <w:rPr>
          <w:rFonts w:eastAsia="Calibri" w:hint="eastAsia"/>
          <w:b/>
          <w:bCs/>
          <w:rtl/>
        </w:rPr>
        <w:t>בעניין</w:t>
      </w:r>
      <w:r w:rsidRPr="00861D72">
        <w:rPr>
          <w:rFonts w:eastAsia="Calibri"/>
          <w:b/>
          <w:bCs/>
          <w:rtl/>
        </w:rPr>
        <w:t xml:space="preserve"> "אתגרים </w:t>
      </w:r>
      <w:r w:rsidRPr="00861D72">
        <w:rPr>
          <w:rFonts w:eastAsia="Calibri" w:hint="eastAsia"/>
          <w:b/>
          <w:bCs/>
          <w:rtl/>
        </w:rPr>
        <w:t>ויעדים</w:t>
      </w:r>
      <w:r w:rsidRPr="00861D72">
        <w:rPr>
          <w:rFonts w:eastAsia="Calibri"/>
          <w:b/>
          <w:bCs/>
          <w:rtl/>
        </w:rPr>
        <w:t xml:space="preserve"> </w:t>
      </w:r>
      <w:r w:rsidRPr="00861D72">
        <w:rPr>
          <w:rFonts w:eastAsia="Calibri" w:hint="eastAsia"/>
          <w:b/>
          <w:bCs/>
          <w:rtl/>
        </w:rPr>
        <w:t>במתן</w:t>
      </w:r>
      <w:r w:rsidRPr="00861D72">
        <w:rPr>
          <w:rFonts w:eastAsia="Calibri"/>
          <w:b/>
          <w:bCs/>
          <w:rtl/>
        </w:rPr>
        <w:t xml:space="preserve"> </w:t>
      </w:r>
      <w:r w:rsidRPr="00861D72">
        <w:rPr>
          <w:rFonts w:eastAsia="Calibri" w:hint="eastAsia"/>
          <w:b/>
          <w:bCs/>
          <w:rtl/>
        </w:rPr>
        <w:t>שירות</w:t>
      </w:r>
      <w:r w:rsidRPr="00861D72">
        <w:rPr>
          <w:rFonts w:eastAsia="Calibri"/>
          <w:b/>
          <w:bCs/>
          <w:rtl/>
        </w:rPr>
        <w:t xml:space="preserve"> </w:t>
      </w:r>
      <w:r w:rsidRPr="00861D72">
        <w:rPr>
          <w:rFonts w:eastAsia="Calibri" w:hint="eastAsia"/>
          <w:b/>
          <w:bCs/>
          <w:rtl/>
        </w:rPr>
        <w:t>לבני</w:t>
      </w:r>
      <w:r w:rsidRPr="00861D72">
        <w:rPr>
          <w:rFonts w:eastAsia="Calibri"/>
          <w:b/>
          <w:bCs/>
          <w:rtl/>
        </w:rPr>
        <w:t xml:space="preserve"> </w:t>
      </w:r>
      <w:r w:rsidRPr="00861D72">
        <w:rPr>
          <w:rFonts w:eastAsia="Calibri" w:hint="eastAsia"/>
          <w:b/>
          <w:bCs/>
          <w:rtl/>
        </w:rPr>
        <w:t>הגיל</w:t>
      </w:r>
      <w:r w:rsidRPr="00861D72">
        <w:rPr>
          <w:rFonts w:eastAsia="Calibri"/>
          <w:b/>
          <w:bCs/>
          <w:rtl/>
        </w:rPr>
        <w:t xml:space="preserve"> </w:t>
      </w:r>
      <w:r w:rsidRPr="00861D72">
        <w:rPr>
          <w:rFonts w:eastAsia="Calibri" w:hint="eastAsia"/>
          <w:b/>
          <w:bCs/>
          <w:rtl/>
        </w:rPr>
        <w:t>השלישי</w:t>
      </w:r>
      <w:r w:rsidRPr="00861D72">
        <w:rPr>
          <w:rFonts w:eastAsia="Calibri"/>
          <w:b/>
          <w:bCs/>
          <w:rtl/>
        </w:rPr>
        <w:t xml:space="preserve"> - </w:t>
      </w:r>
      <w:r w:rsidRPr="00861D72">
        <w:rPr>
          <w:rFonts w:eastAsia="Calibri" w:hint="eastAsia"/>
          <w:b/>
          <w:bCs/>
          <w:rtl/>
        </w:rPr>
        <w:t>לקחים</w:t>
      </w:r>
      <w:r w:rsidRPr="00861D72">
        <w:rPr>
          <w:rFonts w:eastAsia="Calibri"/>
          <w:b/>
          <w:bCs/>
          <w:rtl/>
        </w:rPr>
        <w:t xml:space="preserve"> </w:t>
      </w:r>
      <w:r w:rsidRPr="00861D72">
        <w:rPr>
          <w:rFonts w:eastAsia="Calibri" w:hint="eastAsia"/>
          <w:b/>
          <w:bCs/>
          <w:rtl/>
        </w:rPr>
        <w:t>מבירור</w:t>
      </w:r>
      <w:r w:rsidRPr="00861D72">
        <w:rPr>
          <w:rFonts w:eastAsia="Calibri"/>
          <w:b/>
          <w:bCs/>
          <w:rtl/>
        </w:rPr>
        <w:t xml:space="preserve"> </w:t>
      </w:r>
      <w:r w:rsidRPr="00861D72">
        <w:rPr>
          <w:rFonts w:eastAsia="Calibri" w:hint="eastAsia"/>
          <w:b/>
          <w:bCs/>
          <w:rtl/>
        </w:rPr>
        <w:t>תלונות</w:t>
      </w:r>
      <w:r w:rsidRPr="00861D72">
        <w:rPr>
          <w:rFonts w:eastAsia="Calibri"/>
          <w:b/>
          <w:bCs/>
          <w:rtl/>
        </w:rPr>
        <w:t xml:space="preserve">". </w:t>
      </w:r>
      <w:r w:rsidRPr="00861D72">
        <w:rPr>
          <w:rFonts w:eastAsia="Calibri" w:hint="eastAsia"/>
          <w:b/>
          <w:bCs/>
          <w:rtl/>
        </w:rPr>
        <w:t>הדוח</w:t>
      </w:r>
      <w:r w:rsidRPr="00861D72">
        <w:rPr>
          <w:rFonts w:eastAsia="Calibri"/>
          <w:b/>
          <w:bCs/>
          <w:rtl/>
        </w:rPr>
        <w:t xml:space="preserve"> </w:t>
      </w:r>
      <w:r w:rsidRPr="00861D72">
        <w:rPr>
          <w:rFonts w:eastAsia="Calibri" w:hint="eastAsia"/>
          <w:b/>
          <w:bCs/>
          <w:rtl/>
        </w:rPr>
        <w:t>האמור</w:t>
      </w:r>
      <w:r w:rsidRPr="00861D72">
        <w:rPr>
          <w:rFonts w:eastAsia="Calibri"/>
          <w:b/>
          <w:bCs/>
          <w:rtl/>
        </w:rPr>
        <w:t xml:space="preserve"> </w:t>
      </w:r>
      <w:r w:rsidRPr="00861D72">
        <w:rPr>
          <w:rFonts w:eastAsia="Calibri" w:hint="eastAsia"/>
          <w:b/>
          <w:bCs/>
          <w:rtl/>
        </w:rPr>
        <w:t>הציג</w:t>
      </w:r>
      <w:r w:rsidRPr="00861D72">
        <w:rPr>
          <w:rFonts w:eastAsia="Calibri"/>
          <w:b/>
          <w:bCs/>
          <w:rtl/>
        </w:rPr>
        <w:t xml:space="preserve"> </w:t>
      </w:r>
      <w:r w:rsidRPr="00861D72">
        <w:rPr>
          <w:rFonts w:eastAsia="Calibri" w:hint="eastAsia"/>
          <w:b/>
          <w:bCs/>
          <w:rtl/>
        </w:rPr>
        <w:t>את</w:t>
      </w:r>
      <w:r w:rsidRPr="00861D72">
        <w:rPr>
          <w:rFonts w:eastAsia="Calibri"/>
          <w:b/>
          <w:bCs/>
          <w:rtl/>
        </w:rPr>
        <w:t xml:space="preserve"> הליך </w:t>
      </w:r>
      <w:r w:rsidRPr="00861D72">
        <w:rPr>
          <w:rFonts w:eastAsia="Calibri" w:hint="eastAsia"/>
          <w:b/>
          <w:bCs/>
          <w:rtl/>
        </w:rPr>
        <w:t>הקבלה</w:t>
      </w:r>
      <w:r w:rsidRPr="00861D72">
        <w:rPr>
          <w:rFonts w:eastAsia="Calibri"/>
          <w:b/>
          <w:bCs/>
          <w:rtl/>
        </w:rPr>
        <w:t xml:space="preserve"> </w:t>
      </w:r>
      <w:r w:rsidRPr="00861D72">
        <w:rPr>
          <w:rFonts w:eastAsia="Calibri" w:hint="eastAsia"/>
          <w:b/>
          <w:bCs/>
          <w:rtl/>
        </w:rPr>
        <w:t>של</w:t>
      </w:r>
      <w:r w:rsidRPr="00861D72">
        <w:rPr>
          <w:rFonts w:eastAsia="Calibri"/>
          <w:b/>
          <w:bCs/>
          <w:rtl/>
        </w:rPr>
        <w:t xml:space="preserve"> ת</w:t>
      </w:r>
      <w:r w:rsidRPr="00861D72">
        <w:rPr>
          <w:rFonts w:eastAsia="Calibri" w:hint="eastAsia"/>
          <w:b/>
          <w:bCs/>
          <w:rtl/>
        </w:rPr>
        <w:t>ו</w:t>
      </w:r>
      <w:r w:rsidRPr="00861D72">
        <w:rPr>
          <w:rFonts w:eastAsia="Calibri"/>
          <w:b/>
          <w:bCs/>
          <w:rtl/>
        </w:rPr>
        <w:t xml:space="preserve"> נכה כהליך שבו אין תיאום ו</w:t>
      </w:r>
      <w:r w:rsidRPr="00861D72">
        <w:rPr>
          <w:rFonts w:eastAsia="Calibri" w:hint="eastAsia"/>
          <w:b/>
          <w:bCs/>
          <w:rtl/>
        </w:rPr>
        <w:t>אין</w:t>
      </w:r>
      <w:r w:rsidRPr="00861D72">
        <w:rPr>
          <w:rFonts w:eastAsia="Calibri"/>
          <w:b/>
          <w:bCs/>
          <w:rtl/>
        </w:rPr>
        <w:t xml:space="preserve"> ממשקי מידע בין הגופים המטפלים (</w:t>
      </w:r>
      <w:r w:rsidRPr="00861D72">
        <w:rPr>
          <w:rFonts w:eastAsia="Calibri" w:hint="eastAsia"/>
          <w:b/>
          <w:bCs/>
          <w:rtl/>
        </w:rPr>
        <w:t>משרד</w:t>
      </w:r>
      <w:r w:rsidRPr="00861D72">
        <w:rPr>
          <w:rFonts w:eastAsia="Calibri"/>
          <w:b/>
          <w:bCs/>
          <w:rtl/>
        </w:rPr>
        <w:t xml:space="preserve"> </w:t>
      </w:r>
      <w:r w:rsidRPr="00861D72">
        <w:rPr>
          <w:rFonts w:eastAsia="Calibri" w:hint="eastAsia"/>
          <w:b/>
          <w:bCs/>
          <w:rtl/>
        </w:rPr>
        <w:t>ה</w:t>
      </w:r>
      <w:r w:rsidRPr="00861D72">
        <w:rPr>
          <w:rFonts w:eastAsia="Calibri"/>
          <w:b/>
          <w:bCs/>
          <w:rtl/>
        </w:rPr>
        <w:t xml:space="preserve">בריאות, </w:t>
      </w:r>
      <w:r w:rsidRPr="00861D72">
        <w:rPr>
          <w:rFonts w:eastAsia="Calibri" w:hint="eastAsia"/>
          <w:b/>
          <w:bCs/>
          <w:rtl/>
        </w:rPr>
        <w:t>משרד</w:t>
      </w:r>
      <w:r w:rsidRPr="00861D72">
        <w:rPr>
          <w:rFonts w:eastAsia="Calibri"/>
          <w:b/>
          <w:bCs/>
          <w:rtl/>
        </w:rPr>
        <w:t xml:space="preserve"> </w:t>
      </w:r>
      <w:r w:rsidRPr="00861D72">
        <w:rPr>
          <w:rFonts w:eastAsia="Calibri" w:hint="eastAsia"/>
          <w:b/>
          <w:bCs/>
          <w:rtl/>
        </w:rPr>
        <w:t>הרווחה</w:t>
      </w:r>
      <w:r w:rsidRPr="00861D72">
        <w:rPr>
          <w:rFonts w:eastAsia="Calibri"/>
          <w:b/>
          <w:bCs/>
          <w:rtl/>
        </w:rPr>
        <w:t xml:space="preserve">, </w:t>
      </w:r>
      <w:r w:rsidRPr="00861D72">
        <w:rPr>
          <w:rFonts w:eastAsia="Calibri" w:hint="eastAsia"/>
          <w:b/>
          <w:bCs/>
          <w:rtl/>
        </w:rPr>
        <w:t>בט</w:t>
      </w:r>
      <w:r w:rsidRPr="00861D72">
        <w:rPr>
          <w:rFonts w:eastAsia="Calibri"/>
          <w:b/>
          <w:bCs/>
          <w:rtl/>
        </w:rPr>
        <w:t>"ל</w:t>
      </w:r>
      <w:r w:rsidRPr="00861D72">
        <w:rPr>
          <w:rFonts w:eastAsia="Calibri"/>
          <w:b/>
          <w:bCs/>
          <w:rtl/>
        </w:rPr>
        <w:t xml:space="preserve"> </w:t>
      </w:r>
      <w:r w:rsidRPr="00861D72">
        <w:rPr>
          <w:rFonts w:eastAsia="Calibri" w:hint="eastAsia"/>
          <w:b/>
          <w:bCs/>
          <w:rtl/>
        </w:rPr>
        <w:t>ומשרד</w:t>
      </w:r>
      <w:r w:rsidRPr="00861D72">
        <w:rPr>
          <w:rFonts w:eastAsia="Calibri"/>
          <w:b/>
          <w:bCs/>
          <w:rtl/>
        </w:rPr>
        <w:t xml:space="preserve"> </w:t>
      </w:r>
      <w:r w:rsidRPr="00861D72">
        <w:rPr>
          <w:rFonts w:eastAsia="Calibri" w:hint="eastAsia"/>
          <w:b/>
          <w:bCs/>
          <w:rtl/>
        </w:rPr>
        <w:t>ה</w:t>
      </w:r>
      <w:r w:rsidRPr="00861D72">
        <w:rPr>
          <w:rFonts w:eastAsia="Calibri"/>
          <w:b/>
          <w:bCs/>
          <w:rtl/>
        </w:rPr>
        <w:t xml:space="preserve">תחבורה). כך </w:t>
      </w:r>
      <w:r w:rsidRPr="00861D72">
        <w:rPr>
          <w:rFonts w:eastAsia="Calibri" w:hint="eastAsia"/>
          <w:b/>
          <w:bCs/>
          <w:rtl/>
        </w:rPr>
        <w:t>נוצר</w:t>
      </w:r>
      <w:r w:rsidRPr="00861D72">
        <w:rPr>
          <w:rFonts w:eastAsia="Calibri"/>
          <w:b/>
          <w:bCs/>
          <w:rtl/>
        </w:rPr>
        <w:t xml:space="preserve"> </w:t>
      </w:r>
      <w:r w:rsidRPr="00861D72">
        <w:rPr>
          <w:rFonts w:eastAsia="Calibri" w:hint="eastAsia"/>
          <w:b/>
          <w:bCs/>
          <w:rtl/>
        </w:rPr>
        <w:t>מצב</w:t>
      </w:r>
      <w:r w:rsidRPr="00861D72">
        <w:rPr>
          <w:rFonts w:eastAsia="Calibri"/>
          <w:b/>
          <w:bCs/>
          <w:rtl/>
        </w:rPr>
        <w:t xml:space="preserve"> </w:t>
      </w:r>
      <w:r w:rsidRPr="00861D72">
        <w:rPr>
          <w:rFonts w:eastAsia="Calibri" w:hint="eastAsia"/>
          <w:b/>
          <w:bCs/>
          <w:rtl/>
        </w:rPr>
        <w:t>ש</w:t>
      </w:r>
      <w:r w:rsidRPr="00861D72">
        <w:rPr>
          <w:rFonts w:eastAsia="Calibri"/>
          <w:b/>
          <w:bCs/>
          <w:rtl/>
        </w:rPr>
        <w:t>אזרחים ותיקים נדרשים להוכיח שוב ושוב מוגבלות ולנווט בין נהלים סותרים, מצב ש</w:t>
      </w:r>
      <w:r w:rsidRPr="00861D72">
        <w:rPr>
          <w:rFonts w:eastAsia="Calibri" w:hint="eastAsia"/>
          <w:b/>
          <w:bCs/>
          <w:rtl/>
        </w:rPr>
        <w:t>את</w:t>
      </w:r>
      <w:r w:rsidRPr="00861D72">
        <w:rPr>
          <w:rFonts w:eastAsia="Calibri"/>
          <w:b/>
          <w:bCs/>
          <w:rtl/>
        </w:rPr>
        <w:t xml:space="preserve"> </w:t>
      </w:r>
      <w:r w:rsidRPr="00861D72">
        <w:rPr>
          <w:rFonts w:eastAsia="Calibri" w:hint="eastAsia"/>
          <w:b/>
          <w:bCs/>
          <w:rtl/>
        </w:rPr>
        <w:t>היקפו</w:t>
      </w:r>
      <w:r w:rsidRPr="00861D72">
        <w:rPr>
          <w:rFonts w:eastAsia="Calibri"/>
          <w:b/>
          <w:bCs/>
          <w:rtl/>
        </w:rPr>
        <w:t xml:space="preserve"> ניתן היה לצמצם באמצעות "אחראי" למדד התפקוד, המגדיר שיתוף נתונים ו-</w:t>
      </w:r>
      <w:r w:rsidRPr="00861D72">
        <w:rPr>
          <w:rFonts w:eastAsia="Calibri"/>
          <w:b/>
          <w:bCs/>
        </w:rPr>
        <w:t>SLA</w:t>
      </w:r>
      <w:r w:rsidRPr="00861D72">
        <w:rPr>
          <w:rFonts w:eastAsia="Calibri"/>
          <w:b/>
          <w:bCs/>
          <w:rtl/>
        </w:rPr>
        <w:t xml:space="preserve"> בין-משרדי</w:t>
      </w:r>
      <w:r>
        <w:rPr>
          <w:rFonts w:eastAsia="Calibri"/>
          <w:b/>
          <w:bCs/>
          <w:vertAlign w:val="superscript"/>
          <w:rtl/>
        </w:rPr>
        <w:footnoteReference w:id="73"/>
      </w:r>
      <w:r w:rsidRPr="00861D72">
        <w:rPr>
          <w:rFonts w:eastAsia="Calibri"/>
          <w:b/>
          <w:bCs/>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highlight w:val="yellow"/>
          <w:rtl/>
          <w:lang w:eastAsia="he-IL"/>
        </w:rPr>
      </w:pPr>
      <w:r w:rsidRPr="00861D72">
        <w:rPr>
          <w:rFonts w:eastAsia="Calibri" w:hint="cs"/>
          <w:b/>
          <w:bCs/>
          <w:rtl/>
        </w:rPr>
        <w:t xml:space="preserve">עולה אפוא כי </w:t>
      </w:r>
      <w:r w:rsidRPr="00861D72">
        <w:rPr>
          <w:rFonts w:eastAsia="Calibri"/>
          <w:b/>
          <w:bCs/>
          <w:rtl/>
        </w:rPr>
        <w:t>היעדר גורם אחראי ייעודי לכל מדד</w:t>
      </w:r>
      <w:r w:rsidRPr="00861D72">
        <w:rPr>
          <w:rFonts w:ascii="David" w:eastAsia="Times New Roman" w:hAnsi="David"/>
          <w:sz w:val="24"/>
          <w:rtl/>
          <w:lang w:eastAsia="he-IL"/>
        </w:rPr>
        <w:t xml:space="preserve"> </w:t>
      </w:r>
      <w:r w:rsidRPr="00861D72">
        <w:rPr>
          <w:rFonts w:eastAsia="Calibri"/>
          <w:b/>
          <w:bCs/>
          <w:rtl/>
        </w:rPr>
        <w:t xml:space="preserve">להזדקנות מיטבית בתחומים של בריאות, משמעות וחוסן כלכלי יוצר פגיעה מערכתית בניהול הידע ובתיאום </w:t>
      </w:r>
      <w:r w:rsidRPr="00861D72">
        <w:rPr>
          <w:rFonts w:eastAsia="Calibri" w:hint="cs"/>
          <w:b/>
          <w:bCs/>
          <w:rtl/>
        </w:rPr>
        <w:t>הבין-ארגוני, מייצר</w:t>
      </w:r>
      <w:r w:rsidRPr="00861D72">
        <w:rPr>
          <w:rFonts w:eastAsia="Calibri"/>
          <w:b/>
          <w:bCs/>
          <w:rtl/>
        </w:rPr>
        <w:t xml:space="preserve"> איסוף נתונים </w:t>
      </w:r>
      <w:r w:rsidRPr="00861D72">
        <w:rPr>
          <w:rFonts w:eastAsia="Calibri" w:hint="cs"/>
          <w:b/>
          <w:bCs/>
          <w:rtl/>
        </w:rPr>
        <w:t>כפול ש</w:t>
      </w:r>
      <w:r w:rsidRPr="00861D72">
        <w:rPr>
          <w:rFonts w:eastAsia="Calibri"/>
          <w:b/>
          <w:bCs/>
          <w:rtl/>
        </w:rPr>
        <w:t>אינו שיטתי ו</w:t>
      </w:r>
      <w:r w:rsidRPr="00861D72">
        <w:rPr>
          <w:rFonts w:eastAsia="Calibri" w:hint="cs"/>
          <w:b/>
          <w:bCs/>
          <w:rtl/>
        </w:rPr>
        <w:t xml:space="preserve">אינו </w:t>
      </w:r>
      <w:r w:rsidRPr="00861D72">
        <w:rPr>
          <w:rFonts w:eastAsia="Calibri"/>
          <w:b/>
          <w:bCs/>
          <w:rtl/>
        </w:rPr>
        <w:t>אחיד</w:t>
      </w:r>
      <w:r w:rsidRPr="00861D72">
        <w:rPr>
          <w:rFonts w:eastAsia="Calibri" w:hint="cs"/>
          <w:b/>
          <w:bCs/>
          <w:rtl/>
        </w:rPr>
        <w:t xml:space="preserve">; מקשה על </w:t>
      </w:r>
      <w:r w:rsidRPr="00861D72">
        <w:rPr>
          <w:rFonts w:eastAsia="Calibri"/>
          <w:b/>
          <w:bCs/>
          <w:rtl/>
        </w:rPr>
        <w:t>יישוג</w:t>
      </w:r>
      <w:r>
        <w:rPr>
          <w:rFonts w:eastAsia="Calibri"/>
          <w:b/>
          <w:bCs/>
          <w:vertAlign w:val="superscript"/>
          <w:rtl/>
        </w:rPr>
        <w:footnoteReference w:id="74"/>
      </w:r>
      <w:r w:rsidRPr="00861D72">
        <w:rPr>
          <w:rFonts w:eastAsia="Calibri"/>
          <w:b/>
          <w:bCs/>
          <w:rtl/>
        </w:rPr>
        <w:t xml:space="preserve"> </w:t>
      </w:r>
      <w:r w:rsidRPr="00861D72">
        <w:rPr>
          <w:rFonts w:eastAsia="Calibri" w:hint="cs"/>
          <w:b/>
          <w:bCs/>
          <w:rtl/>
        </w:rPr>
        <w:t xml:space="preserve">עקבי </w:t>
      </w:r>
      <w:r w:rsidRPr="00861D72">
        <w:rPr>
          <w:rFonts w:eastAsia="Calibri"/>
          <w:b/>
          <w:bCs/>
          <w:rtl/>
        </w:rPr>
        <w:t xml:space="preserve">לאוכלוסיות יעד </w:t>
      </w:r>
      <w:r w:rsidRPr="00861D72">
        <w:rPr>
          <w:rFonts w:eastAsia="Calibri" w:hint="cs"/>
          <w:b/>
          <w:bCs/>
          <w:rtl/>
        </w:rPr>
        <w:t>ומייצר</w:t>
      </w:r>
      <w:r w:rsidRPr="00861D72">
        <w:rPr>
          <w:rFonts w:eastAsia="Calibri"/>
          <w:b/>
          <w:bCs/>
          <w:rtl/>
        </w:rPr>
        <w:t xml:space="preserve"> בו</w:t>
      </w:r>
      <w:r w:rsidRPr="00861D72">
        <w:rPr>
          <w:rFonts w:eastAsia="Calibri" w:hint="cs"/>
          <w:b/>
          <w:bCs/>
          <w:rtl/>
        </w:rPr>
        <w:t xml:space="preserve"> </w:t>
      </w:r>
      <w:r w:rsidRPr="00861D72">
        <w:rPr>
          <w:rFonts w:eastAsia="Calibri"/>
          <w:b/>
          <w:bCs/>
          <w:rtl/>
        </w:rPr>
        <w:t>זמנית כפילויות לצד פערי שירות.</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bookmarkStart w:id="33" w:name="_Hlk231193263"/>
      <w:r w:rsidRPr="00861D72">
        <w:rPr>
          <w:rFonts w:eastAsia="Calibri" w:hint="cs"/>
          <w:rtl/>
        </w:rPr>
        <w:t>משרד</w:t>
      </w:r>
      <w:r w:rsidRPr="00861D72">
        <w:rPr>
          <w:rFonts w:eastAsia="Calibri" w:hint="cs"/>
          <w:rtl/>
          <w:lang w:eastAsia="he-IL"/>
        </w:rPr>
        <w:t xml:space="preserve"> הבריאות מסר בתשובתו ממאי 2026 (להלן - תשובת משרד הבריאות), כי הוא, </w:t>
      </w:r>
      <w:r w:rsidRPr="00861D72">
        <w:rPr>
          <w:rFonts w:ascii="David" w:eastAsia="Calibri" w:hAnsi="David"/>
          <w:sz w:val="24"/>
          <w:rtl/>
        </w:rPr>
        <w:t>בשיתוף עם ג'וינט</w:t>
      </w:r>
      <w:r w:rsidRPr="00861D72">
        <w:rPr>
          <w:rFonts w:ascii="David" w:eastAsia="Calibri" w:hAnsi="David" w:hint="cs"/>
          <w:sz w:val="24"/>
          <w:rtl/>
        </w:rPr>
        <w:t>-אשל</w:t>
      </w:r>
      <w:r>
        <w:rPr>
          <w:rFonts w:ascii="David" w:eastAsia="Calibri" w:hAnsi="David"/>
          <w:sz w:val="24"/>
          <w:vertAlign w:val="superscript"/>
          <w:rtl/>
        </w:rPr>
        <w:footnoteReference w:id="75"/>
      </w:r>
      <w:r w:rsidRPr="00861D72">
        <w:rPr>
          <w:rFonts w:ascii="David" w:eastAsia="Calibri" w:hAnsi="David"/>
          <w:sz w:val="24"/>
          <w:rtl/>
        </w:rPr>
        <w:t xml:space="preserve">, </w:t>
      </w:r>
      <w:r w:rsidRPr="00861D72">
        <w:rPr>
          <w:rFonts w:ascii="David" w:eastAsia="Calibri" w:hAnsi="David" w:hint="cs"/>
          <w:sz w:val="24"/>
          <w:rtl/>
        </w:rPr>
        <w:t>בט"ל</w:t>
      </w:r>
      <w:r w:rsidRPr="00861D72">
        <w:rPr>
          <w:rFonts w:ascii="David" w:eastAsia="Calibri" w:hAnsi="David"/>
          <w:sz w:val="24"/>
          <w:rtl/>
        </w:rPr>
        <w:t xml:space="preserve"> ומשרדים נוספים</w:t>
      </w:r>
      <w:r w:rsidRPr="00861D72">
        <w:rPr>
          <w:rFonts w:ascii="David" w:eastAsia="Calibri" w:hAnsi="David" w:hint="cs"/>
          <w:sz w:val="24"/>
          <w:rtl/>
        </w:rPr>
        <w:t>,</w:t>
      </w:r>
      <w:r w:rsidRPr="00861D72">
        <w:rPr>
          <w:rFonts w:eastAsia="Calibri" w:hint="cs"/>
          <w:rtl/>
          <w:lang w:eastAsia="he-IL"/>
        </w:rPr>
        <w:t xml:space="preserve"> בוחן פיתוח של מדד תפקוד חדש ה</w:t>
      </w:r>
      <w:r w:rsidRPr="00861D72">
        <w:rPr>
          <w:rFonts w:ascii="David" w:eastAsia="Calibri" w:hAnsi="David" w:hint="cs"/>
          <w:sz w:val="24"/>
          <w:rtl/>
        </w:rPr>
        <w:t>בוחן</w:t>
      </w:r>
      <w:r w:rsidRPr="00861D72">
        <w:rPr>
          <w:rFonts w:ascii="David" w:eastAsia="Calibri" w:hAnsi="David"/>
          <w:sz w:val="24"/>
          <w:rtl/>
        </w:rPr>
        <w:t xml:space="preserve"> רמת תפקוד והשתתפות בחברה</w:t>
      </w:r>
      <w:r w:rsidRPr="00861D72">
        <w:rPr>
          <w:rFonts w:eastAsia="Calibri" w:hint="cs"/>
          <w:rtl/>
          <w:lang w:eastAsia="he-IL"/>
        </w:rPr>
        <w:t xml:space="preserve"> ואת השימוש בו</w:t>
      </w:r>
      <w:r>
        <w:rPr>
          <w:rFonts w:eastAsia="Calibri"/>
          <w:vertAlign w:val="superscript"/>
          <w:rtl/>
          <w:lang w:eastAsia="he-IL"/>
        </w:rPr>
        <w:footnoteReference w:id="76"/>
      </w:r>
      <w:r w:rsidRPr="00861D72">
        <w:rPr>
          <w:rFonts w:ascii="David" w:eastAsia="Calibri" w:hAnsi="David"/>
          <w:sz w:val="24"/>
          <w:rtl/>
        </w:rPr>
        <w:t>. בתוך כך הגדיר משרד הבריאות כמדד</w:t>
      </w:r>
      <w:r w:rsidRPr="00861D72">
        <w:rPr>
          <w:rFonts w:ascii="David" w:eastAsia="Calibri" w:hAnsi="David" w:hint="cs"/>
          <w:sz w:val="24"/>
          <w:rtl/>
        </w:rPr>
        <w:t>-</w:t>
      </w:r>
      <w:r w:rsidRPr="00861D72">
        <w:rPr>
          <w:rFonts w:ascii="David" w:eastAsia="Calibri" w:hAnsi="David"/>
          <w:sz w:val="24"/>
          <w:rtl/>
        </w:rPr>
        <w:t xml:space="preserve">על את מדד </w:t>
      </w:r>
      <w:r w:rsidRPr="00861D72">
        <w:rPr>
          <w:rFonts w:ascii="David" w:eastAsia="Calibri" w:hAnsi="David" w:hint="cs"/>
          <w:sz w:val="24"/>
          <w:rtl/>
        </w:rPr>
        <w:t>״</w:t>
      </w:r>
      <w:r w:rsidRPr="00861D72">
        <w:rPr>
          <w:rFonts w:ascii="David" w:eastAsia="Calibri" w:hAnsi="David"/>
          <w:sz w:val="24"/>
          <w:rtl/>
        </w:rPr>
        <w:t>שנות חיים בריאים</w:t>
      </w:r>
      <w:r w:rsidRPr="00861D72">
        <w:rPr>
          <w:rFonts w:ascii="David" w:eastAsia="Calibri" w:hAnsi="David" w:hint="cs"/>
          <w:sz w:val="24"/>
          <w:rtl/>
        </w:rPr>
        <w:t>״</w:t>
      </w:r>
      <w:r w:rsidRPr="00861D72">
        <w:rPr>
          <w:rFonts w:ascii="David" w:eastAsia="Calibri" w:hAnsi="David"/>
          <w:sz w:val="24"/>
          <w:rtl/>
        </w:rPr>
        <w:t xml:space="preserve"> ופועל לקדם נושא זה</w:t>
      </w:r>
      <w:r w:rsidRPr="00861D72">
        <w:rPr>
          <w:rFonts w:ascii="David" w:eastAsia="Calibri" w:hAnsi="David" w:hint="cs"/>
          <w:sz w:val="24"/>
          <w:rtl/>
        </w:rPr>
        <w:t>. המשרד ציין כי הוא פועל לקידום הנושאים שב</w:t>
      </w:r>
      <w:r w:rsidRPr="00861D72">
        <w:rPr>
          <w:rFonts w:ascii="David" w:eastAsia="Calibri" w:hAnsi="David"/>
          <w:sz w:val="24"/>
          <w:rtl/>
        </w:rPr>
        <w:t>אחריותו, לרבות הרחבת שירותים גריאטרי</w:t>
      </w:r>
      <w:r w:rsidRPr="00861D72">
        <w:rPr>
          <w:rFonts w:ascii="David" w:eastAsia="Calibri" w:hAnsi="David" w:hint="cs"/>
          <w:sz w:val="24"/>
          <w:rtl/>
        </w:rPr>
        <w:t>י</w:t>
      </w:r>
      <w:r w:rsidRPr="00861D72">
        <w:rPr>
          <w:rFonts w:ascii="David" w:eastAsia="Calibri" w:hAnsi="David"/>
          <w:sz w:val="24"/>
          <w:rtl/>
        </w:rPr>
        <w:t xml:space="preserve">ם, מיטות ושירותי שיקום ואשפוז </w:t>
      </w:r>
      <w:r w:rsidRPr="00861D72">
        <w:rPr>
          <w:rFonts w:ascii="David" w:eastAsia="Calibri" w:hAnsi="David" w:hint="cs"/>
          <w:sz w:val="24"/>
          <w:rtl/>
        </w:rPr>
        <w:t>ו</w:t>
      </w:r>
      <w:r w:rsidRPr="00861D72">
        <w:rPr>
          <w:rFonts w:ascii="David" w:eastAsia="Calibri" w:hAnsi="David"/>
          <w:sz w:val="24"/>
          <w:rtl/>
        </w:rPr>
        <w:t>כיסוי חיסוני</w:t>
      </w:r>
      <w:r w:rsidRPr="00861D72">
        <w:rPr>
          <w:rFonts w:ascii="David" w:eastAsia="Calibri" w:hAnsi="David" w:hint="cs"/>
          <w:sz w:val="24"/>
          <w:rtl/>
        </w:rPr>
        <w:t xml:space="preserve">; וכן הוסיף כי הוא קובע יעדים מדידים. </w:t>
      </w:r>
      <w:bookmarkEnd w:id="33"/>
    </w:p>
    <w:p w:rsidR="00861D72" w:rsidRPr="00861D72" w:rsidP="00F90255">
      <w:pPr>
        <w:spacing w:line="269" w:lineRule="auto"/>
        <w:rPr>
          <w:rFonts w:eastAsia="Calibri"/>
          <w:rtl/>
        </w:rPr>
      </w:pPr>
    </w:p>
    <w:p w:rsidR="00861D72" w:rsidP="00F90255">
      <w:pPr>
        <w:spacing w:line="269" w:lineRule="auto"/>
        <w:rPr>
          <w:rFonts w:eastAsia="Calibri"/>
          <w:b/>
          <w:bCs/>
          <w:rtl/>
          <w:lang w:eastAsia="he-IL"/>
        </w:rPr>
      </w:pPr>
      <w:r w:rsidRPr="00861D72">
        <w:rPr>
          <w:rFonts w:eastAsia="Calibri" w:hint="cs"/>
          <w:b/>
          <w:bCs/>
          <w:rtl/>
          <w:lang w:eastAsia="he-IL"/>
        </w:rPr>
        <w:t>בהמשך להחלטת הממשלה מ</w:t>
      </w:r>
      <w:r w:rsidRPr="00861D72">
        <w:rPr>
          <w:rFonts w:eastAsia="Calibri" w:hint="eastAsia"/>
          <w:b/>
          <w:bCs/>
          <w:rtl/>
        </w:rPr>
        <w:t>יולי</w:t>
      </w:r>
      <w:r w:rsidRPr="00861D72">
        <w:rPr>
          <w:rFonts w:eastAsia="Calibri"/>
          <w:b/>
          <w:bCs/>
          <w:rtl/>
        </w:rPr>
        <w:t xml:space="preserve"> 2021</w:t>
      </w:r>
      <w:r w:rsidRPr="00861D72">
        <w:rPr>
          <w:rFonts w:eastAsia="Calibri" w:hint="cs"/>
          <w:b/>
          <w:bCs/>
          <w:rtl/>
        </w:rPr>
        <w:t xml:space="preserve">, </w:t>
      </w:r>
      <w:r w:rsidRPr="00861D72">
        <w:rPr>
          <w:rFonts w:eastAsia="Calibri" w:hint="eastAsia"/>
          <w:b/>
          <w:bCs/>
          <w:rtl/>
        </w:rPr>
        <w:t>שאימצה</w:t>
      </w:r>
      <w:r w:rsidRPr="00861D72">
        <w:rPr>
          <w:rFonts w:eastAsia="Calibri"/>
          <w:b/>
          <w:bCs/>
          <w:rtl/>
        </w:rPr>
        <w:t xml:space="preserve"> </w:t>
      </w:r>
      <w:r w:rsidRPr="00861D72">
        <w:rPr>
          <w:rFonts w:eastAsia="Calibri" w:hint="eastAsia"/>
          <w:b/>
          <w:bCs/>
          <w:rtl/>
        </w:rPr>
        <w:t>את</w:t>
      </w:r>
      <w:r w:rsidRPr="00861D72">
        <w:rPr>
          <w:rFonts w:eastAsia="Calibri"/>
          <w:b/>
          <w:bCs/>
          <w:rtl/>
        </w:rPr>
        <w:t xml:space="preserve"> </w:t>
      </w:r>
      <w:r w:rsidRPr="00861D72">
        <w:rPr>
          <w:rFonts w:eastAsia="Calibri" w:hint="eastAsia"/>
          <w:b/>
          <w:bCs/>
          <w:rtl/>
        </w:rPr>
        <w:t>מפת</w:t>
      </w:r>
      <w:r w:rsidRPr="00861D72">
        <w:rPr>
          <w:rFonts w:eastAsia="Calibri"/>
          <w:b/>
          <w:bCs/>
          <w:rtl/>
        </w:rPr>
        <w:t xml:space="preserve"> </w:t>
      </w:r>
      <w:r w:rsidRPr="00861D72">
        <w:rPr>
          <w:rFonts w:eastAsia="Calibri" w:hint="eastAsia"/>
          <w:b/>
          <w:bCs/>
          <w:rtl/>
        </w:rPr>
        <w:t>המדדים</w:t>
      </w:r>
      <w:r w:rsidRPr="00861D72">
        <w:rPr>
          <w:rFonts w:eastAsia="Calibri"/>
          <w:b/>
          <w:bCs/>
          <w:rtl/>
        </w:rPr>
        <w:t>,</w:t>
      </w:r>
      <w:r w:rsidRPr="00861D72">
        <w:rPr>
          <w:rFonts w:eastAsia="Calibri" w:hint="cs"/>
          <w:rtl/>
        </w:rPr>
        <w:t xml:space="preserve"> </w:t>
      </w:r>
      <w:r w:rsidRPr="00861D72">
        <w:rPr>
          <w:rFonts w:eastAsia="Calibri" w:hint="cs"/>
          <w:b/>
          <w:bCs/>
          <w:rtl/>
          <w:lang w:eastAsia="he-IL"/>
        </w:rPr>
        <w:t xml:space="preserve">מומלץ כי </w:t>
      </w:r>
      <w:r w:rsidRPr="00861D72">
        <w:rPr>
          <w:rFonts w:eastAsia="Calibri" w:hint="cs"/>
          <w:b/>
          <w:bCs/>
          <w:rtl/>
        </w:rPr>
        <w:t xml:space="preserve">צוות העבודה המשותף שגיבש את מפת המדדים וכלל נציגים מגופי הממשל העוסקים בתחום ההזדקנות, ובהם משרד </w:t>
      </w:r>
      <w:r w:rsidRPr="00861D72">
        <w:rPr>
          <w:rFonts w:eastAsia="Calibri" w:hint="cs"/>
          <w:b/>
          <w:bCs/>
          <w:rtl/>
        </w:rPr>
        <w:t>רה"ם</w:t>
      </w:r>
      <w:r w:rsidRPr="00861D72">
        <w:rPr>
          <w:rFonts w:eastAsia="Calibri" w:hint="cs"/>
          <w:b/>
          <w:bCs/>
          <w:rtl/>
        </w:rPr>
        <w:t xml:space="preserve">, המשרד לשוויון חברתי, משרד הבריאות, משרד הרווחה </w:t>
      </w:r>
      <w:r w:rsidRPr="00861D72">
        <w:rPr>
          <w:rFonts w:eastAsia="Calibri" w:hint="cs"/>
          <w:b/>
          <w:bCs/>
          <w:rtl/>
        </w:rPr>
        <w:t>ובט"ל</w:t>
      </w:r>
      <w:r w:rsidRPr="00861D72">
        <w:rPr>
          <w:rFonts w:eastAsia="Calibri" w:hint="cs"/>
          <w:b/>
          <w:bCs/>
          <w:rtl/>
        </w:rPr>
        <w:t xml:space="preserve">, </w:t>
      </w:r>
      <w:r w:rsidRPr="00861D72">
        <w:rPr>
          <w:rFonts w:eastAsia="Calibri" w:hint="cs"/>
          <w:b/>
          <w:bCs/>
          <w:rtl/>
          <w:lang w:eastAsia="he-IL"/>
        </w:rPr>
        <w:t xml:space="preserve">ימפה את כלל הגופים הפועלים בכל מדד ויבחן את הצורך בקביעת גורם </w:t>
      </w:r>
      <w:r w:rsidRPr="00861D72">
        <w:rPr>
          <w:rFonts w:eastAsia="Times New Roman" w:hint="cs"/>
          <w:bCs/>
          <w:sz w:val="24"/>
          <w:rtl/>
        </w:rPr>
        <w:t xml:space="preserve">שיהיה אחראי לכל אחד מהמדדים במפה, </w:t>
      </w:r>
      <w:r w:rsidRPr="00861D72">
        <w:rPr>
          <w:rFonts w:eastAsia="Calibri" w:hint="cs"/>
          <w:b/>
          <w:bCs/>
          <w:rtl/>
        </w:rPr>
        <w:t>ובהתאם יגבש המלצה לממשלה</w:t>
      </w:r>
      <w:r w:rsidRPr="00861D72">
        <w:rPr>
          <w:rFonts w:eastAsia="Calibri" w:hint="cs"/>
          <w:b/>
          <w:bCs/>
          <w:rtl/>
          <w:lang w:eastAsia="he-IL"/>
        </w:rPr>
        <w:t xml:space="preserve">. עוד </w:t>
      </w:r>
      <w:r w:rsidRPr="00861D72">
        <w:rPr>
          <w:rFonts w:eastAsia="Calibri"/>
          <w:b/>
          <w:bCs/>
          <w:rtl/>
          <w:lang w:eastAsia="he-IL"/>
        </w:rPr>
        <w:t xml:space="preserve">מומלץ </w:t>
      </w:r>
      <w:r w:rsidRPr="00861D72">
        <w:rPr>
          <w:rFonts w:eastAsia="Calibri" w:hint="cs"/>
          <w:b/>
          <w:bCs/>
          <w:rtl/>
          <w:lang w:eastAsia="he-IL"/>
        </w:rPr>
        <w:t xml:space="preserve">כי הצוות יגדיר את תפקידו של הגוף האחראי כדי </w:t>
      </w:r>
      <w:r w:rsidRPr="00861D72">
        <w:rPr>
          <w:rFonts w:eastAsia="Calibri"/>
          <w:b/>
          <w:bCs/>
          <w:rtl/>
          <w:lang w:eastAsia="he-IL"/>
        </w:rPr>
        <w:t>להבטיח תיאום, חלוקת תפקידים ברורה ויכולת בקרה והערכה אפקטיבית.</w:t>
      </w:r>
      <w:r w:rsidRPr="00861D72">
        <w:rPr>
          <w:rFonts w:eastAsia="Calibri" w:hint="cs"/>
          <w:b/>
          <w:bCs/>
          <w:rtl/>
          <w:lang w:eastAsia="he-IL"/>
        </w:rPr>
        <w:t xml:space="preserve"> </w:t>
      </w:r>
    </w:p>
    <w:p w:rsidR="005167AC" w:rsidRPr="00861D72" w:rsidP="00F90255">
      <w:pPr>
        <w:spacing w:line="269" w:lineRule="auto"/>
        <w:rPr>
          <w:rFonts w:eastAsia="Calibri"/>
          <w:b/>
          <w:bCs/>
          <w:rtl/>
          <w:lang w:eastAsia="he-IL"/>
        </w:rPr>
      </w:pPr>
    </w:p>
    <w:p w:rsidR="00861D72" w:rsidRPr="00861D72" w:rsidP="00F90255">
      <w:pPr>
        <w:keepNext/>
        <w:keepLines/>
        <w:spacing w:line="269" w:lineRule="auto"/>
        <w:outlineLvl w:val="4"/>
        <w:rPr>
          <w:rFonts w:eastAsia="Times New Roman"/>
          <w:bCs/>
          <w:spacing w:val="40"/>
          <w:rtl/>
          <w:lang w:eastAsia="he-IL"/>
        </w:rPr>
      </w:pPr>
      <w:r w:rsidRPr="00861D72">
        <w:rPr>
          <w:rFonts w:eastAsia="Times New Roman" w:hint="cs"/>
          <w:bCs/>
          <w:spacing w:val="40"/>
          <w:rtl/>
          <w:lang w:eastAsia="he-IL"/>
        </w:rPr>
        <w:t>הצבת יעדים למדדי מפת המדדים</w:t>
      </w:r>
    </w:p>
    <w:p w:rsidR="00861D72" w:rsidRPr="007126FE" w:rsidP="00F90255">
      <w:pPr>
        <w:spacing w:line="269" w:lineRule="auto"/>
        <w:rPr>
          <w:rFonts w:eastAsia="Calibri"/>
          <w:rtl/>
        </w:rPr>
      </w:pPr>
      <w:bookmarkStart w:id="34" w:name="_Hlk209116119"/>
    </w:p>
    <w:p w:rsidR="00861D72" w:rsidRPr="00861D72" w:rsidP="00F90255">
      <w:pPr>
        <w:spacing w:line="269" w:lineRule="auto"/>
        <w:rPr>
          <w:rFonts w:eastAsia="Calibri"/>
          <w:rtl/>
        </w:rPr>
      </w:pPr>
      <w:r w:rsidRPr="00861D72">
        <w:rPr>
          <w:rFonts w:eastAsia="Calibri"/>
          <w:rtl/>
        </w:rPr>
        <w:t xml:space="preserve">תכנון אסטרטגי ארוך טווח </w:t>
      </w:r>
      <w:r w:rsidRPr="00861D72">
        <w:rPr>
          <w:rFonts w:eastAsia="Calibri" w:hint="cs"/>
          <w:rtl/>
        </w:rPr>
        <w:t>כולל</w:t>
      </w:r>
      <w:r w:rsidRPr="00861D72">
        <w:rPr>
          <w:rFonts w:eastAsia="Calibri"/>
          <w:rtl/>
        </w:rPr>
        <w:t xml:space="preserve"> התקדמות בשלבים סדורים: מיפוי וניתוח של הסביבה, קביעת מטרות ויעדים, גיבוש כיווני פעולה, יישום התוכנית ובסופו של דבר - מדידה והערכה של תוצאותיה</w:t>
      </w:r>
      <w:r w:rsidRPr="00861D72">
        <w:rPr>
          <w:rFonts w:eastAsia="Calibri" w:hint="cs"/>
          <w:rtl/>
        </w:rPr>
        <w:t xml:space="preserve">. </w:t>
      </w:r>
      <w:r w:rsidRPr="00861D72">
        <w:rPr>
          <w:rFonts w:ascii="David" w:eastAsia="Times New Roman" w:hAnsi="David"/>
          <w:sz w:val="24"/>
          <w:rtl/>
          <w:lang w:eastAsia="he-IL"/>
        </w:rPr>
        <w:t>הצבת יעדים מדידים היא תנאי הכרחי לתכנון אפקטיבי של מדיניות ציבורית ולהקצאת משאבים מושכלת.</w:t>
      </w:r>
      <w:r w:rsidRPr="00861D72">
        <w:rPr>
          <w:rFonts w:ascii="David" w:eastAsia="Times New Roman" w:hAnsi="David" w:hint="cs"/>
          <w:sz w:val="24"/>
          <w:rtl/>
          <w:lang w:eastAsia="he-IL"/>
        </w:rPr>
        <w:t xml:space="preserve"> </w:t>
      </w:r>
      <w:r w:rsidRPr="00861D72">
        <w:rPr>
          <w:rFonts w:ascii="David" w:eastAsia="Times New Roman" w:hAnsi="David"/>
          <w:sz w:val="24"/>
          <w:rtl/>
          <w:lang w:eastAsia="he-IL"/>
        </w:rPr>
        <w:t xml:space="preserve">ללא יעדים ברורים </w:t>
      </w:r>
      <w:r w:rsidRPr="00861D72">
        <w:rPr>
          <w:rFonts w:ascii="David" w:eastAsia="Times New Roman" w:hAnsi="David" w:hint="cs"/>
          <w:sz w:val="24"/>
          <w:rtl/>
          <w:lang w:eastAsia="he-IL"/>
        </w:rPr>
        <w:t>אי אפשר</w:t>
      </w:r>
      <w:r w:rsidRPr="00861D72">
        <w:rPr>
          <w:rFonts w:ascii="David" w:eastAsia="Times New Roman" w:hAnsi="David"/>
          <w:sz w:val="24"/>
          <w:rtl/>
          <w:lang w:eastAsia="he-IL"/>
        </w:rPr>
        <w:t xml:space="preserve"> להעריך אם </w:t>
      </w:r>
      <w:r w:rsidRPr="00861D72">
        <w:rPr>
          <w:rFonts w:ascii="David" w:eastAsia="Times New Roman" w:hAnsi="David" w:hint="cs"/>
          <w:sz w:val="24"/>
          <w:rtl/>
          <w:lang w:eastAsia="he-IL"/>
        </w:rPr>
        <w:t>ה</w:t>
      </w:r>
      <w:r w:rsidRPr="00861D72">
        <w:rPr>
          <w:rFonts w:ascii="David" w:eastAsia="Times New Roman" w:hAnsi="David"/>
          <w:sz w:val="24"/>
          <w:rtl/>
          <w:lang w:eastAsia="he-IL"/>
        </w:rPr>
        <w:t>התקדמות אכן משקפת שיפור, וכיצד היא עומדת ביחס לתחזיות או ליעדים בי</w:t>
      </w:r>
      <w:r w:rsidRPr="00861D72">
        <w:rPr>
          <w:rFonts w:ascii="David" w:eastAsia="Times New Roman" w:hAnsi="David" w:hint="cs"/>
          <w:sz w:val="24"/>
          <w:rtl/>
          <w:lang w:eastAsia="he-IL"/>
        </w:rPr>
        <w:t>ן-</w:t>
      </w:r>
      <w:r w:rsidRPr="00861D72">
        <w:rPr>
          <w:rFonts w:ascii="David" w:eastAsia="Times New Roman" w:hAnsi="David"/>
          <w:sz w:val="24"/>
          <w:rtl/>
          <w:lang w:eastAsia="he-IL"/>
        </w:rPr>
        <w:t>לאומיים</w:t>
      </w:r>
      <w:r>
        <w:rPr>
          <w:rFonts w:ascii="David" w:eastAsia="Times New Roman" w:hAnsi="David"/>
          <w:sz w:val="24"/>
          <w:vertAlign w:val="superscript"/>
          <w:rtl/>
          <w:lang w:eastAsia="he-IL"/>
        </w:rPr>
        <w:footnoteReference w:id="77"/>
      </w:r>
      <w:r w:rsidRPr="00861D72">
        <w:rPr>
          <w:rFonts w:ascii="David" w:eastAsia="Times New Roman" w:hAnsi="David"/>
          <w:sz w:val="24"/>
          <w:rtl/>
          <w:lang w:eastAsia="he-IL"/>
        </w:rPr>
        <w:t>.</w:t>
      </w:r>
    </w:p>
    <w:p w:rsidR="00861D72" w:rsidRPr="007126FE" w:rsidP="00F90255">
      <w:pPr>
        <w:spacing w:line="269" w:lineRule="auto"/>
        <w:rPr>
          <w:rFonts w:eastAsia="Calibri"/>
          <w:rtl/>
        </w:rPr>
      </w:pPr>
    </w:p>
    <w:p w:rsidR="00861D72" w:rsidRPr="00861D72" w:rsidP="00F90255">
      <w:pPr>
        <w:spacing w:line="269" w:lineRule="auto"/>
        <w:rPr>
          <w:rFonts w:ascii="David" w:eastAsia="Calibri" w:hAnsi="David"/>
          <w:b/>
          <w:bCs/>
          <w:rtl/>
          <w:lang w:eastAsia="he-IL"/>
        </w:rPr>
      </w:pPr>
      <w:bookmarkStart w:id="35" w:name="_Hlk212389273"/>
      <w:r w:rsidRPr="00861D72">
        <w:rPr>
          <w:rFonts w:ascii="David" w:eastAsia="Calibri" w:hAnsi="David" w:hint="eastAsia"/>
          <w:b/>
          <w:bCs/>
          <w:rtl/>
          <w:lang w:eastAsia="he-IL"/>
        </w:rPr>
        <w:t>על</w:t>
      </w:r>
      <w:r w:rsidRPr="00861D72">
        <w:rPr>
          <w:rFonts w:ascii="David" w:eastAsia="Calibri" w:hAnsi="David"/>
          <w:b/>
          <w:bCs/>
          <w:rtl/>
          <w:lang w:eastAsia="he-IL"/>
        </w:rPr>
        <w:t xml:space="preserve"> </w:t>
      </w:r>
      <w:r w:rsidRPr="00861D72">
        <w:rPr>
          <w:rFonts w:eastAsia="Calibri" w:hint="eastAsia"/>
          <w:b/>
          <w:bCs/>
          <w:rtl/>
        </w:rPr>
        <w:t>פי</w:t>
      </w:r>
      <w:r w:rsidRPr="00861D72">
        <w:rPr>
          <w:rFonts w:ascii="David" w:eastAsia="Calibri" w:hAnsi="David"/>
          <w:b/>
          <w:bCs/>
          <w:rtl/>
          <w:lang w:eastAsia="he-IL"/>
        </w:rPr>
        <w:t xml:space="preserve"> עיקרון זה, </w:t>
      </w:r>
      <w:r w:rsidRPr="00861D72">
        <w:rPr>
          <w:rFonts w:ascii="David" w:eastAsia="Calibri" w:hAnsi="David"/>
          <w:b/>
          <w:bCs/>
          <w:rtl/>
          <w:lang w:eastAsia="he-IL"/>
        </w:rPr>
        <w:t>תוכניות</w:t>
      </w:r>
      <w:r w:rsidRPr="00861D72">
        <w:rPr>
          <w:rFonts w:ascii="David" w:eastAsia="Calibri" w:hAnsi="David"/>
          <w:b/>
          <w:bCs/>
          <w:rtl/>
          <w:lang w:eastAsia="he-IL"/>
        </w:rPr>
        <w:t xml:space="preserve"> אסטרטגיות שונות מגדירות יעדים. כך לדוגמה, </w:t>
      </w:r>
      <w:r w:rsidRPr="00861D72">
        <w:rPr>
          <w:rFonts w:eastAsia="Calibri" w:hint="eastAsia"/>
          <w:b/>
          <w:bCs/>
          <w:rtl/>
        </w:rPr>
        <w:t>החלטת</w:t>
      </w:r>
      <w:r w:rsidRPr="00861D72">
        <w:rPr>
          <w:rFonts w:eastAsia="Calibri"/>
          <w:b/>
          <w:bCs/>
          <w:rtl/>
        </w:rPr>
        <w:t xml:space="preserve"> </w:t>
      </w:r>
      <w:r w:rsidRPr="00861D72">
        <w:rPr>
          <w:rFonts w:eastAsia="Calibri" w:hint="eastAsia"/>
          <w:b/>
          <w:bCs/>
          <w:rtl/>
        </w:rPr>
        <w:t>ה</w:t>
      </w:r>
      <w:r w:rsidRPr="00861D72">
        <w:rPr>
          <w:rFonts w:eastAsia="Calibri"/>
          <w:b/>
          <w:bCs/>
          <w:rtl/>
        </w:rPr>
        <w:t xml:space="preserve">ממשלה 198, "התכנית הכלכלית לשנים 2021 - 2022" </w:t>
      </w:r>
      <w:r w:rsidRPr="00861D72">
        <w:rPr>
          <w:rFonts w:eastAsia="Calibri" w:hint="eastAsia"/>
          <w:b/>
          <w:bCs/>
          <w:rtl/>
        </w:rPr>
        <w:t>קבעה</w:t>
      </w:r>
      <w:r w:rsidRPr="00861D72">
        <w:rPr>
          <w:rFonts w:eastAsia="Calibri"/>
          <w:b/>
          <w:bCs/>
          <w:rtl/>
        </w:rPr>
        <w:t xml:space="preserve"> יעדים עם תוצאות מספרי</w:t>
      </w:r>
      <w:r w:rsidRPr="00861D72">
        <w:rPr>
          <w:rFonts w:eastAsia="Calibri" w:hint="eastAsia"/>
          <w:b/>
          <w:bCs/>
          <w:rtl/>
        </w:rPr>
        <w:t>ות</w:t>
      </w:r>
      <w:r w:rsidRPr="00861D72">
        <w:rPr>
          <w:rFonts w:eastAsia="Calibri"/>
          <w:b/>
          <w:bCs/>
          <w:rtl/>
        </w:rPr>
        <w:t xml:space="preserve"> לתעסוק</w:t>
      </w:r>
      <w:r w:rsidRPr="00861D72">
        <w:rPr>
          <w:rFonts w:eastAsia="Calibri" w:hint="eastAsia"/>
          <w:b/>
          <w:bCs/>
          <w:rtl/>
        </w:rPr>
        <w:t>ה</w:t>
      </w:r>
      <w:r w:rsidRPr="00861D72">
        <w:rPr>
          <w:rFonts w:eastAsia="Calibri"/>
          <w:b/>
          <w:bCs/>
          <w:rtl/>
        </w:rPr>
        <w:t xml:space="preserve"> </w:t>
      </w:r>
      <w:r w:rsidRPr="00861D72">
        <w:rPr>
          <w:rFonts w:eastAsia="Calibri" w:hint="eastAsia"/>
          <w:b/>
          <w:bCs/>
          <w:rtl/>
        </w:rPr>
        <w:t>של</w:t>
      </w:r>
      <w:r w:rsidRPr="00861D72">
        <w:rPr>
          <w:rFonts w:eastAsia="Calibri"/>
          <w:b/>
          <w:bCs/>
          <w:rtl/>
        </w:rPr>
        <w:t xml:space="preserve"> </w:t>
      </w:r>
      <w:r w:rsidRPr="00861D72">
        <w:rPr>
          <w:rFonts w:eastAsia="Calibri" w:hint="eastAsia"/>
          <w:b/>
          <w:bCs/>
          <w:rtl/>
        </w:rPr>
        <w:t>אוכלוסיות</w:t>
      </w:r>
      <w:r w:rsidRPr="00861D72">
        <w:rPr>
          <w:rFonts w:eastAsia="Calibri"/>
          <w:b/>
          <w:bCs/>
          <w:rtl/>
        </w:rPr>
        <w:t xml:space="preserve"> </w:t>
      </w:r>
      <w:r w:rsidRPr="00861D72">
        <w:rPr>
          <w:rFonts w:eastAsia="Calibri" w:hint="eastAsia"/>
          <w:b/>
          <w:bCs/>
          <w:rtl/>
        </w:rPr>
        <w:t>שונות</w:t>
      </w:r>
      <w:r w:rsidRPr="00861D72">
        <w:rPr>
          <w:rFonts w:eastAsia="Calibri"/>
          <w:b/>
          <w:bCs/>
          <w:rtl/>
        </w:rPr>
        <w:t xml:space="preserve">, </w:t>
      </w:r>
      <w:r w:rsidRPr="00861D72">
        <w:rPr>
          <w:rFonts w:eastAsia="Calibri" w:hint="eastAsia"/>
          <w:b/>
          <w:bCs/>
          <w:rtl/>
        </w:rPr>
        <w:t>ובהן</w:t>
      </w:r>
      <w:r w:rsidRPr="00861D72">
        <w:rPr>
          <w:rFonts w:eastAsia="Calibri"/>
          <w:b/>
          <w:bCs/>
          <w:rtl/>
        </w:rPr>
        <w:t xml:space="preserve"> </w:t>
      </w:r>
      <w:r w:rsidRPr="00861D72">
        <w:rPr>
          <w:rFonts w:eastAsia="Calibri" w:hint="eastAsia"/>
          <w:b/>
          <w:bCs/>
          <w:rtl/>
        </w:rPr>
        <w:t>גם</w:t>
      </w:r>
      <w:r w:rsidRPr="00861D72">
        <w:rPr>
          <w:rFonts w:eastAsia="Calibri"/>
          <w:b/>
          <w:bCs/>
          <w:rtl/>
        </w:rPr>
        <w:t xml:space="preserve"> </w:t>
      </w:r>
      <w:r w:rsidRPr="00861D72">
        <w:rPr>
          <w:rFonts w:eastAsia="Calibri" w:hint="eastAsia"/>
          <w:b/>
          <w:bCs/>
          <w:rtl/>
        </w:rPr>
        <w:t>אוכלוסיית</w:t>
      </w:r>
      <w:r w:rsidRPr="00861D72">
        <w:rPr>
          <w:rFonts w:eastAsia="Calibri"/>
          <w:b/>
          <w:bCs/>
          <w:rtl/>
        </w:rPr>
        <w:t xml:space="preserve"> אזרחים ותיקים לאחר פרישה</w:t>
      </w:r>
      <w:r>
        <w:rPr>
          <w:rFonts w:eastAsia="Calibri"/>
          <w:b/>
          <w:bCs/>
          <w:vertAlign w:val="superscript"/>
          <w:rtl/>
        </w:rPr>
        <w:footnoteReference w:id="78"/>
      </w:r>
      <w:r w:rsidRPr="00861D72">
        <w:rPr>
          <w:rFonts w:eastAsia="Calibri"/>
          <w:b/>
          <w:bCs/>
          <w:rtl/>
        </w:rPr>
        <w:t xml:space="preserve">. </w:t>
      </w:r>
      <w:r w:rsidRPr="00861D72">
        <w:rPr>
          <w:rFonts w:ascii="David" w:eastAsia="Calibri" w:hAnsi="David" w:hint="eastAsia"/>
          <w:b/>
          <w:bCs/>
          <w:rtl/>
          <w:lang w:eastAsia="he-IL"/>
        </w:rPr>
        <w:t>החלטת</w:t>
      </w:r>
      <w:r w:rsidRPr="00861D72">
        <w:rPr>
          <w:rFonts w:ascii="David" w:eastAsia="Calibri" w:hAnsi="David"/>
          <w:b/>
          <w:bCs/>
          <w:rtl/>
          <w:lang w:eastAsia="he-IL"/>
        </w:rPr>
        <w:t xml:space="preserve"> </w:t>
      </w:r>
      <w:r w:rsidRPr="00861D72">
        <w:rPr>
          <w:rFonts w:ascii="David" w:eastAsia="Calibri" w:hAnsi="David" w:hint="eastAsia"/>
          <w:b/>
          <w:bCs/>
          <w:rtl/>
          <w:lang w:eastAsia="he-IL"/>
        </w:rPr>
        <w:t>הממשלה</w:t>
      </w:r>
      <w:r w:rsidRPr="00861D72">
        <w:rPr>
          <w:rFonts w:ascii="David" w:eastAsia="Calibri" w:hAnsi="David"/>
          <w:b/>
          <w:bCs/>
          <w:rtl/>
          <w:lang w:eastAsia="he-IL"/>
        </w:rPr>
        <w:t xml:space="preserve"> 550, "התוכנית </w:t>
      </w:r>
      <w:r w:rsidRPr="00861D72">
        <w:rPr>
          <w:rFonts w:ascii="David" w:eastAsia="Calibri" w:hAnsi="David" w:hint="eastAsia"/>
          <w:b/>
          <w:bCs/>
          <w:rtl/>
          <w:lang w:eastAsia="he-IL"/>
        </w:rPr>
        <w:t>הכלכלית</w:t>
      </w:r>
      <w:r w:rsidRPr="00861D72">
        <w:rPr>
          <w:rFonts w:ascii="David" w:eastAsia="Calibri" w:hAnsi="David"/>
          <w:b/>
          <w:bCs/>
          <w:rtl/>
          <w:lang w:eastAsia="he-IL"/>
        </w:rPr>
        <w:t xml:space="preserve"> </w:t>
      </w:r>
      <w:r w:rsidRPr="00861D72">
        <w:rPr>
          <w:rFonts w:ascii="David" w:eastAsia="Calibri" w:hAnsi="David" w:hint="eastAsia"/>
          <w:b/>
          <w:bCs/>
          <w:rtl/>
          <w:lang w:eastAsia="he-IL"/>
        </w:rPr>
        <w:t>לצמצום</w:t>
      </w:r>
      <w:r w:rsidRPr="00861D72">
        <w:rPr>
          <w:rFonts w:ascii="David" w:eastAsia="Calibri" w:hAnsi="David"/>
          <w:b/>
          <w:bCs/>
          <w:rtl/>
          <w:lang w:eastAsia="he-IL"/>
        </w:rPr>
        <w:t xml:space="preserve"> </w:t>
      </w:r>
      <w:r w:rsidRPr="00861D72">
        <w:rPr>
          <w:rFonts w:ascii="David" w:eastAsia="Calibri" w:hAnsi="David" w:hint="eastAsia"/>
          <w:b/>
          <w:bCs/>
          <w:rtl/>
          <w:lang w:eastAsia="he-IL"/>
        </w:rPr>
        <w:t>פערים</w:t>
      </w:r>
      <w:r w:rsidRPr="00861D72">
        <w:rPr>
          <w:rFonts w:ascii="David" w:eastAsia="Calibri" w:hAnsi="David"/>
          <w:b/>
          <w:bCs/>
          <w:rtl/>
          <w:lang w:eastAsia="he-IL"/>
        </w:rPr>
        <w:t xml:space="preserve"> </w:t>
      </w:r>
      <w:r w:rsidRPr="00861D72">
        <w:rPr>
          <w:rFonts w:ascii="David" w:eastAsia="Calibri" w:hAnsi="David" w:hint="eastAsia"/>
          <w:b/>
          <w:bCs/>
          <w:rtl/>
          <w:lang w:eastAsia="he-IL"/>
        </w:rPr>
        <w:t>בחברה</w:t>
      </w:r>
      <w:r w:rsidRPr="00861D72">
        <w:rPr>
          <w:rFonts w:ascii="David" w:eastAsia="Calibri" w:hAnsi="David"/>
          <w:b/>
          <w:bCs/>
          <w:rtl/>
          <w:lang w:eastAsia="he-IL"/>
        </w:rPr>
        <w:t xml:space="preserve"> </w:t>
      </w:r>
      <w:r w:rsidRPr="00861D72">
        <w:rPr>
          <w:rFonts w:ascii="David" w:eastAsia="Calibri" w:hAnsi="David" w:hint="eastAsia"/>
          <w:b/>
          <w:bCs/>
          <w:rtl/>
          <w:lang w:eastAsia="he-IL"/>
        </w:rPr>
        <w:t>הערבית</w:t>
      </w:r>
      <w:r w:rsidRPr="00861D72">
        <w:rPr>
          <w:rFonts w:ascii="David" w:eastAsia="Calibri" w:hAnsi="David"/>
          <w:b/>
          <w:bCs/>
          <w:rtl/>
          <w:lang w:eastAsia="he-IL"/>
        </w:rPr>
        <w:t xml:space="preserve"> </w:t>
      </w:r>
      <w:r w:rsidRPr="00861D72">
        <w:rPr>
          <w:rFonts w:ascii="David" w:eastAsia="Calibri" w:hAnsi="David" w:hint="eastAsia"/>
          <w:b/>
          <w:bCs/>
          <w:rtl/>
          <w:lang w:eastAsia="he-IL"/>
        </w:rPr>
        <w:t>עד</w:t>
      </w:r>
      <w:r w:rsidRPr="00861D72">
        <w:rPr>
          <w:rFonts w:ascii="David" w:eastAsia="Calibri" w:hAnsi="David"/>
          <w:b/>
          <w:bCs/>
          <w:rtl/>
          <w:lang w:eastAsia="he-IL"/>
        </w:rPr>
        <w:t xml:space="preserve"> </w:t>
      </w:r>
      <w:r w:rsidRPr="00861D72">
        <w:rPr>
          <w:rFonts w:ascii="David" w:eastAsia="Calibri" w:hAnsi="David" w:hint="eastAsia"/>
          <w:b/>
          <w:bCs/>
          <w:rtl/>
          <w:lang w:eastAsia="he-IL"/>
        </w:rPr>
        <w:t>לשנת</w:t>
      </w:r>
      <w:r w:rsidRPr="00861D72">
        <w:rPr>
          <w:rFonts w:ascii="David" w:eastAsia="Calibri" w:hAnsi="David"/>
          <w:b/>
          <w:bCs/>
          <w:rtl/>
          <w:lang w:eastAsia="he-IL"/>
        </w:rPr>
        <w:t xml:space="preserve"> 2026" </w:t>
      </w:r>
      <w:r w:rsidRPr="00861D72">
        <w:rPr>
          <w:rFonts w:ascii="David" w:eastAsia="Calibri" w:hAnsi="David" w:hint="eastAsia"/>
          <w:b/>
          <w:bCs/>
          <w:rtl/>
          <w:lang w:eastAsia="he-IL"/>
        </w:rPr>
        <w:t>הגדירה</w:t>
      </w:r>
      <w:r w:rsidRPr="00861D72">
        <w:rPr>
          <w:rFonts w:ascii="David" w:eastAsia="Calibri" w:hAnsi="David"/>
          <w:b/>
          <w:bCs/>
          <w:rtl/>
          <w:lang w:eastAsia="he-IL"/>
        </w:rPr>
        <w:t xml:space="preserve"> </w:t>
      </w:r>
      <w:r w:rsidRPr="00861D72">
        <w:rPr>
          <w:rFonts w:ascii="David" w:eastAsia="Calibri" w:hAnsi="David" w:hint="eastAsia"/>
          <w:b/>
          <w:bCs/>
          <w:rtl/>
          <w:lang w:eastAsia="he-IL"/>
        </w:rPr>
        <w:t>גם</w:t>
      </w:r>
      <w:r w:rsidRPr="00861D72">
        <w:rPr>
          <w:rFonts w:ascii="David" w:eastAsia="Calibri" w:hAnsi="David"/>
          <w:b/>
          <w:bCs/>
          <w:rtl/>
          <w:lang w:eastAsia="he-IL"/>
        </w:rPr>
        <w:t xml:space="preserve"> </w:t>
      </w:r>
      <w:r w:rsidRPr="00861D72">
        <w:rPr>
          <w:rFonts w:ascii="David" w:eastAsia="Calibri" w:hAnsi="David" w:hint="eastAsia"/>
          <w:b/>
          <w:bCs/>
          <w:rtl/>
          <w:lang w:eastAsia="he-IL"/>
        </w:rPr>
        <w:t>היא</w:t>
      </w:r>
      <w:r w:rsidRPr="00861D72">
        <w:rPr>
          <w:rFonts w:ascii="David" w:eastAsia="Calibri" w:hAnsi="David"/>
          <w:b/>
          <w:bCs/>
          <w:rtl/>
          <w:lang w:eastAsia="he-IL"/>
        </w:rPr>
        <w:t xml:space="preserve"> </w:t>
      </w:r>
      <w:r w:rsidRPr="00861D72">
        <w:rPr>
          <w:rFonts w:ascii="David" w:eastAsia="Calibri" w:hAnsi="David" w:hint="eastAsia"/>
          <w:b/>
          <w:bCs/>
          <w:rtl/>
          <w:lang w:eastAsia="he-IL"/>
        </w:rPr>
        <w:t>יעדים</w:t>
      </w:r>
      <w:r w:rsidRPr="00861D72">
        <w:rPr>
          <w:rFonts w:ascii="David" w:eastAsia="Calibri" w:hAnsi="David"/>
          <w:b/>
          <w:bCs/>
          <w:rtl/>
          <w:lang w:eastAsia="he-IL"/>
        </w:rPr>
        <w:t xml:space="preserve"> </w:t>
      </w:r>
      <w:r w:rsidRPr="00861D72">
        <w:rPr>
          <w:rFonts w:ascii="David" w:eastAsia="Calibri" w:hAnsi="David" w:hint="eastAsia"/>
          <w:b/>
          <w:bCs/>
          <w:rtl/>
          <w:lang w:eastAsia="he-IL"/>
        </w:rPr>
        <w:t>לפיתוח</w:t>
      </w:r>
      <w:r w:rsidRPr="00861D72">
        <w:rPr>
          <w:rFonts w:ascii="David" w:eastAsia="Calibri" w:hAnsi="David"/>
          <w:b/>
          <w:bCs/>
          <w:rtl/>
          <w:lang w:eastAsia="he-IL"/>
        </w:rPr>
        <w:t xml:space="preserve"> </w:t>
      </w:r>
      <w:r w:rsidRPr="00861D72">
        <w:rPr>
          <w:rFonts w:ascii="David" w:eastAsia="Calibri" w:hAnsi="David" w:hint="eastAsia"/>
          <w:b/>
          <w:bCs/>
          <w:rtl/>
          <w:lang w:eastAsia="he-IL"/>
        </w:rPr>
        <w:t>כלכלי</w:t>
      </w:r>
      <w:r w:rsidRPr="00861D72">
        <w:rPr>
          <w:rFonts w:ascii="David" w:eastAsia="Calibri" w:hAnsi="David"/>
          <w:b/>
          <w:bCs/>
          <w:rtl/>
          <w:lang w:eastAsia="he-IL"/>
        </w:rPr>
        <w:t xml:space="preserve"> </w:t>
      </w:r>
      <w:r w:rsidRPr="00861D72">
        <w:rPr>
          <w:rFonts w:ascii="David" w:eastAsia="Calibri" w:hAnsi="David" w:hint="eastAsia"/>
          <w:b/>
          <w:bCs/>
          <w:rtl/>
          <w:lang w:eastAsia="he-IL"/>
        </w:rPr>
        <w:t>חברתי</w:t>
      </w:r>
      <w:r w:rsidRPr="00861D72">
        <w:rPr>
          <w:rFonts w:ascii="David" w:eastAsia="Calibri" w:hAnsi="David"/>
          <w:b/>
          <w:bCs/>
          <w:rtl/>
          <w:lang w:eastAsia="he-IL"/>
        </w:rPr>
        <w:t xml:space="preserve"> </w:t>
      </w:r>
      <w:r w:rsidRPr="00861D72">
        <w:rPr>
          <w:rFonts w:ascii="David" w:eastAsia="Calibri" w:hAnsi="David" w:hint="eastAsia"/>
          <w:b/>
          <w:bCs/>
          <w:rtl/>
          <w:lang w:eastAsia="he-IL"/>
        </w:rPr>
        <w:t>של</w:t>
      </w:r>
      <w:r w:rsidRPr="00861D72">
        <w:rPr>
          <w:rFonts w:ascii="David" w:eastAsia="Calibri" w:hAnsi="David"/>
          <w:b/>
          <w:bCs/>
          <w:rtl/>
          <w:lang w:eastAsia="he-IL"/>
        </w:rPr>
        <w:t xml:space="preserve"> </w:t>
      </w:r>
      <w:r w:rsidRPr="00861D72">
        <w:rPr>
          <w:rFonts w:ascii="David" w:eastAsia="Calibri" w:hAnsi="David" w:hint="eastAsia"/>
          <w:b/>
          <w:bCs/>
          <w:rtl/>
          <w:lang w:eastAsia="he-IL"/>
        </w:rPr>
        <w:t>החברה</w:t>
      </w:r>
      <w:r w:rsidRPr="00861D72">
        <w:rPr>
          <w:rFonts w:ascii="David" w:eastAsia="Calibri" w:hAnsi="David"/>
          <w:b/>
          <w:bCs/>
          <w:rtl/>
          <w:lang w:eastAsia="he-IL"/>
        </w:rPr>
        <w:t xml:space="preserve"> </w:t>
      </w:r>
      <w:r w:rsidRPr="00861D72">
        <w:rPr>
          <w:rFonts w:ascii="David" w:eastAsia="Calibri" w:hAnsi="David" w:hint="eastAsia"/>
          <w:b/>
          <w:bCs/>
          <w:rtl/>
          <w:lang w:eastAsia="he-IL"/>
        </w:rPr>
        <w:t>הערבית</w:t>
      </w:r>
      <w:r w:rsidRPr="00861D72">
        <w:rPr>
          <w:rFonts w:ascii="David" w:eastAsia="Calibri" w:hAnsi="David"/>
          <w:b/>
          <w:bCs/>
          <w:rtl/>
          <w:lang w:eastAsia="he-IL"/>
        </w:rPr>
        <w:t xml:space="preserve"> </w:t>
      </w:r>
      <w:r w:rsidRPr="00861D72">
        <w:rPr>
          <w:rFonts w:ascii="David" w:eastAsia="Calibri" w:hAnsi="David" w:hint="eastAsia"/>
          <w:b/>
          <w:bCs/>
          <w:rtl/>
          <w:lang w:eastAsia="he-IL"/>
        </w:rPr>
        <w:t>ולצמצום</w:t>
      </w:r>
      <w:r w:rsidRPr="00861D72">
        <w:rPr>
          <w:rFonts w:ascii="David" w:eastAsia="Calibri" w:hAnsi="David"/>
          <w:b/>
          <w:bCs/>
          <w:rtl/>
          <w:lang w:eastAsia="he-IL"/>
        </w:rPr>
        <w:t xml:space="preserve"> </w:t>
      </w:r>
      <w:r w:rsidRPr="00861D72">
        <w:rPr>
          <w:rFonts w:ascii="David" w:eastAsia="Calibri" w:hAnsi="David" w:hint="eastAsia"/>
          <w:b/>
          <w:bCs/>
          <w:rtl/>
          <w:lang w:eastAsia="he-IL"/>
        </w:rPr>
        <w:t>הפער</w:t>
      </w:r>
      <w:r w:rsidRPr="00861D72">
        <w:rPr>
          <w:rFonts w:ascii="David" w:eastAsia="Calibri" w:hAnsi="David"/>
          <w:b/>
          <w:bCs/>
          <w:rtl/>
          <w:lang w:eastAsia="he-IL"/>
        </w:rPr>
        <w:t xml:space="preserve"> </w:t>
      </w:r>
      <w:r w:rsidRPr="00861D72">
        <w:rPr>
          <w:rFonts w:ascii="David" w:eastAsia="Calibri" w:hAnsi="David" w:hint="eastAsia"/>
          <w:b/>
          <w:bCs/>
          <w:rtl/>
          <w:lang w:eastAsia="he-IL"/>
        </w:rPr>
        <w:t>בינה</w:t>
      </w:r>
      <w:r w:rsidRPr="00861D72">
        <w:rPr>
          <w:rFonts w:ascii="David" w:eastAsia="Calibri" w:hAnsi="David"/>
          <w:b/>
          <w:bCs/>
          <w:rtl/>
          <w:lang w:eastAsia="he-IL"/>
        </w:rPr>
        <w:t xml:space="preserve"> </w:t>
      </w:r>
      <w:r w:rsidRPr="00861D72">
        <w:rPr>
          <w:rFonts w:ascii="David" w:eastAsia="Calibri" w:hAnsi="David" w:hint="eastAsia"/>
          <w:b/>
          <w:bCs/>
          <w:rtl/>
          <w:lang w:eastAsia="he-IL"/>
        </w:rPr>
        <w:t>לבין</w:t>
      </w:r>
      <w:r w:rsidRPr="00861D72">
        <w:rPr>
          <w:rFonts w:ascii="David" w:eastAsia="Calibri" w:hAnsi="David"/>
          <w:b/>
          <w:bCs/>
          <w:rtl/>
          <w:lang w:eastAsia="he-IL"/>
        </w:rPr>
        <w:t xml:space="preserve"> </w:t>
      </w:r>
      <w:r w:rsidRPr="00861D72">
        <w:rPr>
          <w:rFonts w:ascii="David" w:eastAsia="Calibri" w:hAnsi="David" w:hint="eastAsia"/>
          <w:b/>
          <w:bCs/>
          <w:rtl/>
          <w:lang w:eastAsia="he-IL"/>
        </w:rPr>
        <w:t>האוכלוסייה</w:t>
      </w:r>
      <w:r w:rsidRPr="00861D72">
        <w:rPr>
          <w:rFonts w:ascii="David" w:eastAsia="Calibri" w:hAnsi="David"/>
          <w:b/>
          <w:bCs/>
          <w:rtl/>
          <w:lang w:eastAsia="he-IL"/>
        </w:rPr>
        <w:t xml:space="preserve"> </w:t>
      </w:r>
      <w:r w:rsidRPr="00861D72">
        <w:rPr>
          <w:rFonts w:ascii="David" w:eastAsia="Calibri" w:hAnsi="David" w:hint="eastAsia"/>
          <w:b/>
          <w:bCs/>
          <w:rtl/>
          <w:lang w:eastAsia="he-IL"/>
        </w:rPr>
        <w:t>הכללית</w:t>
      </w:r>
      <w:r w:rsidRPr="00861D72">
        <w:rPr>
          <w:rFonts w:ascii="David" w:eastAsia="Calibri" w:hAnsi="David"/>
          <w:b/>
          <w:bCs/>
          <w:rtl/>
          <w:lang w:eastAsia="he-IL"/>
        </w:rPr>
        <w:t xml:space="preserve"> </w:t>
      </w:r>
      <w:r w:rsidRPr="00861D72">
        <w:rPr>
          <w:rFonts w:ascii="David" w:eastAsia="Calibri" w:hAnsi="David" w:hint="eastAsia"/>
          <w:b/>
          <w:bCs/>
          <w:rtl/>
          <w:lang w:eastAsia="he-IL"/>
        </w:rPr>
        <w:t>במגוון</w:t>
      </w:r>
      <w:r w:rsidRPr="00861D72">
        <w:rPr>
          <w:rFonts w:ascii="David" w:eastAsia="Calibri" w:hAnsi="David"/>
          <w:b/>
          <w:bCs/>
          <w:rtl/>
          <w:lang w:eastAsia="he-IL"/>
        </w:rPr>
        <w:t xml:space="preserve"> </w:t>
      </w:r>
      <w:r w:rsidRPr="00861D72">
        <w:rPr>
          <w:rFonts w:ascii="David" w:eastAsia="Calibri" w:hAnsi="David" w:hint="eastAsia"/>
          <w:b/>
          <w:bCs/>
          <w:rtl/>
          <w:lang w:eastAsia="he-IL"/>
        </w:rPr>
        <w:t>תחומים</w:t>
      </w:r>
      <w:r>
        <w:rPr>
          <w:rFonts w:ascii="David" w:eastAsia="Calibri" w:hAnsi="David"/>
          <w:b/>
          <w:bCs/>
          <w:vertAlign w:val="superscript"/>
          <w:rtl/>
          <w:lang w:eastAsia="he-IL"/>
        </w:rPr>
        <w:footnoteReference w:id="79"/>
      </w:r>
      <w:r w:rsidRPr="00861D72">
        <w:rPr>
          <w:rFonts w:ascii="David" w:eastAsia="Calibri" w:hAnsi="David"/>
          <w:b/>
          <w:bCs/>
          <w:rtl/>
          <w:lang w:eastAsia="he-IL"/>
        </w:rPr>
        <w:t xml:space="preserve">: </w:t>
      </w:r>
      <w:r w:rsidRPr="00861D72">
        <w:rPr>
          <w:rFonts w:ascii="David" w:eastAsia="Calibri" w:hAnsi="David" w:hint="eastAsia"/>
          <w:b/>
          <w:bCs/>
          <w:rtl/>
          <w:lang w:eastAsia="he-IL"/>
        </w:rPr>
        <w:t>בתחום</w:t>
      </w:r>
      <w:r w:rsidRPr="00861D72">
        <w:rPr>
          <w:rFonts w:ascii="David" w:eastAsia="Calibri" w:hAnsi="David"/>
          <w:b/>
          <w:bCs/>
          <w:rtl/>
          <w:lang w:eastAsia="he-IL"/>
        </w:rPr>
        <w:t xml:space="preserve"> </w:t>
      </w:r>
      <w:r w:rsidRPr="00861D72">
        <w:rPr>
          <w:rFonts w:ascii="David" w:eastAsia="Calibri" w:hAnsi="David" w:hint="eastAsia"/>
          <w:b/>
          <w:bCs/>
          <w:rtl/>
          <w:lang w:eastAsia="he-IL"/>
        </w:rPr>
        <w:t>החינוך</w:t>
      </w:r>
      <w:r w:rsidRPr="00861D72">
        <w:rPr>
          <w:rFonts w:ascii="David" w:eastAsia="Calibri" w:hAnsi="David"/>
          <w:b/>
          <w:bCs/>
          <w:rtl/>
          <w:lang w:eastAsia="he-IL"/>
        </w:rPr>
        <w:t xml:space="preserve">, </w:t>
      </w:r>
      <w:r w:rsidRPr="00861D72">
        <w:rPr>
          <w:rFonts w:ascii="David" w:eastAsia="Calibri" w:hAnsi="David" w:hint="eastAsia"/>
          <w:b/>
          <w:bCs/>
          <w:rtl/>
          <w:lang w:eastAsia="he-IL"/>
        </w:rPr>
        <w:t>למשל</w:t>
      </w:r>
      <w:r w:rsidRPr="00861D72">
        <w:rPr>
          <w:rFonts w:ascii="David" w:eastAsia="Calibri" w:hAnsi="David"/>
          <w:b/>
          <w:bCs/>
          <w:rtl/>
          <w:lang w:eastAsia="he-IL"/>
        </w:rPr>
        <w:t xml:space="preserve">, </w:t>
      </w:r>
      <w:r w:rsidRPr="00861D72">
        <w:rPr>
          <w:rFonts w:ascii="David" w:eastAsia="Calibri" w:hAnsi="David" w:hint="eastAsia"/>
          <w:b/>
          <w:bCs/>
          <w:rtl/>
          <w:lang w:eastAsia="he-IL"/>
        </w:rPr>
        <w:t>היא</w:t>
      </w:r>
      <w:r w:rsidRPr="00861D72">
        <w:rPr>
          <w:rFonts w:ascii="David" w:eastAsia="Calibri" w:hAnsi="David"/>
          <w:b/>
          <w:bCs/>
          <w:rtl/>
          <w:lang w:eastAsia="he-IL"/>
        </w:rPr>
        <w:t xml:space="preserve"> </w:t>
      </w:r>
      <w:r w:rsidRPr="00861D72">
        <w:rPr>
          <w:rFonts w:ascii="David" w:eastAsia="Calibri" w:hAnsi="David" w:hint="eastAsia"/>
          <w:b/>
          <w:bCs/>
          <w:rtl/>
          <w:lang w:eastAsia="he-IL"/>
        </w:rPr>
        <w:t>קבעה</w:t>
      </w:r>
      <w:r w:rsidRPr="00861D72">
        <w:rPr>
          <w:rFonts w:ascii="David" w:eastAsia="Calibri" w:hAnsi="David"/>
          <w:b/>
          <w:bCs/>
          <w:rtl/>
          <w:lang w:eastAsia="he-IL"/>
        </w:rPr>
        <w:t xml:space="preserve"> </w:t>
      </w:r>
      <w:r w:rsidRPr="00861D72">
        <w:rPr>
          <w:rFonts w:ascii="David" w:eastAsia="Calibri" w:hAnsi="David" w:hint="eastAsia"/>
          <w:b/>
          <w:bCs/>
          <w:rtl/>
          <w:lang w:eastAsia="he-IL"/>
        </w:rPr>
        <w:t>יעדים</w:t>
      </w:r>
      <w:r w:rsidRPr="00861D72">
        <w:rPr>
          <w:rFonts w:ascii="David" w:eastAsia="Calibri" w:hAnsi="David"/>
          <w:b/>
          <w:bCs/>
          <w:rtl/>
          <w:lang w:eastAsia="he-IL"/>
        </w:rPr>
        <w:t xml:space="preserve"> </w:t>
      </w:r>
      <w:r w:rsidRPr="00861D72">
        <w:rPr>
          <w:rFonts w:ascii="David" w:eastAsia="Calibri" w:hAnsi="David" w:hint="eastAsia"/>
          <w:b/>
          <w:bCs/>
          <w:rtl/>
          <w:lang w:eastAsia="he-IL"/>
        </w:rPr>
        <w:t>מספריים</w:t>
      </w:r>
      <w:r w:rsidRPr="00861D72">
        <w:rPr>
          <w:rFonts w:ascii="David" w:eastAsia="Calibri" w:hAnsi="David"/>
          <w:b/>
          <w:bCs/>
          <w:rtl/>
          <w:lang w:eastAsia="he-IL"/>
        </w:rPr>
        <w:t xml:space="preserve"> </w:t>
      </w:r>
      <w:r w:rsidRPr="00861D72">
        <w:rPr>
          <w:rFonts w:ascii="David" w:eastAsia="Calibri" w:hAnsi="David" w:hint="eastAsia"/>
          <w:b/>
          <w:bCs/>
          <w:rtl/>
          <w:lang w:eastAsia="he-IL"/>
        </w:rPr>
        <w:t>לצמצום</w:t>
      </w:r>
      <w:r w:rsidRPr="00861D72">
        <w:rPr>
          <w:rFonts w:ascii="David" w:eastAsia="Calibri" w:hAnsi="David"/>
          <w:b/>
          <w:bCs/>
          <w:rtl/>
          <w:lang w:eastAsia="he-IL"/>
        </w:rPr>
        <w:t xml:space="preserve"> </w:t>
      </w:r>
      <w:r w:rsidRPr="00861D72">
        <w:rPr>
          <w:rFonts w:ascii="David" w:eastAsia="Calibri" w:hAnsi="David" w:hint="eastAsia"/>
          <w:b/>
          <w:bCs/>
          <w:rtl/>
          <w:lang w:eastAsia="he-IL"/>
        </w:rPr>
        <w:t>הפער</w:t>
      </w:r>
      <w:r w:rsidRPr="00861D72">
        <w:rPr>
          <w:rFonts w:ascii="David" w:eastAsia="Calibri" w:hAnsi="David"/>
          <w:b/>
          <w:bCs/>
          <w:rtl/>
          <w:lang w:eastAsia="he-IL"/>
        </w:rPr>
        <w:t xml:space="preserve"> </w:t>
      </w:r>
      <w:r w:rsidRPr="00861D72">
        <w:rPr>
          <w:rFonts w:ascii="David" w:eastAsia="Calibri" w:hAnsi="David" w:hint="eastAsia"/>
          <w:b/>
          <w:bCs/>
          <w:rtl/>
          <w:lang w:eastAsia="he-IL"/>
        </w:rPr>
        <w:t>בשיעור</w:t>
      </w:r>
      <w:r w:rsidRPr="00861D72">
        <w:rPr>
          <w:rFonts w:ascii="David" w:eastAsia="Calibri" w:hAnsi="David"/>
          <w:b/>
          <w:bCs/>
          <w:rtl/>
          <w:lang w:eastAsia="he-IL"/>
        </w:rPr>
        <w:t xml:space="preserve"> </w:t>
      </w:r>
      <w:r w:rsidRPr="00861D72">
        <w:rPr>
          <w:rFonts w:ascii="David" w:eastAsia="Calibri" w:hAnsi="David" w:hint="eastAsia"/>
          <w:b/>
          <w:bCs/>
          <w:rtl/>
          <w:lang w:eastAsia="he-IL"/>
        </w:rPr>
        <w:t>הזכאים</w:t>
      </w:r>
      <w:r w:rsidRPr="00861D72">
        <w:rPr>
          <w:rFonts w:ascii="David" w:eastAsia="Calibri" w:hAnsi="David"/>
          <w:b/>
          <w:bCs/>
          <w:rtl/>
          <w:lang w:eastAsia="he-IL"/>
        </w:rPr>
        <w:t xml:space="preserve"> </w:t>
      </w:r>
      <w:r w:rsidRPr="00861D72">
        <w:rPr>
          <w:rFonts w:ascii="David" w:eastAsia="Calibri" w:hAnsi="David" w:hint="eastAsia"/>
          <w:b/>
          <w:bCs/>
          <w:rtl/>
          <w:lang w:eastAsia="he-IL"/>
        </w:rPr>
        <w:t>לתעודת</w:t>
      </w:r>
      <w:r w:rsidRPr="00861D72">
        <w:rPr>
          <w:rFonts w:ascii="David" w:eastAsia="Calibri" w:hAnsi="David"/>
          <w:b/>
          <w:bCs/>
          <w:rtl/>
          <w:lang w:eastAsia="he-IL"/>
        </w:rPr>
        <w:t xml:space="preserve"> </w:t>
      </w:r>
      <w:r w:rsidRPr="00861D72">
        <w:rPr>
          <w:rFonts w:ascii="David" w:eastAsia="Calibri" w:hAnsi="David" w:hint="eastAsia"/>
          <w:b/>
          <w:bCs/>
          <w:rtl/>
          <w:lang w:eastAsia="he-IL"/>
        </w:rPr>
        <w:t>בגרות</w:t>
      </w:r>
      <w:r w:rsidRPr="00861D72">
        <w:rPr>
          <w:rFonts w:ascii="David" w:eastAsia="Calibri" w:hAnsi="David"/>
          <w:b/>
          <w:bCs/>
          <w:rtl/>
          <w:lang w:eastAsia="he-IL"/>
        </w:rPr>
        <w:t xml:space="preserve">, </w:t>
      </w:r>
      <w:r w:rsidRPr="00861D72">
        <w:rPr>
          <w:rFonts w:ascii="David" w:eastAsia="Calibri" w:hAnsi="David" w:hint="eastAsia"/>
          <w:b/>
          <w:bCs/>
          <w:rtl/>
          <w:lang w:eastAsia="he-IL"/>
        </w:rPr>
        <w:t>בנשירה</w:t>
      </w:r>
      <w:r w:rsidRPr="00861D72">
        <w:rPr>
          <w:rFonts w:ascii="David" w:eastAsia="Calibri" w:hAnsi="David"/>
          <w:b/>
          <w:bCs/>
          <w:rtl/>
          <w:lang w:eastAsia="he-IL"/>
        </w:rPr>
        <w:t xml:space="preserve"> </w:t>
      </w:r>
      <w:r w:rsidRPr="00861D72">
        <w:rPr>
          <w:rFonts w:ascii="David" w:eastAsia="Calibri" w:hAnsi="David" w:hint="eastAsia"/>
          <w:b/>
          <w:bCs/>
          <w:rtl/>
          <w:lang w:eastAsia="he-IL"/>
        </w:rPr>
        <w:t>ממערכת</w:t>
      </w:r>
      <w:r w:rsidRPr="00861D72">
        <w:rPr>
          <w:rFonts w:ascii="David" w:eastAsia="Calibri" w:hAnsi="David"/>
          <w:b/>
          <w:bCs/>
          <w:rtl/>
          <w:lang w:eastAsia="he-IL"/>
        </w:rPr>
        <w:t xml:space="preserve"> </w:t>
      </w:r>
      <w:r w:rsidRPr="00861D72">
        <w:rPr>
          <w:rFonts w:ascii="David" w:eastAsia="Calibri" w:hAnsi="David" w:hint="eastAsia"/>
          <w:b/>
          <w:bCs/>
          <w:rtl/>
          <w:lang w:eastAsia="he-IL"/>
        </w:rPr>
        <w:t>החינוך</w:t>
      </w:r>
      <w:r w:rsidRPr="00861D72">
        <w:rPr>
          <w:rFonts w:ascii="David" w:eastAsia="Calibri" w:hAnsi="David"/>
          <w:b/>
          <w:bCs/>
          <w:rtl/>
          <w:lang w:eastAsia="he-IL"/>
        </w:rPr>
        <w:t xml:space="preserve"> </w:t>
      </w:r>
      <w:r w:rsidRPr="00861D72">
        <w:rPr>
          <w:rFonts w:ascii="David" w:eastAsia="Calibri" w:hAnsi="David" w:hint="eastAsia"/>
          <w:b/>
          <w:bCs/>
          <w:rtl/>
          <w:lang w:eastAsia="he-IL"/>
        </w:rPr>
        <w:t>ועוד</w:t>
      </w:r>
      <w:bookmarkEnd w:id="35"/>
      <w:r w:rsidRPr="00861D72">
        <w:rPr>
          <w:rFonts w:ascii="David" w:eastAsia="Calibri" w:hAnsi="David"/>
          <w:b/>
          <w:bCs/>
          <w:rtl/>
          <w:lang w:eastAsia="he-IL"/>
        </w:rPr>
        <w:t xml:space="preserve">. </w:t>
      </w:r>
    </w:p>
    <w:bookmarkEnd w:id="34"/>
    <w:p w:rsidR="00861D72" w:rsidRPr="007126FE"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eastAsia"/>
          <w:b/>
          <w:bCs/>
          <w:rtl/>
        </w:rPr>
        <w:t>גם</w:t>
      </w:r>
      <w:r w:rsidRPr="00861D72">
        <w:rPr>
          <w:rFonts w:eastAsia="Calibri"/>
          <w:b/>
          <w:bCs/>
          <w:rtl/>
        </w:rPr>
        <w:t xml:space="preserve"> בהשוואה בי</w:t>
      </w:r>
      <w:r w:rsidRPr="00861D72">
        <w:rPr>
          <w:rFonts w:eastAsia="Calibri" w:hint="eastAsia"/>
          <w:b/>
          <w:bCs/>
          <w:rtl/>
        </w:rPr>
        <w:t>ן</w:t>
      </w:r>
      <w:r w:rsidRPr="00861D72">
        <w:rPr>
          <w:rFonts w:eastAsia="Calibri"/>
          <w:b/>
          <w:bCs/>
          <w:rtl/>
        </w:rPr>
        <w:t xml:space="preserve">-לאומית </w:t>
      </w:r>
      <w:r w:rsidRPr="00861D72">
        <w:rPr>
          <w:rFonts w:eastAsia="Calibri"/>
          <w:b/>
          <w:bCs/>
          <w:rtl/>
        </w:rPr>
        <w:t>תוכניות</w:t>
      </w:r>
      <w:r w:rsidRPr="00861D72">
        <w:rPr>
          <w:rFonts w:eastAsia="Calibri"/>
          <w:b/>
          <w:bCs/>
          <w:rtl/>
        </w:rPr>
        <w:t xml:space="preserve"> הזדקנות לאומיות מגדירות יעדים מדידים ומתוזמנים לכל תחום פעולה. כך באירלנד התוכנית הלאומית להזדקנות חיובית קבעה </w:t>
      </w:r>
      <w:r w:rsidRPr="00861D72">
        <w:rPr>
          <w:rFonts w:eastAsia="Calibri" w:hint="eastAsia"/>
          <w:b/>
          <w:bCs/>
          <w:rtl/>
        </w:rPr>
        <w:t>יעדי</w:t>
      </w:r>
      <w:r w:rsidRPr="00861D72">
        <w:rPr>
          <w:rFonts w:eastAsia="Calibri"/>
          <w:b/>
          <w:bCs/>
          <w:rtl/>
        </w:rPr>
        <w:t xml:space="preserve"> </w:t>
      </w:r>
      <w:r w:rsidRPr="00861D72">
        <w:rPr>
          <w:rFonts w:eastAsia="Calibri" w:hint="eastAsia"/>
          <w:b/>
          <w:bCs/>
          <w:rtl/>
        </w:rPr>
        <w:t>משנה</w:t>
      </w:r>
      <w:r w:rsidRPr="00861D72">
        <w:rPr>
          <w:rFonts w:eastAsia="Calibri"/>
          <w:b/>
          <w:bCs/>
          <w:rtl/>
        </w:rPr>
        <w:t xml:space="preserve"> לכל אחת מהמטרות הלאומיות ושני יעדי רוחב לעיצוב מדיניות ולמתן שירותים לזקנים בכל התחומים; </w:t>
      </w:r>
      <w:r w:rsidRPr="00861D72">
        <w:rPr>
          <w:rFonts w:eastAsia="Calibri"/>
          <w:b/>
          <w:bCs/>
          <w:rtl/>
        </w:rPr>
        <w:t xml:space="preserve">בצ’כיה </w:t>
      </w:r>
      <w:r w:rsidRPr="00861D72">
        <w:rPr>
          <w:rFonts w:eastAsia="Calibri"/>
          <w:b/>
          <w:bCs/>
          <w:rtl/>
        </w:rPr>
        <w:t>תוכנית</w:t>
      </w:r>
      <w:r w:rsidRPr="00861D72">
        <w:rPr>
          <w:rFonts w:eastAsia="Calibri"/>
          <w:b/>
          <w:bCs/>
          <w:rtl/>
        </w:rPr>
        <w:t xml:space="preserve"> הפעולה הלאומית להזדקנות חיובית הגדירה יעדים אסטרטגיים ומטרות ספציפיות לכל אחד משמונת תחומי התוכנית; ובסינגפור </w:t>
      </w:r>
      <w:r w:rsidRPr="00861D72">
        <w:rPr>
          <w:rFonts w:eastAsia="Calibri"/>
          <w:b/>
          <w:bCs/>
          <w:rtl/>
        </w:rPr>
        <w:t>תוכנית</w:t>
      </w:r>
      <w:r w:rsidRPr="00861D72">
        <w:rPr>
          <w:rFonts w:eastAsia="Calibri"/>
          <w:b/>
          <w:bCs/>
          <w:rtl/>
        </w:rPr>
        <w:t xml:space="preserve"> הפעולה הלאומית להזדקנות מוצלחת, הכוללת כ-70 </w:t>
      </w:r>
      <w:r w:rsidRPr="00861D72">
        <w:rPr>
          <w:rFonts w:eastAsia="Calibri"/>
          <w:b/>
          <w:bCs/>
          <w:rtl/>
        </w:rPr>
        <w:t>תוכניות</w:t>
      </w:r>
      <w:r w:rsidRPr="00861D72">
        <w:rPr>
          <w:rFonts w:eastAsia="Calibri"/>
          <w:b/>
          <w:bCs/>
          <w:rtl/>
        </w:rPr>
        <w:t xml:space="preserve"> וצעדים, קבעה יעדים כמותיים בטווחי זמן מוגדרים לתוכניות המפתח</w:t>
      </w:r>
      <w:r>
        <w:rPr>
          <w:rFonts w:eastAsia="Calibri"/>
          <w:b/>
          <w:bCs/>
          <w:vertAlign w:val="superscript"/>
          <w:rtl/>
        </w:rPr>
        <w:footnoteReference w:id="80"/>
      </w:r>
      <w:r w:rsidRPr="00861D72">
        <w:rPr>
          <w:rFonts w:eastAsia="Calibri"/>
          <w:b/>
          <w:bCs/>
          <w:rtl/>
        </w:rPr>
        <w:t>. מודל זה מייצר בסיס להקצאת משאבים ולהערכת ביצוע</w:t>
      </w:r>
      <w:r w:rsidRPr="00861D72">
        <w:rPr>
          <w:rFonts w:eastAsia="Calibri"/>
          <w:b/>
          <w:bCs/>
        </w:rPr>
        <w:t>.</w:t>
      </w:r>
    </w:p>
    <w:p w:rsidR="00861D72" w:rsidRPr="007126FE" w:rsidP="00F90255">
      <w:pPr>
        <w:spacing w:line="269" w:lineRule="auto"/>
        <w:rPr>
          <w:rFonts w:eastAsia="Calibri"/>
          <w:rtl/>
        </w:rPr>
      </w:pPr>
    </w:p>
    <w:p w:rsidR="00861D72" w:rsidRPr="00861D72" w:rsidP="00F90255">
      <w:pPr>
        <w:spacing w:line="269" w:lineRule="auto"/>
        <w:rPr>
          <w:rFonts w:ascii="David" w:eastAsia="Calibri" w:hAnsi="David"/>
          <w:b/>
          <w:bCs/>
          <w:rtl/>
          <w:lang w:eastAsia="he-IL"/>
        </w:rPr>
      </w:pPr>
      <w:r w:rsidRPr="00861D72">
        <w:rPr>
          <w:rFonts w:ascii="David" w:eastAsia="Calibri" w:hAnsi="David" w:hint="cs"/>
          <w:b/>
          <w:bCs/>
          <w:rtl/>
          <w:lang w:eastAsia="he-IL"/>
        </w:rPr>
        <w:t>בניגוד לתוכניות אסטרטגיות אחרות בישראל, הממשלה אימצה את מפת המדדים להזדקנות האוכלוסייה בהחלטת הממשלה 127 בלי לכלול בה יעדים, אך הטילה על הצוות שגיבש אותה לבחון את הצורך בקביעת יעדים לאומיים להזדקנות מיטבית</w:t>
      </w:r>
      <w:r>
        <w:rPr>
          <w:rFonts w:ascii="David" w:eastAsia="Calibri" w:hAnsi="David"/>
          <w:b/>
          <w:bCs/>
          <w:vertAlign w:val="superscript"/>
          <w:rtl/>
          <w:lang w:eastAsia="he-IL"/>
        </w:rPr>
        <w:footnoteReference w:id="81"/>
      </w:r>
      <w:r w:rsidRPr="00861D72">
        <w:rPr>
          <w:rFonts w:ascii="David" w:eastAsia="Calibri" w:hAnsi="David" w:hint="cs"/>
          <w:b/>
          <w:bCs/>
          <w:rtl/>
          <w:lang w:eastAsia="he-IL"/>
        </w:rPr>
        <w:t>.</w:t>
      </w:r>
    </w:p>
    <w:p w:rsidR="00861D72" w:rsidRPr="007126FE" w:rsidP="00F90255">
      <w:pPr>
        <w:spacing w:line="269" w:lineRule="auto"/>
        <w:rPr>
          <w:rFonts w:eastAsia="Calibri"/>
          <w:rtl/>
        </w:rPr>
      </w:pPr>
    </w:p>
    <w:p w:rsidR="00861D72" w:rsidRPr="00861D72" w:rsidP="00F90255">
      <w:pPr>
        <w:spacing w:line="269" w:lineRule="auto"/>
        <w:rPr>
          <w:rFonts w:ascii="David" w:eastAsia="Calibri" w:hAnsi="David"/>
          <w:b/>
          <w:bCs/>
          <w:rtl/>
          <w:lang w:eastAsia="he-IL"/>
        </w:rPr>
      </w:pPr>
      <w:r w:rsidRPr="00861D72">
        <w:rPr>
          <w:rFonts w:ascii="David" w:eastAsia="Calibri" w:hAnsi="David" w:hint="eastAsia"/>
          <w:b/>
          <w:bCs/>
          <w:rtl/>
          <w:lang w:eastAsia="he-IL"/>
        </w:rPr>
        <w:t>בביקורת</w:t>
      </w:r>
      <w:r w:rsidRPr="00861D72">
        <w:rPr>
          <w:rFonts w:ascii="David" w:eastAsia="Calibri" w:hAnsi="David"/>
          <w:b/>
          <w:bCs/>
          <w:rtl/>
          <w:lang w:eastAsia="he-IL"/>
        </w:rPr>
        <w:t xml:space="preserve"> עלה כי </w:t>
      </w:r>
      <w:r w:rsidRPr="00861D72">
        <w:rPr>
          <w:rFonts w:ascii="David" w:eastAsia="Calibri" w:hAnsi="David" w:hint="cs"/>
          <w:b/>
          <w:bCs/>
          <w:rtl/>
          <w:lang w:eastAsia="he-IL"/>
        </w:rPr>
        <w:t>ה</w:t>
      </w:r>
      <w:r w:rsidRPr="00861D72">
        <w:rPr>
          <w:rFonts w:ascii="David" w:eastAsia="Calibri" w:hAnsi="David" w:hint="eastAsia"/>
          <w:b/>
          <w:bCs/>
          <w:rtl/>
          <w:lang w:eastAsia="he-IL"/>
        </w:rPr>
        <w:t>צוות</w:t>
      </w:r>
      <w:r w:rsidRPr="00861D72">
        <w:rPr>
          <w:rFonts w:ascii="David" w:eastAsia="Calibri" w:hAnsi="David"/>
          <w:b/>
          <w:bCs/>
          <w:rtl/>
          <w:lang w:eastAsia="he-IL"/>
        </w:rPr>
        <w:t xml:space="preserve"> </w:t>
      </w:r>
      <w:r w:rsidRPr="00861D72">
        <w:rPr>
          <w:rFonts w:ascii="David" w:eastAsia="Calibri" w:hAnsi="David" w:hint="cs"/>
          <w:b/>
          <w:bCs/>
          <w:rtl/>
          <w:lang w:eastAsia="he-IL"/>
        </w:rPr>
        <w:t xml:space="preserve">שגיבש את </w:t>
      </w:r>
      <w:r w:rsidRPr="00861D72">
        <w:rPr>
          <w:rFonts w:ascii="David" w:eastAsia="Calibri" w:hAnsi="David"/>
          <w:b/>
          <w:bCs/>
          <w:rtl/>
          <w:lang w:eastAsia="he-IL"/>
        </w:rPr>
        <w:t xml:space="preserve">מפת המדדים נפגש </w:t>
      </w:r>
      <w:r w:rsidRPr="00861D72">
        <w:rPr>
          <w:rFonts w:ascii="David" w:eastAsia="Calibri" w:hAnsi="David" w:hint="cs"/>
          <w:b/>
          <w:bCs/>
          <w:rtl/>
          <w:lang w:eastAsia="he-IL"/>
        </w:rPr>
        <w:t xml:space="preserve">ב-2023 </w:t>
      </w:r>
      <w:r w:rsidRPr="00861D72">
        <w:rPr>
          <w:rFonts w:ascii="David" w:eastAsia="Calibri" w:hAnsi="David"/>
          <w:b/>
          <w:bCs/>
          <w:rtl/>
          <w:lang w:eastAsia="he-IL"/>
        </w:rPr>
        <w:t xml:space="preserve">והחל בתהליך </w:t>
      </w:r>
      <w:r w:rsidRPr="00861D72">
        <w:rPr>
          <w:rFonts w:ascii="David" w:eastAsia="Calibri" w:hAnsi="David" w:hint="cs"/>
          <w:b/>
          <w:bCs/>
          <w:rtl/>
          <w:lang w:eastAsia="he-IL"/>
        </w:rPr>
        <w:t>לבחינת גיבוש הצורך ב</w:t>
      </w:r>
      <w:r w:rsidRPr="00861D72">
        <w:rPr>
          <w:rFonts w:ascii="David" w:eastAsia="Calibri" w:hAnsi="David"/>
          <w:b/>
          <w:bCs/>
          <w:rtl/>
          <w:lang w:eastAsia="he-IL"/>
        </w:rPr>
        <w:t>קביעת יעדים</w:t>
      </w:r>
      <w:r w:rsidRPr="00861D72">
        <w:rPr>
          <w:rFonts w:ascii="David" w:eastAsia="Calibri" w:hAnsi="David" w:hint="cs"/>
          <w:b/>
          <w:bCs/>
          <w:rtl/>
          <w:lang w:eastAsia="he-IL"/>
        </w:rPr>
        <w:t>.</w:t>
      </w:r>
    </w:p>
    <w:p w:rsidR="00861D72" w:rsidRPr="007126FE"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 xml:space="preserve">משרד </w:t>
      </w:r>
      <w:r w:rsidRPr="00861D72">
        <w:rPr>
          <w:rFonts w:eastAsia="Calibri" w:hint="cs"/>
          <w:rtl/>
          <w:lang w:eastAsia="he-IL"/>
        </w:rPr>
        <w:t>רה"ם</w:t>
      </w:r>
      <w:r w:rsidRPr="00861D72">
        <w:rPr>
          <w:rFonts w:eastAsia="Calibri" w:hint="cs"/>
          <w:rtl/>
          <w:lang w:eastAsia="he-IL"/>
        </w:rPr>
        <w:t xml:space="preserve"> מסר בתשובתו למשרד מבקר המדינה ממאי 2026 (להלן - תשובת </w:t>
      </w:r>
      <w:r w:rsidRPr="00861D72">
        <w:rPr>
          <w:rFonts w:eastAsia="Calibri" w:hint="cs"/>
          <w:rtl/>
          <w:lang w:eastAsia="he-IL"/>
        </w:rPr>
        <w:t>רה"ם</w:t>
      </w:r>
      <w:r w:rsidRPr="00861D72">
        <w:rPr>
          <w:rFonts w:eastAsia="Calibri" w:hint="cs"/>
          <w:rtl/>
          <w:lang w:eastAsia="he-IL"/>
        </w:rPr>
        <w:t xml:space="preserve">) כי לאחר עבודת המטה שנערכה בשנת 2021 הוסכם כי בשלב זה של בשלות התהליך יוגדרו מגמות רצויות ולא ייקבעו יעדים ספציפיים. עמדה זו הוצגה לוועדת השרים ביולי 2022, ובהמשך לכך גם היעדים שהוביל משרד </w:t>
      </w:r>
      <w:r w:rsidRPr="00861D72">
        <w:rPr>
          <w:rFonts w:eastAsia="Calibri" w:hint="cs"/>
          <w:rtl/>
          <w:lang w:eastAsia="he-IL"/>
        </w:rPr>
        <w:t>רה"ם</w:t>
      </w:r>
      <w:r w:rsidRPr="00861D72">
        <w:rPr>
          <w:rFonts w:eastAsia="Calibri" w:hint="cs"/>
          <w:rtl/>
          <w:lang w:eastAsia="he-IL"/>
        </w:rPr>
        <w:t xml:space="preserve"> בפיילוט לתכנון משותף</w:t>
      </w:r>
      <w:r>
        <w:rPr>
          <w:rFonts w:eastAsia="Calibri"/>
          <w:vertAlign w:val="superscript"/>
          <w:rtl/>
          <w:lang w:eastAsia="he-IL"/>
        </w:rPr>
        <w:footnoteReference w:id="82"/>
      </w:r>
      <w:r w:rsidRPr="00861D72">
        <w:rPr>
          <w:rFonts w:eastAsia="Calibri" w:hint="cs"/>
          <w:rtl/>
          <w:lang w:eastAsia="he-IL"/>
        </w:rPr>
        <w:t xml:space="preserve"> בשנת 2025 הוגדרו כמגמות ולא כיעדים מספריים.</w:t>
      </w:r>
    </w:p>
    <w:p w:rsidR="00861D72" w:rsidRPr="007126FE" w:rsidP="00F90255">
      <w:pPr>
        <w:spacing w:line="269" w:lineRule="auto"/>
        <w:rPr>
          <w:rFonts w:eastAsia="Calibri"/>
          <w:rtl/>
        </w:rPr>
      </w:pPr>
    </w:p>
    <w:p w:rsidR="00861D72" w:rsidRPr="00861D72" w:rsidP="00F90255">
      <w:pPr>
        <w:spacing w:line="269" w:lineRule="auto"/>
        <w:rPr>
          <w:rFonts w:ascii="David" w:eastAsia="Calibri" w:hAnsi="David"/>
          <w:b/>
          <w:bCs/>
          <w:rtl/>
          <w:lang w:eastAsia="he-IL"/>
        </w:rPr>
      </w:pPr>
      <w:r w:rsidRPr="00861D72">
        <w:rPr>
          <w:rFonts w:ascii="David" w:eastAsia="Calibri" w:hAnsi="David"/>
          <w:b/>
          <w:bCs/>
          <w:rtl/>
          <w:lang w:eastAsia="he-IL"/>
        </w:rPr>
        <w:t xml:space="preserve">נכון למועד </w:t>
      </w:r>
      <w:r w:rsidRPr="00861D72">
        <w:rPr>
          <w:rFonts w:ascii="David" w:eastAsia="Calibri" w:hAnsi="David" w:hint="cs"/>
          <w:b/>
          <w:bCs/>
          <w:rtl/>
          <w:lang w:eastAsia="he-IL"/>
        </w:rPr>
        <w:t>סיום</w:t>
      </w:r>
      <w:r w:rsidRPr="00861D72">
        <w:rPr>
          <w:rFonts w:ascii="David" w:eastAsia="Calibri" w:hAnsi="David"/>
          <w:b/>
          <w:bCs/>
          <w:rtl/>
          <w:lang w:eastAsia="he-IL"/>
        </w:rPr>
        <w:t xml:space="preserve"> הביקורת,</w:t>
      </w:r>
      <w:r w:rsidRPr="00861D72">
        <w:rPr>
          <w:rFonts w:ascii="David" w:eastAsia="Calibri" w:hAnsi="David" w:hint="cs"/>
          <w:b/>
          <w:bCs/>
          <w:rtl/>
          <w:lang w:eastAsia="he-IL"/>
        </w:rPr>
        <w:t xml:space="preserve"> על אף החלטת הממשלה, ואף שחלפו כארבע שנים מאז אימצה הממשלה את מפת המדדים בשנת 2021, ואף שחלפו שנתיים מאז החל הצוות בבחינת הצורך בקביעת יעדים, טרם התקבלה החלטה לגבי הצורך בקביעת</w:t>
      </w:r>
      <w:r w:rsidRPr="00861D72">
        <w:rPr>
          <w:rFonts w:ascii="David" w:eastAsia="Calibri" w:hAnsi="David"/>
          <w:b/>
          <w:bCs/>
          <w:rtl/>
          <w:lang w:eastAsia="he-IL"/>
        </w:rPr>
        <w:t xml:space="preserve"> יעדים.</w:t>
      </w:r>
      <w:r w:rsidRPr="00861D72">
        <w:rPr>
          <w:rFonts w:ascii="David" w:eastAsia="Calibri" w:hAnsi="David" w:hint="cs"/>
          <w:b/>
          <w:bCs/>
          <w:rtl/>
          <w:lang w:eastAsia="he-IL"/>
        </w:rPr>
        <w:t xml:space="preserve"> </w:t>
      </w:r>
    </w:p>
    <w:p w:rsidR="00861D72" w:rsidRPr="007126FE" w:rsidP="00F90255">
      <w:pPr>
        <w:spacing w:line="269" w:lineRule="auto"/>
        <w:rPr>
          <w:rFonts w:eastAsia="Calibri"/>
          <w:rtl/>
        </w:rPr>
      </w:pPr>
    </w:p>
    <w:p w:rsidR="00861D72" w:rsidRPr="00861D72" w:rsidP="00F90255">
      <w:pPr>
        <w:spacing w:line="269" w:lineRule="auto"/>
        <w:rPr>
          <w:rFonts w:ascii="David" w:eastAsia="Calibri" w:hAnsi="David"/>
          <w:b/>
          <w:bCs/>
          <w:rtl/>
          <w:lang w:eastAsia="he-IL"/>
        </w:rPr>
      </w:pPr>
      <w:r w:rsidRPr="00861D72">
        <w:rPr>
          <w:rFonts w:eastAsia="Calibri"/>
          <w:b/>
          <w:bCs/>
          <w:rtl/>
        </w:rPr>
        <w:t>היעדר יעדי</w:t>
      </w:r>
      <w:r w:rsidRPr="00861D72">
        <w:rPr>
          <w:rFonts w:eastAsia="Calibri" w:hint="cs"/>
          <w:b/>
          <w:bCs/>
          <w:rtl/>
        </w:rPr>
        <w:t>-על לאומיים</w:t>
      </w:r>
      <w:r w:rsidRPr="00861D72">
        <w:rPr>
          <w:rFonts w:eastAsia="Calibri"/>
          <w:b/>
          <w:bCs/>
          <w:rtl/>
        </w:rPr>
        <w:t xml:space="preserve"> מקשה על גזירת</w:t>
      </w:r>
      <w:r w:rsidRPr="00861D72">
        <w:rPr>
          <w:rFonts w:eastAsia="Calibri" w:hint="cs"/>
          <w:b/>
          <w:bCs/>
          <w:rtl/>
        </w:rPr>
        <w:t>ם של</w:t>
      </w:r>
      <w:r w:rsidRPr="00861D72">
        <w:rPr>
          <w:rFonts w:eastAsia="Calibri"/>
          <w:b/>
          <w:bCs/>
          <w:rtl/>
        </w:rPr>
        <w:t xml:space="preserve"> </w:t>
      </w:r>
      <w:r w:rsidRPr="00861D72">
        <w:rPr>
          <w:rFonts w:eastAsia="Calibri" w:hint="cs"/>
          <w:b/>
          <w:bCs/>
          <w:rtl/>
        </w:rPr>
        <w:t xml:space="preserve">יעדי משנה, יעדי ביניים או יעדים קצרי מועד, </w:t>
      </w:r>
      <w:r w:rsidRPr="00861D72">
        <w:rPr>
          <w:rFonts w:eastAsia="Calibri"/>
          <w:b/>
          <w:bCs/>
          <w:rtl/>
        </w:rPr>
        <w:t xml:space="preserve">פוגע ביכולת </w:t>
      </w:r>
      <w:r w:rsidRPr="00861D72">
        <w:rPr>
          <w:rFonts w:eastAsia="Calibri"/>
          <w:b/>
          <w:bCs/>
          <w:rtl/>
        </w:rPr>
        <w:t>לתעדף</w:t>
      </w:r>
      <w:r w:rsidRPr="00861D72">
        <w:rPr>
          <w:rFonts w:eastAsia="Calibri"/>
          <w:b/>
          <w:bCs/>
          <w:rtl/>
        </w:rPr>
        <w:t xml:space="preserve"> משאבים</w:t>
      </w:r>
      <w:r w:rsidRPr="00861D72">
        <w:rPr>
          <w:rFonts w:eastAsia="Calibri" w:hint="cs"/>
          <w:b/>
          <w:bCs/>
          <w:rtl/>
        </w:rPr>
        <w:t xml:space="preserve"> ולפקח כי הכיוונים האסטרטגיים והמדיניות שהממשלה מבקשת ליישם אכן ממומשים. בהיעדר יעדים, כאמור</w:t>
      </w:r>
      <w:r w:rsidRPr="00861D72">
        <w:rPr>
          <w:rFonts w:eastAsia="Calibri"/>
          <w:b/>
          <w:bCs/>
          <w:rtl/>
        </w:rPr>
        <w:t xml:space="preserve">, </w:t>
      </w:r>
      <w:r w:rsidRPr="00861D72">
        <w:rPr>
          <w:rFonts w:eastAsia="Calibri" w:hint="cs"/>
          <w:b/>
          <w:bCs/>
          <w:rtl/>
        </w:rPr>
        <w:t xml:space="preserve">הגופים הרלוונטיים העוסקים בנושא ההזדקנות, ובהם המשרד לשוויון חברתי, משרד הרווחה, משרד הבריאות </w:t>
      </w:r>
      <w:r w:rsidRPr="00861D72">
        <w:rPr>
          <w:rFonts w:eastAsia="Calibri" w:hint="cs"/>
          <w:b/>
          <w:bCs/>
          <w:rtl/>
        </w:rPr>
        <w:t>ובט"ל</w:t>
      </w:r>
      <w:r w:rsidRPr="00861D72">
        <w:rPr>
          <w:rFonts w:eastAsia="Calibri" w:hint="cs"/>
          <w:b/>
          <w:bCs/>
          <w:rtl/>
        </w:rPr>
        <w:t xml:space="preserve">, </w:t>
      </w:r>
      <w:r w:rsidRPr="00861D72">
        <w:rPr>
          <w:rFonts w:eastAsia="Calibri"/>
          <w:b/>
          <w:bCs/>
          <w:rtl/>
        </w:rPr>
        <w:t>מתקשים לגזור יעדים אופרטיביים בתוכניות העבודה שלהם, לבנות תהליכי ניטור והערכה סדורים ולתאם פעולות בין-משרדיות באופן המכוון לתוצאות</w:t>
      </w:r>
      <w:r w:rsidRPr="00861D72">
        <w:rPr>
          <w:rFonts w:eastAsia="Calibri" w:hint="cs"/>
          <w:b/>
          <w:bCs/>
          <w:rtl/>
        </w:rPr>
        <w:t>, כפי שיוצג להלן</w:t>
      </w:r>
      <w:r w:rsidRPr="00861D72">
        <w:rPr>
          <w:rFonts w:eastAsia="Calibri"/>
          <w:b/>
          <w:bCs/>
        </w:rPr>
        <w:t>.</w:t>
      </w:r>
    </w:p>
    <w:p w:rsidR="00861D72" w:rsidRPr="007126FE" w:rsidP="00F90255">
      <w:pPr>
        <w:spacing w:line="269" w:lineRule="auto"/>
        <w:rPr>
          <w:rFonts w:eastAsia="Calibri"/>
          <w:sz w:val="18"/>
          <w:szCs w:val="22"/>
          <w:rtl/>
        </w:rPr>
      </w:pPr>
    </w:p>
    <w:p w:rsidR="00861D72" w:rsidRPr="00861D72" w:rsidP="00F90255">
      <w:pPr>
        <w:spacing w:line="269" w:lineRule="auto"/>
        <w:rPr>
          <w:rFonts w:eastAsia="Calibri"/>
          <w:b/>
          <w:bCs/>
          <w:rtl/>
          <w:lang w:eastAsia="he-IL"/>
        </w:rPr>
      </w:pPr>
      <w:r w:rsidRPr="00861D72">
        <w:rPr>
          <w:rFonts w:eastAsia="Calibri" w:hint="cs"/>
          <w:b/>
          <w:bCs/>
          <w:rtl/>
          <w:lang w:eastAsia="he-IL"/>
        </w:rPr>
        <w:t>מומלץ שהצוות שגיבש את מפת המדדים יידרש שוב לצורך בקביעת יעדים לאומיים להזדקנות מיטבית ולעיגונם בהחלטת ממשלה בהמשך להחלטת הממשלה מ</w:t>
      </w:r>
      <w:r w:rsidRPr="00861D72">
        <w:rPr>
          <w:rFonts w:eastAsia="Calibri" w:hint="cs"/>
          <w:b/>
          <w:bCs/>
          <w:rtl/>
        </w:rPr>
        <w:t>יולי 2021 שאימצה את מפת המדדים.</w:t>
      </w:r>
      <w:r w:rsidRPr="00861D72">
        <w:rPr>
          <w:rFonts w:eastAsia="Calibri" w:hint="cs"/>
          <w:b/>
          <w:bCs/>
          <w:rtl/>
          <w:lang w:eastAsia="he-IL"/>
        </w:rPr>
        <w:t xml:space="preserve"> זאת, בהינתן ש</w:t>
      </w:r>
      <w:r w:rsidRPr="00861D72">
        <w:rPr>
          <w:rFonts w:eastAsia="Calibri"/>
          <w:b/>
          <w:bCs/>
          <w:rtl/>
          <w:lang w:eastAsia="he-IL"/>
        </w:rPr>
        <w:t xml:space="preserve">קביעת יעדים אלה תאפשר לגזור יעדי משנה, יעדי ביניים ויעדים קצרי טווח, אשר ישמשו בסיס לתכנון עבודה ממשלתי סדור, </w:t>
      </w:r>
      <w:r w:rsidRPr="00861D72" w:rsidR="00011037">
        <w:rPr>
          <w:rFonts w:eastAsia="Calibri" w:hint="cs"/>
          <w:b/>
          <w:bCs/>
          <w:rtl/>
          <w:lang w:eastAsia="he-IL"/>
        </w:rPr>
        <w:t>לתיעדו</w:t>
      </w:r>
      <w:r w:rsidRPr="00861D72" w:rsidR="00011037">
        <w:rPr>
          <w:rFonts w:eastAsia="Calibri" w:hint="eastAsia"/>
          <w:b/>
          <w:bCs/>
          <w:rtl/>
          <w:lang w:eastAsia="he-IL"/>
        </w:rPr>
        <w:t>ף</w:t>
      </w:r>
      <w:r w:rsidRPr="00861D72">
        <w:rPr>
          <w:rFonts w:eastAsia="Calibri"/>
          <w:b/>
          <w:bCs/>
          <w:rtl/>
          <w:lang w:eastAsia="he-IL"/>
        </w:rPr>
        <w:t xml:space="preserve"> הקצאת משאבים ולבחינ</w:t>
      </w:r>
      <w:r w:rsidRPr="00861D72">
        <w:rPr>
          <w:rFonts w:eastAsia="Calibri" w:hint="cs"/>
          <w:b/>
          <w:bCs/>
          <w:rtl/>
          <w:lang w:eastAsia="he-IL"/>
        </w:rPr>
        <w:t>ה של</w:t>
      </w:r>
      <w:r w:rsidRPr="00861D72">
        <w:rPr>
          <w:rFonts w:eastAsia="Calibri"/>
          <w:b/>
          <w:bCs/>
          <w:rtl/>
          <w:lang w:eastAsia="he-IL"/>
        </w:rPr>
        <w:t xml:space="preserve"> מידת ההתקדמות ביישום המדיניות.</w:t>
      </w:r>
      <w:r w:rsidRPr="00861D72">
        <w:rPr>
          <w:rFonts w:eastAsia="Calibri" w:hint="cs"/>
          <w:b/>
          <w:bCs/>
          <w:rtl/>
          <w:lang w:eastAsia="he-IL"/>
        </w:rPr>
        <w:t xml:space="preserve"> כמו כן</w:t>
      </w:r>
      <w:r w:rsidRPr="00861D72">
        <w:rPr>
          <w:rFonts w:eastAsia="Calibri"/>
          <w:b/>
          <w:bCs/>
          <w:rtl/>
          <w:lang w:eastAsia="he-IL"/>
        </w:rPr>
        <w:t xml:space="preserve"> מומלץ </w:t>
      </w:r>
      <w:r w:rsidRPr="00861D72">
        <w:rPr>
          <w:rFonts w:eastAsia="Calibri" w:hint="cs"/>
          <w:b/>
          <w:bCs/>
          <w:rtl/>
          <w:lang w:eastAsia="he-IL"/>
        </w:rPr>
        <w:t>כי במסגרת בחינת הצורך בקביעת יעדי העל יבחן גם הצורך במינוי גורם אחראי למימושם ובגיבוש</w:t>
      </w:r>
      <w:r w:rsidRPr="00861D72">
        <w:rPr>
          <w:rFonts w:eastAsia="Calibri"/>
          <w:b/>
          <w:bCs/>
          <w:rtl/>
          <w:lang w:eastAsia="he-IL"/>
        </w:rPr>
        <w:t xml:space="preserve"> מנגנון קבוע לניטור, </w:t>
      </w:r>
      <w:r w:rsidRPr="00861D72">
        <w:rPr>
          <w:rFonts w:eastAsia="Calibri" w:hint="cs"/>
          <w:b/>
          <w:bCs/>
          <w:rtl/>
          <w:lang w:eastAsia="he-IL"/>
        </w:rPr>
        <w:t>ל</w:t>
      </w:r>
      <w:r w:rsidRPr="00861D72">
        <w:rPr>
          <w:rFonts w:eastAsia="Calibri"/>
          <w:b/>
          <w:bCs/>
          <w:rtl/>
          <w:lang w:eastAsia="he-IL"/>
        </w:rPr>
        <w:t>הערכה ו</w:t>
      </w:r>
      <w:r w:rsidRPr="00861D72">
        <w:rPr>
          <w:rFonts w:eastAsia="Calibri" w:hint="cs"/>
          <w:b/>
          <w:bCs/>
          <w:rtl/>
          <w:lang w:eastAsia="he-IL"/>
        </w:rPr>
        <w:t>ל</w:t>
      </w:r>
      <w:r w:rsidRPr="00861D72">
        <w:rPr>
          <w:rFonts w:eastAsia="Calibri"/>
          <w:b/>
          <w:bCs/>
          <w:rtl/>
          <w:lang w:eastAsia="he-IL"/>
        </w:rPr>
        <w:t>דיווח על עמידה ביעדים</w:t>
      </w:r>
      <w:r w:rsidRPr="00861D72">
        <w:rPr>
          <w:rFonts w:eastAsia="Calibri" w:hint="cs"/>
          <w:b/>
          <w:bCs/>
          <w:rtl/>
          <w:lang w:eastAsia="he-IL"/>
        </w:rPr>
        <w:t>.</w:t>
      </w:r>
      <w:r w:rsidRPr="00861D72">
        <w:rPr>
          <w:rFonts w:eastAsia="Calibri"/>
          <w:b/>
          <w:bCs/>
          <w:rtl/>
          <w:lang w:eastAsia="he-IL"/>
        </w:rPr>
        <w:t xml:space="preserve"> מנגנון זה יסייע להבטיח כי כיווני הפעולה האסטרטגיים של הממשלה יתורגמו לביצוע אפקטיבי ו</w:t>
      </w:r>
      <w:r w:rsidRPr="00861D72">
        <w:rPr>
          <w:rFonts w:eastAsia="Calibri" w:hint="cs"/>
          <w:b/>
          <w:bCs/>
          <w:rtl/>
          <w:lang w:eastAsia="he-IL"/>
        </w:rPr>
        <w:t>ל</w:t>
      </w:r>
      <w:r w:rsidRPr="00861D72">
        <w:rPr>
          <w:rFonts w:eastAsia="Calibri"/>
          <w:b/>
          <w:bCs/>
          <w:rtl/>
          <w:lang w:eastAsia="he-IL"/>
        </w:rPr>
        <w:t>תוצאות מדידות לאורך זמן.</w:t>
      </w:r>
    </w:p>
    <w:p w:rsidR="00861D72" w:rsidRPr="007126FE" w:rsidP="00F90255">
      <w:pPr>
        <w:spacing w:line="269" w:lineRule="auto"/>
        <w:rPr>
          <w:rFonts w:eastAsia="Calibri"/>
          <w:rtl/>
        </w:rPr>
      </w:pPr>
    </w:p>
    <w:p w:rsidR="00861D72" w:rsidRPr="00861D72" w:rsidP="00F90255">
      <w:pPr>
        <w:tabs>
          <w:tab w:val="left" w:pos="424"/>
        </w:tabs>
        <w:spacing w:line="269" w:lineRule="auto"/>
        <w:ind w:right="-113"/>
        <w:rPr>
          <w:rFonts w:ascii="David" w:eastAsia="Calibri" w:hAnsi="David"/>
          <w:sz w:val="24"/>
          <w:rtl/>
        </w:rPr>
      </w:pPr>
      <w:r w:rsidRPr="00861D72">
        <w:rPr>
          <w:rFonts w:eastAsia="Calibri" w:hint="cs"/>
          <w:rtl/>
          <w:lang w:eastAsia="he-IL"/>
        </w:rPr>
        <w:t xml:space="preserve">משרד הבריאות מסר בתשובתו כי </w:t>
      </w:r>
      <w:r w:rsidRPr="00861D72">
        <w:rPr>
          <w:rFonts w:ascii="David" w:eastAsia="Calibri" w:hAnsi="David"/>
          <w:sz w:val="24"/>
          <w:rtl/>
        </w:rPr>
        <w:t xml:space="preserve">קיימת עבודה שוטפת על עדכון ודיוק </w:t>
      </w:r>
      <w:r w:rsidRPr="00861D72">
        <w:rPr>
          <w:rFonts w:ascii="David" w:eastAsia="Calibri" w:hAnsi="David" w:hint="cs"/>
          <w:sz w:val="24"/>
          <w:rtl/>
        </w:rPr>
        <w:t xml:space="preserve">של </w:t>
      </w:r>
      <w:r w:rsidRPr="00861D72">
        <w:rPr>
          <w:rFonts w:ascii="David" w:eastAsia="Calibri" w:hAnsi="David"/>
          <w:sz w:val="24"/>
          <w:rtl/>
        </w:rPr>
        <w:t>מפת המדדים במסגרת פורום השותפים הממשלתי</w:t>
      </w:r>
      <w:r>
        <w:rPr>
          <w:rFonts w:ascii="David" w:eastAsia="Calibri" w:hAnsi="David"/>
          <w:sz w:val="24"/>
          <w:vertAlign w:val="superscript"/>
          <w:rtl/>
        </w:rPr>
        <w:footnoteReference w:id="83"/>
      </w:r>
      <w:r w:rsidRPr="00861D72">
        <w:rPr>
          <w:rFonts w:ascii="David" w:eastAsia="Calibri" w:hAnsi="David" w:hint="cs"/>
          <w:sz w:val="24"/>
          <w:rtl/>
        </w:rPr>
        <w:t xml:space="preserve">, וכי הוא </w:t>
      </w:r>
      <w:r w:rsidRPr="00861D72">
        <w:rPr>
          <w:rFonts w:ascii="David" w:eastAsia="Calibri" w:hAnsi="David"/>
          <w:sz w:val="24"/>
          <w:rtl/>
        </w:rPr>
        <w:t xml:space="preserve">יברך על העברת החלטת ממשלה ייעודית להזדקנות </w:t>
      </w:r>
      <w:r w:rsidRPr="00861D72">
        <w:rPr>
          <w:rFonts w:ascii="David" w:eastAsia="Calibri" w:hAnsi="David" w:hint="cs"/>
          <w:sz w:val="24"/>
          <w:rtl/>
        </w:rPr>
        <w:t>האוכלוסיי</w:t>
      </w:r>
      <w:r w:rsidRPr="00861D72">
        <w:rPr>
          <w:rFonts w:ascii="David" w:eastAsia="Calibri" w:hAnsi="David" w:hint="eastAsia"/>
          <w:sz w:val="24"/>
          <w:rtl/>
        </w:rPr>
        <w:t>ה</w:t>
      </w:r>
      <w:r w:rsidRPr="00861D72">
        <w:rPr>
          <w:rFonts w:ascii="David" w:eastAsia="Calibri" w:hAnsi="David"/>
          <w:sz w:val="24"/>
          <w:rtl/>
        </w:rPr>
        <w:t xml:space="preserve"> והכנסת הנושא לסדרי העדיפות הממשלתיים</w:t>
      </w:r>
      <w:r w:rsidRPr="00861D72">
        <w:rPr>
          <w:rFonts w:ascii="David" w:eastAsia="Calibri" w:hAnsi="David" w:hint="cs"/>
          <w:sz w:val="24"/>
          <w:rtl/>
        </w:rPr>
        <w:t>,</w:t>
      </w:r>
      <w:r w:rsidRPr="00861D72">
        <w:rPr>
          <w:rFonts w:ascii="David" w:eastAsia="Calibri" w:hAnsi="David"/>
          <w:sz w:val="24"/>
          <w:rtl/>
        </w:rPr>
        <w:t xml:space="preserve"> כולל תקציב ראוי </w:t>
      </w:r>
      <w:r w:rsidRPr="00861D72">
        <w:rPr>
          <w:rFonts w:ascii="David" w:eastAsia="Calibri" w:hAnsi="David" w:hint="cs"/>
          <w:sz w:val="24"/>
          <w:rtl/>
        </w:rPr>
        <w:t>ה</w:t>
      </w:r>
      <w:r w:rsidRPr="00861D72">
        <w:rPr>
          <w:rFonts w:ascii="David" w:eastAsia="Calibri" w:hAnsi="David"/>
          <w:sz w:val="24"/>
          <w:rtl/>
        </w:rPr>
        <w:t xml:space="preserve">עומד בהלימה לגידול החזוי של </w:t>
      </w:r>
      <w:r w:rsidRPr="00861D72">
        <w:rPr>
          <w:rFonts w:ascii="David" w:eastAsia="Calibri" w:hAnsi="David" w:hint="cs"/>
          <w:sz w:val="24"/>
          <w:rtl/>
        </w:rPr>
        <w:t>אוכלוסיי</w:t>
      </w:r>
      <w:r w:rsidRPr="00861D72">
        <w:rPr>
          <w:rFonts w:ascii="David" w:eastAsia="Calibri" w:hAnsi="David" w:hint="eastAsia"/>
          <w:sz w:val="24"/>
          <w:rtl/>
        </w:rPr>
        <w:t>ה</w:t>
      </w:r>
      <w:r w:rsidRPr="00861D72">
        <w:rPr>
          <w:rFonts w:ascii="David" w:eastAsia="Calibri" w:hAnsi="David"/>
          <w:sz w:val="24"/>
          <w:rtl/>
        </w:rPr>
        <w:t xml:space="preserve"> זו בשנים הקרובות. </w:t>
      </w:r>
    </w:p>
    <w:p w:rsidR="00861D72" w:rsidRPr="007126FE" w:rsidP="00F90255">
      <w:pPr>
        <w:tabs>
          <w:tab w:val="left" w:pos="424"/>
        </w:tabs>
        <w:spacing w:line="269" w:lineRule="auto"/>
        <w:ind w:right="-113"/>
        <w:rPr>
          <w:rFonts w:ascii="David" w:eastAsia="Calibri" w:hAnsi="David"/>
          <w:sz w:val="22"/>
          <w:szCs w:val="22"/>
          <w:rtl/>
        </w:rPr>
      </w:pPr>
    </w:p>
    <w:p w:rsidR="00861D72" w:rsidRPr="00861D72" w:rsidP="00F90255">
      <w:pPr>
        <w:keepNext/>
        <w:keepLines/>
        <w:spacing w:line="269" w:lineRule="auto"/>
        <w:outlineLvl w:val="4"/>
        <w:rPr>
          <w:rFonts w:eastAsia="Times New Roman"/>
          <w:bCs/>
          <w:spacing w:val="40"/>
          <w:rtl/>
          <w:lang w:eastAsia="he-IL"/>
        </w:rPr>
      </w:pPr>
      <w:bookmarkStart w:id="36" w:name="_Hlk208996012"/>
      <w:r w:rsidRPr="00861D72">
        <w:rPr>
          <w:rFonts w:eastAsia="Times New Roman" w:hint="cs"/>
          <w:bCs/>
          <w:spacing w:val="40"/>
          <w:rtl/>
          <w:lang w:eastAsia="he-IL"/>
        </w:rPr>
        <w:t>תוכניות</w:t>
      </w:r>
      <w:r w:rsidRPr="00861D72">
        <w:rPr>
          <w:rFonts w:eastAsia="Times New Roman" w:hint="cs"/>
          <w:bCs/>
          <w:spacing w:val="40"/>
          <w:rtl/>
          <w:lang w:eastAsia="he-IL"/>
        </w:rPr>
        <w:t xml:space="preserve"> עבודה אופרטיביות ליישום מפת המדדים </w:t>
      </w:r>
    </w:p>
    <w:p w:rsidR="00861D72" w:rsidRPr="007126FE"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 xml:space="preserve">כדי לאפשר הטמעה של מדיניות אסטרטגית יש לתרגמה לתוכניות עבודה אופרטיביות. מדריך התכנון הממשלתי קובע כי על </w:t>
      </w:r>
      <w:r w:rsidRPr="00861D72">
        <w:rPr>
          <w:rFonts w:eastAsia="Calibri" w:hint="cs"/>
          <w:rtl/>
          <w:lang w:eastAsia="he-IL"/>
        </w:rPr>
        <w:t>תוכנית</w:t>
      </w:r>
      <w:r w:rsidRPr="00861D72">
        <w:rPr>
          <w:rFonts w:eastAsia="Calibri" w:hint="cs"/>
          <w:rtl/>
          <w:lang w:eastAsia="he-IL"/>
        </w:rPr>
        <w:t xml:space="preserve"> עבודה משרדית לכלול שלושה רבדים: </w:t>
      </w:r>
      <w:r w:rsidRPr="00861D72">
        <w:rPr>
          <w:rFonts w:eastAsia="Calibri"/>
          <w:rtl/>
          <w:lang w:eastAsia="he-IL"/>
        </w:rPr>
        <w:t>מטרות</w:t>
      </w:r>
      <w:r>
        <w:rPr>
          <w:rFonts w:eastAsia="Calibri"/>
          <w:vertAlign w:val="superscript"/>
          <w:rtl/>
          <w:lang w:eastAsia="he-IL"/>
        </w:rPr>
        <w:footnoteReference w:id="84"/>
      </w:r>
      <w:r w:rsidRPr="00861D72">
        <w:rPr>
          <w:rFonts w:eastAsia="Calibri" w:hint="cs"/>
          <w:rtl/>
          <w:lang w:eastAsia="he-IL"/>
        </w:rPr>
        <w:t>,</w:t>
      </w:r>
      <w:r w:rsidRPr="00861D72">
        <w:rPr>
          <w:rFonts w:eastAsia="Calibri"/>
          <w:rtl/>
          <w:lang w:eastAsia="he-IL"/>
        </w:rPr>
        <w:t xml:space="preserve"> יעדים</w:t>
      </w:r>
      <w:r>
        <w:rPr>
          <w:rFonts w:eastAsia="Calibri"/>
          <w:vertAlign w:val="superscript"/>
          <w:rtl/>
          <w:lang w:eastAsia="he-IL"/>
        </w:rPr>
        <w:footnoteReference w:id="85"/>
      </w:r>
      <w:r w:rsidRPr="00861D72">
        <w:rPr>
          <w:rFonts w:eastAsia="Calibri" w:hint="cs"/>
          <w:rtl/>
          <w:lang w:eastAsia="he-IL"/>
        </w:rPr>
        <w:t xml:space="preserve"> ו</w:t>
      </w:r>
      <w:r w:rsidRPr="00861D72">
        <w:rPr>
          <w:rFonts w:eastAsia="Calibri"/>
          <w:rtl/>
          <w:lang w:eastAsia="he-IL"/>
        </w:rPr>
        <w:t>משימות</w:t>
      </w:r>
      <w:r>
        <w:rPr>
          <w:rFonts w:eastAsia="Calibri"/>
          <w:vertAlign w:val="superscript"/>
          <w:rtl/>
          <w:lang w:eastAsia="he-IL"/>
        </w:rPr>
        <w:footnoteReference w:id="86"/>
      </w:r>
      <w:r w:rsidRPr="00861D72">
        <w:rPr>
          <w:rFonts w:eastAsia="Calibri"/>
          <w:rtl/>
          <w:lang w:eastAsia="he-IL"/>
        </w:rPr>
        <w:t>.</w:t>
      </w:r>
      <w:r w:rsidRPr="00861D72">
        <w:rPr>
          <w:rFonts w:eastAsia="Calibri" w:hint="cs"/>
          <w:rtl/>
          <w:lang w:eastAsia="he-IL"/>
        </w:rPr>
        <w:t xml:space="preserve"> </w:t>
      </w:r>
      <w:r w:rsidRPr="00861D72">
        <w:rPr>
          <w:rFonts w:eastAsia="Calibri"/>
          <w:rtl/>
          <w:lang w:eastAsia="he-IL"/>
        </w:rPr>
        <w:t>לצד המטרות והיעדים יופיעו מדדי תוצאה, המגדירים את השינוי המצופה</w:t>
      </w:r>
      <w:r w:rsidRPr="00861D72">
        <w:rPr>
          <w:rFonts w:eastAsia="Calibri" w:hint="cs"/>
          <w:rtl/>
          <w:lang w:eastAsia="he-IL"/>
        </w:rPr>
        <w:t xml:space="preserve"> </w:t>
      </w:r>
      <w:r w:rsidRPr="00861D72">
        <w:rPr>
          <w:rFonts w:eastAsia="Calibri"/>
          <w:rtl/>
          <w:lang w:eastAsia="he-IL"/>
        </w:rPr>
        <w:t>בסביבה כתוצאה מהפעולה</w:t>
      </w:r>
      <w:r w:rsidRPr="00861D72">
        <w:rPr>
          <w:rFonts w:eastAsia="Calibri" w:hint="cs"/>
          <w:rtl/>
          <w:lang w:eastAsia="he-IL"/>
        </w:rPr>
        <w:t>.</w:t>
      </w:r>
      <w:r w:rsidRPr="00861D72">
        <w:rPr>
          <w:rFonts w:eastAsia="Calibri"/>
          <w:rtl/>
          <w:lang w:eastAsia="he-IL"/>
        </w:rPr>
        <w:t xml:space="preserve"> קביעת מדדים מאפשרת להגדיר מה רוצים</w:t>
      </w:r>
      <w:r w:rsidRPr="00861D72">
        <w:rPr>
          <w:rFonts w:eastAsia="Calibri" w:hint="cs"/>
          <w:rtl/>
          <w:lang w:eastAsia="he-IL"/>
        </w:rPr>
        <w:t xml:space="preserve"> </w:t>
      </w:r>
      <w:r w:rsidRPr="00861D72">
        <w:rPr>
          <w:rFonts w:eastAsia="Calibri"/>
          <w:rtl/>
          <w:lang w:eastAsia="he-IL"/>
        </w:rPr>
        <w:t xml:space="preserve">להשיג, ולדעת מה </w:t>
      </w:r>
      <w:r w:rsidRPr="00861D72">
        <w:rPr>
          <w:rFonts w:ascii="David" w:eastAsia="Calibri" w:hAnsi="David" w:hint="cs"/>
          <w:rtl/>
          <w:lang w:eastAsia="he-IL"/>
        </w:rPr>
        <w:t>הושג</w:t>
      </w:r>
      <w:r w:rsidRPr="00861D72">
        <w:rPr>
          <w:rFonts w:eastAsia="Calibri"/>
          <w:rtl/>
          <w:lang w:eastAsia="he-IL"/>
        </w:rPr>
        <w:t xml:space="preserve"> בפועל. מדדי תוצאה מספקים כלי</w:t>
      </w:r>
      <w:r w:rsidRPr="00861D72">
        <w:rPr>
          <w:rFonts w:eastAsia="Calibri" w:hint="cs"/>
          <w:rtl/>
          <w:lang w:eastAsia="he-IL"/>
        </w:rPr>
        <w:t xml:space="preserve"> </w:t>
      </w:r>
      <w:r w:rsidRPr="00861D72">
        <w:rPr>
          <w:rFonts w:eastAsia="Calibri"/>
          <w:rtl/>
          <w:lang w:eastAsia="he-IL"/>
        </w:rPr>
        <w:t>שיטתי ואפקטיבי להערכ</w:t>
      </w:r>
      <w:r w:rsidRPr="00861D72">
        <w:rPr>
          <w:rFonts w:eastAsia="Calibri" w:hint="cs"/>
          <w:rtl/>
          <w:lang w:eastAsia="he-IL"/>
        </w:rPr>
        <w:t>ה של</w:t>
      </w:r>
      <w:r w:rsidRPr="00861D72">
        <w:rPr>
          <w:rFonts w:eastAsia="Calibri"/>
          <w:rtl/>
          <w:lang w:eastAsia="he-IL"/>
        </w:rPr>
        <w:t xml:space="preserve"> מימוש המדיניות לצד אמצעי</w:t>
      </w:r>
      <w:r w:rsidRPr="00861D72">
        <w:rPr>
          <w:rFonts w:eastAsia="Calibri" w:hint="cs"/>
          <w:rtl/>
          <w:lang w:eastAsia="he-IL"/>
        </w:rPr>
        <w:t xml:space="preserve"> </w:t>
      </w:r>
      <w:r w:rsidRPr="00861D72">
        <w:rPr>
          <w:rFonts w:eastAsia="Calibri"/>
          <w:rtl/>
          <w:lang w:eastAsia="he-IL"/>
        </w:rPr>
        <w:t>להתאמת המדיניות לשם הצלחה גדולה יותר בעתיד</w:t>
      </w:r>
      <w:r>
        <w:rPr>
          <w:rFonts w:eastAsia="Calibri"/>
          <w:vertAlign w:val="superscript"/>
          <w:rtl/>
          <w:lang w:eastAsia="he-IL"/>
        </w:rPr>
        <w:footnoteReference w:id="87"/>
      </w:r>
      <w:r w:rsidRPr="00861D72">
        <w:rPr>
          <w:rFonts w:eastAsia="Calibri" w:hint="cs"/>
          <w:rtl/>
          <w:lang w:eastAsia="he-IL"/>
        </w:rPr>
        <w:t xml:space="preserve">. </w:t>
      </w:r>
    </w:p>
    <w:p w:rsidR="00861D72" w:rsidRPr="007126FE"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 xml:space="preserve">מפת המדדים מגדירה את מטרתה העיקרית, לאפשר הזדקנות מיטבית, וקובעת את המדדים שבאמצעותם יש לבחון את קיומה של הזדקנות מיטבית </w:t>
      </w:r>
      <w:r w:rsidRPr="00861D72">
        <w:rPr>
          <w:rFonts w:eastAsia="Calibri"/>
          <w:rtl/>
          <w:lang w:eastAsia="he-IL"/>
        </w:rPr>
        <w:t>-</w:t>
      </w:r>
      <w:r w:rsidRPr="00861D72">
        <w:rPr>
          <w:rFonts w:eastAsia="Calibri" w:hint="cs"/>
          <w:rtl/>
          <w:lang w:eastAsia="he-IL"/>
        </w:rPr>
        <w:t xml:space="preserve"> שנות חיים בריאים, תפקוד, בדידות, איכות חיים, עוני ויכולת להסתדר כלכלית. המפה גם מגדירה סדרה של מדדים מנבאים להזדקנות מיטבית. המדדים המנבאים הם מדדים </w:t>
      </w:r>
      <w:r w:rsidRPr="00861D72">
        <w:rPr>
          <w:rFonts w:eastAsia="Calibri"/>
          <w:rtl/>
          <w:lang w:eastAsia="he-IL"/>
        </w:rPr>
        <w:t>התנהגותי</w:t>
      </w:r>
      <w:r w:rsidRPr="00861D72">
        <w:rPr>
          <w:rFonts w:eastAsia="Calibri" w:hint="cs"/>
          <w:rtl/>
          <w:lang w:eastAsia="he-IL"/>
        </w:rPr>
        <w:t>ים</w:t>
      </w:r>
      <w:r w:rsidRPr="00861D72">
        <w:rPr>
          <w:rFonts w:eastAsia="Calibri"/>
          <w:rtl/>
          <w:lang w:eastAsia="he-IL"/>
        </w:rPr>
        <w:t xml:space="preserve"> או תפיסתי</w:t>
      </w:r>
      <w:r w:rsidRPr="00861D72">
        <w:rPr>
          <w:rFonts w:eastAsia="Calibri" w:hint="cs"/>
          <w:rtl/>
          <w:lang w:eastAsia="he-IL"/>
        </w:rPr>
        <w:t>ים, שאפשר להשפיע עליהם (</w:t>
      </w:r>
      <w:r w:rsidRPr="00861D72">
        <w:rPr>
          <w:rFonts w:eastAsia="Calibri"/>
          <w:rtl/>
          <w:lang w:eastAsia="he-IL"/>
        </w:rPr>
        <w:t>בשונה ממדדים קשיחים</w:t>
      </w:r>
      <w:r w:rsidRPr="00861D72">
        <w:rPr>
          <w:rFonts w:eastAsia="Calibri" w:hint="cs"/>
          <w:rtl/>
          <w:lang w:eastAsia="he-IL"/>
        </w:rPr>
        <w:t>,</w:t>
      </w:r>
      <w:r w:rsidRPr="00861D72">
        <w:rPr>
          <w:rFonts w:eastAsia="Calibri"/>
          <w:rtl/>
          <w:lang w:eastAsia="he-IL"/>
        </w:rPr>
        <w:t xml:space="preserve"> כגון מין</w:t>
      </w:r>
      <w:r w:rsidRPr="00861D72">
        <w:rPr>
          <w:rFonts w:eastAsia="Calibri" w:hint="cs"/>
          <w:rtl/>
          <w:lang w:eastAsia="he-IL"/>
        </w:rPr>
        <w:t xml:space="preserve"> והשכלה), ו</w:t>
      </w:r>
      <w:r w:rsidRPr="00861D72">
        <w:rPr>
          <w:rFonts w:eastAsia="Calibri"/>
          <w:rtl/>
          <w:lang w:eastAsia="he-IL"/>
        </w:rPr>
        <w:t>נמצא</w:t>
      </w:r>
      <w:r w:rsidRPr="00861D72">
        <w:rPr>
          <w:rFonts w:eastAsia="Calibri" w:hint="cs"/>
          <w:rtl/>
          <w:lang w:eastAsia="he-IL"/>
        </w:rPr>
        <w:t>ו</w:t>
      </w:r>
      <w:r w:rsidRPr="00861D72">
        <w:rPr>
          <w:rFonts w:eastAsia="Calibri"/>
          <w:rtl/>
          <w:lang w:eastAsia="he-IL"/>
        </w:rPr>
        <w:t xml:space="preserve"> בספרות המחקרית </w:t>
      </w:r>
      <w:r w:rsidRPr="00861D72">
        <w:rPr>
          <w:rFonts w:eastAsia="Calibri" w:hint="cs"/>
          <w:rtl/>
          <w:lang w:eastAsia="he-IL"/>
        </w:rPr>
        <w:t>כ</w:t>
      </w:r>
      <w:r w:rsidRPr="00861D72">
        <w:rPr>
          <w:rFonts w:eastAsia="Calibri"/>
          <w:rtl/>
          <w:lang w:eastAsia="he-IL"/>
        </w:rPr>
        <w:t>בעל</w:t>
      </w:r>
      <w:r w:rsidRPr="00861D72">
        <w:rPr>
          <w:rFonts w:eastAsia="Calibri" w:hint="cs"/>
          <w:rtl/>
          <w:lang w:eastAsia="he-IL"/>
        </w:rPr>
        <w:t>י</w:t>
      </w:r>
      <w:r w:rsidRPr="00861D72">
        <w:rPr>
          <w:rFonts w:eastAsia="Calibri"/>
          <w:rtl/>
          <w:lang w:eastAsia="he-IL"/>
        </w:rPr>
        <w:t xml:space="preserve"> השפעה </w:t>
      </w:r>
      <w:r w:rsidRPr="00861D72">
        <w:rPr>
          <w:rFonts w:eastAsia="Calibri" w:hint="cs"/>
          <w:rtl/>
          <w:lang w:eastAsia="he-IL"/>
        </w:rPr>
        <w:t>על</w:t>
      </w:r>
      <w:r w:rsidRPr="00861D72">
        <w:rPr>
          <w:rFonts w:eastAsia="Calibri"/>
          <w:rtl/>
          <w:lang w:eastAsia="he-IL"/>
        </w:rPr>
        <w:t xml:space="preserve"> הזדקנות מיטבית</w:t>
      </w:r>
      <w:r w:rsidRPr="00861D72">
        <w:rPr>
          <w:rFonts w:eastAsia="Calibri" w:hint="cs"/>
          <w:rtl/>
          <w:lang w:eastAsia="he-IL"/>
        </w:rPr>
        <w:t xml:space="preserve">. </w:t>
      </w:r>
      <w:r w:rsidRPr="00861D72">
        <w:rPr>
          <w:rFonts w:eastAsia="Calibri"/>
          <w:rtl/>
          <w:lang w:eastAsia="he-IL"/>
        </w:rPr>
        <w:t>התערבות במדדים הללו בכל גיל תהיה בעלת השפעה חיובית מובהקת על ההזדקנות המיטבית</w:t>
      </w:r>
      <w:r>
        <w:rPr>
          <w:rFonts w:eastAsia="Calibri"/>
          <w:vertAlign w:val="superscript"/>
          <w:rtl/>
          <w:lang w:eastAsia="he-IL"/>
        </w:rPr>
        <w:footnoteReference w:id="88"/>
      </w:r>
      <w:r w:rsidRPr="00861D72">
        <w:rPr>
          <w:rFonts w:eastAsia="Calibri" w:hint="cs"/>
          <w:rtl/>
          <w:lang w:eastAsia="he-IL"/>
        </w:rPr>
        <w:t xml:space="preserve">. </w:t>
      </w:r>
    </w:p>
    <w:p w:rsidR="00861D72" w:rsidRPr="007126FE"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ascii="David" w:eastAsia="Calibri" w:hAnsi="David" w:hint="cs"/>
          <w:rtl/>
          <w:lang w:eastAsia="he-IL"/>
        </w:rPr>
        <w:t>החלטת</w:t>
      </w:r>
      <w:r w:rsidRPr="00861D72">
        <w:rPr>
          <w:rFonts w:eastAsia="Calibri" w:hint="cs"/>
          <w:rtl/>
          <w:lang w:eastAsia="he-IL"/>
        </w:rPr>
        <w:t xml:space="preserve"> הממשלה 127 מ-2021 קבעה כי על משרדי הממשלה הנותנים שירותים לאזרחים ותיקים להכווין את פעולותיהם ואת דרכי ההתערבות שלהם להשפעה על מדדי ההזדקנות שבמפת המדדים</w:t>
      </w:r>
      <w:r>
        <w:rPr>
          <w:rFonts w:eastAsia="Calibri"/>
          <w:vertAlign w:val="superscript"/>
          <w:rtl/>
          <w:lang w:eastAsia="he-IL"/>
        </w:rPr>
        <w:footnoteReference w:id="89"/>
      </w:r>
      <w:r w:rsidRPr="00861D72">
        <w:rPr>
          <w:rFonts w:eastAsia="Calibri" w:hint="cs"/>
          <w:rtl/>
          <w:lang w:eastAsia="he-IL"/>
        </w:rPr>
        <w:t xml:space="preserve">. כדי ליישם את החלטת הממשלה כלשונה ובהיעדר יעדים מוגדרים במפת המדדים ובהיעדר אחריות ספציפית, המוטלת מכוח המפה על המשרדים השונים בהשגת המדדים, נדרש ומצופה היה מגופי הממשל לבצע, כל אחד בתחומו, תהליך חשיבה אסטרטגי סדור לבניית </w:t>
      </w:r>
      <w:r w:rsidRPr="00861D72">
        <w:rPr>
          <w:rFonts w:eastAsia="Calibri" w:hint="cs"/>
          <w:rtl/>
          <w:lang w:eastAsia="he-IL"/>
        </w:rPr>
        <w:t>תוכנית</w:t>
      </w:r>
      <w:r w:rsidRPr="00861D72">
        <w:rPr>
          <w:rFonts w:eastAsia="Calibri" w:hint="cs"/>
          <w:rtl/>
          <w:lang w:eastAsia="he-IL"/>
        </w:rPr>
        <w:t xml:space="preserve"> עבודה משרדית. בתהליך זה על כל גוף לבחון מהם המדדים הקשורים לתחומי עיסוקו ולמטרותיו, ומהן הדרכים להשפעה על המדדים האלו. עוד מצופה היה מכל גוף להציב יעדים מדידים ולבצע מעקב ומדידה אחר השגתם.</w:t>
      </w:r>
    </w:p>
    <w:bookmarkEnd w:id="36"/>
    <w:p w:rsidR="00861D72" w:rsidRPr="007126FE" w:rsidP="00F90255">
      <w:pPr>
        <w:spacing w:line="269" w:lineRule="auto"/>
        <w:rPr>
          <w:rFonts w:eastAsia="Calibri"/>
          <w:rtl/>
        </w:rPr>
      </w:pPr>
    </w:p>
    <w:p w:rsidR="00861D72" w:rsidRPr="00861D72" w:rsidP="00F90255">
      <w:pPr>
        <w:keepNext/>
        <w:keepLines/>
        <w:spacing w:line="269" w:lineRule="auto"/>
        <w:outlineLvl w:val="5"/>
        <w:rPr>
          <w:rFonts w:eastAsia="Calibri"/>
          <w:b/>
          <w:bCs/>
          <w:rtl/>
          <w:lang w:eastAsia="he-IL"/>
        </w:rPr>
      </w:pPr>
      <w:bookmarkStart w:id="37" w:name="_Hlk222219097"/>
      <w:r w:rsidRPr="00861D72">
        <w:rPr>
          <w:rFonts w:eastAsia="Times New Roman" w:hint="cs"/>
          <w:bCs/>
          <w:spacing w:val="40"/>
          <w:rtl/>
        </w:rPr>
        <w:t>קביעת יעדים אופרטיביים ומדידים בתוכניות העבודה המשרדיות</w:t>
      </w:r>
      <w:bookmarkEnd w:id="37"/>
      <w:r w:rsidRPr="00861D72">
        <w:rPr>
          <w:rFonts w:eastAsia="Times New Roman" w:hint="cs"/>
          <w:bCs/>
          <w:spacing w:val="40"/>
          <w:rtl/>
        </w:rPr>
        <w:t>:</w:t>
      </w:r>
      <w:r w:rsidRPr="00861D72">
        <w:rPr>
          <w:rFonts w:eastAsia="Times New Roman" w:hint="cs"/>
          <w:spacing w:val="40"/>
          <w:rtl/>
          <w:lang w:eastAsia="he-IL"/>
        </w:rPr>
        <w:t xml:space="preserve"> </w:t>
      </w:r>
      <w:bookmarkStart w:id="38" w:name="_Hlk222219135"/>
      <w:r w:rsidRPr="00861D72">
        <w:rPr>
          <w:rFonts w:eastAsia="Calibri" w:hint="cs"/>
          <w:b/>
          <w:bCs/>
          <w:rtl/>
          <w:lang w:eastAsia="he-IL"/>
        </w:rPr>
        <w:t xml:space="preserve">בביקורת עלה כי בהיעדר יעדים לאומיים ומדדי תוצאה מדידים במפת המדדים, גופי הממשל העוסקים בנושא ההזדקנות, ובהם המשרד לשוויון חברתי, משרד הרווחה, משרד הבריאות, וכן </w:t>
      </w:r>
      <w:r w:rsidRPr="00861D72">
        <w:rPr>
          <w:rFonts w:eastAsia="Calibri" w:hint="cs"/>
          <w:b/>
          <w:bCs/>
          <w:rtl/>
          <w:lang w:eastAsia="he-IL"/>
        </w:rPr>
        <w:t>בט"ל</w:t>
      </w:r>
      <w:r w:rsidRPr="00861D72">
        <w:rPr>
          <w:rFonts w:eastAsia="Calibri" w:hint="cs"/>
          <w:b/>
          <w:bCs/>
          <w:rtl/>
          <w:lang w:eastAsia="he-IL"/>
        </w:rPr>
        <w:t xml:space="preserve"> - לא קבעו יעדים אופרטיביים לביצוע הניתנים למדידה לכלל המדדים במפה. </w:t>
      </w:r>
      <w:bookmarkEnd w:id="38"/>
      <w:r w:rsidRPr="00861D72">
        <w:rPr>
          <w:rFonts w:eastAsia="Calibri" w:hint="cs"/>
          <w:b/>
          <w:bCs/>
          <w:rtl/>
          <w:lang w:eastAsia="he-IL"/>
        </w:rPr>
        <w:t>הלוח שלהלן מציג בתמציתיות את קיומם החלקי של יעדים לגופי הממשל לפי המדדים שבמפת המדדים (לפירוט ולהרחבה לגבי היעדים שכל אחד מהמדדים ראו בפרקי הדוח השונים כמפורט להלן).</w:t>
      </w:r>
    </w:p>
    <w:p w:rsidR="00861D72" w:rsidRPr="007126FE" w:rsidP="00F90255">
      <w:pPr>
        <w:spacing w:line="269" w:lineRule="auto"/>
        <w:rPr>
          <w:rFonts w:eastAsia="Calibri"/>
          <w:rtl/>
          <w:lang w:eastAsia="he-IL"/>
        </w:rPr>
      </w:pPr>
    </w:p>
    <w:p w:rsidR="00EB2B30">
      <w:pPr>
        <w:bidi w:val="0"/>
        <w:spacing w:after="200" w:line="276" w:lineRule="auto"/>
        <w:rPr>
          <w:rFonts w:ascii="David" w:eastAsia="Calibri" w:hAnsi="David"/>
          <w:rtl/>
          <w:lang w:eastAsia="he-IL"/>
        </w:rPr>
      </w:pPr>
      <w:r>
        <w:rPr>
          <w:rFonts w:ascii="David" w:eastAsia="Calibri" w:hAnsi="David"/>
          <w:rtl/>
          <w:lang w:eastAsia="he-IL"/>
        </w:rPr>
        <w:br w:type="page"/>
      </w:r>
    </w:p>
    <w:p w:rsidR="00861D72" w:rsidRPr="00861D72" w:rsidP="00F90255">
      <w:pPr>
        <w:widowControl w:val="0"/>
        <w:spacing w:line="269" w:lineRule="auto"/>
        <w:jc w:val="center"/>
        <w:rPr>
          <w:rFonts w:ascii="David" w:eastAsia="Calibri" w:hAnsi="David"/>
          <w:b/>
          <w:bCs/>
          <w:rtl/>
          <w:lang w:eastAsia="he-IL"/>
        </w:rPr>
      </w:pPr>
      <w:r w:rsidRPr="00861D72">
        <w:rPr>
          <w:rFonts w:ascii="David" w:eastAsia="Calibri" w:hAnsi="David" w:hint="cs"/>
          <w:rtl/>
          <w:lang w:eastAsia="he-IL"/>
        </w:rPr>
        <w:t xml:space="preserve">לוח 2: </w:t>
      </w:r>
      <w:r w:rsidRPr="00861D72">
        <w:rPr>
          <w:rFonts w:ascii="David" w:eastAsia="Calibri" w:hAnsi="David" w:hint="cs"/>
          <w:b/>
          <w:bCs/>
          <w:rtl/>
          <w:lang w:eastAsia="he-IL"/>
        </w:rPr>
        <w:t>יעדים למשרדי הממשלה בהתייחס למדדי ההזדקנות המיטבית במפת המדדים</w:t>
      </w:r>
    </w:p>
    <w:tbl>
      <w:tblPr>
        <w:tblStyle w:val="310"/>
        <w:bidiVisual/>
        <w:tblW w:w="8196" w:type="dxa"/>
        <w:jc w:val="center"/>
        <w:tblLook w:val="04A0"/>
      </w:tblPr>
      <w:tblGrid>
        <w:gridCol w:w="983"/>
        <w:gridCol w:w="3810"/>
        <w:gridCol w:w="3403"/>
      </w:tblGrid>
      <w:tr w:rsidTr="007126FE">
        <w:tblPrEx>
          <w:tblW w:w="8196" w:type="dxa"/>
          <w:tblLook w:val="04A0"/>
        </w:tblPrEx>
        <w:tc>
          <w:tcPr>
            <w:tcW w:w="983" w:type="dxa"/>
            <w:shd w:val="clear" w:color="auto" w:fill="A6CBFA"/>
          </w:tcPr>
          <w:p w:rsidR="00861D72" w:rsidRPr="007126FE" w:rsidP="00F90255">
            <w:pPr>
              <w:spacing w:line="269" w:lineRule="auto"/>
              <w:jc w:val="center"/>
              <w:rPr>
                <w:rFonts w:eastAsia="Calibri"/>
                <w:sz w:val="22"/>
                <w:szCs w:val="22"/>
                <w:rtl/>
              </w:rPr>
            </w:pPr>
            <w:bookmarkStart w:id="39" w:name="_Hlk212726494"/>
            <w:r w:rsidRPr="007126FE">
              <w:rPr>
                <w:rFonts w:eastAsia="Calibri" w:hint="cs"/>
                <w:sz w:val="22"/>
                <w:szCs w:val="22"/>
                <w:rtl/>
              </w:rPr>
              <w:t>מדדי-על</w:t>
            </w:r>
          </w:p>
        </w:tc>
        <w:tc>
          <w:tcPr>
            <w:tcW w:w="3810" w:type="dxa"/>
            <w:shd w:val="clear" w:color="auto" w:fill="A6CBFA"/>
          </w:tcPr>
          <w:p w:rsidR="00861D72" w:rsidRPr="007126FE" w:rsidP="00F90255">
            <w:pPr>
              <w:spacing w:line="269" w:lineRule="auto"/>
              <w:jc w:val="center"/>
              <w:rPr>
                <w:rFonts w:eastAsia="Calibri"/>
                <w:sz w:val="22"/>
                <w:szCs w:val="22"/>
                <w:rtl/>
              </w:rPr>
            </w:pPr>
            <w:r w:rsidRPr="007126FE">
              <w:rPr>
                <w:rFonts w:eastAsia="Calibri" w:hint="cs"/>
                <w:sz w:val="22"/>
                <w:szCs w:val="22"/>
                <w:rtl/>
              </w:rPr>
              <w:t>קיומם או היעדרם של יעדים אופרטיביים לפעילותם של משרדי הממשלה בהתאם למדדי-העל</w:t>
            </w:r>
          </w:p>
        </w:tc>
        <w:tc>
          <w:tcPr>
            <w:tcW w:w="3403" w:type="dxa"/>
            <w:shd w:val="clear" w:color="auto" w:fill="A6CBFA"/>
          </w:tcPr>
          <w:p w:rsidR="00861D72" w:rsidRPr="007126FE" w:rsidP="00F90255">
            <w:pPr>
              <w:spacing w:line="269" w:lineRule="auto"/>
              <w:jc w:val="center"/>
              <w:rPr>
                <w:rFonts w:eastAsia="Calibri"/>
                <w:sz w:val="22"/>
                <w:szCs w:val="22"/>
                <w:rtl/>
              </w:rPr>
            </w:pPr>
            <w:r w:rsidRPr="007126FE">
              <w:rPr>
                <w:rFonts w:eastAsia="Calibri" w:hint="cs"/>
                <w:sz w:val="22"/>
                <w:szCs w:val="22"/>
                <w:rtl/>
              </w:rPr>
              <w:t>דוגמה לקיומם או להיעדרם של יעדים אופרטיביים לפעילותם של משרדי הממשלה למדדים מנבאים</w:t>
            </w:r>
            <w:r>
              <w:rPr>
                <w:rFonts w:eastAsia="Calibri"/>
                <w:sz w:val="22"/>
                <w:szCs w:val="22"/>
                <w:vertAlign w:val="superscript"/>
                <w:rtl/>
              </w:rPr>
              <w:footnoteReference w:id="90"/>
            </w:r>
          </w:p>
        </w:tc>
      </w:tr>
      <w:tr w:rsidTr="007126FE">
        <w:tblPrEx>
          <w:tblW w:w="8196" w:type="dxa"/>
          <w:tblLook w:val="04A0"/>
        </w:tblPrEx>
        <w:tc>
          <w:tcPr>
            <w:tcW w:w="8196" w:type="dxa"/>
            <w:gridSpan w:val="3"/>
            <w:shd w:val="clear" w:color="auto" w:fill="D2E5FD"/>
          </w:tcPr>
          <w:p w:rsidR="00861D72" w:rsidRPr="007126FE" w:rsidP="00F90255">
            <w:pPr>
              <w:spacing w:line="269" w:lineRule="auto"/>
              <w:jc w:val="center"/>
              <w:rPr>
                <w:rFonts w:eastAsia="Calibri"/>
                <w:sz w:val="22"/>
                <w:szCs w:val="22"/>
                <w:rtl/>
              </w:rPr>
            </w:pPr>
            <w:r w:rsidRPr="007126FE">
              <w:rPr>
                <w:rFonts w:eastAsia="Calibri" w:hint="cs"/>
                <w:sz w:val="22"/>
                <w:szCs w:val="22"/>
                <w:rtl/>
              </w:rPr>
              <w:t>בריאות</w:t>
            </w:r>
          </w:p>
        </w:tc>
      </w:tr>
      <w:tr w:rsidTr="007126FE">
        <w:tblPrEx>
          <w:tblW w:w="8196" w:type="dxa"/>
          <w:tblLook w:val="04A0"/>
        </w:tblPrEx>
        <w:tc>
          <w:tcPr>
            <w:tcW w:w="983" w:type="dxa"/>
            <w:shd w:val="clear" w:color="auto" w:fill="D2E5FD"/>
          </w:tcPr>
          <w:p w:rsidR="00861D72" w:rsidRPr="007126FE" w:rsidP="00F90255">
            <w:pPr>
              <w:spacing w:line="269" w:lineRule="auto"/>
              <w:rPr>
                <w:rFonts w:eastAsia="Calibri"/>
                <w:sz w:val="22"/>
                <w:szCs w:val="22"/>
                <w:rtl/>
              </w:rPr>
            </w:pPr>
            <w:r w:rsidRPr="007126FE">
              <w:rPr>
                <w:rFonts w:eastAsia="Calibri" w:hint="cs"/>
                <w:sz w:val="22"/>
                <w:szCs w:val="22"/>
                <w:rtl/>
              </w:rPr>
              <w:t>שנות חיים בריאים</w:t>
            </w:r>
          </w:p>
        </w:tc>
        <w:tc>
          <w:tcPr>
            <w:tcW w:w="3810" w:type="dxa"/>
            <w:shd w:val="clear" w:color="auto" w:fill="FFFFFF"/>
          </w:tcPr>
          <w:p w:rsidR="00861D72" w:rsidRPr="007126FE" w:rsidP="00CC23A7">
            <w:pPr>
              <w:spacing w:line="269" w:lineRule="auto"/>
              <w:jc w:val="left"/>
              <w:rPr>
                <w:rFonts w:eastAsia="Calibri"/>
                <w:sz w:val="22"/>
                <w:szCs w:val="22"/>
                <w:rtl/>
              </w:rPr>
            </w:pPr>
            <w:r w:rsidRPr="007126FE">
              <w:rPr>
                <w:rFonts w:eastAsia="Calibri"/>
                <w:noProof/>
                <w:sz w:val="22"/>
                <w:szCs w:val="22"/>
              </w:rPr>
              <w:drawing>
                <wp:inline distT="0" distB="0" distL="0" distR="0">
                  <wp:extent cx="152400" cy="180975"/>
                  <wp:effectExtent l="0" t="0" r="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9"/>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r w:rsidRPr="007126FE">
              <w:rPr>
                <w:rFonts w:eastAsia="Calibri" w:hint="cs"/>
                <w:sz w:val="22"/>
                <w:szCs w:val="22"/>
                <w:rtl/>
              </w:rPr>
              <w:t>משרד הבריאות קבע יעד לשנות חיים בריאים (נשים - 67.8, גברים - 67.2) עבור כלל האוכלוסייה מגיל 0, אך לא קבע יעד עבור שנות חיים בריאים מגיל 65 ומעלה.</w:t>
            </w:r>
          </w:p>
        </w:tc>
        <w:tc>
          <w:tcPr>
            <w:tcW w:w="3403" w:type="dxa"/>
            <w:vMerge w:val="restart"/>
            <w:shd w:val="clear" w:color="auto" w:fill="FFFFFF"/>
          </w:tcPr>
          <w:p w:rsidR="00861D72" w:rsidRPr="007126FE" w:rsidP="00CC23A7">
            <w:pPr>
              <w:spacing w:line="269" w:lineRule="auto"/>
              <w:jc w:val="left"/>
              <w:rPr>
                <w:rFonts w:eastAsia="Calibri"/>
                <w:noProof/>
                <w:sz w:val="22"/>
                <w:szCs w:val="22"/>
              </w:rPr>
            </w:pPr>
            <w:r w:rsidRPr="007126FE">
              <w:rPr>
                <w:rFonts w:eastAsia="Calibri"/>
                <w:noProof/>
                <w:sz w:val="22"/>
                <w:szCs w:val="22"/>
              </w:rPr>
              <w:drawing>
                <wp:inline distT="0" distB="0" distL="0" distR="0">
                  <wp:extent cx="180975" cy="180975"/>
                  <wp:effectExtent l="0" t="0" r="9525" b="9525"/>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תמונה 25"/>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80975" cy="180975"/>
                          </a:xfrm>
                          <a:prstGeom prst="rect">
                            <a:avLst/>
                          </a:prstGeom>
                          <a:noFill/>
                          <a:ln>
                            <a:noFill/>
                          </a:ln>
                        </pic:spPr>
                      </pic:pic>
                    </a:graphicData>
                  </a:graphic>
                </wp:inline>
              </w:drawing>
            </w:r>
            <w:r w:rsidRPr="007126FE">
              <w:rPr>
                <w:rFonts w:eastAsia="Calibri" w:hint="cs"/>
                <w:sz w:val="22"/>
                <w:szCs w:val="22"/>
                <w:rtl/>
              </w:rPr>
              <w:t>משרד הבריאות לא קבע יעדים מדידים לשניים מהמדדים המנבאים למדד-על - קבלת חיסון נגד שפעת וקבלת חיסון נגד דלקת ריאות</w:t>
            </w:r>
            <w:r>
              <w:rPr>
                <w:rFonts w:eastAsia="Calibri"/>
                <w:sz w:val="22"/>
                <w:szCs w:val="22"/>
                <w:vertAlign w:val="superscript"/>
                <w:rtl/>
              </w:rPr>
              <w:footnoteReference w:id="91"/>
            </w:r>
            <w:r w:rsidRPr="007126FE">
              <w:rPr>
                <w:rFonts w:eastAsia="Calibri" w:hint="cs"/>
                <w:sz w:val="22"/>
                <w:szCs w:val="22"/>
                <w:rtl/>
              </w:rPr>
              <w:t>.</w:t>
            </w:r>
          </w:p>
        </w:tc>
      </w:tr>
      <w:tr w:rsidTr="007126FE">
        <w:tblPrEx>
          <w:tblW w:w="8196" w:type="dxa"/>
          <w:tblLook w:val="04A0"/>
        </w:tblPrEx>
        <w:tc>
          <w:tcPr>
            <w:tcW w:w="983" w:type="dxa"/>
            <w:shd w:val="clear" w:color="auto" w:fill="D2E5FD"/>
          </w:tcPr>
          <w:p w:rsidR="00861D72" w:rsidRPr="007126FE" w:rsidP="00F90255">
            <w:pPr>
              <w:spacing w:line="269" w:lineRule="auto"/>
              <w:rPr>
                <w:rFonts w:eastAsia="Calibri"/>
                <w:sz w:val="22"/>
                <w:szCs w:val="22"/>
                <w:rtl/>
              </w:rPr>
            </w:pPr>
            <w:r w:rsidRPr="007126FE">
              <w:rPr>
                <w:rFonts w:eastAsia="Calibri" w:hint="cs"/>
                <w:sz w:val="22"/>
                <w:szCs w:val="22"/>
                <w:rtl/>
              </w:rPr>
              <w:t>תפקוד</w:t>
            </w:r>
          </w:p>
        </w:tc>
        <w:tc>
          <w:tcPr>
            <w:tcW w:w="3810" w:type="dxa"/>
            <w:shd w:val="clear" w:color="auto" w:fill="FFFFFF"/>
          </w:tcPr>
          <w:p w:rsidR="00861D72" w:rsidRPr="007126FE" w:rsidP="00CC23A7">
            <w:pPr>
              <w:spacing w:line="269" w:lineRule="auto"/>
              <w:jc w:val="left"/>
              <w:rPr>
                <w:rFonts w:eastAsia="Calibri"/>
                <w:sz w:val="22"/>
                <w:szCs w:val="22"/>
                <w:rtl/>
              </w:rPr>
            </w:pPr>
            <w:r w:rsidRPr="007126FE">
              <w:rPr>
                <w:rFonts w:eastAsia="Calibri"/>
                <w:noProof/>
                <w:sz w:val="22"/>
                <w:szCs w:val="22"/>
              </w:rPr>
              <w:drawing>
                <wp:inline distT="0" distB="0" distL="0" distR="0">
                  <wp:extent cx="231775" cy="185420"/>
                  <wp:effectExtent l="0" t="0" r="0"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775" cy="185420"/>
                          </a:xfrm>
                          <a:prstGeom prst="rect">
                            <a:avLst/>
                          </a:prstGeom>
                          <a:noFill/>
                          <a:ln>
                            <a:noFill/>
                          </a:ln>
                        </pic:spPr>
                      </pic:pic>
                    </a:graphicData>
                  </a:graphic>
                </wp:inline>
              </w:drawing>
            </w:r>
            <w:r w:rsidRPr="007126FE">
              <w:rPr>
                <w:rFonts w:ascii="David" w:eastAsia="Calibri" w:hAnsi="David" w:hint="cs"/>
                <w:sz w:val="22"/>
                <w:szCs w:val="22"/>
                <w:rtl/>
                <w:lang w:eastAsia="he-IL"/>
              </w:rPr>
              <w:t>נקבע כי יש להוריד את שיעור המתקשים ב-</w:t>
            </w:r>
            <w:r w:rsidRPr="007126FE">
              <w:rPr>
                <w:rFonts w:ascii="David" w:eastAsia="Calibri" w:hAnsi="David" w:hint="cs"/>
                <w:sz w:val="22"/>
                <w:szCs w:val="22"/>
                <w:lang w:eastAsia="he-IL"/>
              </w:rPr>
              <w:t>ADL</w:t>
            </w:r>
            <w:r w:rsidRPr="007126FE">
              <w:rPr>
                <w:rFonts w:ascii="David" w:eastAsia="Calibri" w:hAnsi="David" w:hint="cs"/>
                <w:sz w:val="22"/>
                <w:szCs w:val="22"/>
                <w:rtl/>
                <w:lang w:eastAsia="he-IL"/>
              </w:rPr>
              <w:t xml:space="preserve"> וב-</w:t>
            </w:r>
            <w:r w:rsidRPr="007126FE">
              <w:rPr>
                <w:rFonts w:ascii="David" w:eastAsia="Calibri" w:hAnsi="David" w:hint="cs"/>
                <w:sz w:val="22"/>
                <w:szCs w:val="22"/>
                <w:lang w:eastAsia="he-IL"/>
              </w:rPr>
              <w:t>IAD</w:t>
            </w:r>
            <w:r w:rsidRPr="007126FE">
              <w:rPr>
                <w:rFonts w:ascii="David" w:eastAsia="Calibri" w:hAnsi="David"/>
                <w:sz w:val="22"/>
                <w:szCs w:val="22"/>
                <w:lang w:eastAsia="he-IL"/>
              </w:rPr>
              <w:t>L</w:t>
            </w:r>
            <w:r>
              <w:rPr>
                <w:rFonts w:ascii="David" w:eastAsia="Calibri" w:hAnsi="David"/>
                <w:sz w:val="22"/>
                <w:szCs w:val="22"/>
                <w:vertAlign w:val="superscript"/>
                <w:rtl/>
                <w:lang w:eastAsia="he-IL"/>
              </w:rPr>
              <w:footnoteReference w:id="92"/>
            </w:r>
            <w:r w:rsidRPr="007126FE">
              <w:rPr>
                <w:rFonts w:ascii="David" w:eastAsia="Calibri" w:hAnsi="David" w:hint="cs"/>
                <w:sz w:val="22"/>
                <w:szCs w:val="22"/>
                <w:rtl/>
                <w:lang w:eastAsia="he-IL"/>
              </w:rPr>
              <w:t>, אך לא נקבע יעד כמותי לכך</w:t>
            </w:r>
            <w:r>
              <w:rPr>
                <w:rFonts w:eastAsia="Calibri"/>
                <w:sz w:val="22"/>
                <w:szCs w:val="22"/>
                <w:vertAlign w:val="superscript"/>
                <w:rtl/>
              </w:rPr>
              <w:footnoteReference w:id="93"/>
            </w:r>
            <w:r w:rsidRPr="007126FE">
              <w:rPr>
                <w:rFonts w:eastAsia="Calibri" w:hint="cs"/>
                <w:sz w:val="22"/>
                <w:szCs w:val="22"/>
                <w:rtl/>
              </w:rPr>
              <w:t xml:space="preserve">, כפי שמשתקף בספר עיקרי </w:t>
            </w:r>
            <w:r w:rsidRPr="007126FE">
              <w:rPr>
                <w:rFonts w:eastAsia="Calibri" w:hint="cs"/>
                <w:sz w:val="22"/>
                <w:szCs w:val="22"/>
                <w:rtl/>
              </w:rPr>
              <w:t>תוכניות</w:t>
            </w:r>
            <w:r w:rsidRPr="007126FE">
              <w:rPr>
                <w:rFonts w:eastAsia="Calibri" w:hint="cs"/>
                <w:sz w:val="22"/>
                <w:szCs w:val="22"/>
                <w:rtl/>
              </w:rPr>
              <w:t xml:space="preserve"> העבודה ל-2025.</w:t>
            </w:r>
          </w:p>
        </w:tc>
        <w:tc>
          <w:tcPr>
            <w:tcW w:w="3403" w:type="dxa"/>
            <w:vMerge/>
            <w:shd w:val="clear" w:color="auto" w:fill="FFFFFF"/>
          </w:tcPr>
          <w:p w:rsidR="00861D72" w:rsidRPr="007126FE" w:rsidP="00F90255">
            <w:pPr>
              <w:spacing w:line="269" w:lineRule="auto"/>
              <w:rPr>
                <w:rFonts w:eastAsia="Calibri"/>
                <w:noProof/>
                <w:sz w:val="22"/>
                <w:szCs w:val="22"/>
              </w:rPr>
            </w:pPr>
          </w:p>
        </w:tc>
      </w:tr>
      <w:tr w:rsidTr="007126FE">
        <w:tblPrEx>
          <w:tblW w:w="8196" w:type="dxa"/>
          <w:tblLook w:val="04A0"/>
        </w:tblPrEx>
        <w:tc>
          <w:tcPr>
            <w:tcW w:w="8196" w:type="dxa"/>
            <w:gridSpan w:val="3"/>
            <w:shd w:val="clear" w:color="auto" w:fill="D2E5FD"/>
          </w:tcPr>
          <w:p w:rsidR="00861D72" w:rsidRPr="007126FE" w:rsidP="00F90255">
            <w:pPr>
              <w:spacing w:line="269" w:lineRule="auto"/>
              <w:jc w:val="center"/>
              <w:rPr>
                <w:rFonts w:eastAsia="Calibri"/>
                <w:sz w:val="22"/>
                <w:szCs w:val="22"/>
                <w:rtl/>
              </w:rPr>
            </w:pPr>
            <w:r w:rsidRPr="007126FE">
              <w:rPr>
                <w:rFonts w:eastAsia="Calibri" w:hint="cs"/>
                <w:sz w:val="22"/>
                <w:szCs w:val="22"/>
                <w:rtl/>
              </w:rPr>
              <w:t>משמעות</w:t>
            </w:r>
          </w:p>
        </w:tc>
      </w:tr>
      <w:tr w:rsidTr="007126FE">
        <w:tblPrEx>
          <w:tblW w:w="8196" w:type="dxa"/>
          <w:tblLook w:val="04A0"/>
        </w:tblPrEx>
        <w:tc>
          <w:tcPr>
            <w:tcW w:w="983" w:type="dxa"/>
            <w:shd w:val="clear" w:color="auto" w:fill="D2E5FD"/>
          </w:tcPr>
          <w:p w:rsidR="00861D72" w:rsidRPr="007126FE" w:rsidP="00F90255">
            <w:pPr>
              <w:spacing w:line="269" w:lineRule="auto"/>
              <w:rPr>
                <w:rFonts w:eastAsia="Calibri"/>
                <w:sz w:val="22"/>
                <w:szCs w:val="22"/>
                <w:rtl/>
              </w:rPr>
            </w:pPr>
            <w:r w:rsidRPr="007126FE">
              <w:rPr>
                <w:rFonts w:eastAsia="Calibri" w:hint="cs"/>
                <w:sz w:val="22"/>
                <w:szCs w:val="22"/>
                <w:rtl/>
              </w:rPr>
              <w:t>בדידות</w:t>
            </w:r>
          </w:p>
        </w:tc>
        <w:tc>
          <w:tcPr>
            <w:tcW w:w="3810" w:type="dxa"/>
            <w:shd w:val="clear" w:color="auto" w:fill="FFFFFF"/>
          </w:tcPr>
          <w:p w:rsidR="00861D72" w:rsidRPr="007126FE" w:rsidP="00CC23A7">
            <w:pPr>
              <w:spacing w:line="269" w:lineRule="auto"/>
              <w:jc w:val="left"/>
              <w:rPr>
                <w:rFonts w:eastAsia="Calibri"/>
                <w:sz w:val="22"/>
                <w:szCs w:val="22"/>
                <w:rtl/>
              </w:rPr>
            </w:pPr>
            <w:r w:rsidRPr="007126FE">
              <w:rPr>
                <w:rFonts w:eastAsia="Calibri"/>
                <w:noProof/>
                <w:sz w:val="22"/>
                <w:szCs w:val="22"/>
              </w:rPr>
              <w:drawing>
                <wp:inline distT="0" distB="0" distL="0" distR="0">
                  <wp:extent cx="196850" cy="185420"/>
                  <wp:effectExtent l="0" t="0" r="0" b="508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0"/>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850" cy="185420"/>
                          </a:xfrm>
                          <a:prstGeom prst="rect">
                            <a:avLst/>
                          </a:prstGeom>
                          <a:noFill/>
                          <a:ln>
                            <a:noFill/>
                          </a:ln>
                        </pic:spPr>
                      </pic:pic>
                    </a:graphicData>
                  </a:graphic>
                </wp:inline>
              </w:drawing>
            </w:r>
            <w:r w:rsidRPr="007126FE">
              <w:rPr>
                <w:rFonts w:ascii="David" w:eastAsia="Calibri" w:hAnsi="David" w:hint="cs"/>
                <w:sz w:val="22"/>
                <w:szCs w:val="22"/>
                <w:rtl/>
                <w:lang w:eastAsia="he-IL"/>
              </w:rPr>
              <w:t>אף שלא נקבע יעד במפת המדדים, משרד הרווחה קבע יעד ל-2025, ולפיו רק 21% מהאזרחים הוותיקים יהיו כאלו החווים בדידות, ולשנים 2026 - 2027 קבע יעד של 19%.</w:t>
            </w:r>
          </w:p>
        </w:tc>
        <w:tc>
          <w:tcPr>
            <w:tcW w:w="3403" w:type="dxa"/>
            <w:vMerge w:val="restart"/>
            <w:shd w:val="clear" w:color="auto" w:fill="FFFFFF"/>
          </w:tcPr>
          <w:p w:rsidR="00861D72" w:rsidRPr="007126FE" w:rsidP="00CC23A7">
            <w:pPr>
              <w:spacing w:line="269" w:lineRule="auto"/>
              <w:jc w:val="left"/>
              <w:rPr>
                <w:rFonts w:eastAsia="Calibri"/>
                <w:noProof/>
                <w:sz w:val="22"/>
                <w:szCs w:val="22"/>
              </w:rPr>
            </w:pPr>
            <w:r w:rsidRPr="007126FE">
              <w:rPr>
                <w:rFonts w:eastAsia="Calibri"/>
                <w:noProof/>
                <w:sz w:val="22"/>
                <w:szCs w:val="22"/>
              </w:rPr>
              <w:drawing>
                <wp:inline distT="0" distB="0" distL="0" distR="0">
                  <wp:extent cx="182880" cy="182880"/>
                  <wp:effectExtent l="0" t="0" r="7620" b="762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82880" cy="182880"/>
                          </a:xfrm>
                          <a:prstGeom prst="rect">
                            <a:avLst/>
                          </a:prstGeom>
                          <a:noFill/>
                          <a:ln>
                            <a:noFill/>
                          </a:ln>
                        </pic:spPr>
                      </pic:pic>
                    </a:graphicData>
                  </a:graphic>
                </wp:inline>
              </w:drawing>
            </w:r>
            <w:r w:rsidRPr="007126FE">
              <w:rPr>
                <w:rFonts w:ascii="David" w:eastAsia="Calibri" w:hAnsi="David" w:hint="cs"/>
                <w:sz w:val="22"/>
                <w:szCs w:val="22"/>
                <w:rtl/>
                <w:lang w:eastAsia="he-IL"/>
              </w:rPr>
              <w:t xml:space="preserve">אחד המדדים המנבאים למדד-על זה הוא </w:t>
            </w:r>
            <w:r w:rsidRPr="007126FE">
              <w:rPr>
                <w:rFonts w:eastAsia="Calibri" w:hint="cs"/>
                <w:sz w:val="22"/>
                <w:szCs w:val="22"/>
                <w:rtl/>
              </w:rPr>
              <w:t>השתתפות</w:t>
            </w:r>
            <w:r w:rsidRPr="007126FE">
              <w:rPr>
                <w:rFonts w:ascii="David" w:eastAsia="Calibri" w:hAnsi="David" w:hint="cs"/>
                <w:sz w:val="22"/>
                <w:szCs w:val="22"/>
                <w:rtl/>
                <w:lang w:eastAsia="he-IL"/>
              </w:rPr>
              <w:t xml:space="preserve"> בפעילות התנדבותית, נמצא כי אף לא משרד אחד קבע יעד למדד זה.</w:t>
            </w:r>
          </w:p>
        </w:tc>
      </w:tr>
      <w:tr w:rsidTr="007126FE">
        <w:tblPrEx>
          <w:tblW w:w="8196" w:type="dxa"/>
          <w:tblLook w:val="04A0"/>
        </w:tblPrEx>
        <w:tc>
          <w:tcPr>
            <w:tcW w:w="983" w:type="dxa"/>
            <w:shd w:val="clear" w:color="auto" w:fill="D2E5FD"/>
          </w:tcPr>
          <w:p w:rsidR="00861D72" w:rsidRPr="007126FE" w:rsidP="00F90255">
            <w:pPr>
              <w:spacing w:line="269" w:lineRule="auto"/>
              <w:rPr>
                <w:rFonts w:eastAsia="Calibri"/>
                <w:sz w:val="22"/>
                <w:szCs w:val="22"/>
                <w:rtl/>
              </w:rPr>
            </w:pPr>
            <w:r w:rsidRPr="007126FE">
              <w:rPr>
                <w:rFonts w:eastAsia="Calibri" w:hint="cs"/>
                <w:sz w:val="22"/>
                <w:szCs w:val="22"/>
                <w:rtl/>
              </w:rPr>
              <w:t>איכות חיים</w:t>
            </w:r>
          </w:p>
        </w:tc>
        <w:tc>
          <w:tcPr>
            <w:tcW w:w="3810" w:type="dxa"/>
            <w:shd w:val="clear" w:color="auto" w:fill="FFFFFF"/>
          </w:tcPr>
          <w:p w:rsidR="00861D72" w:rsidRPr="007126FE" w:rsidP="00CC23A7">
            <w:pPr>
              <w:spacing w:line="269" w:lineRule="auto"/>
              <w:jc w:val="left"/>
              <w:rPr>
                <w:rFonts w:ascii="David" w:eastAsia="Calibri" w:hAnsi="David"/>
                <w:sz w:val="22"/>
                <w:szCs w:val="22"/>
                <w:rtl/>
                <w:lang w:eastAsia="he-IL"/>
              </w:rPr>
            </w:pPr>
            <w:r w:rsidRPr="007126FE">
              <w:rPr>
                <w:rFonts w:eastAsia="Calibri"/>
                <w:noProof/>
                <w:sz w:val="22"/>
                <w:szCs w:val="22"/>
              </w:rPr>
              <w:drawing>
                <wp:inline distT="0" distB="0" distL="0" distR="0">
                  <wp:extent cx="152400" cy="180975"/>
                  <wp:effectExtent l="0" t="0" r="0" b="952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6"/>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r w:rsidRPr="007126FE">
              <w:rPr>
                <w:rFonts w:ascii="David" w:eastAsia="Calibri" w:hAnsi="David" w:hint="cs"/>
                <w:sz w:val="22"/>
                <w:szCs w:val="22"/>
                <w:rtl/>
                <w:lang w:eastAsia="he-IL"/>
              </w:rPr>
              <w:t>באף לא אחת מתוכניות העבודה נקבע יעד הנוגע לאיכות החיים.</w:t>
            </w:r>
          </w:p>
        </w:tc>
        <w:tc>
          <w:tcPr>
            <w:tcW w:w="3403" w:type="dxa"/>
            <w:vMerge/>
            <w:shd w:val="clear" w:color="auto" w:fill="FFFFFF"/>
          </w:tcPr>
          <w:p w:rsidR="00861D72" w:rsidRPr="007126FE" w:rsidP="00F90255">
            <w:pPr>
              <w:widowControl w:val="0"/>
              <w:spacing w:line="269" w:lineRule="auto"/>
              <w:jc w:val="center"/>
              <w:rPr>
                <w:rFonts w:eastAsia="Calibri"/>
                <w:noProof/>
                <w:sz w:val="22"/>
                <w:szCs w:val="22"/>
              </w:rPr>
            </w:pPr>
          </w:p>
        </w:tc>
      </w:tr>
      <w:tr w:rsidTr="007126FE">
        <w:tblPrEx>
          <w:tblW w:w="8196" w:type="dxa"/>
          <w:tblLook w:val="04A0"/>
        </w:tblPrEx>
        <w:tc>
          <w:tcPr>
            <w:tcW w:w="8196" w:type="dxa"/>
            <w:gridSpan w:val="3"/>
            <w:shd w:val="clear" w:color="auto" w:fill="D2E5FD"/>
          </w:tcPr>
          <w:p w:rsidR="00861D72" w:rsidRPr="007126FE" w:rsidP="00F90255">
            <w:pPr>
              <w:spacing w:line="269" w:lineRule="auto"/>
              <w:jc w:val="center"/>
              <w:rPr>
                <w:rFonts w:eastAsia="Calibri"/>
                <w:sz w:val="22"/>
                <w:szCs w:val="22"/>
                <w:rtl/>
              </w:rPr>
            </w:pPr>
            <w:r w:rsidRPr="007126FE">
              <w:rPr>
                <w:rFonts w:eastAsia="Calibri" w:hint="cs"/>
                <w:sz w:val="22"/>
                <w:szCs w:val="22"/>
                <w:rtl/>
              </w:rPr>
              <w:t>חוסן כלכלי</w:t>
            </w:r>
          </w:p>
        </w:tc>
      </w:tr>
      <w:tr w:rsidTr="007126FE">
        <w:tblPrEx>
          <w:tblW w:w="8196" w:type="dxa"/>
          <w:tblLook w:val="04A0"/>
        </w:tblPrEx>
        <w:tc>
          <w:tcPr>
            <w:tcW w:w="983" w:type="dxa"/>
            <w:shd w:val="clear" w:color="auto" w:fill="D2E5FD"/>
          </w:tcPr>
          <w:p w:rsidR="00861D72" w:rsidRPr="007126FE" w:rsidP="00F90255">
            <w:pPr>
              <w:spacing w:line="269" w:lineRule="auto"/>
              <w:rPr>
                <w:rFonts w:eastAsia="Calibri"/>
                <w:sz w:val="22"/>
                <w:szCs w:val="22"/>
                <w:rtl/>
              </w:rPr>
            </w:pPr>
            <w:r w:rsidRPr="007126FE">
              <w:rPr>
                <w:rFonts w:ascii="David" w:eastAsia="Calibri" w:hAnsi="David" w:hint="cs"/>
                <w:sz w:val="22"/>
                <w:szCs w:val="22"/>
                <w:rtl/>
                <w:lang w:eastAsia="he-IL"/>
              </w:rPr>
              <w:t>הכנסה פנויה ויכולת להסתדר כלכלית</w:t>
            </w:r>
          </w:p>
        </w:tc>
        <w:tc>
          <w:tcPr>
            <w:tcW w:w="3810" w:type="dxa"/>
            <w:shd w:val="clear" w:color="auto" w:fill="FFFFFF"/>
          </w:tcPr>
          <w:p w:rsidR="00861D72" w:rsidRPr="007126FE" w:rsidP="00CC23A7">
            <w:pPr>
              <w:widowControl w:val="0"/>
              <w:spacing w:line="269" w:lineRule="auto"/>
              <w:jc w:val="left"/>
              <w:rPr>
                <w:rFonts w:eastAsia="Calibri"/>
                <w:sz w:val="22"/>
                <w:szCs w:val="22"/>
                <w:rtl/>
              </w:rPr>
            </w:pPr>
            <w:r w:rsidRPr="007126FE">
              <w:rPr>
                <w:rFonts w:eastAsia="Calibri"/>
                <w:noProof/>
                <w:sz w:val="22"/>
                <w:szCs w:val="22"/>
              </w:rPr>
              <w:drawing>
                <wp:inline distT="0" distB="0" distL="0" distR="0">
                  <wp:extent cx="231775" cy="17970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3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775" cy="179705"/>
                          </a:xfrm>
                          <a:prstGeom prst="rect">
                            <a:avLst/>
                          </a:prstGeom>
                          <a:noFill/>
                          <a:ln>
                            <a:noFill/>
                          </a:ln>
                        </pic:spPr>
                      </pic:pic>
                    </a:graphicData>
                  </a:graphic>
                </wp:inline>
              </w:drawing>
            </w:r>
            <w:r w:rsidRPr="007126FE">
              <w:rPr>
                <w:rFonts w:ascii="David" w:eastAsia="Calibri" w:hAnsi="David" w:hint="cs"/>
                <w:sz w:val="22"/>
                <w:szCs w:val="22"/>
                <w:rtl/>
                <w:lang w:eastAsia="he-IL"/>
              </w:rPr>
              <w:t xml:space="preserve"> </w:t>
            </w:r>
            <w:r w:rsidRPr="007126FE">
              <w:rPr>
                <w:rFonts w:eastAsia="Calibri" w:hint="cs"/>
                <w:sz w:val="22"/>
                <w:szCs w:val="22"/>
                <w:rtl/>
              </w:rPr>
              <w:t>נ</w:t>
            </w:r>
            <w:r w:rsidRPr="007126FE">
              <w:rPr>
                <w:rFonts w:ascii="David" w:eastAsia="Calibri" w:hAnsi="David" w:hint="cs"/>
                <w:sz w:val="22"/>
                <w:szCs w:val="22"/>
                <w:rtl/>
                <w:lang w:eastAsia="he-IL"/>
              </w:rPr>
              <w:t>קבע יעד של מגמת שיפור ללא יעד מספרי למדדים של הכנסה כספית חציונית סטנדרטית נטו לנפש, תחולת העוני והיכולת להסתדר כלכלית</w:t>
            </w:r>
            <w:r>
              <w:rPr>
                <w:rFonts w:ascii="David" w:eastAsia="Calibri" w:hAnsi="David"/>
                <w:sz w:val="22"/>
                <w:szCs w:val="22"/>
                <w:vertAlign w:val="superscript"/>
                <w:rtl/>
                <w:lang w:eastAsia="he-IL"/>
              </w:rPr>
              <w:footnoteReference w:id="94"/>
            </w:r>
            <w:r w:rsidRPr="007126FE">
              <w:rPr>
                <w:rFonts w:eastAsia="Calibri" w:hint="cs"/>
                <w:sz w:val="22"/>
                <w:szCs w:val="22"/>
                <w:rtl/>
              </w:rPr>
              <w:t xml:space="preserve">, כפי שמשתקף בספר עיקרי </w:t>
            </w:r>
            <w:r w:rsidRPr="007126FE">
              <w:rPr>
                <w:rFonts w:eastAsia="Calibri" w:hint="cs"/>
                <w:sz w:val="22"/>
                <w:szCs w:val="22"/>
                <w:rtl/>
              </w:rPr>
              <w:t>תוכניות</w:t>
            </w:r>
            <w:r w:rsidRPr="007126FE">
              <w:rPr>
                <w:rFonts w:eastAsia="Calibri" w:hint="cs"/>
                <w:sz w:val="22"/>
                <w:szCs w:val="22"/>
                <w:rtl/>
              </w:rPr>
              <w:t xml:space="preserve"> העבודה ל-2025.</w:t>
            </w:r>
          </w:p>
        </w:tc>
        <w:tc>
          <w:tcPr>
            <w:tcW w:w="3403" w:type="dxa"/>
            <w:shd w:val="clear" w:color="auto" w:fill="FFFFFF"/>
          </w:tcPr>
          <w:p w:rsidR="00861D72" w:rsidRPr="007126FE" w:rsidP="00CC23A7">
            <w:pPr>
              <w:widowControl w:val="0"/>
              <w:spacing w:line="269" w:lineRule="auto"/>
              <w:jc w:val="left"/>
              <w:rPr>
                <w:rFonts w:eastAsia="Calibri"/>
                <w:noProof/>
                <w:sz w:val="22"/>
                <w:szCs w:val="22"/>
              </w:rPr>
            </w:pPr>
            <w:r w:rsidRPr="007126FE">
              <w:rPr>
                <w:rFonts w:eastAsia="Calibri"/>
                <w:noProof/>
                <w:sz w:val="22"/>
                <w:szCs w:val="22"/>
              </w:rPr>
              <w:drawing>
                <wp:inline distT="0" distB="0" distL="0" distR="0">
                  <wp:extent cx="182880" cy="182880"/>
                  <wp:effectExtent l="0" t="0" r="7620" b="762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inline>
              </w:drawing>
            </w:r>
            <w:r w:rsidRPr="007126FE">
              <w:rPr>
                <w:rFonts w:eastAsia="Calibri" w:hint="cs"/>
                <w:sz w:val="22"/>
                <w:szCs w:val="22"/>
                <w:rtl/>
              </w:rPr>
              <w:t>אחד המדדים המנבאים למדד-על זה הוא השתתפות בתעסוקה. נמצא כי המשרד</w:t>
            </w:r>
            <w:r w:rsidRPr="007126FE">
              <w:rPr>
                <w:rFonts w:ascii="David" w:eastAsia="Calibri" w:hAnsi="David" w:hint="cs"/>
                <w:sz w:val="22"/>
                <w:szCs w:val="22"/>
                <w:rtl/>
                <w:lang w:eastAsia="he-IL"/>
              </w:rPr>
              <w:t xml:space="preserve"> לשוויון חברתי קבע יעדים לשנים 2025 - 2027 לשיעורי התעסוקה בקרב אזרחים ותיקים. לשנת 2025 עומדים היעדים על 35% לגברים ועל 22% לנשים</w:t>
            </w:r>
            <w:r>
              <w:rPr>
                <w:rFonts w:ascii="David" w:eastAsia="Calibri" w:hAnsi="David"/>
                <w:sz w:val="22"/>
                <w:szCs w:val="22"/>
                <w:vertAlign w:val="superscript"/>
                <w:rtl/>
                <w:lang w:eastAsia="he-IL"/>
              </w:rPr>
              <w:footnoteReference w:id="95"/>
            </w:r>
            <w:r w:rsidRPr="007126FE">
              <w:rPr>
                <w:rFonts w:ascii="David" w:eastAsia="Calibri" w:hAnsi="David" w:hint="cs"/>
                <w:sz w:val="22"/>
                <w:szCs w:val="22"/>
                <w:rtl/>
                <w:lang w:eastAsia="he-IL"/>
              </w:rPr>
              <w:t>.</w:t>
            </w:r>
          </w:p>
        </w:tc>
      </w:tr>
      <w:bookmarkEnd w:id="39"/>
    </w:tbl>
    <w:p w:rsidR="00EB2B30" w:rsidP="00F90255">
      <w:pPr>
        <w:spacing w:line="269" w:lineRule="auto"/>
        <w:rPr>
          <w:rFonts w:eastAsia="Calibri"/>
          <w:b/>
          <w:bCs/>
          <w:rtl/>
          <w:lang w:eastAsia="he-IL"/>
        </w:rPr>
      </w:pPr>
    </w:p>
    <w:p w:rsidR="00861D72" w:rsidRPr="00861D72" w:rsidP="00F90255">
      <w:pPr>
        <w:spacing w:line="269" w:lineRule="auto"/>
        <w:rPr>
          <w:rFonts w:eastAsia="Calibri"/>
          <w:b/>
          <w:bCs/>
          <w:rtl/>
          <w:lang w:eastAsia="he-IL"/>
        </w:rPr>
      </w:pPr>
      <w:r w:rsidRPr="00861D72">
        <w:rPr>
          <w:rFonts w:eastAsia="Calibri" w:hint="cs"/>
          <w:b/>
          <w:bCs/>
          <w:rtl/>
          <w:lang w:eastAsia="he-IL"/>
        </w:rPr>
        <w:t xml:space="preserve">מהלוח עולה כי </w:t>
      </w:r>
      <w:bookmarkStart w:id="40" w:name="_Hlk222219172"/>
      <w:r w:rsidRPr="00861D72">
        <w:rPr>
          <w:rFonts w:eastAsia="Calibri" w:hint="cs"/>
          <w:b/>
          <w:bCs/>
          <w:rtl/>
          <w:lang w:eastAsia="he-IL"/>
        </w:rPr>
        <w:t xml:space="preserve">גופי הממשל קבעו יעד כמותי אחד עבור מדד-על אחד בלבד (בדידות), יעדים חלקיים של מגמה בלבד (ללא יעד מספרי ברור) עבור שני מדדי-על (תפקוד והכנסה פנויה ויכולת להסתדר כלכלית), ועבור שני מדדי-על אין יעדים כלל (שנות חיים בריאים ואיכות חיים). עוד </w:t>
      </w:r>
      <w:r w:rsidRPr="00861D72">
        <w:rPr>
          <w:rFonts w:eastAsia="Calibri" w:hint="cs"/>
          <w:b/>
          <w:bCs/>
          <w:rtl/>
          <w:lang w:eastAsia="he-IL"/>
        </w:rPr>
        <w:t>עולה מהלוח כי מבין המדדים המנבאים שנבחנו רק עבור אחד מהם, תעסוקת אזרחים ותיקים, נקבע יעד.</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hint="cs"/>
          <w:rtl/>
          <w:lang w:eastAsia="he-IL"/>
        </w:rPr>
        <w:t xml:space="preserve">המשרד לשוויון חברתי מסר בתשובתו למשרד מבקר המדינה ממאי 2026 (להלן - תשובת המשרד לשוויון חברתי) כי הוא ממפה את פעילותו לפי תחומי החיים המרכזיים של האזרחים הוותיקים </w:t>
      </w:r>
      <w:r w:rsidRPr="00861D72">
        <w:rPr>
          <w:rFonts w:eastAsia="Calibri"/>
          <w:rtl/>
          <w:lang w:eastAsia="he-IL"/>
        </w:rPr>
        <w:t>מתוך תפיסה הרואה באיכות החיים של</w:t>
      </w:r>
      <w:r w:rsidRPr="00861D72">
        <w:rPr>
          <w:rFonts w:eastAsia="Calibri" w:hint="cs"/>
          <w:rtl/>
          <w:lang w:eastAsia="he-IL"/>
        </w:rPr>
        <w:t xml:space="preserve"> </w:t>
      </w:r>
      <w:r w:rsidRPr="00861D72">
        <w:rPr>
          <w:rFonts w:eastAsia="Calibri"/>
          <w:rtl/>
          <w:lang w:eastAsia="he-IL"/>
        </w:rPr>
        <w:t>האזרח הוותיק יעד מדיד ורב-ממדי</w:t>
      </w:r>
      <w:r w:rsidRPr="00861D72">
        <w:rPr>
          <w:rFonts w:eastAsia="Calibri" w:hint="cs"/>
          <w:rtl/>
          <w:lang w:eastAsia="he-IL"/>
        </w:rPr>
        <w:t>. גישה זו תאפשר לטענתו בהמשך גם חיבור ישיר למפת המדדים, קביעת יעדים אופרטיביים, הגדרת אחריות ברורה לכל תחום ומעקב שוטף אחר ההתקדמות.</w:t>
      </w:r>
    </w:p>
    <w:bookmarkEnd w:id="40"/>
    <w:p w:rsidR="00861D72" w:rsidRPr="00861D72" w:rsidP="00F90255">
      <w:pPr>
        <w:spacing w:line="269" w:lineRule="auto"/>
        <w:rPr>
          <w:rFonts w:eastAsia="Calibri"/>
          <w:rtl/>
          <w:lang w:eastAsia="he-IL"/>
        </w:rPr>
      </w:pPr>
    </w:p>
    <w:p w:rsidR="00861D72" w:rsidRPr="00861D72" w:rsidP="00F90255">
      <w:pPr>
        <w:spacing w:line="269" w:lineRule="auto"/>
        <w:rPr>
          <w:rFonts w:eastAsia="Calibri"/>
          <w:b/>
          <w:bCs/>
          <w:rtl/>
          <w:lang w:eastAsia="he-IL"/>
        </w:rPr>
      </w:pPr>
      <w:r w:rsidRPr="00861D72">
        <w:rPr>
          <w:rFonts w:eastAsia="Calibri" w:hint="cs"/>
          <w:b/>
          <w:bCs/>
          <w:rtl/>
        </w:rPr>
        <w:t>בחלוף חמש שנים מגיבוש מפת המדדים, ו</w:t>
      </w:r>
      <w:r w:rsidRPr="00861D72">
        <w:rPr>
          <w:rFonts w:eastAsia="Calibri"/>
          <w:b/>
          <w:bCs/>
          <w:rtl/>
        </w:rPr>
        <w:t>בהיעדר יעדים משרדיים ברורים למדדי מפת המדדים</w:t>
      </w:r>
      <w:r w:rsidRPr="00861D72">
        <w:rPr>
          <w:rFonts w:eastAsia="Calibri" w:hint="cs"/>
          <w:b/>
          <w:bCs/>
          <w:rtl/>
        </w:rPr>
        <w:t xml:space="preserve">, </w:t>
      </w:r>
      <w:r w:rsidRPr="00861D72">
        <w:rPr>
          <w:rFonts w:eastAsia="Calibri"/>
          <w:b/>
          <w:bCs/>
          <w:rtl/>
        </w:rPr>
        <w:t xml:space="preserve">יכולתם של </w:t>
      </w:r>
      <w:r w:rsidRPr="00861D72">
        <w:rPr>
          <w:rFonts w:eastAsia="Calibri" w:hint="cs"/>
          <w:b/>
          <w:bCs/>
          <w:rtl/>
        </w:rPr>
        <w:t>גופי הממשל</w:t>
      </w:r>
      <w:r w:rsidRPr="00861D72">
        <w:rPr>
          <w:rFonts w:eastAsia="Calibri"/>
          <w:b/>
          <w:bCs/>
          <w:rtl/>
        </w:rPr>
        <w:t xml:space="preserve"> להוביל לשיפור </w:t>
      </w:r>
      <w:r w:rsidRPr="00861D72">
        <w:rPr>
          <w:rFonts w:eastAsia="Calibri" w:hint="cs"/>
          <w:b/>
          <w:bCs/>
          <w:rtl/>
        </w:rPr>
        <w:t>במדדים מוגבלת,</w:t>
      </w:r>
      <w:r w:rsidRPr="00861D72">
        <w:rPr>
          <w:rFonts w:eastAsia="Calibri"/>
          <w:b/>
          <w:bCs/>
          <w:rtl/>
        </w:rPr>
        <w:t xml:space="preserve"> </w:t>
      </w:r>
      <w:r w:rsidRPr="00861D72">
        <w:rPr>
          <w:rFonts w:eastAsia="Calibri" w:hint="cs"/>
          <w:b/>
          <w:bCs/>
          <w:rtl/>
        </w:rPr>
        <w:t xml:space="preserve">ואי אפשר לבחון </w:t>
      </w:r>
      <w:r w:rsidRPr="00861D72">
        <w:rPr>
          <w:rFonts w:eastAsia="Calibri"/>
          <w:b/>
          <w:bCs/>
          <w:rtl/>
        </w:rPr>
        <w:t xml:space="preserve">אם הצעדים שננקטו אכן משיגים </w:t>
      </w:r>
      <w:r w:rsidRPr="00861D72">
        <w:rPr>
          <w:rFonts w:eastAsia="Calibri" w:hint="cs"/>
          <w:b/>
          <w:bCs/>
          <w:rtl/>
        </w:rPr>
        <w:t>את ה</w:t>
      </w:r>
      <w:r w:rsidRPr="00861D72">
        <w:rPr>
          <w:rFonts w:eastAsia="Calibri"/>
          <w:b/>
          <w:bCs/>
          <w:rtl/>
        </w:rPr>
        <w:t>תוצאה</w:t>
      </w:r>
      <w:r w:rsidRPr="00861D72">
        <w:rPr>
          <w:rFonts w:eastAsia="Calibri" w:hint="cs"/>
          <w:b/>
          <w:bCs/>
          <w:rtl/>
        </w:rPr>
        <w:t xml:space="preserve"> הרצויה</w:t>
      </w:r>
      <w:r w:rsidRPr="00861D72">
        <w:rPr>
          <w:rFonts w:eastAsia="Calibri"/>
          <w:b/>
          <w:bCs/>
          <w:rtl/>
        </w:rPr>
        <w:t xml:space="preserve">. </w:t>
      </w:r>
      <w:r w:rsidRPr="00861D72">
        <w:rPr>
          <w:rFonts w:eastAsia="Calibri" w:hint="cs"/>
          <w:b/>
          <w:bCs/>
          <w:rtl/>
        </w:rPr>
        <w:t xml:space="preserve">כך למשל, במדדי בריאות שמשרד הבריאות מודד בנוגע לביצוע בדיקות שונות - שיעורי הביצוע במדדים שבהם נקבע יעד גבוהים יותר מאשר במדדים שלא נקבע לגביהם יעד (להרחבה ראו בפרק על </w:t>
      </w:r>
      <w:r w:rsidRPr="00861D72">
        <w:rPr>
          <w:rFonts w:eastAsia="Calibri"/>
          <w:b/>
          <w:bCs/>
          <w:rtl/>
        </w:rPr>
        <w:t xml:space="preserve">היערכות מערכת הבריאות </w:t>
      </w:r>
      <w:r w:rsidRPr="00861D72">
        <w:rPr>
          <w:rFonts w:eastAsia="Calibri" w:hint="cs"/>
          <w:b/>
          <w:bCs/>
          <w:rtl/>
        </w:rPr>
        <w:t xml:space="preserve">בישראל </w:t>
      </w:r>
      <w:r w:rsidRPr="00861D72">
        <w:rPr>
          <w:rFonts w:eastAsia="Calibri"/>
          <w:b/>
          <w:bCs/>
          <w:rtl/>
        </w:rPr>
        <w:t>להזדקנות האוכלוסייה</w:t>
      </w:r>
      <w:r w:rsidRPr="00861D72">
        <w:rPr>
          <w:rFonts w:eastAsia="Calibri" w:hint="cs"/>
          <w:b/>
          <w:bCs/>
          <w:rtl/>
        </w:rPr>
        <w:t xml:space="preserve">). </w:t>
      </w:r>
      <w:r w:rsidRPr="00861D72">
        <w:rPr>
          <w:rFonts w:eastAsia="Calibri"/>
          <w:b/>
          <w:bCs/>
          <w:rtl/>
        </w:rPr>
        <w:t>לכן קביעת יעדים מדידים לכל מדד היא תנאי מרכזי לניהול ממוקד תוצאות ולשיפור מתמשך בביצועי המערכת</w:t>
      </w:r>
      <w:r w:rsidRPr="00861D72">
        <w:rPr>
          <w:rFonts w:eastAsia="Calibri"/>
          <w:b/>
          <w:bCs/>
        </w:rPr>
        <w:t>.</w:t>
      </w:r>
      <w:r w:rsidRPr="00861D72">
        <w:rPr>
          <w:rFonts w:eastAsia="Calibri" w:hint="cs"/>
          <w:b/>
          <w:bCs/>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b/>
          <w:bCs/>
          <w:rtl/>
          <w:lang w:eastAsia="he-IL"/>
        </w:rPr>
        <w:t xml:space="preserve">מומלץ כי </w:t>
      </w:r>
      <w:r w:rsidRPr="00861D72">
        <w:rPr>
          <w:rFonts w:eastAsia="Calibri" w:hint="cs"/>
          <w:b/>
          <w:bCs/>
          <w:rtl/>
          <w:lang w:eastAsia="he-IL"/>
        </w:rPr>
        <w:t xml:space="preserve">צוות העבודה המשותף, שגיבש את מפת המדדים, יבחן את הצורך בגיבוש </w:t>
      </w:r>
      <w:r w:rsidRPr="00861D72">
        <w:rPr>
          <w:rFonts w:eastAsia="Calibri"/>
          <w:b/>
          <w:bCs/>
          <w:rtl/>
          <w:lang w:eastAsia="he-IL"/>
        </w:rPr>
        <w:t>יעדים לאומיים ברורים, כמותיים וניתנים למדידה לכל אחד ממדדי</w:t>
      </w:r>
      <w:r w:rsidRPr="00861D72">
        <w:rPr>
          <w:rFonts w:eastAsia="Calibri" w:hint="cs"/>
          <w:b/>
          <w:bCs/>
          <w:rtl/>
          <w:lang w:eastAsia="he-IL"/>
        </w:rPr>
        <w:t>-</w:t>
      </w:r>
      <w:r w:rsidRPr="00861D72">
        <w:rPr>
          <w:rFonts w:eastAsia="Calibri"/>
          <w:b/>
          <w:bCs/>
          <w:rtl/>
          <w:lang w:eastAsia="he-IL"/>
        </w:rPr>
        <w:t>העל במפת המדדים להזדקנות</w:t>
      </w:r>
      <w:r w:rsidRPr="00861D72">
        <w:rPr>
          <w:rFonts w:eastAsia="Calibri" w:hint="cs"/>
          <w:b/>
          <w:bCs/>
          <w:rtl/>
          <w:lang w:eastAsia="he-IL"/>
        </w:rPr>
        <w:t xml:space="preserve"> מיטבית, ובהמשך לכך - גם למדדים המנבאים במפת המדדים</w:t>
      </w:r>
      <w:r w:rsidRPr="00861D72">
        <w:rPr>
          <w:rFonts w:eastAsia="Calibri"/>
          <w:b/>
          <w:bCs/>
          <w:rtl/>
          <w:lang w:eastAsia="he-IL"/>
        </w:rPr>
        <w:t xml:space="preserve">. </w:t>
      </w:r>
      <w:r w:rsidRPr="00861D72">
        <w:rPr>
          <w:rFonts w:eastAsia="Calibri" w:hint="cs"/>
          <w:b/>
          <w:bCs/>
          <w:rtl/>
          <w:lang w:eastAsia="he-IL"/>
        </w:rPr>
        <w:t xml:space="preserve">זאת, תוך שיביא בחשבון כי </w:t>
      </w:r>
      <w:r w:rsidRPr="00861D72">
        <w:rPr>
          <w:rFonts w:eastAsia="Calibri"/>
          <w:b/>
          <w:bCs/>
          <w:rtl/>
          <w:lang w:eastAsia="he-IL"/>
        </w:rPr>
        <w:t xml:space="preserve">יעדים אלו </w:t>
      </w:r>
      <w:r w:rsidRPr="00861D72">
        <w:rPr>
          <w:rFonts w:eastAsia="Calibri" w:hint="cs"/>
          <w:b/>
          <w:bCs/>
          <w:rtl/>
          <w:lang w:eastAsia="he-IL"/>
        </w:rPr>
        <w:t>יוכלו ל</w:t>
      </w:r>
      <w:r w:rsidRPr="00861D72">
        <w:rPr>
          <w:rFonts w:eastAsia="Calibri"/>
          <w:b/>
          <w:bCs/>
          <w:rtl/>
          <w:lang w:eastAsia="he-IL"/>
        </w:rPr>
        <w:t xml:space="preserve">שמש עוגן למדיניות ממשלתית מונחית תוצאות, ויאפשרו </w:t>
      </w:r>
      <w:r w:rsidRPr="00861D72">
        <w:rPr>
          <w:rFonts w:eastAsia="Calibri" w:hint="cs"/>
          <w:b/>
          <w:bCs/>
          <w:rtl/>
          <w:lang w:eastAsia="he-IL"/>
        </w:rPr>
        <w:t xml:space="preserve">בחינה </w:t>
      </w:r>
      <w:r w:rsidRPr="00861D72">
        <w:rPr>
          <w:rFonts w:eastAsia="Calibri"/>
          <w:b/>
          <w:bCs/>
          <w:rtl/>
          <w:lang w:eastAsia="he-IL"/>
        </w:rPr>
        <w:t>אפקטיבית של התקדמות המדינה בהיערכות להזדקנות האוכלוסייה.</w:t>
      </w:r>
      <w:r w:rsidRPr="00861D72">
        <w:rPr>
          <w:rFonts w:eastAsia="Calibri" w:hint="cs"/>
          <w:b/>
          <w:bCs/>
          <w:rtl/>
          <w:lang w:eastAsia="he-IL"/>
        </w:rPr>
        <w:t xml:space="preserve"> כמו כן מומלץ כי הצוות יבחן בד בבד את הצורך בקביעת גורם אחראי לכל אחד מהמדדים שעליו תוטל האחריות למימוש היעדים</w:t>
      </w:r>
      <w:r w:rsidRPr="00861D72">
        <w:rPr>
          <w:rFonts w:eastAsia="Times New Roman" w:hint="cs"/>
          <w:bCs/>
          <w:sz w:val="24"/>
          <w:rtl/>
        </w:rPr>
        <w:t xml:space="preserve">, </w:t>
      </w:r>
      <w:r w:rsidRPr="00861D72">
        <w:rPr>
          <w:rFonts w:eastAsia="Calibri" w:hint="cs"/>
          <w:b/>
          <w:bCs/>
          <w:rtl/>
        </w:rPr>
        <w:t>ויגבש המלצה לממשלה בהתאם לכל אלה.</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lang w:eastAsia="he-IL"/>
        </w:rPr>
      </w:pPr>
      <w:r w:rsidRPr="00861D72">
        <w:rPr>
          <w:rFonts w:eastAsia="Calibri"/>
          <w:b/>
          <w:bCs/>
          <w:rtl/>
          <w:lang w:eastAsia="he-IL"/>
        </w:rPr>
        <w:t xml:space="preserve">במקביל מומלץ </w:t>
      </w:r>
      <w:r w:rsidRPr="00861D72">
        <w:rPr>
          <w:rFonts w:eastAsia="Calibri" w:hint="cs"/>
          <w:b/>
          <w:bCs/>
          <w:rtl/>
          <w:lang w:eastAsia="he-IL"/>
        </w:rPr>
        <w:t xml:space="preserve">כי גופי הממשל </w:t>
      </w:r>
      <w:r w:rsidRPr="00861D72">
        <w:rPr>
          <w:rFonts w:eastAsia="Calibri"/>
          <w:b/>
          <w:bCs/>
          <w:rtl/>
          <w:lang w:eastAsia="he-IL"/>
        </w:rPr>
        <w:t>הרלוונטיים</w:t>
      </w:r>
      <w:r w:rsidRPr="00861D72">
        <w:rPr>
          <w:rFonts w:eastAsia="Calibri" w:hint="cs"/>
          <w:b/>
          <w:bCs/>
          <w:rtl/>
          <w:lang w:eastAsia="he-IL"/>
        </w:rPr>
        <w:t xml:space="preserve">, ובהם משרד הבריאות, משרד הרווחה, </w:t>
      </w:r>
      <w:r w:rsidRPr="00861D72">
        <w:rPr>
          <w:rFonts w:eastAsia="Calibri" w:hint="cs"/>
          <w:b/>
          <w:bCs/>
          <w:rtl/>
          <w:lang w:eastAsia="he-IL"/>
        </w:rPr>
        <w:t>בט"ל</w:t>
      </w:r>
      <w:r w:rsidRPr="00861D72">
        <w:rPr>
          <w:rFonts w:eastAsia="Calibri" w:hint="cs"/>
          <w:b/>
          <w:bCs/>
          <w:rtl/>
          <w:lang w:eastAsia="he-IL"/>
        </w:rPr>
        <w:t xml:space="preserve"> והמשרד לשווין חברתי, יקבעו </w:t>
      </w:r>
      <w:r w:rsidRPr="00861D72">
        <w:rPr>
          <w:rFonts w:eastAsia="Calibri"/>
          <w:b/>
          <w:bCs/>
          <w:rtl/>
          <w:lang w:eastAsia="he-IL"/>
        </w:rPr>
        <w:t>יעדי משנה תואמים לכל מדד</w:t>
      </w:r>
      <w:r w:rsidRPr="00861D72">
        <w:rPr>
          <w:rFonts w:eastAsia="Calibri" w:hint="cs"/>
          <w:b/>
          <w:bCs/>
          <w:rtl/>
          <w:lang w:eastAsia="he-IL"/>
        </w:rPr>
        <w:t>,</w:t>
      </w:r>
      <w:r w:rsidRPr="00861D72">
        <w:rPr>
          <w:rFonts w:eastAsia="Calibri"/>
          <w:b/>
          <w:bCs/>
          <w:rtl/>
          <w:lang w:eastAsia="he-IL"/>
        </w:rPr>
        <w:t xml:space="preserve"> </w:t>
      </w:r>
      <w:r w:rsidRPr="00861D72">
        <w:rPr>
          <w:rFonts w:eastAsia="Calibri" w:hint="cs"/>
          <w:b/>
          <w:bCs/>
          <w:rtl/>
          <w:lang w:eastAsia="he-IL"/>
        </w:rPr>
        <w:t>בהתאמה לתחום</w:t>
      </w:r>
      <w:r w:rsidRPr="00861D72">
        <w:rPr>
          <w:rFonts w:eastAsia="Calibri"/>
          <w:b/>
          <w:bCs/>
          <w:rtl/>
          <w:lang w:eastAsia="he-IL"/>
        </w:rPr>
        <w:t xml:space="preserve"> סמכותם. יש להבטיח כי תהליך זה יתבצע </w:t>
      </w:r>
      <w:r w:rsidRPr="00861D72">
        <w:rPr>
          <w:rFonts w:eastAsia="Calibri" w:hint="cs"/>
          <w:b/>
          <w:bCs/>
          <w:rtl/>
          <w:lang w:eastAsia="he-IL"/>
        </w:rPr>
        <w:t>ב</w:t>
      </w:r>
      <w:r w:rsidRPr="00861D72">
        <w:rPr>
          <w:rFonts w:eastAsia="Calibri"/>
          <w:b/>
          <w:bCs/>
          <w:rtl/>
          <w:lang w:eastAsia="he-IL"/>
        </w:rPr>
        <w:t xml:space="preserve">תיאום בין-משרדי </w:t>
      </w:r>
      <w:r w:rsidRPr="00861D72">
        <w:rPr>
          <w:rFonts w:eastAsia="Calibri" w:hint="cs"/>
          <w:b/>
          <w:bCs/>
          <w:rtl/>
          <w:lang w:eastAsia="he-IL"/>
        </w:rPr>
        <w:t>כדי</w:t>
      </w:r>
      <w:r w:rsidRPr="00861D72">
        <w:rPr>
          <w:rFonts w:eastAsia="Calibri"/>
          <w:b/>
          <w:bCs/>
          <w:rtl/>
          <w:lang w:eastAsia="he-IL"/>
        </w:rPr>
        <w:t xml:space="preserve"> להבטיח עקביות, שקיפות, </w:t>
      </w:r>
      <w:r w:rsidRPr="00861D72">
        <w:rPr>
          <w:rFonts w:eastAsia="Calibri" w:hint="cs"/>
          <w:b/>
          <w:bCs/>
          <w:rtl/>
          <w:lang w:eastAsia="he-IL"/>
        </w:rPr>
        <w:t>ו</w:t>
      </w:r>
      <w:r w:rsidRPr="00861D72">
        <w:rPr>
          <w:rFonts w:eastAsia="Calibri"/>
          <w:b/>
          <w:bCs/>
          <w:rtl/>
          <w:lang w:eastAsia="he-IL"/>
        </w:rPr>
        <w:t xml:space="preserve">מעקב </w:t>
      </w:r>
      <w:r w:rsidRPr="00861D72">
        <w:rPr>
          <w:rFonts w:eastAsia="Calibri" w:hint="cs"/>
          <w:b/>
          <w:bCs/>
          <w:rtl/>
          <w:lang w:eastAsia="he-IL"/>
        </w:rPr>
        <w:t>אחר הגעה ליעדים.</w:t>
      </w:r>
    </w:p>
    <w:p w:rsidR="00861D72" w:rsidRPr="00861D72" w:rsidP="00F90255">
      <w:pPr>
        <w:spacing w:line="269" w:lineRule="auto"/>
        <w:rPr>
          <w:rFonts w:eastAsia="Calibri"/>
          <w:rtl/>
        </w:rPr>
      </w:pPr>
    </w:p>
    <w:p w:rsidR="00861D72" w:rsidRPr="00861D72" w:rsidP="00F90255">
      <w:pPr>
        <w:tabs>
          <w:tab w:val="left" w:pos="424"/>
        </w:tabs>
        <w:spacing w:line="269" w:lineRule="auto"/>
        <w:ind w:right="-113"/>
        <w:rPr>
          <w:rFonts w:ascii="David" w:eastAsia="Calibri" w:hAnsi="David"/>
          <w:sz w:val="24"/>
          <w:rtl/>
        </w:rPr>
      </w:pPr>
      <w:bookmarkStart w:id="41" w:name="_Hlk231193177"/>
      <w:r w:rsidRPr="00861D72">
        <w:rPr>
          <w:rFonts w:eastAsia="Calibri" w:hint="cs"/>
          <w:rtl/>
          <w:lang w:eastAsia="he-IL"/>
        </w:rPr>
        <w:t xml:space="preserve">משרד הבריאות מסר בתשובתו </w:t>
      </w:r>
      <w:r w:rsidRPr="00861D72">
        <w:rPr>
          <w:rFonts w:ascii="David" w:eastAsia="Calibri" w:hAnsi="David" w:hint="cs"/>
          <w:sz w:val="24"/>
          <w:rtl/>
        </w:rPr>
        <w:t>כי הוא מסכים שנדרשים</w:t>
      </w:r>
      <w:r w:rsidRPr="00861D72">
        <w:rPr>
          <w:rFonts w:ascii="David" w:eastAsia="Calibri" w:hAnsi="David"/>
          <w:sz w:val="24"/>
          <w:rtl/>
        </w:rPr>
        <w:t xml:space="preserve"> יעדים מדידים ברורים </w:t>
      </w:r>
      <w:r w:rsidRPr="00861D72">
        <w:rPr>
          <w:rFonts w:ascii="David" w:eastAsia="Calibri" w:hAnsi="David" w:hint="cs"/>
          <w:sz w:val="24"/>
          <w:rtl/>
        </w:rPr>
        <w:t>כדי</w:t>
      </w:r>
      <w:r w:rsidRPr="00861D72">
        <w:rPr>
          <w:rFonts w:ascii="David" w:eastAsia="Calibri" w:hAnsi="David"/>
          <w:sz w:val="24"/>
          <w:rtl/>
        </w:rPr>
        <w:t xml:space="preserve"> למדוד הצלחה ולכוון את פעילות המשרד.</w:t>
      </w:r>
      <w:r w:rsidRPr="00861D72">
        <w:rPr>
          <w:rFonts w:ascii="David" w:eastAsia="Calibri" w:hAnsi="David" w:hint="cs"/>
          <w:sz w:val="24"/>
          <w:rtl/>
        </w:rPr>
        <w:t xml:space="preserve"> על כן למשרד יש </w:t>
      </w:r>
      <w:r w:rsidRPr="00861D72">
        <w:rPr>
          <w:rFonts w:ascii="David" w:eastAsia="Calibri" w:hAnsi="David"/>
          <w:sz w:val="24"/>
          <w:rtl/>
        </w:rPr>
        <w:t>מודל למדידה ויעדים ל</w:t>
      </w:r>
      <w:r w:rsidRPr="00861D72">
        <w:rPr>
          <w:rFonts w:ascii="David" w:eastAsia="Calibri" w:hAnsi="David" w:hint="cs"/>
          <w:sz w:val="24"/>
          <w:rtl/>
        </w:rPr>
        <w:t>-</w:t>
      </w:r>
      <w:r w:rsidRPr="00861D72">
        <w:rPr>
          <w:rFonts w:ascii="David" w:eastAsia="Calibri" w:hAnsi="David"/>
          <w:sz w:val="24"/>
          <w:rtl/>
        </w:rPr>
        <w:t>3, 5 ו</w:t>
      </w:r>
      <w:r w:rsidRPr="00861D72">
        <w:rPr>
          <w:rFonts w:ascii="David" w:eastAsia="Calibri" w:hAnsi="David" w:hint="cs"/>
          <w:sz w:val="24"/>
          <w:rtl/>
        </w:rPr>
        <w:t>ל</w:t>
      </w:r>
      <w:r w:rsidRPr="00861D72">
        <w:rPr>
          <w:rFonts w:ascii="David" w:eastAsia="Calibri" w:hAnsi="David"/>
          <w:sz w:val="24"/>
          <w:rtl/>
        </w:rPr>
        <w:t xml:space="preserve">-10 שנים לנושאים הקיימים במפת המדידה </w:t>
      </w:r>
      <w:r w:rsidRPr="00861D72">
        <w:rPr>
          <w:rFonts w:ascii="David" w:eastAsia="Calibri" w:hAnsi="David" w:hint="cs"/>
          <w:sz w:val="24"/>
          <w:rtl/>
        </w:rPr>
        <w:t>להזדקנות</w:t>
      </w:r>
      <w:r w:rsidRPr="00861D72">
        <w:rPr>
          <w:rFonts w:ascii="David" w:eastAsia="Calibri" w:hAnsi="David"/>
          <w:sz w:val="24"/>
          <w:rtl/>
        </w:rPr>
        <w:t xml:space="preserve"> מיטבית</w:t>
      </w:r>
      <w:r w:rsidRPr="00861D72">
        <w:rPr>
          <w:rFonts w:ascii="David" w:eastAsia="Calibri" w:hAnsi="David" w:hint="cs"/>
          <w:sz w:val="24"/>
          <w:rtl/>
        </w:rPr>
        <w:t>, ובהם</w:t>
      </w:r>
      <w:r w:rsidRPr="00861D72">
        <w:rPr>
          <w:rFonts w:ascii="David" w:eastAsia="Calibri" w:hAnsi="David"/>
          <w:sz w:val="24"/>
          <w:rtl/>
        </w:rPr>
        <w:t>: תחלואה בסרטן, ס</w:t>
      </w:r>
      <w:r w:rsidRPr="00861D72">
        <w:rPr>
          <w:rFonts w:ascii="David" w:eastAsia="Calibri" w:hAnsi="David" w:hint="cs"/>
          <w:sz w:val="24"/>
          <w:rtl/>
        </w:rPr>
        <w:t>ו</w:t>
      </w:r>
      <w:r w:rsidRPr="00861D72">
        <w:rPr>
          <w:rFonts w:ascii="David" w:eastAsia="Calibri" w:hAnsi="David"/>
          <w:sz w:val="24"/>
          <w:rtl/>
        </w:rPr>
        <w:t>כרת, שבץ, מצב תפקודי</w:t>
      </w:r>
      <w:r w:rsidRPr="00861D72">
        <w:rPr>
          <w:rFonts w:ascii="David" w:eastAsia="Calibri" w:hAnsi="David" w:hint="cs"/>
          <w:sz w:val="24"/>
          <w:rtl/>
        </w:rPr>
        <w:t xml:space="preserve">, </w:t>
      </w:r>
      <w:r w:rsidRPr="00861D72">
        <w:rPr>
          <w:rFonts w:ascii="David" w:eastAsia="Calibri" w:hAnsi="David"/>
          <w:sz w:val="24"/>
          <w:rtl/>
        </w:rPr>
        <w:t xml:space="preserve">מדדי התנהגות בריאות והשמנה. על בסיס יעדים אלו משרד הבריאות גוזר </w:t>
      </w:r>
      <w:r w:rsidRPr="00861D72">
        <w:rPr>
          <w:rFonts w:ascii="David" w:eastAsia="Calibri" w:hAnsi="David"/>
          <w:sz w:val="24"/>
          <w:rtl/>
        </w:rPr>
        <w:t>ת</w:t>
      </w:r>
      <w:r w:rsidRPr="00861D72">
        <w:rPr>
          <w:rFonts w:ascii="David" w:eastAsia="Calibri" w:hAnsi="David" w:hint="cs"/>
          <w:sz w:val="24"/>
          <w:rtl/>
        </w:rPr>
        <w:t>ו</w:t>
      </w:r>
      <w:r w:rsidRPr="00861D72">
        <w:rPr>
          <w:rFonts w:ascii="David" w:eastAsia="Calibri" w:hAnsi="David"/>
          <w:sz w:val="24"/>
          <w:rtl/>
        </w:rPr>
        <w:t>כניות</w:t>
      </w:r>
      <w:r w:rsidRPr="00861D72">
        <w:rPr>
          <w:rFonts w:ascii="David" w:eastAsia="Calibri" w:hAnsi="David"/>
          <w:sz w:val="24"/>
          <w:rtl/>
        </w:rPr>
        <w:t xml:space="preserve"> מדיניות ומקצה משאבים בהתאם.</w:t>
      </w:r>
    </w:p>
    <w:bookmarkEnd w:id="41"/>
    <w:p w:rsidR="00861D72" w:rsidRPr="00861D72" w:rsidP="00F90255">
      <w:pPr>
        <w:spacing w:line="269" w:lineRule="auto"/>
        <w:rPr>
          <w:rFonts w:eastAsia="Calibri"/>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תיאום מערכתי בטיפול בהזדקנות האוכלוסייה</w:t>
      </w:r>
      <w:r w:rsidRPr="00861D72">
        <w:rPr>
          <w:rFonts w:eastAsia="Times New Roman"/>
          <w:bCs/>
          <w:szCs w:val="28"/>
          <w:u w:val="single"/>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rtl/>
        </w:rPr>
        <w:t>הזדקנות האוכלוסייה משפיעה כמעט</w:t>
      </w:r>
      <w:r w:rsidRPr="00861D72">
        <w:rPr>
          <w:rFonts w:eastAsia="Calibri" w:hint="cs"/>
          <w:rtl/>
        </w:rPr>
        <w:t xml:space="preserve"> </w:t>
      </w:r>
      <w:r w:rsidRPr="00861D72">
        <w:rPr>
          <w:rFonts w:eastAsia="Calibri"/>
          <w:rtl/>
        </w:rPr>
        <w:t>על כל תחומי החיים</w:t>
      </w:r>
      <w:r w:rsidRPr="00861D72">
        <w:rPr>
          <w:rFonts w:eastAsia="Calibri" w:hint="cs"/>
          <w:rtl/>
        </w:rPr>
        <w:t>:</w:t>
      </w:r>
      <w:r w:rsidRPr="00861D72">
        <w:rPr>
          <w:rFonts w:eastAsia="Calibri"/>
          <w:rtl/>
        </w:rPr>
        <w:t xml:space="preserve"> בריאות פיזית ונפשית, רווחה, כלכלה, </w:t>
      </w:r>
      <w:r w:rsidRPr="00861D72">
        <w:rPr>
          <w:rFonts w:ascii="David" w:eastAsia="Calibri" w:hAnsi="David"/>
          <w:sz w:val="24"/>
          <w:rtl/>
        </w:rPr>
        <w:t>תעסוקה</w:t>
      </w:r>
      <w:r w:rsidRPr="00861D72">
        <w:rPr>
          <w:rFonts w:eastAsia="Calibri"/>
          <w:rtl/>
        </w:rPr>
        <w:t>, דיור, תחבורה, חיי חברה ועוד. לתהליך זה השלכות דמוגרפיות, חברתיות וכלכליות נרחבות, הדורשות היערכות ברמת התכנון הלאומי</w:t>
      </w:r>
      <w:r w:rsidRPr="00861D72">
        <w:rPr>
          <w:rFonts w:eastAsia="Calibri" w:hint="cs"/>
          <w:rtl/>
        </w:rPr>
        <w:t xml:space="preserve">. בהתאם, </w:t>
      </w:r>
      <w:r w:rsidRPr="00861D72">
        <w:rPr>
          <w:rFonts w:eastAsia="Calibri"/>
          <w:rtl/>
        </w:rPr>
        <w:t xml:space="preserve">תחום הזקנה בישראל מאופיין במעורבותם של </w:t>
      </w:r>
      <w:r w:rsidRPr="00861D72">
        <w:rPr>
          <w:rFonts w:eastAsia="Calibri" w:hint="cs"/>
          <w:rtl/>
        </w:rPr>
        <w:t>כמה</w:t>
      </w:r>
      <w:r w:rsidRPr="00861D72">
        <w:rPr>
          <w:rFonts w:eastAsia="Calibri"/>
          <w:rtl/>
        </w:rPr>
        <w:t xml:space="preserve"> </w:t>
      </w:r>
      <w:r w:rsidRPr="00861D72">
        <w:rPr>
          <w:rFonts w:eastAsia="Calibri" w:hint="cs"/>
          <w:rtl/>
        </w:rPr>
        <w:t>גופים ו</w:t>
      </w:r>
      <w:r w:rsidRPr="00861D72">
        <w:rPr>
          <w:rFonts w:eastAsia="Calibri"/>
          <w:rtl/>
        </w:rPr>
        <w:t xml:space="preserve">משרדי ממשלה, כגון משרד הבריאות, </w:t>
      </w:r>
      <w:r w:rsidRPr="00861D72">
        <w:rPr>
          <w:rFonts w:eastAsia="Calibri" w:hint="cs"/>
          <w:rtl/>
        </w:rPr>
        <w:t xml:space="preserve">קופות החולים, </w:t>
      </w:r>
      <w:r w:rsidRPr="00861D72">
        <w:rPr>
          <w:rFonts w:eastAsia="Calibri"/>
          <w:rtl/>
        </w:rPr>
        <w:t xml:space="preserve">משרד הרווחה, המשרד לשוויון חברתי, </w:t>
      </w:r>
      <w:r w:rsidRPr="00861D72">
        <w:rPr>
          <w:rFonts w:eastAsia="Calibri" w:hint="cs"/>
          <w:rtl/>
        </w:rPr>
        <w:t>בט"ל</w:t>
      </w:r>
      <w:r w:rsidRPr="00861D72">
        <w:rPr>
          <w:rFonts w:eastAsia="Calibri" w:hint="cs"/>
          <w:rtl/>
        </w:rPr>
        <w:t>, השלטון המקומי ועוד.</w:t>
      </w:r>
    </w:p>
    <w:p w:rsidR="00861D72" w:rsidRPr="00861D72" w:rsidP="00F90255">
      <w:pPr>
        <w:widowControl w:val="0"/>
        <w:spacing w:line="269" w:lineRule="auto"/>
        <w:rPr>
          <w:rFonts w:eastAsia="Calibri"/>
          <w:rtl/>
        </w:rPr>
      </w:pPr>
    </w:p>
    <w:p w:rsidR="00861D72" w:rsidRPr="00861D72" w:rsidP="00F90255">
      <w:pPr>
        <w:widowControl w:val="0"/>
        <w:spacing w:line="269" w:lineRule="auto"/>
        <w:rPr>
          <w:rFonts w:eastAsia="Calibri"/>
          <w:rtl/>
        </w:rPr>
      </w:pPr>
    </w:p>
    <w:p w:rsidR="00861D72" w:rsidRPr="00861D72" w:rsidP="00F90255">
      <w:pPr>
        <w:widowControl w:val="0"/>
        <w:spacing w:line="269" w:lineRule="auto"/>
        <w:rPr>
          <w:rFonts w:eastAsia="Calibri"/>
          <w:rtl/>
        </w:rPr>
      </w:pPr>
    </w:p>
    <w:p w:rsidR="00861D72" w:rsidRPr="00861D72" w:rsidP="00F90255">
      <w:pPr>
        <w:widowControl w:val="0"/>
        <w:spacing w:line="269" w:lineRule="auto"/>
        <w:rPr>
          <w:rFonts w:eastAsia="Calibri"/>
          <w:rtl/>
        </w:rPr>
      </w:pPr>
    </w:p>
    <w:p w:rsidR="00861D72" w:rsidRPr="00861D72" w:rsidP="00F90255">
      <w:pPr>
        <w:widowControl w:val="0"/>
        <w:spacing w:line="269" w:lineRule="auto"/>
        <w:rPr>
          <w:rFonts w:eastAsia="Calibri"/>
          <w:rtl/>
        </w:rPr>
      </w:pPr>
    </w:p>
    <w:p w:rsidR="00861D72" w:rsidRPr="00861D72" w:rsidP="00EB2B30">
      <w:pPr>
        <w:keepNext/>
        <w:keepLines/>
        <w:widowControl w:val="0"/>
        <w:spacing w:line="269" w:lineRule="auto"/>
        <w:jc w:val="center"/>
        <w:rPr>
          <w:rFonts w:eastAsia="Calibri"/>
          <w:rtl/>
        </w:rPr>
      </w:pPr>
      <w:r w:rsidRPr="00861D72">
        <w:rPr>
          <w:rFonts w:eastAsia="Calibri" w:hint="cs"/>
          <w:rtl/>
        </w:rPr>
        <w:t xml:space="preserve">תרשים 13: </w:t>
      </w:r>
      <w:r w:rsidRPr="00861D72">
        <w:rPr>
          <w:rFonts w:eastAsia="Calibri" w:hint="cs"/>
          <w:b/>
          <w:bCs/>
          <w:rtl/>
        </w:rPr>
        <w:t>קובעי מדיניות וספקי שירות בתחום הזקנה</w:t>
      </w:r>
    </w:p>
    <w:p w:rsidR="00861D72" w:rsidRPr="00861D72" w:rsidP="00EB2B30">
      <w:pPr>
        <w:spacing w:line="269" w:lineRule="auto"/>
        <w:jc w:val="center"/>
        <w:rPr>
          <w:rFonts w:eastAsia="Calibri"/>
          <w:rtl/>
        </w:rPr>
      </w:pPr>
      <w:r w:rsidRPr="00861D72">
        <w:rPr>
          <w:rFonts w:eastAsia="Calibri"/>
          <w:noProof/>
        </w:rPr>
        <w:drawing>
          <wp:inline distT="0" distB="0" distL="0" distR="0">
            <wp:extent cx="4669611" cy="2686150"/>
            <wp:effectExtent l="0" t="0" r="0" b="0"/>
            <wp:docPr id="105" name="תמונה 105" descr="קובעי מדיניות&#10;וספקי שירות&#10;בתחום הזקנה&#10;משרד&#10;הבריאות&#10;&#10;קופות&#10;החולים&#10;&#10;המוסד&#10;לביטוח לאומי&#10;&#10;המשרד&#10;לשוויון חברתי&#10;&#10;משרד&#10;הרווחה&#10;והביטחון&#10;החברתי&#10;&#10;השלטון&#10;המקומי&#10;&#10;גופים פרטיים&#10;וחברה&#10;השלישי&#10;&#10;משרדים נוספים&#10;כגון משרד&#10;העלייה והקליטה&#10;ומשרד השיכון&#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3400" cy="2694082"/>
                    </a:xfrm>
                    <a:prstGeom prst="rect">
                      <a:avLst/>
                    </a:prstGeom>
                    <a:noFill/>
                  </pic:spPr>
                </pic:pic>
              </a:graphicData>
            </a:graphic>
          </wp:inline>
        </w:drawing>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בשל </w:t>
      </w:r>
      <w:r w:rsidRPr="00861D72">
        <w:rPr>
          <w:rFonts w:ascii="David" w:eastAsia="Calibri" w:hAnsi="David" w:hint="cs"/>
          <w:sz w:val="24"/>
          <w:rtl/>
        </w:rPr>
        <w:t>אופייה</w:t>
      </w:r>
      <w:r w:rsidRPr="00861D72">
        <w:rPr>
          <w:rFonts w:eastAsia="Calibri" w:hint="cs"/>
          <w:rtl/>
        </w:rPr>
        <w:t xml:space="preserve"> הרב-מערכתי של ההזדקנות, </w:t>
      </w:r>
      <w:r w:rsidRPr="00861D72">
        <w:rPr>
          <w:rFonts w:eastAsia="Calibri"/>
          <w:rtl/>
        </w:rPr>
        <w:t>עולה צורך ב</w:t>
      </w:r>
      <w:r w:rsidRPr="00861D72">
        <w:rPr>
          <w:rFonts w:eastAsia="Calibri" w:hint="cs"/>
          <w:rtl/>
        </w:rPr>
        <w:t>ארבעה</w:t>
      </w:r>
      <w:r w:rsidRPr="00861D72">
        <w:rPr>
          <w:rFonts w:eastAsia="Calibri"/>
          <w:rtl/>
        </w:rPr>
        <w:t xml:space="preserve"> רכיבים משלימים </w:t>
      </w:r>
      <w:r w:rsidRPr="00861D72">
        <w:rPr>
          <w:rFonts w:eastAsia="Calibri" w:hint="cs"/>
          <w:rtl/>
        </w:rPr>
        <w:t>ה</w:t>
      </w:r>
      <w:r w:rsidRPr="00861D72">
        <w:rPr>
          <w:rFonts w:eastAsia="Calibri"/>
          <w:rtl/>
        </w:rPr>
        <w:t>נדרש</w:t>
      </w:r>
      <w:r w:rsidRPr="00861D72">
        <w:rPr>
          <w:rFonts w:eastAsia="Calibri" w:hint="cs"/>
          <w:rtl/>
        </w:rPr>
        <w:t>ים</w:t>
      </w:r>
      <w:r w:rsidRPr="00861D72">
        <w:rPr>
          <w:rFonts w:eastAsia="Calibri"/>
          <w:rtl/>
        </w:rPr>
        <w:t xml:space="preserve"> לשם קידום הזדקנות מיטבית ולשיפור רציף של השירות לאזרח: גורם </w:t>
      </w:r>
      <w:r w:rsidRPr="00861D72">
        <w:rPr>
          <w:rFonts w:eastAsia="Calibri"/>
          <w:rtl/>
        </w:rPr>
        <w:t>מתכלל</w:t>
      </w:r>
      <w:r w:rsidRPr="00861D72">
        <w:rPr>
          <w:rFonts w:eastAsia="Calibri"/>
          <w:rtl/>
        </w:rPr>
        <w:t xml:space="preserve"> ברמה הממשלתית שיגבש כיווני פעולה ויעדים משותפים; שיתופי פעולה סדירים בין משרדי הממשלה</w:t>
      </w:r>
      <w:r w:rsidRPr="00861D72">
        <w:rPr>
          <w:rFonts w:eastAsia="Calibri" w:hint="cs"/>
          <w:rtl/>
        </w:rPr>
        <w:t>,</w:t>
      </w:r>
      <w:r w:rsidRPr="00861D72">
        <w:rPr>
          <w:rFonts w:eastAsia="Calibri"/>
          <w:rtl/>
        </w:rPr>
        <w:t xml:space="preserve"> </w:t>
      </w:r>
      <w:r w:rsidRPr="00861D72">
        <w:rPr>
          <w:rFonts w:eastAsia="Calibri" w:hint="cs"/>
          <w:rtl/>
        </w:rPr>
        <w:t>ל</w:t>
      </w:r>
      <w:r w:rsidRPr="00861D72">
        <w:rPr>
          <w:rFonts w:eastAsia="Calibri"/>
          <w:rtl/>
        </w:rPr>
        <w:t>גופים הציבוריים ו</w:t>
      </w:r>
      <w:r w:rsidRPr="00861D72">
        <w:rPr>
          <w:rFonts w:eastAsia="Calibri" w:hint="cs"/>
          <w:rtl/>
        </w:rPr>
        <w:t>ל</w:t>
      </w:r>
      <w:r w:rsidRPr="00861D72">
        <w:rPr>
          <w:rFonts w:eastAsia="Calibri"/>
          <w:rtl/>
        </w:rPr>
        <w:t xml:space="preserve">רשויות המקומיות וכן עם המגזר השלישי והפרטי; </w:t>
      </w:r>
      <w:r w:rsidRPr="00861D72">
        <w:rPr>
          <w:rFonts w:eastAsia="Calibri" w:hint="cs"/>
          <w:rtl/>
        </w:rPr>
        <w:t xml:space="preserve">תקציב מוגדר לנושא; </w:t>
      </w:r>
      <w:r w:rsidRPr="00861D72">
        <w:rPr>
          <w:rFonts w:eastAsia="Calibri"/>
          <w:rtl/>
        </w:rPr>
        <w:t xml:space="preserve">ותשתיות ושגרות להעברת מידע ושיתוף נתונים בין הגופים. </w:t>
      </w:r>
    </w:p>
    <w:p w:rsidR="00861D72" w:rsidRPr="00861D72" w:rsidP="00F90255">
      <w:pPr>
        <w:spacing w:line="269" w:lineRule="auto"/>
        <w:rPr>
          <w:rFonts w:eastAsia="Calibri"/>
          <w:rtl/>
        </w:rPr>
      </w:pPr>
    </w:p>
    <w:p w:rsidR="00861D72" w:rsidRPr="00861D72" w:rsidP="00F90255">
      <w:pPr>
        <w:keepNext/>
        <w:keepLines/>
        <w:spacing w:line="269" w:lineRule="auto"/>
        <w:outlineLvl w:val="3"/>
        <w:rPr>
          <w:rFonts w:eastAsia="Times New Roman"/>
          <w:bCs/>
          <w:szCs w:val="26"/>
          <w:rtl/>
        </w:rPr>
      </w:pPr>
      <w:r w:rsidRPr="00861D72">
        <w:rPr>
          <w:rFonts w:eastAsia="Times New Roman"/>
          <w:bCs/>
          <w:szCs w:val="26"/>
          <w:rtl/>
        </w:rPr>
        <w:t>גורם</w:t>
      </w:r>
      <w:r w:rsidRPr="00861D72">
        <w:rPr>
          <w:rFonts w:eastAsia="Times New Roman" w:hint="cs"/>
          <w:bCs/>
          <w:szCs w:val="26"/>
          <w:rtl/>
        </w:rPr>
        <w:t xml:space="preserve">-על </w:t>
      </w:r>
      <w:r w:rsidRPr="00861D72">
        <w:rPr>
          <w:rFonts w:eastAsia="Times New Roman" w:hint="eastAsia"/>
          <w:bCs/>
          <w:szCs w:val="26"/>
          <w:rtl/>
        </w:rPr>
        <w:t>מתכלל</w:t>
      </w:r>
      <w:r w:rsidRPr="00861D72">
        <w:rPr>
          <w:rFonts w:eastAsia="Times New Roman"/>
          <w:bCs/>
          <w:szCs w:val="26"/>
          <w:rtl/>
        </w:rPr>
        <w:t xml:space="preserve"> ומתאם</w:t>
      </w:r>
      <w:r w:rsidRPr="00861D72">
        <w:rPr>
          <w:rFonts w:eastAsia="Times New Roman" w:hint="cs"/>
          <w:bCs/>
          <w:szCs w:val="26"/>
          <w:rtl/>
        </w:rPr>
        <w:t xml:space="preserve"> להזדקנות מיטבית</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rtl/>
        </w:rPr>
      </w:pPr>
      <w:r w:rsidRPr="00861D72">
        <w:rPr>
          <w:rFonts w:ascii="David" w:eastAsia="Calibri" w:hAnsi="David" w:hint="cs"/>
          <w:sz w:val="24"/>
          <w:rtl/>
        </w:rPr>
        <w:t>מימוש</w:t>
      </w:r>
      <w:r w:rsidRPr="00861D72">
        <w:rPr>
          <w:rFonts w:ascii="David" w:eastAsia="Calibri" w:hAnsi="David" w:hint="cs"/>
          <w:rtl/>
        </w:rPr>
        <w:t xml:space="preserve"> </w:t>
      </w:r>
      <w:r w:rsidRPr="00861D72">
        <w:rPr>
          <w:rFonts w:ascii="David" w:eastAsia="Calibri" w:hAnsi="David"/>
          <w:rtl/>
        </w:rPr>
        <w:t>מדיניות</w:t>
      </w:r>
      <w:r w:rsidRPr="00861D72">
        <w:rPr>
          <w:rFonts w:ascii="David" w:eastAsia="Calibri" w:hAnsi="David" w:hint="cs"/>
          <w:rtl/>
        </w:rPr>
        <w:t xml:space="preserve"> לאומית</w:t>
      </w:r>
      <w:r w:rsidRPr="00861D72">
        <w:rPr>
          <w:rFonts w:ascii="David" w:eastAsia="Calibri" w:hAnsi="David"/>
          <w:rtl/>
        </w:rPr>
        <w:t xml:space="preserve"> מחייב תיאום</w:t>
      </w:r>
      <w:r w:rsidRPr="00861D72">
        <w:rPr>
          <w:rFonts w:ascii="David" w:eastAsia="Calibri" w:hAnsi="David"/>
        </w:rPr>
        <w:t xml:space="preserve"> </w:t>
      </w:r>
      <w:r w:rsidRPr="00861D72">
        <w:rPr>
          <w:rFonts w:ascii="David" w:eastAsia="Calibri" w:hAnsi="David" w:hint="eastAsia"/>
          <w:rtl/>
        </w:rPr>
        <w:t>כלל</w:t>
      </w:r>
      <w:r w:rsidRPr="00861D72">
        <w:rPr>
          <w:rFonts w:ascii="David" w:eastAsia="Calibri" w:hAnsi="David"/>
          <w:rtl/>
        </w:rPr>
        <w:t xml:space="preserve"> </w:t>
      </w:r>
      <w:r w:rsidRPr="00861D72">
        <w:rPr>
          <w:rFonts w:ascii="David" w:eastAsia="Calibri" w:hAnsi="David" w:hint="eastAsia"/>
          <w:rtl/>
        </w:rPr>
        <w:t>ממשלתי</w:t>
      </w:r>
      <w:r w:rsidRPr="00861D72">
        <w:rPr>
          <w:rFonts w:ascii="David" w:eastAsia="Calibri" w:hAnsi="David"/>
        </w:rPr>
        <w:t xml:space="preserve"> </w:t>
      </w:r>
      <w:r w:rsidRPr="00861D72">
        <w:rPr>
          <w:rFonts w:ascii="David" w:eastAsia="Calibri" w:hAnsi="David"/>
          <w:rtl/>
        </w:rPr>
        <w:t>וחזון אסטרטגי מאוחד</w:t>
      </w:r>
      <w:r>
        <w:rPr>
          <w:rFonts w:ascii="David" w:eastAsia="Calibri" w:hAnsi="David"/>
          <w:vertAlign w:val="superscript"/>
          <w:rtl/>
        </w:rPr>
        <w:footnoteReference w:id="96"/>
      </w:r>
      <w:r w:rsidRPr="00861D72">
        <w:rPr>
          <w:rFonts w:ascii="David" w:eastAsia="Calibri" w:hAnsi="David" w:hint="cs"/>
          <w:rtl/>
        </w:rPr>
        <w:t xml:space="preserve">. ארגון הבריאות העולמי והאו"ם קבעו </w:t>
      </w:r>
      <w:r w:rsidRPr="00861D72">
        <w:rPr>
          <w:rFonts w:ascii="David" w:eastAsia="Calibri" w:hAnsi="David"/>
          <w:rtl/>
        </w:rPr>
        <w:t xml:space="preserve">כי </w:t>
      </w:r>
      <w:r w:rsidRPr="00861D72">
        <w:rPr>
          <w:rFonts w:ascii="David" w:eastAsia="Calibri" w:hAnsi="David" w:hint="cs"/>
          <w:rtl/>
        </w:rPr>
        <w:t>הזדקנות מיטבית</w:t>
      </w:r>
      <w:r w:rsidRPr="00861D72">
        <w:rPr>
          <w:rFonts w:ascii="David" w:eastAsia="Calibri" w:hAnsi="David"/>
          <w:rtl/>
        </w:rPr>
        <w:t xml:space="preserve"> מחייבת מנהיגות ותיאום בין </w:t>
      </w:r>
      <w:r w:rsidRPr="00861D72">
        <w:rPr>
          <w:rFonts w:ascii="David" w:eastAsia="Calibri" w:hAnsi="David" w:hint="cs"/>
          <w:rtl/>
        </w:rPr>
        <w:t xml:space="preserve">המרכיבים האלה: </w:t>
      </w:r>
      <w:r w:rsidRPr="00861D72">
        <w:rPr>
          <w:rFonts w:ascii="David" w:eastAsia="Calibri" w:hAnsi="David"/>
          <w:rtl/>
        </w:rPr>
        <w:t>בריאות, רווחה, תעסוקה, קהילה, תכנון וסביבות חיים, במסגרת שיתופי פעולה מרובי</w:t>
      </w:r>
      <w:r w:rsidRPr="00861D72">
        <w:rPr>
          <w:rFonts w:ascii="David" w:eastAsia="Calibri" w:hAnsi="David" w:hint="cs"/>
          <w:rtl/>
        </w:rPr>
        <w:t xml:space="preserve"> </w:t>
      </w:r>
      <w:r w:rsidRPr="00861D72">
        <w:rPr>
          <w:rFonts w:ascii="David" w:eastAsia="Calibri" w:hAnsi="David"/>
          <w:rtl/>
        </w:rPr>
        <w:t>שותפים</w:t>
      </w:r>
      <w:r>
        <w:rPr>
          <w:rFonts w:ascii="David" w:eastAsia="Calibri" w:hAnsi="David"/>
          <w:vertAlign w:val="superscript"/>
          <w:rtl/>
        </w:rPr>
        <w:footnoteReference w:id="97"/>
      </w:r>
      <w:r w:rsidRPr="00861D72">
        <w:rPr>
          <w:rFonts w:ascii="David" w:eastAsia="Calibri" w:hAnsi="David"/>
          <w:rtl/>
        </w:rPr>
        <w:t>. ה</w:t>
      </w:r>
      <w:r w:rsidRPr="00861D72">
        <w:rPr>
          <w:rFonts w:ascii="David" w:eastAsia="Calibri" w:hAnsi="David" w:hint="cs"/>
          <w:rtl/>
        </w:rPr>
        <w:t>וועדה הכלכלית לאירופה של האו"ם (</w:t>
      </w:r>
      <w:r w:rsidRPr="00861D72">
        <w:rPr>
          <w:rFonts w:ascii="David" w:eastAsia="Calibri" w:hAnsi="David" w:hint="cs"/>
        </w:rPr>
        <w:t>UNE</w:t>
      </w:r>
      <w:r w:rsidRPr="00861D72">
        <w:rPr>
          <w:rFonts w:ascii="David" w:eastAsia="Calibri" w:hAnsi="David"/>
        </w:rPr>
        <w:t>CE</w:t>
      </w:r>
      <w:r w:rsidRPr="00861D72">
        <w:rPr>
          <w:rFonts w:ascii="David" w:eastAsia="Calibri" w:hAnsi="David" w:hint="cs"/>
          <w:rtl/>
        </w:rPr>
        <w:t>)</w:t>
      </w:r>
      <w:r w:rsidRPr="00861D72">
        <w:rPr>
          <w:rFonts w:ascii="David" w:eastAsia="Calibri" w:hAnsi="David"/>
        </w:rPr>
        <w:t xml:space="preserve"> </w:t>
      </w:r>
      <w:r w:rsidRPr="00861D72">
        <w:rPr>
          <w:rFonts w:ascii="David" w:eastAsia="Calibri" w:hAnsi="David"/>
          <w:rtl/>
        </w:rPr>
        <w:t xml:space="preserve">מדגישה כי פעולה מתואמת </w:t>
      </w:r>
      <w:r w:rsidRPr="00861D72">
        <w:rPr>
          <w:rFonts w:ascii="David" w:eastAsia="Calibri" w:hAnsi="David" w:hint="cs"/>
          <w:rtl/>
        </w:rPr>
        <w:t xml:space="preserve">בין משרדי ממשלה </w:t>
      </w:r>
      <w:r w:rsidRPr="00861D72">
        <w:rPr>
          <w:rFonts w:ascii="David" w:eastAsia="Calibri" w:hAnsi="David"/>
          <w:rtl/>
        </w:rPr>
        <w:t xml:space="preserve">משפרת </w:t>
      </w:r>
      <w:r w:rsidRPr="00861D72">
        <w:rPr>
          <w:rFonts w:ascii="David" w:eastAsia="Calibri" w:hAnsi="David" w:hint="cs"/>
          <w:rtl/>
        </w:rPr>
        <w:t xml:space="preserve">את </w:t>
      </w:r>
      <w:r w:rsidRPr="00861D72">
        <w:rPr>
          <w:rFonts w:ascii="David" w:eastAsia="Calibri" w:hAnsi="David"/>
          <w:rtl/>
        </w:rPr>
        <w:t xml:space="preserve">התאמת </w:t>
      </w:r>
      <w:r w:rsidRPr="00861D72">
        <w:rPr>
          <w:rFonts w:ascii="David" w:eastAsia="Calibri" w:hAnsi="David" w:hint="cs"/>
          <w:rtl/>
        </w:rPr>
        <w:t>ה</w:t>
      </w:r>
      <w:r w:rsidRPr="00861D72">
        <w:rPr>
          <w:rFonts w:ascii="David" w:eastAsia="Calibri" w:hAnsi="David"/>
          <w:rtl/>
        </w:rPr>
        <w:t>שירותים ומצמצמת פיצול</w:t>
      </w:r>
      <w:r>
        <w:rPr>
          <w:rFonts w:ascii="David" w:eastAsia="Calibri" w:hAnsi="David"/>
          <w:vertAlign w:val="superscript"/>
          <w:rtl/>
        </w:rPr>
        <w:footnoteReference w:id="98"/>
      </w:r>
      <w:r w:rsidRPr="00861D72">
        <w:rPr>
          <w:rFonts w:ascii="David" w:eastAsia="Calibri" w:hAnsi="David"/>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ascii="David" w:eastAsia="Calibri" w:hAnsi="David"/>
          <w:rtl/>
        </w:rPr>
        <w:t xml:space="preserve">ההזדקנות היא תחום </w:t>
      </w:r>
      <w:r w:rsidRPr="00861D72">
        <w:rPr>
          <w:rFonts w:ascii="David" w:eastAsia="Calibri" w:hAnsi="David" w:hint="cs"/>
          <w:rtl/>
        </w:rPr>
        <w:t>ש</w:t>
      </w:r>
      <w:r w:rsidRPr="00861D72">
        <w:rPr>
          <w:rFonts w:ascii="David" w:eastAsia="Calibri" w:hAnsi="David"/>
          <w:rtl/>
        </w:rPr>
        <w:t xml:space="preserve">בו פועלים גורמים רבים, ולשם הצלחה בהובלת תהליכים נדרשת זרוע </w:t>
      </w:r>
      <w:r w:rsidRPr="00861D72">
        <w:rPr>
          <w:rFonts w:ascii="David" w:eastAsia="Calibri" w:hAnsi="David"/>
          <w:rtl/>
        </w:rPr>
        <w:t>מתכללת</w:t>
      </w:r>
      <w:r w:rsidRPr="00861D72">
        <w:rPr>
          <w:rFonts w:ascii="David" w:eastAsia="Calibri" w:hAnsi="David"/>
          <w:rtl/>
        </w:rPr>
        <w:t xml:space="preserve"> שתבטיח תיאום ושיתוף פעולה בין כל השותפים.</w:t>
      </w:r>
      <w:r w:rsidRPr="00861D72">
        <w:rPr>
          <w:rFonts w:eastAsia="Calibri" w:hint="cs"/>
          <w:rtl/>
        </w:rPr>
        <w:t xml:space="preserve"> בתחומים מקבילים, שאף הם מערכתיים ומרובי שחקנים, נקבעו </w:t>
      </w:r>
      <w:r w:rsidRPr="00861D72">
        <w:rPr>
          <w:rFonts w:eastAsia="Calibri"/>
          <w:rtl/>
        </w:rPr>
        <w:t>במסגרת החלטות ממשלה גופי</w:t>
      </w:r>
      <w:r w:rsidRPr="00861D72">
        <w:rPr>
          <w:rFonts w:eastAsia="Calibri" w:hint="cs"/>
          <w:rtl/>
        </w:rPr>
        <w:t xml:space="preserve"> תכלול</w:t>
      </w:r>
      <w:r w:rsidRPr="00861D72">
        <w:rPr>
          <w:rFonts w:eastAsia="Calibri"/>
          <w:rtl/>
        </w:rPr>
        <w:t xml:space="preserve"> ייעודיים</w:t>
      </w:r>
      <w:r w:rsidRPr="00861D72">
        <w:rPr>
          <w:rFonts w:eastAsia="Calibri" w:hint="cs"/>
          <w:rtl/>
        </w:rPr>
        <w:t>, כך לדוגמה:</w:t>
      </w:r>
    </w:p>
    <w:p w:rsidR="00861D72" w:rsidRPr="00861D72" w:rsidP="00F90255">
      <w:pPr>
        <w:spacing w:line="269" w:lineRule="auto"/>
        <w:rPr>
          <w:rFonts w:eastAsia="Calibri"/>
          <w:rtl/>
        </w:rPr>
      </w:pPr>
    </w:p>
    <w:p w:rsidR="00861D72" w:rsidRPr="00861D72" w:rsidP="00F90255">
      <w:pPr>
        <w:numPr>
          <w:ilvl w:val="0"/>
          <w:numId w:val="13"/>
        </w:numPr>
        <w:spacing w:line="269" w:lineRule="auto"/>
        <w:rPr>
          <w:rFonts w:ascii="David" w:eastAsia="Calibri" w:hAnsi="David"/>
          <w:sz w:val="24"/>
        </w:rPr>
      </w:pPr>
      <w:r w:rsidRPr="00861D72">
        <w:rPr>
          <w:rFonts w:ascii="David" w:eastAsia="Calibri" w:hAnsi="David"/>
          <w:sz w:val="24"/>
          <w:rtl/>
        </w:rPr>
        <w:t xml:space="preserve">בהחלטת </w:t>
      </w:r>
      <w:r w:rsidRPr="00861D72">
        <w:rPr>
          <w:rFonts w:ascii="David" w:eastAsia="Calibri" w:hAnsi="David" w:hint="cs"/>
          <w:sz w:val="24"/>
          <w:rtl/>
        </w:rPr>
        <w:t>ה</w:t>
      </w:r>
      <w:r w:rsidRPr="00861D72">
        <w:rPr>
          <w:rFonts w:ascii="David" w:eastAsia="Calibri" w:hAnsi="David"/>
          <w:sz w:val="24"/>
          <w:rtl/>
        </w:rPr>
        <w:t xml:space="preserve">ממשלה 4079 </w:t>
      </w:r>
      <w:r w:rsidRPr="00861D72">
        <w:rPr>
          <w:rFonts w:ascii="David" w:eastAsia="Calibri" w:hAnsi="David" w:hint="cs"/>
          <w:sz w:val="24"/>
          <w:rtl/>
        </w:rPr>
        <w:t xml:space="preserve">מ-2018 </w:t>
      </w:r>
      <w:r w:rsidRPr="00861D72">
        <w:rPr>
          <w:rFonts w:ascii="David" w:eastAsia="Calibri" w:hAnsi="David"/>
          <w:sz w:val="24"/>
          <w:rtl/>
        </w:rPr>
        <w:t xml:space="preserve">הוקמה מנהלת ייעודית בראשות המשרד להגנת הסביבה </w:t>
      </w:r>
      <w:r w:rsidRPr="00861D72">
        <w:rPr>
          <w:rFonts w:ascii="David" w:eastAsia="Calibri" w:hAnsi="David"/>
          <w:sz w:val="24"/>
          <w:rtl/>
        </w:rPr>
        <w:t>לתכלול</w:t>
      </w:r>
      <w:r w:rsidRPr="00861D72">
        <w:rPr>
          <w:rFonts w:ascii="David" w:eastAsia="Calibri" w:hAnsi="David"/>
          <w:sz w:val="24"/>
          <w:rtl/>
        </w:rPr>
        <w:t xml:space="preserve"> </w:t>
      </w:r>
      <w:r w:rsidRPr="00861D72">
        <w:rPr>
          <w:rFonts w:ascii="David" w:eastAsia="Calibri" w:hAnsi="David" w:hint="cs"/>
          <w:sz w:val="24"/>
          <w:rtl/>
        </w:rPr>
        <w:t xml:space="preserve">של </w:t>
      </w:r>
      <w:r w:rsidRPr="00861D72">
        <w:rPr>
          <w:rFonts w:ascii="David" w:eastAsia="Calibri" w:hAnsi="David"/>
          <w:sz w:val="24"/>
          <w:rtl/>
        </w:rPr>
        <w:t>היערכות ישראל לשינויי אקלים, לרבות הכנת אסטרטגיה ותוכנית פעולה לאומית וליווי עבודת משרדי הממשלה והגופים הציבוריים</w:t>
      </w:r>
      <w:r>
        <w:rPr>
          <w:rFonts w:ascii="David" w:eastAsia="Calibri" w:hAnsi="David"/>
          <w:sz w:val="24"/>
          <w:vertAlign w:val="superscript"/>
          <w:rtl/>
        </w:rPr>
        <w:footnoteReference w:id="99"/>
      </w:r>
      <w:r w:rsidRPr="00861D72">
        <w:rPr>
          <w:rFonts w:ascii="David" w:eastAsia="Calibri" w:hAnsi="David"/>
          <w:sz w:val="24"/>
          <w:rtl/>
        </w:rPr>
        <w:t xml:space="preserve">. </w:t>
      </w:r>
    </w:p>
    <w:p w:rsidR="00861D72" w:rsidRPr="00861D72" w:rsidP="00F90255">
      <w:pPr>
        <w:spacing w:line="269" w:lineRule="auto"/>
        <w:ind w:left="340"/>
        <w:rPr>
          <w:rFonts w:ascii="David" w:eastAsia="Calibri" w:hAnsi="David"/>
          <w:sz w:val="24"/>
        </w:rPr>
      </w:pPr>
    </w:p>
    <w:p w:rsidR="00861D72" w:rsidRPr="00861D72" w:rsidP="00F90255">
      <w:pPr>
        <w:numPr>
          <w:ilvl w:val="0"/>
          <w:numId w:val="13"/>
        </w:numPr>
        <w:spacing w:line="269" w:lineRule="auto"/>
        <w:rPr>
          <w:rFonts w:ascii="David" w:eastAsia="Calibri" w:hAnsi="David"/>
          <w:sz w:val="24"/>
        </w:rPr>
      </w:pPr>
      <w:r w:rsidRPr="00861D72">
        <w:rPr>
          <w:rFonts w:ascii="David" w:eastAsia="Calibri" w:hAnsi="David" w:hint="cs"/>
          <w:sz w:val="24"/>
          <w:rtl/>
        </w:rPr>
        <w:t>לטובת הטיפול באוכלוסיית המיעוטים, הוקמה ב</w:t>
      </w:r>
      <w:r w:rsidRPr="00861D72">
        <w:rPr>
          <w:rFonts w:ascii="David" w:eastAsia="Calibri" w:hAnsi="David"/>
          <w:sz w:val="24"/>
          <w:rtl/>
        </w:rPr>
        <w:t xml:space="preserve">משרד לשוויון חברתי </w:t>
      </w:r>
      <w:r w:rsidRPr="00861D72">
        <w:rPr>
          <w:rFonts w:ascii="David" w:eastAsia="Calibri" w:hAnsi="David" w:hint="cs"/>
          <w:sz w:val="24"/>
          <w:rtl/>
        </w:rPr>
        <w:t xml:space="preserve">על פי </w:t>
      </w:r>
      <w:r w:rsidRPr="00861D72">
        <w:rPr>
          <w:rFonts w:ascii="David" w:eastAsia="Calibri" w:hAnsi="David"/>
          <w:sz w:val="24"/>
          <w:rtl/>
        </w:rPr>
        <w:t xml:space="preserve">החלטת </w:t>
      </w:r>
      <w:r w:rsidRPr="00861D72">
        <w:rPr>
          <w:rFonts w:ascii="David" w:eastAsia="Calibri" w:hAnsi="David" w:hint="cs"/>
          <w:sz w:val="24"/>
          <w:rtl/>
        </w:rPr>
        <w:t>ה</w:t>
      </w:r>
      <w:r w:rsidRPr="00861D72">
        <w:rPr>
          <w:rFonts w:ascii="David" w:eastAsia="Calibri" w:hAnsi="David"/>
          <w:sz w:val="24"/>
          <w:rtl/>
        </w:rPr>
        <w:t xml:space="preserve">ממשלה 1204 </w:t>
      </w:r>
      <w:r w:rsidRPr="00861D72">
        <w:rPr>
          <w:rFonts w:ascii="David" w:eastAsia="Calibri" w:hAnsi="David" w:hint="cs"/>
          <w:sz w:val="24"/>
          <w:rtl/>
        </w:rPr>
        <w:t xml:space="preserve">מ-2007 </w:t>
      </w:r>
      <w:r w:rsidRPr="00861D72">
        <w:rPr>
          <w:rFonts w:ascii="David" w:eastAsia="Calibri" w:hAnsi="David"/>
          <w:sz w:val="24"/>
          <w:rtl/>
        </w:rPr>
        <w:t>הרשות לפיתוח כלכלי של מגזר המיעוטים - יחידת ביצוע ומדיניות המקדמת פיתוח כלכלי</w:t>
      </w:r>
      <w:r w:rsidRPr="00861D72">
        <w:rPr>
          <w:rFonts w:ascii="David" w:eastAsia="Calibri" w:hAnsi="David" w:hint="cs"/>
          <w:sz w:val="24"/>
          <w:rtl/>
        </w:rPr>
        <w:t xml:space="preserve"> </w:t>
      </w:r>
      <w:r w:rsidRPr="00861D72">
        <w:rPr>
          <w:rFonts w:ascii="David" w:eastAsia="Calibri" w:hAnsi="David"/>
          <w:sz w:val="24"/>
          <w:rtl/>
        </w:rPr>
        <w:t>חברתי ושילוב בחברה ובכלכלה</w:t>
      </w:r>
      <w:r w:rsidRPr="00861D72">
        <w:rPr>
          <w:rFonts w:ascii="David" w:eastAsia="Calibri" w:hAnsi="David" w:hint="cs"/>
          <w:sz w:val="24"/>
          <w:rtl/>
        </w:rPr>
        <w:t xml:space="preserve"> </w:t>
      </w:r>
      <w:r w:rsidRPr="00861D72">
        <w:rPr>
          <w:rFonts w:ascii="David" w:eastAsia="Calibri" w:hAnsi="David"/>
          <w:sz w:val="24"/>
          <w:rtl/>
        </w:rPr>
        <w:t>מכוח מנדט ייעודי וכלים תכנוניים</w:t>
      </w:r>
      <w:r w:rsidRPr="00861D72">
        <w:rPr>
          <w:rFonts w:ascii="David" w:eastAsia="Calibri" w:hAnsi="David" w:hint="cs"/>
          <w:sz w:val="24"/>
          <w:rtl/>
        </w:rPr>
        <w:t xml:space="preserve"> </w:t>
      </w:r>
      <w:r w:rsidRPr="00861D72">
        <w:rPr>
          <w:rFonts w:ascii="David" w:eastAsia="Calibri" w:hAnsi="David"/>
          <w:sz w:val="24"/>
          <w:rtl/>
        </w:rPr>
        <w:t>תקציביים</w:t>
      </w:r>
      <w:r>
        <w:rPr>
          <w:rFonts w:ascii="David" w:eastAsia="Calibri" w:hAnsi="David"/>
          <w:sz w:val="24"/>
          <w:vertAlign w:val="superscript"/>
          <w:rtl/>
        </w:rPr>
        <w:footnoteReference w:id="100"/>
      </w:r>
      <w:r w:rsidRPr="00861D72">
        <w:rPr>
          <w:rFonts w:ascii="David" w:eastAsia="Calibri" w:hAnsi="David"/>
          <w:sz w:val="24"/>
          <w:rtl/>
        </w:rPr>
        <w:t xml:space="preserve">. </w:t>
      </w:r>
    </w:p>
    <w:p w:rsidR="00861D72" w:rsidRPr="00861D72" w:rsidP="00F90255">
      <w:pPr>
        <w:spacing w:line="269" w:lineRule="auto"/>
        <w:rPr>
          <w:rFonts w:ascii="David" w:eastAsia="Calibri" w:hAnsi="David"/>
          <w:sz w:val="24"/>
          <w:rtl/>
        </w:rPr>
      </w:pPr>
      <w:r w:rsidRPr="00861D72">
        <w:rPr>
          <w:rFonts w:ascii="David" w:eastAsia="Calibri" w:hAnsi="David" w:hint="cs"/>
          <w:sz w:val="24"/>
          <w:rtl/>
        </w:rPr>
        <w:t xml:space="preserve">שתי הדוגמאות מדגישות את החשיבות בקביעת </w:t>
      </w:r>
      <w:r w:rsidRPr="00861D72">
        <w:rPr>
          <w:rFonts w:ascii="David" w:eastAsia="Calibri" w:hAnsi="David"/>
          <w:sz w:val="24"/>
          <w:rtl/>
        </w:rPr>
        <w:t xml:space="preserve">"יד </w:t>
      </w:r>
      <w:r w:rsidRPr="00861D72">
        <w:rPr>
          <w:rFonts w:ascii="David" w:eastAsia="Calibri" w:hAnsi="David"/>
          <w:sz w:val="24"/>
          <w:rtl/>
        </w:rPr>
        <w:t>מתכללת</w:t>
      </w:r>
      <w:r w:rsidRPr="00861D72">
        <w:rPr>
          <w:rFonts w:ascii="David" w:eastAsia="Calibri" w:hAnsi="David"/>
          <w:sz w:val="24"/>
          <w:rtl/>
        </w:rPr>
        <w:t xml:space="preserve">" </w:t>
      </w:r>
      <w:r w:rsidRPr="00861D72">
        <w:rPr>
          <w:rFonts w:ascii="David" w:eastAsia="Calibri" w:hAnsi="David" w:hint="cs"/>
          <w:sz w:val="24"/>
          <w:rtl/>
        </w:rPr>
        <w:t>לפעולות משרדים רבים, כמו ה</w:t>
      </w:r>
      <w:r w:rsidRPr="00861D72">
        <w:rPr>
          <w:rFonts w:ascii="David" w:eastAsia="Calibri" w:hAnsi="David"/>
          <w:sz w:val="24"/>
          <w:rtl/>
        </w:rPr>
        <w:t xml:space="preserve">גוף </w:t>
      </w:r>
      <w:r w:rsidRPr="00861D72">
        <w:rPr>
          <w:rFonts w:ascii="David" w:eastAsia="Calibri" w:hAnsi="David" w:hint="cs"/>
          <w:sz w:val="24"/>
          <w:rtl/>
        </w:rPr>
        <w:t>ה</w:t>
      </w:r>
      <w:r w:rsidRPr="00861D72">
        <w:rPr>
          <w:rFonts w:ascii="David" w:eastAsia="Calibri" w:hAnsi="David"/>
          <w:sz w:val="24"/>
          <w:rtl/>
        </w:rPr>
        <w:t>מתכלל</w:t>
      </w:r>
      <w:r w:rsidRPr="00861D72">
        <w:rPr>
          <w:rFonts w:ascii="David" w:eastAsia="Calibri" w:hAnsi="David" w:hint="cs"/>
          <w:sz w:val="24"/>
          <w:rtl/>
        </w:rPr>
        <w:t xml:space="preserve"> ה</w:t>
      </w:r>
      <w:r w:rsidRPr="00861D72">
        <w:rPr>
          <w:rFonts w:ascii="David" w:eastAsia="Calibri" w:hAnsi="David"/>
          <w:sz w:val="24"/>
          <w:rtl/>
        </w:rPr>
        <w:t>אסטרטגי (מנהלת האקלים)</w:t>
      </w:r>
      <w:r w:rsidRPr="00861D72">
        <w:rPr>
          <w:rFonts w:ascii="David" w:eastAsia="Calibri" w:hAnsi="David" w:hint="cs"/>
          <w:sz w:val="24"/>
          <w:rtl/>
        </w:rPr>
        <w:t>,</w:t>
      </w:r>
      <w:r w:rsidRPr="00861D72">
        <w:rPr>
          <w:rFonts w:ascii="David" w:eastAsia="Calibri" w:hAnsi="David"/>
          <w:sz w:val="24"/>
          <w:rtl/>
        </w:rPr>
        <w:t xml:space="preserve"> </w:t>
      </w:r>
      <w:r w:rsidRPr="00861D72">
        <w:rPr>
          <w:rFonts w:ascii="David" w:eastAsia="Calibri" w:hAnsi="David" w:hint="cs"/>
          <w:sz w:val="24"/>
          <w:rtl/>
        </w:rPr>
        <w:t>ה</w:t>
      </w:r>
      <w:r w:rsidRPr="00861D72">
        <w:rPr>
          <w:rFonts w:ascii="David" w:eastAsia="Calibri" w:hAnsi="David"/>
          <w:sz w:val="24"/>
          <w:rtl/>
        </w:rPr>
        <w:t>מרכז תכנון, תיאום והובלת שותפים</w:t>
      </w:r>
      <w:r w:rsidRPr="00861D72">
        <w:rPr>
          <w:rFonts w:ascii="David" w:eastAsia="Calibri" w:hAnsi="David" w:hint="cs"/>
          <w:sz w:val="24"/>
          <w:rtl/>
        </w:rPr>
        <w:t>;</w:t>
      </w:r>
      <w:r w:rsidRPr="00861D72">
        <w:rPr>
          <w:rFonts w:ascii="David" w:eastAsia="Calibri" w:hAnsi="David"/>
          <w:sz w:val="24"/>
          <w:rtl/>
        </w:rPr>
        <w:t xml:space="preserve"> </w:t>
      </w:r>
      <w:r w:rsidRPr="00861D72">
        <w:rPr>
          <w:rFonts w:ascii="David" w:eastAsia="Calibri" w:hAnsi="David" w:hint="cs"/>
          <w:sz w:val="24"/>
          <w:rtl/>
        </w:rPr>
        <w:t xml:space="preserve">וכמו </w:t>
      </w:r>
      <w:r w:rsidRPr="00861D72">
        <w:rPr>
          <w:rFonts w:ascii="David" w:eastAsia="Calibri" w:hAnsi="David"/>
          <w:sz w:val="24"/>
          <w:rtl/>
        </w:rPr>
        <w:t xml:space="preserve">גוף </w:t>
      </w:r>
      <w:r w:rsidRPr="00861D72">
        <w:rPr>
          <w:rFonts w:ascii="David" w:eastAsia="Calibri" w:hAnsi="David" w:hint="cs"/>
          <w:sz w:val="24"/>
          <w:rtl/>
        </w:rPr>
        <w:t>ה</w:t>
      </w:r>
      <w:r w:rsidRPr="00861D72">
        <w:rPr>
          <w:rFonts w:ascii="David" w:eastAsia="Calibri" w:hAnsi="David"/>
          <w:sz w:val="24"/>
          <w:rtl/>
        </w:rPr>
        <w:t>ביצוע</w:t>
      </w:r>
      <w:r w:rsidRPr="00861D72">
        <w:rPr>
          <w:rFonts w:ascii="David" w:eastAsia="Calibri" w:hAnsi="David" w:hint="cs"/>
          <w:sz w:val="24"/>
          <w:rtl/>
        </w:rPr>
        <w:t xml:space="preserve"> וה</w:t>
      </w:r>
      <w:r w:rsidRPr="00861D72">
        <w:rPr>
          <w:rFonts w:ascii="David" w:eastAsia="Calibri" w:hAnsi="David"/>
          <w:sz w:val="24"/>
          <w:rtl/>
        </w:rPr>
        <w:t>פיתוח (הרשות לפיתוח כלכלי של מגזר המיעוטים)</w:t>
      </w:r>
      <w:r w:rsidRPr="00861D72">
        <w:rPr>
          <w:rFonts w:ascii="David" w:eastAsia="Calibri" w:hAnsi="David" w:hint="cs"/>
          <w:sz w:val="24"/>
          <w:rtl/>
        </w:rPr>
        <w:t>,</w:t>
      </w:r>
      <w:r w:rsidRPr="00861D72">
        <w:rPr>
          <w:rFonts w:ascii="David" w:eastAsia="Calibri" w:hAnsi="David"/>
          <w:sz w:val="24"/>
          <w:rtl/>
        </w:rPr>
        <w:t xml:space="preserve"> </w:t>
      </w:r>
      <w:r w:rsidRPr="00861D72">
        <w:rPr>
          <w:rFonts w:ascii="David" w:eastAsia="Calibri" w:hAnsi="David" w:hint="cs"/>
          <w:sz w:val="24"/>
          <w:rtl/>
        </w:rPr>
        <w:t>ה</w:t>
      </w:r>
      <w:r w:rsidRPr="00861D72">
        <w:rPr>
          <w:rFonts w:ascii="David" w:eastAsia="Calibri" w:hAnsi="David"/>
          <w:sz w:val="24"/>
          <w:rtl/>
        </w:rPr>
        <w:t xml:space="preserve">מפעיל </w:t>
      </w:r>
      <w:r w:rsidRPr="00861D72">
        <w:rPr>
          <w:rFonts w:ascii="David" w:eastAsia="Calibri" w:hAnsi="David"/>
          <w:sz w:val="24"/>
          <w:rtl/>
        </w:rPr>
        <w:t>תוכניות</w:t>
      </w:r>
      <w:r w:rsidRPr="00861D72">
        <w:rPr>
          <w:rFonts w:ascii="David" w:eastAsia="Calibri" w:hAnsi="David"/>
          <w:sz w:val="24"/>
          <w:rtl/>
        </w:rPr>
        <w:t xml:space="preserve"> וכלים לטיפול ביעדים מגזריים.</w:t>
      </w:r>
      <w:r w:rsidRPr="00861D72">
        <w:rPr>
          <w:rFonts w:ascii="David" w:eastAsia="Calibri" w:hAnsi="David" w:hint="cs"/>
          <w:sz w:val="24"/>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eastAsia"/>
          <w:b/>
          <w:bCs/>
          <w:rtl/>
        </w:rPr>
        <w:t>במדינות</w:t>
      </w:r>
      <w:r w:rsidRPr="00861D72">
        <w:rPr>
          <w:rFonts w:eastAsia="Calibri"/>
          <w:b/>
          <w:bCs/>
          <w:rtl/>
        </w:rPr>
        <w:t xml:space="preserve"> בעולם שבהן קיים גורם ממשלתי </w:t>
      </w:r>
      <w:r w:rsidRPr="00861D72">
        <w:rPr>
          <w:rFonts w:eastAsia="Calibri" w:hint="eastAsia"/>
          <w:b/>
          <w:bCs/>
          <w:rtl/>
        </w:rPr>
        <w:t>מתכלל</w:t>
      </w:r>
      <w:r w:rsidRPr="00861D72">
        <w:rPr>
          <w:rFonts w:eastAsia="Calibri"/>
          <w:b/>
          <w:bCs/>
          <w:rtl/>
        </w:rPr>
        <w:t xml:space="preserve"> לנושא ההזדקנות אפשר לראות לפחות שני דגמים של גורם </w:t>
      </w:r>
      <w:r w:rsidRPr="00861D72">
        <w:rPr>
          <w:rFonts w:eastAsia="Calibri" w:hint="eastAsia"/>
          <w:b/>
          <w:bCs/>
          <w:rtl/>
        </w:rPr>
        <w:t>מתכלל</w:t>
      </w:r>
      <w:r w:rsidRPr="00861D72">
        <w:rPr>
          <w:rFonts w:eastAsia="Calibri"/>
          <w:b/>
          <w:bCs/>
          <w:rtl/>
        </w:rPr>
        <w:t xml:space="preserve">. </w:t>
      </w:r>
      <w:r w:rsidRPr="00861D72">
        <w:rPr>
          <w:rFonts w:eastAsia="Calibri" w:hint="eastAsia"/>
          <w:b/>
          <w:bCs/>
          <w:rtl/>
        </w:rPr>
        <w:t>דגם</w:t>
      </w:r>
      <w:r w:rsidRPr="00861D72">
        <w:rPr>
          <w:rFonts w:eastAsia="Calibri"/>
          <w:b/>
          <w:bCs/>
          <w:rtl/>
        </w:rPr>
        <w:t xml:space="preserve"> </w:t>
      </w:r>
      <w:r w:rsidRPr="00861D72">
        <w:rPr>
          <w:rFonts w:eastAsia="Calibri" w:hint="eastAsia"/>
          <w:b/>
          <w:bCs/>
          <w:rtl/>
        </w:rPr>
        <w:t>אחד</w:t>
      </w:r>
      <w:r w:rsidRPr="00861D72">
        <w:rPr>
          <w:rFonts w:eastAsia="Calibri"/>
          <w:b/>
          <w:bCs/>
          <w:rtl/>
        </w:rPr>
        <w:t xml:space="preserve"> </w:t>
      </w:r>
      <w:r w:rsidRPr="00861D72">
        <w:rPr>
          <w:rFonts w:eastAsia="Calibri" w:hint="eastAsia"/>
          <w:b/>
          <w:bCs/>
          <w:rtl/>
        </w:rPr>
        <w:t>הוא</w:t>
      </w:r>
      <w:r w:rsidRPr="00861D72">
        <w:rPr>
          <w:rFonts w:eastAsia="Calibri"/>
          <w:b/>
          <w:bCs/>
          <w:rtl/>
        </w:rPr>
        <w:t xml:space="preserve"> </w:t>
      </w:r>
      <w:r w:rsidRPr="00861D72">
        <w:rPr>
          <w:rFonts w:eastAsia="Calibri" w:hint="eastAsia"/>
          <w:b/>
          <w:bCs/>
          <w:rtl/>
        </w:rPr>
        <w:t>קבינט</w:t>
      </w:r>
      <w:r w:rsidRPr="00861D72">
        <w:rPr>
          <w:rFonts w:eastAsia="Calibri"/>
          <w:b/>
          <w:bCs/>
          <w:rtl/>
        </w:rPr>
        <w:t xml:space="preserve"> </w:t>
      </w:r>
      <w:r w:rsidRPr="00861D72">
        <w:rPr>
          <w:rFonts w:eastAsia="Calibri" w:hint="eastAsia"/>
          <w:b/>
          <w:bCs/>
          <w:rtl/>
        </w:rPr>
        <w:t>או</w:t>
      </w:r>
      <w:r w:rsidRPr="00861D72">
        <w:rPr>
          <w:rFonts w:eastAsia="Calibri"/>
          <w:b/>
          <w:bCs/>
          <w:rtl/>
        </w:rPr>
        <w:t xml:space="preserve"> </w:t>
      </w:r>
      <w:r w:rsidRPr="00861D72">
        <w:rPr>
          <w:rFonts w:eastAsia="Calibri" w:hint="eastAsia"/>
          <w:b/>
          <w:bCs/>
          <w:rtl/>
        </w:rPr>
        <w:t>מועצה</w:t>
      </w:r>
      <w:r w:rsidRPr="00861D72">
        <w:rPr>
          <w:rFonts w:eastAsia="Calibri"/>
          <w:b/>
          <w:bCs/>
          <w:rtl/>
        </w:rPr>
        <w:t xml:space="preserve"> מייעצת, </w:t>
      </w:r>
      <w:r w:rsidRPr="00861D72">
        <w:rPr>
          <w:rFonts w:eastAsia="Calibri" w:hint="eastAsia"/>
          <w:b/>
          <w:bCs/>
          <w:rtl/>
        </w:rPr>
        <w:t>כדוגמת</w:t>
      </w:r>
      <w:r w:rsidRPr="00861D72">
        <w:rPr>
          <w:rFonts w:eastAsia="Calibri"/>
          <w:b/>
          <w:bCs/>
          <w:rtl/>
        </w:rPr>
        <w:t xml:space="preserve"> </w:t>
      </w:r>
      <w:r w:rsidRPr="00861D72">
        <w:rPr>
          <w:rFonts w:eastAsia="Calibri" w:hint="eastAsia"/>
          <w:b/>
          <w:bCs/>
          <w:rtl/>
        </w:rPr>
        <w:t>המועצה</w:t>
      </w:r>
      <w:r w:rsidRPr="00861D72">
        <w:rPr>
          <w:rFonts w:eastAsia="Calibri"/>
          <w:b/>
          <w:bCs/>
          <w:rtl/>
        </w:rPr>
        <w:t xml:space="preserve"> </w:t>
      </w:r>
      <w:r w:rsidRPr="00861D72">
        <w:rPr>
          <w:rFonts w:eastAsia="Calibri" w:hint="eastAsia"/>
          <w:b/>
          <w:bCs/>
          <w:rtl/>
        </w:rPr>
        <w:t>הלאומית</w:t>
      </w:r>
      <w:r w:rsidRPr="00861D72">
        <w:rPr>
          <w:rFonts w:eastAsia="Calibri"/>
          <w:b/>
          <w:bCs/>
          <w:rtl/>
        </w:rPr>
        <w:t xml:space="preserve"> </w:t>
      </w:r>
      <w:r w:rsidRPr="00861D72">
        <w:rPr>
          <w:rFonts w:eastAsia="Calibri" w:hint="eastAsia"/>
          <w:b/>
          <w:bCs/>
          <w:rtl/>
        </w:rPr>
        <w:t>לענייני</w:t>
      </w:r>
      <w:r w:rsidRPr="00861D72">
        <w:rPr>
          <w:rFonts w:eastAsia="Calibri"/>
          <w:b/>
          <w:bCs/>
          <w:rtl/>
        </w:rPr>
        <w:t xml:space="preserve"> </w:t>
      </w:r>
      <w:r w:rsidRPr="00861D72">
        <w:rPr>
          <w:rFonts w:eastAsia="Calibri" w:hint="eastAsia"/>
          <w:b/>
          <w:bCs/>
          <w:rtl/>
        </w:rPr>
        <w:t>אזרחים</w:t>
      </w:r>
      <w:r w:rsidRPr="00861D72">
        <w:rPr>
          <w:rFonts w:eastAsia="Calibri"/>
          <w:b/>
          <w:bCs/>
          <w:rtl/>
        </w:rPr>
        <w:t xml:space="preserve"> </w:t>
      </w:r>
      <w:r w:rsidRPr="00861D72">
        <w:rPr>
          <w:rFonts w:eastAsia="Calibri" w:hint="eastAsia"/>
          <w:b/>
          <w:bCs/>
          <w:rtl/>
        </w:rPr>
        <w:t>ותיקים</w:t>
      </w:r>
      <w:r w:rsidRPr="00861D72">
        <w:rPr>
          <w:rFonts w:eastAsia="Calibri"/>
          <w:b/>
          <w:bCs/>
          <w:rtl/>
        </w:rPr>
        <w:t xml:space="preserve"> (</w:t>
      </w:r>
      <w:r w:rsidRPr="00861D72">
        <w:rPr>
          <w:rFonts w:eastAsia="Calibri"/>
          <w:b/>
          <w:bCs/>
        </w:rPr>
        <w:t>National Seniors Council</w:t>
      </w:r>
      <w:r w:rsidRPr="00861D72">
        <w:rPr>
          <w:rFonts w:eastAsia="Calibri"/>
          <w:b/>
          <w:bCs/>
          <w:rtl/>
        </w:rPr>
        <w:t xml:space="preserve">) </w:t>
      </w:r>
      <w:r w:rsidRPr="00861D72">
        <w:rPr>
          <w:rFonts w:eastAsia="Calibri" w:hint="eastAsia"/>
          <w:b/>
          <w:bCs/>
          <w:rtl/>
        </w:rPr>
        <w:t>בקנדה</w:t>
      </w:r>
      <w:r>
        <w:rPr>
          <w:rFonts w:eastAsia="Calibri"/>
          <w:b/>
          <w:bCs/>
          <w:vertAlign w:val="superscript"/>
          <w:rtl/>
        </w:rPr>
        <w:footnoteReference w:id="101"/>
      </w:r>
      <w:r w:rsidRPr="00861D72">
        <w:rPr>
          <w:rFonts w:eastAsia="Calibri"/>
          <w:b/>
          <w:bCs/>
          <w:rtl/>
        </w:rPr>
        <w:t xml:space="preserve">. דגם נוסף הוא משרד </w:t>
      </w:r>
      <w:r w:rsidRPr="00861D72">
        <w:rPr>
          <w:rFonts w:eastAsia="Calibri" w:hint="eastAsia"/>
          <w:b/>
          <w:bCs/>
          <w:rtl/>
        </w:rPr>
        <w:t>ממשלתי</w:t>
      </w:r>
      <w:r w:rsidRPr="00861D72">
        <w:rPr>
          <w:rFonts w:eastAsia="Calibri"/>
          <w:b/>
          <w:bCs/>
          <w:rtl/>
        </w:rPr>
        <w:t xml:space="preserve"> </w:t>
      </w:r>
      <w:r w:rsidRPr="00861D72">
        <w:rPr>
          <w:rFonts w:eastAsia="Calibri" w:hint="eastAsia"/>
          <w:b/>
          <w:bCs/>
          <w:rtl/>
        </w:rPr>
        <w:t>מוביל</w:t>
      </w:r>
      <w:r w:rsidRPr="00861D72">
        <w:rPr>
          <w:rFonts w:eastAsia="Calibri"/>
          <w:b/>
          <w:bCs/>
          <w:rtl/>
        </w:rPr>
        <w:t xml:space="preserve">, </w:t>
      </w:r>
      <w:r w:rsidRPr="00861D72">
        <w:rPr>
          <w:rFonts w:eastAsia="Calibri" w:hint="eastAsia"/>
          <w:b/>
          <w:bCs/>
          <w:rtl/>
        </w:rPr>
        <w:t>כדוגמת</w:t>
      </w:r>
      <w:r w:rsidRPr="00861D72">
        <w:rPr>
          <w:rFonts w:eastAsia="Calibri"/>
          <w:b/>
          <w:bCs/>
          <w:rtl/>
        </w:rPr>
        <w:t xml:space="preserve"> </w:t>
      </w:r>
      <w:r w:rsidRPr="00861D72">
        <w:rPr>
          <w:rFonts w:eastAsia="Calibri" w:hint="eastAsia"/>
          <w:b/>
          <w:bCs/>
          <w:rtl/>
        </w:rPr>
        <w:t>משרד</w:t>
      </w:r>
      <w:r w:rsidRPr="00861D72">
        <w:rPr>
          <w:rFonts w:eastAsia="Calibri"/>
          <w:b/>
          <w:bCs/>
          <w:rtl/>
        </w:rPr>
        <w:t xml:space="preserve"> </w:t>
      </w:r>
      <w:r w:rsidRPr="00861D72">
        <w:rPr>
          <w:rFonts w:eastAsia="Calibri" w:hint="eastAsia"/>
          <w:b/>
          <w:bCs/>
          <w:rtl/>
        </w:rPr>
        <w:t>הבריאות</w:t>
      </w:r>
      <w:r w:rsidRPr="00861D72">
        <w:rPr>
          <w:rFonts w:eastAsia="Calibri"/>
          <w:b/>
          <w:bCs/>
          <w:rtl/>
        </w:rPr>
        <w:t xml:space="preserve"> </w:t>
      </w:r>
      <w:r w:rsidRPr="00861D72">
        <w:rPr>
          <w:rFonts w:eastAsia="Calibri" w:hint="eastAsia"/>
          <w:b/>
          <w:bCs/>
          <w:rtl/>
        </w:rPr>
        <w:t>באירלנד</w:t>
      </w:r>
      <w:r w:rsidRPr="00861D72">
        <w:rPr>
          <w:rFonts w:eastAsia="Calibri"/>
          <w:b/>
          <w:bCs/>
          <w:rtl/>
        </w:rPr>
        <w:t xml:space="preserve">, </w:t>
      </w:r>
      <w:r w:rsidRPr="00861D72">
        <w:rPr>
          <w:rFonts w:eastAsia="Calibri" w:hint="eastAsia"/>
          <w:b/>
          <w:bCs/>
          <w:rtl/>
        </w:rPr>
        <w:t>המוביל</w:t>
      </w:r>
      <w:r w:rsidRPr="00861D72">
        <w:rPr>
          <w:rFonts w:eastAsia="Calibri"/>
          <w:b/>
          <w:bCs/>
          <w:rtl/>
        </w:rPr>
        <w:t xml:space="preserve"> </w:t>
      </w:r>
      <w:r w:rsidRPr="00861D72">
        <w:rPr>
          <w:rFonts w:eastAsia="Calibri" w:hint="eastAsia"/>
          <w:b/>
          <w:bCs/>
          <w:rtl/>
        </w:rPr>
        <w:t>את</w:t>
      </w:r>
      <w:r w:rsidRPr="00861D72">
        <w:rPr>
          <w:rFonts w:eastAsia="Calibri"/>
          <w:b/>
          <w:bCs/>
          <w:rtl/>
        </w:rPr>
        <w:t xml:space="preserve"> </w:t>
      </w:r>
      <w:r w:rsidRPr="00861D72">
        <w:rPr>
          <w:rFonts w:eastAsia="Calibri" w:hint="eastAsia"/>
          <w:b/>
          <w:bCs/>
          <w:rtl/>
        </w:rPr>
        <w:t>האסטרטגיה</w:t>
      </w:r>
      <w:r w:rsidRPr="00861D72">
        <w:rPr>
          <w:rFonts w:eastAsia="Calibri"/>
          <w:b/>
          <w:bCs/>
          <w:rtl/>
        </w:rPr>
        <w:t xml:space="preserve"> </w:t>
      </w:r>
      <w:r w:rsidRPr="00861D72">
        <w:rPr>
          <w:rFonts w:eastAsia="Calibri" w:hint="eastAsia"/>
          <w:b/>
          <w:bCs/>
          <w:rtl/>
        </w:rPr>
        <w:t>הלאומית</w:t>
      </w:r>
      <w:r w:rsidRPr="00861D72">
        <w:rPr>
          <w:rFonts w:eastAsia="Calibri"/>
          <w:b/>
          <w:bCs/>
          <w:rtl/>
        </w:rPr>
        <w:t xml:space="preserve"> </w:t>
      </w:r>
      <w:r w:rsidRPr="00861D72">
        <w:rPr>
          <w:rFonts w:eastAsia="Calibri" w:hint="eastAsia"/>
          <w:b/>
          <w:bCs/>
          <w:rtl/>
        </w:rPr>
        <w:t>להזדקנות</w:t>
      </w:r>
      <w:r w:rsidRPr="00861D72">
        <w:rPr>
          <w:rFonts w:eastAsia="Calibri"/>
          <w:b/>
          <w:bCs/>
          <w:rtl/>
        </w:rPr>
        <w:t xml:space="preserve"> </w:t>
      </w:r>
      <w:r w:rsidRPr="00861D72">
        <w:rPr>
          <w:rFonts w:eastAsia="Calibri" w:hint="eastAsia"/>
          <w:b/>
          <w:bCs/>
          <w:rtl/>
        </w:rPr>
        <w:t>חיובית</w:t>
      </w:r>
      <w:r>
        <w:rPr>
          <w:rFonts w:eastAsia="Calibri"/>
          <w:b/>
          <w:bCs/>
          <w:vertAlign w:val="superscript"/>
          <w:rtl/>
        </w:rPr>
        <w:footnoteReference w:id="102"/>
      </w:r>
      <w:r w:rsidRPr="00861D72">
        <w:rPr>
          <w:rFonts w:eastAsia="Calibri"/>
          <w:b/>
          <w:bCs/>
          <w:rtl/>
        </w:rPr>
        <w:t>.</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cs"/>
          <w:b/>
          <w:bCs/>
          <w:rtl/>
        </w:rPr>
        <w:t>נמצא כי אף על פי</w:t>
      </w:r>
      <w:r w:rsidRPr="00861D72">
        <w:rPr>
          <w:rFonts w:eastAsia="Calibri"/>
          <w:b/>
          <w:bCs/>
          <w:rtl/>
        </w:rPr>
        <w:t xml:space="preserve"> </w:t>
      </w:r>
      <w:r w:rsidRPr="00861D72">
        <w:rPr>
          <w:rFonts w:eastAsia="Calibri" w:hint="cs"/>
          <w:b/>
          <w:bCs/>
          <w:rtl/>
        </w:rPr>
        <w:t>ש</w:t>
      </w:r>
      <w:r w:rsidRPr="00861D72">
        <w:rPr>
          <w:rFonts w:eastAsia="Calibri"/>
          <w:b/>
          <w:bCs/>
          <w:rtl/>
        </w:rPr>
        <w:t>הזדקנות מיטבית מחייבת שיתוף פעולה בין תחומי</w:t>
      </w:r>
      <w:r w:rsidRPr="00861D72">
        <w:rPr>
          <w:rFonts w:eastAsia="Calibri" w:hint="cs"/>
          <w:b/>
          <w:bCs/>
          <w:rtl/>
        </w:rPr>
        <w:t>ם רבים, ובהם</w:t>
      </w:r>
      <w:r w:rsidRPr="00861D72">
        <w:rPr>
          <w:rFonts w:eastAsia="Calibri"/>
          <w:b/>
          <w:bCs/>
          <w:rtl/>
        </w:rPr>
        <w:t xml:space="preserve"> הבריאות, הרווחה </w:t>
      </w:r>
      <w:r w:rsidRPr="00861D72">
        <w:rPr>
          <w:rFonts w:eastAsia="Calibri" w:hint="cs"/>
          <w:b/>
          <w:bCs/>
          <w:rtl/>
        </w:rPr>
        <w:t>ו</w:t>
      </w:r>
      <w:r w:rsidRPr="00861D72">
        <w:rPr>
          <w:rFonts w:eastAsia="Calibri"/>
          <w:b/>
          <w:bCs/>
          <w:rtl/>
        </w:rPr>
        <w:t>התעסוקה</w:t>
      </w:r>
      <w:r w:rsidRPr="00861D72">
        <w:rPr>
          <w:rFonts w:eastAsia="Calibri" w:hint="cs"/>
          <w:b/>
          <w:bCs/>
          <w:rtl/>
        </w:rPr>
        <w:t>,</w:t>
      </w:r>
      <w:r w:rsidRPr="00861D72">
        <w:rPr>
          <w:rFonts w:eastAsia="Calibri"/>
          <w:b/>
          <w:bCs/>
          <w:rtl/>
        </w:rPr>
        <w:t xml:space="preserve"> בישראל אין גוף מרכזי </w:t>
      </w:r>
      <w:r w:rsidRPr="00861D72">
        <w:rPr>
          <w:rFonts w:eastAsia="Calibri" w:hint="cs"/>
          <w:b/>
          <w:bCs/>
          <w:rtl/>
        </w:rPr>
        <w:t>ה</w:t>
      </w:r>
      <w:r w:rsidRPr="00861D72">
        <w:rPr>
          <w:rFonts w:eastAsia="Calibri"/>
          <w:b/>
          <w:bCs/>
          <w:rtl/>
        </w:rPr>
        <w:t>מוביל</w:t>
      </w:r>
      <w:r w:rsidRPr="00861D72">
        <w:rPr>
          <w:rFonts w:eastAsia="Calibri" w:hint="cs"/>
          <w:b/>
          <w:bCs/>
          <w:rtl/>
        </w:rPr>
        <w:t xml:space="preserve"> את ניהול ה</w:t>
      </w:r>
      <w:r w:rsidRPr="00861D72">
        <w:rPr>
          <w:rFonts w:eastAsia="Calibri"/>
          <w:b/>
          <w:bCs/>
          <w:rtl/>
        </w:rPr>
        <w:t xml:space="preserve">מדיניות </w:t>
      </w:r>
      <w:r w:rsidRPr="00861D72">
        <w:rPr>
          <w:rFonts w:eastAsia="Calibri" w:hint="cs"/>
          <w:b/>
          <w:bCs/>
          <w:rtl/>
        </w:rPr>
        <w:t>ה</w:t>
      </w:r>
      <w:r w:rsidRPr="00861D72">
        <w:rPr>
          <w:rFonts w:eastAsia="Calibri"/>
          <w:b/>
          <w:bCs/>
          <w:rtl/>
        </w:rPr>
        <w:t xml:space="preserve">לאומית. בניגוד </w:t>
      </w:r>
      <w:r w:rsidRPr="00861D72">
        <w:rPr>
          <w:rFonts w:eastAsia="Calibri" w:hint="cs"/>
          <w:b/>
          <w:bCs/>
          <w:rtl/>
        </w:rPr>
        <w:t>לדגמים מהעולם ו</w:t>
      </w:r>
      <w:r w:rsidRPr="00861D72">
        <w:rPr>
          <w:rFonts w:eastAsia="Calibri"/>
          <w:b/>
          <w:bCs/>
          <w:rtl/>
        </w:rPr>
        <w:t xml:space="preserve">לתחומים מערכתיים אחרים, כמו האקלים או פיתוח מגזר המיעוטים, שבהם הוקמו גופים ייעודיים לתכנון </w:t>
      </w:r>
      <w:r w:rsidRPr="00861D72">
        <w:rPr>
          <w:rFonts w:eastAsia="Calibri"/>
          <w:b/>
          <w:bCs/>
          <w:rtl/>
        </w:rPr>
        <w:t>ולתכלול</w:t>
      </w:r>
      <w:r w:rsidRPr="00861D72">
        <w:rPr>
          <w:rFonts w:eastAsia="Calibri"/>
          <w:b/>
          <w:bCs/>
          <w:rtl/>
        </w:rPr>
        <w:t xml:space="preserve">, נושא ההזדקנות נותר ללא </w:t>
      </w:r>
      <w:r w:rsidRPr="00861D72">
        <w:rPr>
          <w:rFonts w:eastAsia="Calibri" w:hint="cs"/>
          <w:b/>
          <w:bCs/>
          <w:rtl/>
        </w:rPr>
        <w:t xml:space="preserve">גורם-על </w:t>
      </w:r>
      <w:r w:rsidRPr="00861D72">
        <w:rPr>
          <w:rFonts w:eastAsia="Calibri" w:hint="cs"/>
          <w:b/>
          <w:bCs/>
          <w:rtl/>
        </w:rPr>
        <w:t>מתכלל</w:t>
      </w:r>
      <w:r w:rsidRPr="00861D72">
        <w:rPr>
          <w:rFonts w:eastAsia="Calibri"/>
          <w:b/>
          <w:bCs/>
          <w:rtl/>
        </w:rPr>
        <w:t xml:space="preserve"> וללא אסטרטגיה סדורה. מצב זה מוביל לניצול לא מיטבי של משאבים ולחוסר עקביות במדיניות, ופוגע ביכולת המדינה להיערך באופן אפקטיבי להזדקנות האוכלוסייה.</w:t>
      </w:r>
    </w:p>
    <w:p w:rsidR="00861D72" w:rsidRPr="00861D72" w:rsidP="00F90255">
      <w:pPr>
        <w:spacing w:line="269" w:lineRule="auto"/>
        <w:rPr>
          <w:rFonts w:eastAsia="Calibri"/>
          <w:rtl/>
        </w:rPr>
      </w:pPr>
      <w:r w:rsidRPr="00861D72">
        <w:rPr>
          <w:rFonts w:eastAsia="Calibri" w:hint="cs"/>
          <w:rtl/>
        </w:rPr>
        <w:t xml:space="preserve"> </w:t>
      </w:r>
    </w:p>
    <w:p w:rsidR="00861D72" w:rsidRPr="00861D72" w:rsidP="00F90255">
      <w:pPr>
        <w:keepNext/>
        <w:keepLines/>
        <w:spacing w:line="269" w:lineRule="auto"/>
        <w:outlineLvl w:val="4"/>
        <w:rPr>
          <w:rFonts w:eastAsia="Times New Roman"/>
          <w:bCs/>
          <w:spacing w:val="40"/>
          <w:rtl/>
        </w:rPr>
      </w:pPr>
      <w:r w:rsidRPr="00861D72">
        <w:rPr>
          <w:rFonts w:eastAsia="Times New Roman" w:hint="cs"/>
          <w:bCs/>
          <w:spacing w:val="40"/>
          <w:rtl/>
        </w:rPr>
        <w:t xml:space="preserve">המשרד לשוויון חברתי כגורם </w:t>
      </w:r>
      <w:r w:rsidRPr="00861D72">
        <w:rPr>
          <w:rFonts w:eastAsia="Times New Roman" w:hint="cs"/>
          <w:bCs/>
          <w:spacing w:val="40"/>
          <w:rtl/>
        </w:rPr>
        <w:t>מתכלל</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התרשים שלהלן מתאר את תהליך הקמתו של המשרד לשוויון חברתי. </w:t>
      </w:r>
    </w:p>
    <w:p w:rsidR="00EB2B30" w:rsidP="002D37E0">
      <w:pPr>
        <w:keepNext/>
        <w:keepLines/>
        <w:spacing w:line="269" w:lineRule="auto"/>
        <w:jc w:val="center"/>
        <w:rPr>
          <w:rFonts w:eastAsia="Calibri"/>
          <w:rtl/>
        </w:rPr>
      </w:pPr>
    </w:p>
    <w:p w:rsidR="00861D72" w:rsidRPr="00861D72" w:rsidP="002D37E0">
      <w:pPr>
        <w:keepNext/>
        <w:keepLines/>
        <w:spacing w:line="269" w:lineRule="auto"/>
        <w:jc w:val="center"/>
        <w:rPr>
          <w:rFonts w:eastAsia="Calibri"/>
          <w:b/>
          <w:bCs/>
          <w:rtl/>
        </w:rPr>
      </w:pPr>
      <w:r w:rsidRPr="00861D72">
        <w:rPr>
          <w:rFonts w:eastAsia="Calibri" w:hint="cs"/>
          <w:rtl/>
        </w:rPr>
        <w:t xml:space="preserve">תרשים 14: </w:t>
      </w:r>
      <w:r w:rsidRPr="00861D72">
        <w:rPr>
          <w:rFonts w:eastAsia="Calibri" w:hint="cs"/>
          <w:b/>
          <w:bCs/>
          <w:rtl/>
        </w:rPr>
        <w:t xml:space="preserve">תהליך </w:t>
      </w:r>
      <w:r w:rsidRPr="00861D72">
        <w:rPr>
          <w:rFonts w:eastAsia="Calibri" w:hint="eastAsia"/>
          <w:b/>
          <w:bCs/>
          <w:rtl/>
        </w:rPr>
        <w:t>הקמת</w:t>
      </w:r>
      <w:r w:rsidRPr="00861D72">
        <w:rPr>
          <w:rFonts w:eastAsia="Calibri"/>
          <w:b/>
          <w:bCs/>
          <w:rtl/>
        </w:rPr>
        <w:t xml:space="preserve"> </w:t>
      </w:r>
      <w:r w:rsidRPr="00861D72">
        <w:rPr>
          <w:rFonts w:eastAsia="Calibri" w:hint="eastAsia"/>
          <w:b/>
          <w:bCs/>
          <w:rtl/>
        </w:rPr>
        <w:t>המשרד</w:t>
      </w:r>
      <w:r w:rsidRPr="00861D72">
        <w:rPr>
          <w:rFonts w:eastAsia="Calibri"/>
          <w:b/>
          <w:bCs/>
          <w:rtl/>
        </w:rPr>
        <w:t xml:space="preserve"> </w:t>
      </w:r>
      <w:r w:rsidRPr="00861D72">
        <w:rPr>
          <w:rFonts w:eastAsia="Calibri" w:hint="eastAsia"/>
          <w:b/>
          <w:bCs/>
          <w:rtl/>
        </w:rPr>
        <w:t>לשוויון</w:t>
      </w:r>
      <w:r w:rsidRPr="00861D72">
        <w:rPr>
          <w:rFonts w:eastAsia="Calibri"/>
          <w:b/>
          <w:bCs/>
          <w:rtl/>
        </w:rPr>
        <w:t xml:space="preserve"> </w:t>
      </w:r>
      <w:r w:rsidRPr="00861D72">
        <w:rPr>
          <w:rFonts w:eastAsia="Calibri" w:hint="eastAsia"/>
          <w:b/>
          <w:bCs/>
          <w:rtl/>
        </w:rPr>
        <w:t>חברתי</w:t>
      </w:r>
      <w:r>
        <w:rPr>
          <w:rFonts w:eastAsia="Calibri"/>
          <w:b/>
          <w:bCs/>
          <w:vertAlign w:val="superscript"/>
          <w:rtl/>
        </w:rPr>
        <w:footnoteReference w:id="103"/>
      </w:r>
    </w:p>
    <w:p w:rsidR="00861D72" w:rsidRPr="00861D72" w:rsidP="00EB2B30">
      <w:pPr>
        <w:spacing w:line="269" w:lineRule="auto"/>
        <w:jc w:val="center"/>
        <w:rPr>
          <w:rFonts w:eastAsia="Calibri"/>
          <w:rtl/>
        </w:rPr>
      </w:pPr>
      <w:r w:rsidRPr="00861D72">
        <w:rPr>
          <w:rFonts w:eastAsia="Calibri"/>
          <w:noProof/>
        </w:rPr>
        <w:drawing>
          <wp:inline distT="0" distB="0" distL="0" distR="0">
            <wp:extent cx="5067149" cy="3599726"/>
            <wp:effectExtent l="0" t="0" r="635" b="1270"/>
            <wp:docPr id="106" name="תמונה 106" descr="הקמת יחידת סמך&#10;לענייני גמלאים&#10;כגוף מטה לרה״מ&#10;וכגורם תיאום&#10;ואינטגרציה&#10;בנושאים&#10;הקשורים&#10;לגמלאים*&#10;&#10;2006&#10;&#10;שינוי שם המשרד&#10;ל-&quot;המשרד&#10;לאזרחים ותיקים&quot;&#10;&#10;2010&#10;&#10;העברת אגף בכיר&#10;אזרחים ותיקים&#10;מהמשרד לשוויון&#10;חברתי למשרד&#10;הנגב, הגליל&#10;והחוסן הלאומי***&#10;&#10;2023&#10;&#10;2007&#10;&#10;הקמת המשרד&#10;לענייני גמלאים**&#10;&#10;2015&#10;&#10;הרחבת תחומי&#10;הפעילות של&#10;המשרד ושינוי&#10;שמו ל-&quot;המשרד&#10;לשוויון חברתי&quot;&#10;&#10;2024&#10;&#10;החזרת אגף בכיר&#10;אזרחים ותיקים&#10;למשרד לשוויון&#10;חברתי****&#10;&#10;* החלטת ממשלה 143&#10;  ** החלטת ממשלה 2068&#10;  *** החלטת ממשלה 109&#10;  **** החלטת ממשלה 1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070253" cy="3601931"/>
                    </a:xfrm>
                    <a:prstGeom prst="rect">
                      <a:avLst/>
                    </a:prstGeom>
                    <a:noFill/>
                  </pic:spPr>
                </pic:pic>
              </a:graphicData>
            </a:graphic>
          </wp:inline>
        </w:drawing>
      </w:r>
    </w:p>
    <w:p w:rsidR="00861D72" w:rsidRPr="00861D72" w:rsidP="00F90255">
      <w:pPr>
        <w:spacing w:line="269" w:lineRule="auto"/>
        <w:rPr>
          <w:rFonts w:eastAsia="Calibri"/>
          <w:rtl/>
        </w:rPr>
      </w:pPr>
      <w:r w:rsidRPr="00861D72">
        <w:rPr>
          <w:rFonts w:eastAsia="Calibri" w:hint="cs"/>
          <w:rtl/>
        </w:rPr>
        <w:t xml:space="preserve">מהתרשים עולה כי </w:t>
      </w:r>
      <w:r w:rsidRPr="00861D72">
        <w:rPr>
          <w:rFonts w:eastAsia="Calibri"/>
          <w:rtl/>
        </w:rPr>
        <w:t xml:space="preserve">תהליך </w:t>
      </w:r>
      <w:r w:rsidRPr="00861D72">
        <w:rPr>
          <w:rFonts w:eastAsia="Calibri" w:hint="cs"/>
          <w:rtl/>
        </w:rPr>
        <w:t>ההקמה של</w:t>
      </w:r>
      <w:r w:rsidRPr="00861D72">
        <w:rPr>
          <w:rFonts w:eastAsia="Calibri"/>
          <w:rtl/>
        </w:rPr>
        <w:t xml:space="preserve"> המשרד לשוויון חברתי התפתח בהדרגה מתוך טיפול ממוקד באוכלוסיית האזרחים הוותיקים, ולאורך השנים לווה בשינויים מבניים ובמעברים בין גופים ממשלתיים</w:t>
      </w:r>
      <w:r w:rsidRPr="00861D72">
        <w:rPr>
          <w:rFonts w:eastAsia="Calibri" w:hint="cs"/>
          <w:rtl/>
        </w:rPr>
        <w:t>.</w:t>
      </w:r>
      <w:r w:rsidRPr="00861D72">
        <w:rPr>
          <w:rFonts w:eastAsia="Calibri"/>
          <w:rtl/>
        </w:rPr>
        <w:t xml:space="preserve"> </w:t>
      </w:r>
      <w:bookmarkStart w:id="42" w:name="_Hlk223255930"/>
      <w:r w:rsidRPr="00861D72">
        <w:rPr>
          <w:rFonts w:eastAsia="Calibri"/>
          <w:rtl/>
        </w:rPr>
        <w:t xml:space="preserve">בשנת 2006 הוקמה יחידת סמך לענייני גמלאים כגורם מטה במשרד </w:t>
      </w:r>
      <w:r w:rsidRPr="00861D72">
        <w:rPr>
          <w:rFonts w:eastAsia="Calibri" w:hint="cs"/>
          <w:rtl/>
        </w:rPr>
        <w:t>רה"ם</w:t>
      </w:r>
      <w:r w:rsidRPr="00861D72">
        <w:rPr>
          <w:rFonts w:eastAsia="Calibri"/>
          <w:rtl/>
        </w:rPr>
        <w:t xml:space="preserve">, </w:t>
      </w:r>
      <w:r w:rsidRPr="00861D72">
        <w:rPr>
          <w:rFonts w:eastAsia="Calibri" w:hint="cs"/>
          <w:rtl/>
        </w:rPr>
        <w:t xml:space="preserve">והיא </w:t>
      </w:r>
      <w:r w:rsidRPr="00861D72">
        <w:rPr>
          <w:rFonts w:eastAsia="Calibri"/>
          <w:rtl/>
        </w:rPr>
        <w:t>נועדה לקדם תיאום ואינטגרציה בין</w:t>
      </w:r>
      <w:r w:rsidRPr="00861D72">
        <w:rPr>
          <w:rFonts w:eastAsia="Calibri" w:hint="cs"/>
          <w:rtl/>
        </w:rPr>
        <w:t>-</w:t>
      </w:r>
      <w:r w:rsidRPr="00861D72">
        <w:rPr>
          <w:rFonts w:eastAsia="Calibri"/>
          <w:rtl/>
        </w:rPr>
        <w:t xml:space="preserve">משרדית בנושאים הקשורים לגמלאים. </w:t>
      </w:r>
      <w:bookmarkEnd w:id="42"/>
      <w:r w:rsidRPr="00861D72">
        <w:rPr>
          <w:rFonts w:eastAsia="Calibri"/>
          <w:rtl/>
        </w:rPr>
        <w:t>בשנת 2007 הוקם משרד ייעודי לענייני גמלאים, וב</w:t>
      </w:r>
      <w:r w:rsidRPr="00861D72">
        <w:rPr>
          <w:rFonts w:eastAsia="Calibri" w:hint="cs"/>
          <w:rtl/>
        </w:rPr>
        <w:t>-</w:t>
      </w:r>
      <w:r w:rsidRPr="00861D72">
        <w:rPr>
          <w:rFonts w:eastAsia="Calibri"/>
          <w:rtl/>
        </w:rPr>
        <w:t>2010 שונה שמו</w:t>
      </w:r>
      <w:r w:rsidRPr="00861D72">
        <w:rPr>
          <w:rFonts w:eastAsia="Calibri" w:hint="cs"/>
          <w:rtl/>
        </w:rPr>
        <w:t>, והוא נקרא</w:t>
      </w:r>
      <w:r w:rsidRPr="00861D72">
        <w:rPr>
          <w:rFonts w:eastAsia="Calibri"/>
          <w:rtl/>
        </w:rPr>
        <w:t xml:space="preserve"> ״</w:t>
      </w:r>
      <w:r w:rsidRPr="00861D72">
        <w:rPr>
          <w:rFonts w:eastAsia="Calibri" w:hint="cs"/>
          <w:rtl/>
        </w:rPr>
        <w:t>ה</w:t>
      </w:r>
      <w:r w:rsidRPr="00861D72">
        <w:rPr>
          <w:rFonts w:eastAsia="Calibri"/>
          <w:rtl/>
        </w:rPr>
        <w:t xml:space="preserve">משרד לאזרחים ותיקים״ באופן </w:t>
      </w:r>
      <w:r w:rsidRPr="00861D72">
        <w:rPr>
          <w:rFonts w:eastAsia="Calibri" w:hint="cs"/>
          <w:rtl/>
        </w:rPr>
        <w:t>ה</w:t>
      </w:r>
      <w:r w:rsidRPr="00861D72">
        <w:rPr>
          <w:rFonts w:eastAsia="Calibri"/>
          <w:rtl/>
        </w:rPr>
        <w:t>מי</w:t>
      </w:r>
      <w:r w:rsidRPr="00861D72">
        <w:rPr>
          <w:rFonts w:eastAsia="Calibri" w:hint="cs"/>
          <w:rtl/>
        </w:rPr>
        <w:t>י</w:t>
      </w:r>
      <w:r w:rsidRPr="00861D72">
        <w:rPr>
          <w:rFonts w:eastAsia="Calibri"/>
          <w:rtl/>
        </w:rPr>
        <w:t>סד את האחריות הממשלתית כלפי תחום זה כתחום ליבה. בשנת 2015 הורחבו תחומי הפעילות של המשרד והוא הוסב ל</w:t>
      </w:r>
      <w:r w:rsidRPr="00861D72">
        <w:rPr>
          <w:rFonts w:eastAsia="Calibri" w:hint="cs"/>
          <w:rtl/>
        </w:rPr>
        <w:t>-</w:t>
      </w:r>
      <w:r w:rsidRPr="00861D72">
        <w:rPr>
          <w:rFonts w:eastAsia="Calibri"/>
          <w:rtl/>
        </w:rPr>
        <w:t xml:space="preserve">״המשרד לשוויון חברתי״, כך שהטיפול באזרחים ותיקים הפך לרכיב בתוך סל משימות רחב. </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b/>
          <w:bCs/>
          <w:sz w:val="24"/>
          <w:rtl/>
        </w:rPr>
      </w:pPr>
      <w:r w:rsidRPr="00861D72">
        <w:rPr>
          <w:rFonts w:eastAsia="Calibri" w:hint="cs"/>
          <w:b/>
          <w:bCs/>
          <w:rtl/>
        </w:rPr>
        <w:t xml:space="preserve">מן האמור לעיל עולה כי </w:t>
      </w:r>
      <w:r w:rsidRPr="00861D72">
        <w:rPr>
          <w:rFonts w:eastAsia="Calibri"/>
          <w:b/>
          <w:bCs/>
          <w:rtl/>
        </w:rPr>
        <w:t>תפקידו של המשרד לשוויון חברתי</w:t>
      </w:r>
      <w:r w:rsidRPr="00861D72">
        <w:rPr>
          <w:rFonts w:eastAsia="Calibri" w:hint="cs"/>
          <w:b/>
          <w:bCs/>
          <w:rtl/>
        </w:rPr>
        <w:t xml:space="preserve">, </w:t>
      </w:r>
      <w:r w:rsidRPr="00861D72">
        <w:rPr>
          <w:rFonts w:eastAsia="Calibri"/>
          <w:b/>
          <w:bCs/>
          <w:rtl/>
        </w:rPr>
        <w:t xml:space="preserve">מתוקף היותו הגלגול המוסדי של יחידת הסמך לענייני גמלאים שהוקמה במשרד </w:t>
      </w:r>
      <w:r w:rsidRPr="00861D72">
        <w:rPr>
          <w:rFonts w:eastAsia="Calibri" w:hint="cs"/>
          <w:b/>
          <w:bCs/>
          <w:rtl/>
        </w:rPr>
        <w:t>רה"ם</w:t>
      </w:r>
      <w:r w:rsidRPr="00861D72">
        <w:rPr>
          <w:rFonts w:eastAsia="Calibri" w:hint="cs"/>
          <w:b/>
          <w:bCs/>
          <w:rtl/>
        </w:rPr>
        <w:t xml:space="preserve">, </w:t>
      </w:r>
      <w:r w:rsidRPr="00861D72">
        <w:rPr>
          <w:rFonts w:eastAsia="Calibri"/>
          <w:b/>
          <w:bCs/>
          <w:rtl/>
        </w:rPr>
        <w:t xml:space="preserve">הוא </w:t>
      </w:r>
      <w:r w:rsidRPr="00861D72">
        <w:rPr>
          <w:rFonts w:eastAsia="Calibri" w:hint="cs"/>
          <w:b/>
          <w:bCs/>
          <w:rtl/>
        </w:rPr>
        <w:t>לשמש</w:t>
      </w:r>
      <w:r w:rsidRPr="00861D72">
        <w:rPr>
          <w:rFonts w:eastAsia="Calibri"/>
          <w:b/>
          <w:bCs/>
          <w:rtl/>
        </w:rPr>
        <w:t xml:space="preserve"> גוף </w:t>
      </w:r>
      <w:r w:rsidRPr="00861D72">
        <w:rPr>
          <w:rFonts w:eastAsia="Calibri"/>
          <w:b/>
          <w:bCs/>
          <w:rtl/>
        </w:rPr>
        <w:t>מתכלל</w:t>
      </w:r>
      <w:r w:rsidRPr="00861D72">
        <w:rPr>
          <w:rFonts w:eastAsia="Calibri"/>
          <w:b/>
          <w:bCs/>
          <w:rtl/>
        </w:rPr>
        <w:t xml:space="preserve"> ותיאומי בכל הנוגע למדיניות ההזדקנות</w:t>
      </w:r>
      <w:r w:rsidRPr="00861D72">
        <w:rPr>
          <w:rFonts w:eastAsia="Calibri" w:hint="cs"/>
          <w:b/>
          <w:bCs/>
          <w:rtl/>
        </w:rPr>
        <w:t xml:space="preserve"> כדי</w:t>
      </w:r>
      <w:r w:rsidRPr="00861D72">
        <w:rPr>
          <w:rFonts w:eastAsia="Calibri"/>
          <w:b/>
          <w:bCs/>
          <w:rtl/>
        </w:rPr>
        <w:t xml:space="preserve"> לרכז את השחקנים הרבים הפועלים בתחום לכדי פעולה מתואמת</w:t>
      </w:r>
      <w:r w:rsidRPr="00861D72">
        <w:rPr>
          <w:rFonts w:eastAsia="Calibri"/>
          <w:b/>
          <w:bCs/>
        </w:rPr>
        <w:t>.</w:t>
      </w:r>
      <w:r w:rsidRPr="00861D72">
        <w:rPr>
          <w:rFonts w:eastAsia="Calibri"/>
          <w:rtl/>
        </w:rPr>
        <w:t xml:space="preserve"> </w:t>
      </w:r>
      <w:r w:rsidRPr="00861D72">
        <w:rPr>
          <w:rFonts w:ascii="David" w:eastAsia="Calibri" w:hAnsi="David" w:hint="cs"/>
          <w:b/>
          <w:bCs/>
          <w:sz w:val="24"/>
          <w:rtl/>
        </w:rPr>
        <w:t xml:space="preserve">עם זאת, </w:t>
      </w:r>
      <w:r w:rsidRPr="00861D72">
        <w:rPr>
          <w:rFonts w:ascii="David" w:eastAsia="Calibri" w:hAnsi="David"/>
          <w:b/>
          <w:bCs/>
          <w:sz w:val="24"/>
          <w:rtl/>
        </w:rPr>
        <w:t xml:space="preserve">בשנת 2015 הורחבו תחומי הפעילות של המשרד והוא הוסב </w:t>
      </w:r>
      <w:r w:rsidRPr="00861D72">
        <w:rPr>
          <w:rFonts w:ascii="David" w:eastAsia="Calibri" w:hAnsi="David"/>
          <w:b/>
          <w:bCs/>
          <w:sz w:val="24"/>
          <w:rtl/>
        </w:rPr>
        <w:t>ל״המשרד</w:t>
      </w:r>
      <w:r w:rsidRPr="00861D72">
        <w:rPr>
          <w:rFonts w:ascii="David" w:eastAsia="Calibri" w:hAnsi="David"/>
          <w:b/>
          <w:bCs/>
          <w:sz w:val="24"/>
          <w:rtl/>
        </w:rPr>
        <w:t xml:space="preserve"> לשוויון חברתי״, כך שהטיפול באזרחים ותיקים הפך לרכיב בתוך סל משימות רחב.</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cs"/>
          <w:b/>
          <w:bCs/>
          <w:rtl/>
        </w:rPr>
        <w:t xml:space="preserve">עוד </w:t>
      </w:r>
      <w:r w:rsidRPr="00861D72">
        <w:rPr>
          <w:rFonts w:eastAsia="Calibri" w:hint="eastAsia"/>
          <w:b/>
          <w:bCs/>
          <w:rtl/>
        </w:rPr>
        <w:t>עולה</w:t>
      </w:r>
      <w:r w:rsidRPr="00861D72">
        <w:rPr>
          <w:rFonts w:eastAsia="Calibri"/>
          <w:b/>
          <w:bCs/>
          <w:rtl/>
        </w:rPr>
        <w:t xml:space="preserve"> </w:t>
      </w:r>
      <w:r w:rsidRPr="00861D72">
        <w:rPr>
          <w:rFonts w:eastAsia="Calibri" w:hint="eastAsia"/>
          <w:b/>
          <w:bCs/>
          <w:rtl/>
        </w:rPr>
        <w:t>כי</w:t>
      </w:r>
      <w:r w:rsidRPr="00861D72">
        <w:rPr>
          <w:rFonts w:eastAsia="Calibri"/>
          <w:b/>
          <w:bCs/>
          <w:rtl/>
        </w:rPr>
        <w:t xml:space="preserve"> </w:t>
      </w:r>
      <w:r w:rsidRPr="00861D72">
        <w:rPr>
          <w:rFonts w:eastAsia="Calibri" w:hint="eastAsia"/>
          <w:b/>
          <w:bCs/>
          <w:rtl/>
        </w:rPr>
        <w:t>משנת</w:t>
      </w:r>
      <w:r w:rsidRPr="00861D72">
        <w:rPr>
          <w:rFonts w:eastAsia="Calibri"/>
          <w:b/>
          <w:bCs/>
          <w:rtl/>
        </w:rPr>
        <w:t xml:space="preserve"> 2023 בולטת במיוחד תנודתיות האחריות על תחום האזרחים הוותיקים: בשנת 2023 הועבר אגף בכיר אזרחים ותיקים מהמשרד לשוויון חברתי למשרד הנגב, הגליל והחוסן הלאומי, וב</w:t>
      </w:r>
      <w:r w:rsidRPr="00861D72">
        <w:rPr>
          <w:rFonts w:eastAsia="Calibri" w:hint="eastAsia"/>
          <w:b/>
          <w:bCs/>
          <w:rtl/>
        </w:rPr>
        <w:t>שנת</w:t>
      </w:r>
      <w:r w:rsidRPr="00861D72">
        <w:rPr>
          <w:rFonts w:eastAsia="Calibri"/>
          <w:b/>
          <w:bCs/>
          <w:rtl/>
        </w:rPr>
        <w:t xml:space="preserve"> 2024 הוחזר האגף הבכיר למשרד לשוויון חברתי</w:t>
      </w:r>
      <w:r>
        <w:rPr>
          <w:rFonts w:eastAsia="Calibri"/>
          <w:b/>
          <w:bCs/>
          <w:vertAlign w:val="superscript"/>
          <w:rtl/>
        </w:rPr>
        <w:footnoteReference w:id="104"/>
      </w:r>
      <w:r w:rsidRPr="00861D72">
        <w:rPr>
          <w:rFonts w:eastAsia="Calibri"/>
          <w:b/>
          <w:bCs/>
          <w:rtl/>
        </w:rPr>
        <w:t>.</w:t>
      </w:r>
    </w:p>
    <w:p w:rsidR="00861D72" w:rsidRPr="00861D72" w:rsidP="00F90255">
      <w:pPr>
        <w:spacing w:line="269" w:lineRule="auto"/>
        <w:rPr>
          <w:rFonts w:eastAsia="Calibri"/>
          <w:b/>
          <w:bCs/>
          <w:rtl/>
        </w:rPr>
      </w:pPr>
      <w:r w:rsidRPr="00861D72">
        <w:rPr>
          <w:rFonts w:eastAsia="Calibri"/>
          <w:b/>
          <w:bCs/>
          <w:rtl/>
        </w:rPr>
        <w:t>חוסר היציבות הארגונית והמעברים התכופים של תחום האזרחים הוותיקים בין משרדים</w:t>
      </w:r>
      <w:r w:rsidRPr="00861D72">
        <w:rPr>
          <w:rFonts w:eastAsia="Calibri" w:hint="cs"/>
          <w:b/>
          <w:bCs/>
          <w:rtl/>
        </w:rPr>
        <w:t xml:space="preserve"> </w:t>
      </w:r>
      <w:r w:rsidRPr="00861D72">
        <w:rPr>
          <w:rFonts w:eastAsia="Calibri"/>
          <w:b/>
          <w:bCs/>
          <w:rtl/>
        </w:rPr>
        <w:t xml:space="preserve">מקשים על בניית יכולות קבועות, מנגנוני אחריותיות ותשתיות עבודה מתמשכות, ובכך מצמצמים את יכולת המשרד לשוויון חברתי למלא בפועל תפקיד של גוף </w:t>
      </w:r>
      <w:r w:rsidRPr="00861D72">
        <w:rPr>
          <w:rFonts w:eastAsia="Calibri"/>
          <w:b/>
          <w:bCs/>
          <w:rtl/>
        </w:rPr>
        <w:t>מתכלל</w:t>
      </w:r>
      <w:r w:rsidRPr="00861D72">
        <w:rPr>
          <w:rFonts w:eastAsia="Calibri"/>
          <w:b/>
          <w:bCs/>
          <w:rtl/>
        </w:rPr>
        <w:t>.</w:t>
      </w:r>
      <w:r w:rsidRPr="00861D72">
        <w:rPr>
          <w:rFonts w:eastAsia="Calibri" w:hint="cs"/>
          <w:b/>
          <w:bCs/>
          <w:rtl/>
        </w:rPr>
        <w:t xml:space="preserve"> תדירות השינויים במיקום הארגוני של אגף בכיר אזרחים ותיקים משקפת את העובדה כי המשרד לשוויון חברתי אינו נתפס על ידי הממשלה כגורם </w:t>
      </w:r>
      <w:r w:rsidRPr="00861D72">
        <w:rPr>
          <w:rFonts w:eastAsia="Calibri" w:hint="cs"/>
          <w:b/>
          <w:bCs/>
          <w:rtl/>
        </w:rPr>
        <w:t>המתכלל</w:t>
      </w:r>
      <w:r w:rsidRPr="00861D72">
        <w:rPr>
          <w:rFonts w:eastAsia="Calibri" w:hint="cs"/>
          <w:b/>
          <w:bCs/>
          <w:rtl/>
        </w:rPr>
        <w:t xml:space="preserve"> לנושא</w:t>
      </w:r>
      <w:r w:rsidRPr="00861D72">
        <w:rPr>
          <w:rFonts w:eastAsia="Calibri"/>
          <w:b/>
          <w:bCs/>
          <w:rtl/>
        </w:rPr>
        <w:t xml:space="preserve"> </w:t>
      </w:r>
      <w:r w:rsidRPr="00861D72">
        <w:rPr>
          <w:rFonts w:eastAsia="Calibri" w:hint="cs"/>
          <w:b/>
          <w:bCs/>
          <w:rtl/>
        </w:rPr>
        <w:t xml:space="preserve">ההזדקנות, כמפורט להלן. </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Pr>
      </w:pPr>
      <w:r w:rsidRPr="00861D72">
        <w:rPr>
          <w:rFonts w:eastAsia="Times New Roman"/>
          <w:bCs/>
          <w:spacing w:val="40"/>
          <w:rtl/>
        </w:rPr>
        <w:t xml:space="preserve">היעדר מאפיינים של גוף </w:t>
      </w:r>
      <w:r w:rsidRPr="00861D72">
        <w:rPr>
          <w:rFonts w:eastAsia="Times New Roman"/>
          <w:bCs/>
          <w:spacing w:val="40"/>
          <w:rtl/>
        </w:rPr>
        <w:t>מתכלל</w:t>
      </w:r>
      <w:r w:rsidRPr="00861D72">
        <w:rPr>
          <w:rFonts w:eastAsia="Times New Roman"/>
          <w:bCs/>
          <w:spacing w:val="40"/>
          <w:rtl/>
        </w:rPr>
        <w:t>:</w:t>
      </w:r>
      <w:r w:rsidRPr="00861D72">
        <w:rPr>
          <w:rFonts w:ascii="David" w:eastAsia="Calibri" w:hAnsi="David"/>
          <w:sz w:val="24"/>
          <w:rtl/>
        </w:rPr>
        <w:t xml:space="preserve"> מבקר המדינה ציין בדוח קודם בנושא משבר האקלים</w:t>
      </w:r>
      <w:r>
        <w:rPr>
          <w:rFonts w:ascii="David" w:eastAsia="Calibri" w:hAnsi="David"/>
          <w:sz w:val="24"/>
          <w:vertAlign w:val="superscript"/>
          <w:rtl/>
        </w:rPr>
        <w:footnoteReference w:id="105"/>
      </w:r>
      <w:r w:rsidRPr="00861D72">
        <w:rPr>
          <w:rFonts w:ascii="David" w:eastAsia="Calibri" w:hAnsi="David"/>
          <w:sz w:val="24"/>
          <w:rtl/>
        </w:rPr>
        <w:t xml:space="preserve"> כי גוף </w:t>
      </w:r>
      <w:r w:rsidRPr="00861D72">
        <w:rPr>
          <w:rFonts w:ascii="David" w:eastAsia="Calibri" w:hAnsi="David"/>
          <w:sz w:val="24"/>
          <w:rtl/>
        </w:rPr>
        <w:t>מתכלל</w:t>
      </w:r>
      <w:r w:rsidRPr="00861D72">
        <w:rPr>
          <w:rFonts w:ascii="David" w:eastAsia="Calibri" w:hAnsi="David"/>
          <w:sz w:val="24"/>
          <w:rtl/>
        </w:rPr>
        <w:t xml:space="preserve"> צריך להיות בעל המאפיינים ה</w:t>
      </w:r>
      <w:r w:rsidRPr="00861D72">
        <w:rPr>
          <w:rFonts w:ascii="David" w:eastAsia="Calibri" w:hAnsi="David" w:hint="cs"/>
          <w:sz w:val="24"/>
          <w:rtl/>
        </w:rPr>
        <w:t>מתוארים בתרשים להלן</w:t>
      </w:r>
      <w:r w:rsidRPr="00861D72">
        <w:rPr>
          <w:rFonts w:ascii="David" w:eastAsia="Calibri" w:hAnsi="David"/>
          <w:sz w:val="24"/>
          <w:rtl/>
        </w:rPr>
        <w:t>:</w:t>
      </w:r>
    </w:p>
    <w:p w:rsidR="00861D72" w:rsidRPr="00861D72" w:rsidP="00F90255">
      <w:pPr>
        <w:spacing w:line="269" w:lineRule="auto"/>
        <w:rPr>
          <w:rFonts w:eastAsia="Calibri"/>
          <w:rtl/>
        </w:rPr>
      </w:pPr>
    </w:p>
    <w:p w:rsidR="00861D72" w:rsidRPr="00861D72" w:rsidP="00F90255">
      <w:pPr>
        <w:spacing w:line="269" w:lineRule="auto"/>
        <w:jc w:val="center"/>
        <w:rPr>
          <w:rFonts w:ascii="David" w:eastAsia="Calibri" w:hAnsi="David"/>
          <w:b/>
          <w:bCs/>
          <w:sz w:val="24"/>
          <w:rtl/>
        </w:rPr>
      </w:pPr>
      <w:r w:rsidRPr="00861D72">
        <w:rPr>
          <w:rFonts w:ascii="David" w:eastAsia="Calibri" w:hAnsi="David" w:hint="cs"/>
          <w:sz w:val="24"/>
          <w:rtl/>
        </w:rPr>
        <w:t xml:space="preserve">תרשים 15: </w:t>
      </w:r>
      <w:r w:rsidRPr="00861D72">
        <w:rPr>
          <w:rFonts w:ascii="David" w:eastAsia="Calibri" w:hAnsi="David" w:hint="cs"/>
          <w:b/>
          <w:bCs/>
          <w:sz w:val="24"/>
          <w:rtl/>
        </w:rPr>
        <w:t xml:space="preserve">מאפייני גוף </w:t>
      </w:r>
      <w:r w:rsidRPr="00861D72">
        <w:rPr>
          <w:rFonts w:ascii="David" w:eastAsia="Calibri" w:hAnsi="David" w:hint="cs"/>
          <w:b/>
          <w:bCs/>
          <w:sz w:val="24"/>
          <w:rtl/>
        </w:rPr>
        <w:t>מתכלל</w:t>
      </w:r>
    </w:p>
    <w:p w:rsidR="00861D72" w:rsidRPr="00861D72" w:rsidP="005167AC">
      <w:pPr>
        <w:spacing w:line="269" w:lineRule="auto"/>
        <w:ind w:left="-2"/>
        <w:rPr>
          <w:rFonts w:ascii="David" w:eastAsia="Calibri" w:hAnsi="David"/>
          <w:sz w:val="16"/>
          <w:szCs w:val="20"/>
          <w:rtl/>
        </w:rPr>
      </w:pPr>
      <w:r w:rsidRPr="00861D72">
        <w:rPr>
          <w:rFonts w:ascii="David" w:eastAsia="Calibri" w:hAnsi="David"/>
          <w:noProof/>
          <w:sz w:val="16"/>
          <w:szCs w:val="20"/>
        </w:rPr>
        <w:drawing>
          <wp:inline distT="0" distB="0" distL="0" distR="0">
            <wp:extent cx="5340350" cy="2066925"/>
            <wp:effectExtent l="0" t="0" r="0" b="0"/>
            <wp:docPr id="107" name="תמונה 107" descr="בעל סמכויות לתכלול של כל היבטי הממשלה בנושא&#10;&#10;בעל יכולת ביצוע הסמכויות והכרעה בין חלופות&#10;&#10;בעל מעמד סטטוטורי המעגן את סמכויותיו ותפקידיו&#10;&#10;בעל סמכות לקבל החלטות, לחייב את משרדי הממשלה לפעול לפיהן ולעקוב אחר ביצוען&#10;&#10;לא יהיה כפוף למשרד ממשלתי מסוים&#10;&#10;עוד נדרש כי יובטח לגוף תקציב ארוך טוו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0350" cy="2066925"/>
                    </a:xfrm>
                    <a:prstGeom prst="rect">
                      <a:avLst/>
                    </a:prstGeom>
                    <a:noFill/>
                  </pic:spPr>
                </pic:pic>
              </a:graphicData>
            </a:graphic>
          </wp:inline>
        </w:drawing>
      </w:r>
    </w:p>
    <w:p w:rsidR="00861D72" w:rsidRPr="00861D72" w:rsidP="00F90255">
      <w:pPr>
        <w:spacing w:line="269" w:lineRule="auto"/>
        <w:ind w:left="312"/>
        <w:rPr>
          <w:rFonts w:ascii="David" w:eastAsia="Calibri" w:hAnsi="David"/>
          <w:b/>
          <w:bCs/>
          <w:sz w:val="24"/>
          <w:rtl/>
        </w:rPr>
      </w:pPr>
      <w:r w:rsidRPr="00861D72">
        <w:rPr>
          <w:rFonts w:ascii="David" w:eastAsia="Calibri" w:hAnsi="David" w:hint="eastAsia"/>
          <w:sz w:val="16"/>
          <w:szCs w:val="20"/>
          <w:rtl/>
        </w:rPr>
        <w:t>על</w:t>
      </w:r>
      <w:r w:rsidRPr="00861D72">
        <w:rPr>
          <w:rFonts w:ascii="David" w:eastAsia="Calibri" w:hAnsi="David"/>
          <w:sz w:val="16"/>
          <w:szCs w:val="20"/>
          <w:rtl/>
        </w:rPr>
        <w:t xml:space="preserve"> </w:t>
      </w:r>
      <w:r w:rsidRPr="00861D72">
        <w:rPr>
          <w:rFonts w:ascii="David" w:eastAsia="Calibri" w:hAnsi="David" w:hint="eastAsia"/>
          <w:sz w:val="16"/>
          <w:szCs w:val="20"/>
          <w:rtl/>
        </w:rPr>
        <w:t>פי</w:t>
      </w:r>
      <w:r w:rsidRPr="00861D72">
        <w:rPr>
          <w:rFonts w:ascii="David" w:eastAsia="Calibri" w:hAnsi="David"/>
          <w:sz w:val="16"/>
          <w:szCs w:val="20"/>
          <w:rtl/>
        </w:rPr>
        <w:t xml:space="preserve"> </w:t>
      </w:r>
      <w:r w:rsidRPr="00861D72">
        <w:rPr>
          <w:rFonts w:ascii="David" w:eastAsia="Calibri" w:hAnsi="David" w:hint="eastAsia"/>
          <w:sz w:val="16"/>
          <w:szCs w:val="20"/>
          <w:rtl/>
        </w:rPr>
        <w:t>דוח</w:t>
      </w:r>
      <w:r w:rsidRPr="00861D72">
        <w:rPr>
          <w:rFonts w:ascii="David" w:eastAsia="Calibri" w:hAnsi="David"/>
          <w:sz w:val="16"/>
          <w:szCs w:val="20"/>
          <w:rtl/>
        </w:rPr>
        <w:t xml:space="preserve"> </w:t>
      </w:r>
      <w:r w:rsidRPr="00861D72">
        <w:rPr>
          <w:rFonts w:ascii="David" w:eastAsia="Calibri" w:hAnsi="David" w:hint="eastAsia"/>
          <w:sz w:val="16"/>
          <w:szCs w:val="20"/>
          <w:rtl/>
        </w:rPr>
        <w:t>מבקר</w:t>
      </w:r>
      <w:r w:rsidRPr="00861D72">
        <w:rPr>
          <w:rFonts w:ascii="David" w:eastAsia="Calibri" w:hAnsi="David"/>
          <w:sz w:val="16"/>
          <w:szCs w:val="20"/>
          <w:rtl/>
        </w:rPr>
        <w:t xml:space="preserve"> </w:t>
      </w:r>
      <w:r w:rsidRPr="00861D72">
        <w:rPr>
          <w:rFonts w:ascii="David" w:eastAsia="Calibri" w:hAnsi="David" w:hint="eastAsia"/>
          <w:sz w:val="16"/>
          <w:szCs w:val="20"/>
          <w:rtl/>
        </w:rPr>
        <w:t>המדינה</w:t>
      </w:r>
      <w:r w:rsidRPr="00861D72">
        <w:rPr>
          <w:rFonts w:ascii="David" w:eastAsia="Calibri" w:hAnsi="David"/>
          <w:sz w:val="16"/>
          <w:szCs w:val="20"/>
          <w:rtl/>
        </w:rPr>
        <w:t xml:space="preserve"> </w:t>
      </w:r>
      <w:r w:rsidRPr="00861D72">
        <w:rPr>
          <w:rFonts w:ascii="David" w:eastAsia="Calibri" w:hAnsi="David" w:hint="eastAsia"/>
          <w:sz w:val="16"/>
          <w:szCs w:val="20"/>
          <w:rtl/>
        </w:rPr>
        <w:t>בנושא</w:t>
      </w:r>
      <w:r w:rsidRPr="00861D72">
        <w:rPr>
          <w:rFonts w:eastAsia="Calibri"/>
          <w:sz w:val="16"/>
          <w:szCs w:val="20"/>
          <w:rtl/>
        </w:rPr>
        <w:t xml:space="preserve"> </w:t>
      </w:r>
      <w:r w:rsidRPr="00861D72">
        <w:rPr>
          <w:rFonts w:ascii="David" w:eastAsia="Calibri" w:hAnsi="David"/>
          <w:sz w:val="16"/>
          <w:szCs w:val="20"/>
          <w:rtl/>
        </w:rPr>
        <w:t>פעולות ממשלת ישראל והיערכותה למשבר האקלים</w:t>
      </w:r>
      <w:r w:rsidRPr="00861D72">
        <w:rPr>
          <w:rFonts w:ascii="David" w:eastAsia="Calibri" w:hAnsi="David"/>
          <w:rtl/>
        </w:rPr>
        <w:t>.</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b/>
          <w:bCs/>
          <w:rtl/>
        </w:rPr>
      </w:pPr>
      <w:r w:rsidRPr="00861D72">
        <w:rPr>
          <w:rFonts w:ascii="David" w:eastAsia="Calibri" w:hAnsi="David" w:hint="cs"/>
          <w:b/>
          <w:bCs/>
          <w:rtl/>
        </w:rPr>
        <w:t xml:space="preserve">בפועל, בביקורת עלה כי </w:t>
      </w:r>
      <w:bookmarkStart w:id="43" w:name="_Hlk222219254"/>
      <w:r w:rsidRPr="00861D72">
        <w:rPr>
          <w:rFonts w:ascii="David" w:eastAsia="Calibri" w:hAnsi="David" w:hint="cs"/>
          <w:b/>
          <w:bCs/>
          <w:rtl/>
        </w:rPr>
        <w:t xml:space="preserve">נוסף על העברת אגף בכיר אזרחים ותיקים בין משרדים, המשרד לשוויון חברתי חסר את המאפיינים הנדרשים לגוף </w:t>
      </w:r>
      <w:r w:rsidRPr="00861D72">
        <w:rPr>
          <w:rFonts w:ascii="David" w:eastAsia="Calibri" w:hAnsi="David" w:hint="cs"/>
          <w:b/>
          <w:bCs/>
          <w:rtl/>
        </w:rPr>
        <w:t>מתכלל</w:t>
      </w:r>
      <w:r w:rsidRPr="00861D72">
        <w:rPr>
          <w:rFonts w:ascii="David" w:eastAsia="Calibri" w:hAnsi="David" w:hint="cs"/>
          <w:b/>
          <w:bCs/>
          <w:rtl/>
        </w:rPr>
        <w:t xml:space="preserve">; כך למשל, לא הוקנו לו הסמכות והאחריות </w:t>
      </w:r>
      <w:r w:rsidRPr="00861D72">
        <w:rPr>
          <w:rFonts w:ascii="David" w:eastAsia="Calibri" w:hAnsi="David" w:hint="cs"/>
          <w:b/>
          <w:bCs/>
          <w:rtl/>
        </w:rPr>
        <w:t>לחייב משרדי ממשלה אחרים לפעול בנושא הזדקנות מיטבית, ואין לו תקציב מוגדר בבסיס תקציב</w:t>
      </w:r>
      <w:r>
        <w:rPr>
          <w:rFonts w:ascii="David" w:eastAsia="Calibri" w:hAnsi="David"/>
          <w:b/>
          <w:bCs/>
          <w:vertAlign w:val="superscript"/>
          <w:rtl/>
        </w:rPr>
        <w:footnoteReference w:id="106"/>
      </w:r>
      <w:r w:rsidRPr="00861D72">
        <w:rPr>
          <w:rFonts w:ascii="David" w:eastAsia="Calibri" w:hAnsi="David" w:hint="cs"/>
          <w:rtl/>
        </w:rPr>
        <w:t>.</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b/>
          <w:bCs/>
          <w:rtl/>
        </w:rPr>
      </w:pPr>
      <w:r w:rsidRPr="00861D72">
        <w:rPr>
          <w:rFonts w:eastAsia="Calibri" w:hint="cs"/>
          <w:rtl/>
        </w:rPr>
        <w:t xml:space="preserve">המשרד לשוויון חברתי ציין בתשובתו כי סמכויותיו לשמש גוף מטה לנושא האזרחים הוותיקים מעוגנות היטב בדברי החקיקה ובהחלטות ממשלה, ובראשן החלטת ממשלה 143, וכי אין לנתק את הזיקה בין מדיניות המשרד לבין סמכויות האגף הבכיר לאזרחים ותיקים. </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cs"/>
          <w:b/>
          <w:bCs/>
          <w:rtl/>
        </w:rPr>
        <w:t xml:space="preserve">משרד מבקר המדינה מציין בעניין זה, כי אף שעל פי החלטת הממשלה, אכן הוטלה על המשרד לשוויון חברתי (על האגף לאזרחים ותיקים) האחריות לשמש גוף </w:t>
      </w:r>
      <w:r w:rsidRPr="00861D72">
        <w:rPr>
          <w:rFonts w:eastAsia="Calibri" w:hint="cs"/>
          <w:b/>
          <w:bCs/>
          <w:rtl/>
        </w:rPr>
        <w:t>מתכלל</w:t>
      </w:r>
      <w:r w:rsidRPr="00861D72">
        <w:rPr>
          <w:rFonts w:eastAsia="Calibri" w:hint="cs"/>
          <w:b/>
          <w:bCs/>
          <w:rtl/>
        </w:rPr>
        <w:t xml:space="preserve"> לנושא האזרחים הוותיקים, בפועל וכפי שפורט, לא ניתנו לו הסמכויות הנדרשות להיות גוף כזה.</w:t>
      </w:r>
    </w:p>
    <w:bookmarkEnd w:id="43"/>
    <w:p w:rsidR="00861D72" w:rsidRPr="00861D72" w:rsidP="00F90255">
      <w:pPr>
        <w:spacing w:line="269" w:lineRule="auto"/>
        <w:rPr>
          <w:rFonts w:eastAsia="Calibri"/>
          <w:rtl/>
        </w:rPr>
      </w:pPr>
    </w:p>
    <w:p w:rsidR="00861D72" w:rsidRPr="00861D72" w:rsidP="00F90255">
      <w:pPr>
        <w:numPr>
          <w:ilvl w:val="0"/>
          <w:numId w:val="14"/>
        </w:numPr>
        <w:spacing w:line="269" w:lineRule="auto"/>
        <w:rPr>
          <w:rFonts w:ascii="David" w:eastAsia="Calibri" w:hAnsi="David"/>
          <w:sz w:val="24"/>
          <w:rtl/>
          <w:lang w:eastAsia="he-IL"/>
        </w:rPr>
      </w:pPr>
      <w:r w:rsidRPr="00861D72">
        <w:rPr>
          <w:rFonts w:ascii="David" w:eastAsia="Times New Roman" w:hAnsi="David"/>
          <w:spacing w:val="40"/>
          <w:sz w:val="24"/>
          <w:rtl/>
        </w:rPr>
        <w:t xml:space="preserve">היעדר פעילות כגוף </w:t>
      </w:r>
      <w:r w:rsidRPr="00861D72">
        <w:rPr>
          <w:rFonts w:ascii="David" w:eastAsia="Times New Roman" w:hAnsi="David"/>
          <w:spacing w:val="40"/>
          <w:sz w:val="24"/>
          <w:rtl/>
        </w:rPr>
        <w:t>מתכלל</w:t>
      </w:r>
      <w:r w:rsidRPr="00861D72">
        <w:rPr>
          <w:rFonts w:ascii="David" w:eastAsia="Calibri" w:hAnsi="David"/>
          <w:sz w:val="24"/>
          <w:rtl/>
          <w:lang w:eastAsia="he-IL"/>
        </w:rPr>
        <w:t xml:space="preserve">: </w:t>
      </w:r>
      <w:r w:rsidRPr="00861D72">
        <w:rPr>
          <w:rFonts w:ascii="David" w:eastAsia="Calibri" w:hAnsi="David"/>
          <w:sz w:val="24"/>
          <w:rtl/>
        </w:rPr>
        <w:t xml:space="preserve">כדי להבין מהן הציפיות המעשיות מגוף </w:t>
      </w:r>
      <w:r w:rsidRPr="00861D72">
        <w:rPr>
          <w:rFonts w:ascii="David" w:eastAsia="Calibri" w:hAnsi="David"/>
          <w:sz w:val="24"/>
          <w:rtl/>
        </w:rPr>
        <w:t>מתכלל</w:t>
      </w:r>
      <w:r w:rsidRPr="00861D72">
        <w:rPr>
          <w:rFonts w:ascii="David" w:eastAsia="Calibri" w:hAnsi="David"/>
          <w:sz w:val="24"/>
          <w:rtl/>
        </w:rPr>
        <w:t xml:space="preserve">, </w:t>
      </w:r>
      <w:r w:rsidRPr="00861D72">
        <w:rPr>
          <w:rFonts w:ascii="David" w:eastAsia="Calibri" w:hAnsi="David" w:hint="cs"/>
          <w:sz w:val="24"/>
          <w:rtl/>
        </w:rPr>
        <w:t>אפשר</w:t>
      </w:r>
      <w:r w:rsidRPr="00861D72">
        <w:rPr>
          <w:rFonts w:ascii="David" w:eastAsia="Calibri" w:hAnsi="David"/>
          <w:sz w:val="24"/>
          <w:rtl/>
        </w:rPr>
        <w:t xml:space="preserve"> </w:t>
      </w:r>
      <w:r w:rsidRPr="00861D72">
        <w:rPr>
          <w:rFonts w:ascii="David" w:eastAsia="Calibri" w:hAnsi="David" w:hint="cs"/>
          <w:sz w:val="24"/>
          <w:rtl/>
        </w:rPr>
        <w:t>להשוותו</w:t>
      </w:r>
      <w:r w:rsidRPr="00861D72">
        <w:rPr>
          <w:rFonts w:ascii="David" w:eastAsia="Calibri" w:hAnsi="David" w:hint="cs"/>
          <w:sz w:val="24"/>
          <w:rtl/>
        </w:rPr>
        <w:t xml:space="preserve"> ל</w:t>
      </w:r>
      <w:r w:rsidRPr="00861D72">
        <w:rPr>
          <w:rFonts w:ascii="David" w:eastAsia="Calibri" w:hAnsi="David"/>
          <w:sz w:val="24"/>
          <w:rtl/>
        </w:rPr>
        <w:t>פעילות הרשות לפיתוח כלכלי של מגזרי המיעוטים, הפועלת אף היא תחת המשרד לשוויון חברתי. הרשות קיבלה מנדט ברור לתיאום הפעולות במשרדי הממשלה ובזירה הציבורית, ו</w:t>
      </w:r>
      <w:r w:rsidRPr="00861D72">
        <w:rPr>
          <w:rFonts w:ascii="David" w:eastAsia="Calibri" w:hAnsi="David" w:hint="cs"/>
          <w:sz w:val="24"/>
          <w:rtl/>
        </w:rPr>
        <w:t xml:space="preserve">היא </w:t>
      </w:r>
      <w:r w:rsidRPr="00861D72">
        <w:rPr>
          <w:rFonts w:ascii="David" w:eastAsia="Calibri" w:hAnsi="David"/>
          <w:sz w:val="24"/>
          <w:rtl/>
        </w:rPr>
        <w:t>מיישמת בפועל תכלול של מדיניות ות</w:t>
      </w:r>
      <w:r w:rsidRPr="00861D72">
        <w:rPr>
          <w:rFonts w:ascii="David" w:eastAsia="Calibri" w:hAnsi="David" w:hint="cs"/>
          <w:sz w:val="24"/>
          <w:rtl/>
        </w:rPr>
        <w:t>ו</w:t>
      </w:r>
      <w:r w:rsidRPr="00861D72">
        <w:rPr>
          <w:rFonts w:ascii="David" w:eastAsia="Calibri" w:hAnsi="David"/>
          <w:sz w:val="24"/>
          <w:rtl/>
        </w:rPr>
        <w:t xml:space="preserve">כניות ייעודיות באמצעות מנגנוני עבודה מוסדרים, </w:t>
      </w:r>
      <w:r w:rsidRPr="00861D72">
        <w:rPr>
          <w:rFonts w:ascii="David" w:eastAsia="Calibri" w:hAnsi="David" w:hint="cs"/>
          <w:sz w:val="24"/>
          <w:rtl/>
        </w:rPr>
        <w:t xml:space="preserve">באמצעות </w:t>
      </w:r>
      <w:r w:rsidRPr="00861D72">
        <w:rPr>
          <w:rFonts w:ascii="David" w:eastAsia="Calibri" w:hAnsi="David"/>
          <w:sz w:val="24"/>
          <w:rtl/>
        </w:rPr>
        <w:t>שיתופי פעולה בין-משרדיים ו</w:t>
      </w:r>
      <w:r w:rsidRPr="00861D72">
        <w:rPr>
          <w:rFonts w:ascii="David" w:eastAsia="Calibri" w:hAnsi="David" w:hint="cs"/>
          <w:sz w:val="24"/>
          <w:rtl/>
        </w:rPr>
        <w:t xml:space="preserve">באמצעות </w:t>
      </w:r>
      <w:r w:rsidRPr="00861D72">
        <w:rPr>
          <w:rFonts w:ascii="David" w:eastAsia="Calibri" w:hAnsi="David"/>
          <w:sz w:val="24"/>
          <w:rtl/>
        </w:rPr>
        <w:t>מעקב אחר ביצוע</w:t>
      </w:r>
      <w:r w:rsidRPr="00861D72">
        <w:rPr>
          <w:rFonts w:ascii="David" w:eastAsia="Calibri" w:hAnsi="David" w:hint="cs"/>
          <w:sz w:val="24"/>
          <w:rtl/>
        </w:rPr>
        <w:t>.</w:t>
      </w:r>
      <w:r w:rsidRPr="00861D72">
        <w:rPr>
          <w:rFonts w:ascii="David" w:eastAsia="Calibri" w:hAnsi="David"/>
          <w:sz w:val="24"/>
          <w:rtl/>
          <w:lang w:eastAsia="he-IL"/>
        </w:rPr>
        <w:t xml:space="preserve"> כך הרשות מבצעת </w:t>
      </w:r>
      <w:r w:rsidRPr="00861D72">
        <w:rPr>
          <w:rFonts w:ascii="David" w:eastAsia="Calibri" w:hAnsi="David" w:hint="cs"/>
          <w:sz w:val="24"/>
          <w:rtl/>
          <w:lang w:eastAsia="he-IL"/>
        </w:rPr>
        <w:t>כמה</w:t>
      </w:r>
      <w:r w:rsidRPr="00861D72">
        <w:rPr>
          <w:rFonts w:ascii="David" w:eastAsia="Calibri" w:hAnsi="David"/>
          <w:sz w:val="24"/>
          <w:rtl/>
          <w:lang w:eastAsia="he-IL"/>
        </w:rPr>
        <w:t xml:space="preserve"> פעולות תכלול ותיאום</w:t>
      </w:r>
      <w:r>
        <w:rPr>
          <w:rFonts w:ascii="David" w:eastAsia="Calibri" w:hAnsi="David"/>
          <w:sz w:val="24"/>
          <w:vertAlign w:val="superscript"/>
          <w:rtl/>
          <w:lang w:eastAsia="he-IL"/>
        </w:rPr>
        <w:footnoteReference w:id="107"/>
      </w:r>
      <w:r w:rsidRPr="00861D72">
        <w:rPr>
          <w:rFonts w:ascii="David" w:eastAsia="Calibri" w:hAnsi="David" w:hint="cs"/>
          <w:sz w:val="24"/>
          <w:rtl/>
          <w:lang w:eastAsia="he-IL"/>
        </w:rPr>
        <w:t>.</w:t>
      </w:r>
    </w:p>
    <w:p w:rsidR="00861D72" w:rsidRPr="00861D72" w:rsidP="00F90255">
      <w:pPr>
        <w:spacing w:line="269" w:lineRule="auto"/>
        <w:rPr>
          <w:rFonts w:eastAsia="Calibri"/>
          <w:rtl/>
        </w:rPr>
      </w:pPr>
    </w:p>
    <w:p w:rsidR="00861D72" w:rsidRPr="00861D72" w:rsidP="00F90255">
      <w:pPr>
        <w:spacing w:line="269" w:lineRule="auto"/>
        <w:ind w:left="312"/>
        <w:rPr>
          <w:rFonts w:ascii="David" w:eastAsia="Calibri" w:hAnsi="David"/>
          <w:sz w:val="24"/>
          <w:rtl/>
          <w:lang w:eastAsia="he-IL"/>
        </w:rPr>
      </w:pPr>
      <w:r w:rsidRPr="00861D72">
        <w:rPr>
          <w:rFonts w:ascii="David" w:eastAsia="Calibri" w:hAnsi="David" w:hint="cs"/>
          <w:sz w:val="24"/>
          <w:rtl/>
          <w:lang w:eastAsia="he-IL"/>
        </w:rPr>
        <w:t xml:space="preserve">הלוח שלהלן מציג את פעולות </w:t>
      </w:r>
      <w:r w:rsidRPr="00861D72">
        <w:rPr>
          <w:rFonts w:ascii="David" w:eastAsia="Calibri" w:hAnsi="David" w:hint="cs"/>
          <w:sz w:val="24"/>
          <w:rtl/>
          <w:lang w:eastAsia="he-IL"/>
        </w:rPr>
        <w:t>התכלול</w:t>
      </w:r>
      <w:r w:rsidRPr="00861D72">
        <w:rPr>
          <w:rFonts w:ascii="David" w:eastAsia="Calibri" w:hAnsi="David" w:hint="cs"/>
          <w:sz w:val="24"/>
          <w:rtl/>
          <w:lang w:eastAsia="he-IL"/>
        </w:rPr>
        <w:t xml:space="preserve"> של הרשות לפיתוח כלכלי של מגזר המיעוטים בהשוואה לפעולות </w:t>
      </w:r>
      <w:r w:rsidRPr="00861D72">
        <w:rPr>
          <w:rFonts w:ascii="David" w:eastAsia="Calibri" w:hAnsi="David" w:hint="cs"/>
          <w:sz w:val="24"/>
          <w:rtl/>
          <w:lang w:eastAsia="he-IL"/>
        </w:rPr>
        <w:t>התכלול</w:t>
      </w:r>
      <w:r w:rsidRPr="00861D72">
        <w:rPr>
          <w:rFonts w:ascii="David" w:eastAsia="Calibri" w:hAnsi="David" w:hint="cs"/>
          <w:sz w:val="24"/>
          <w:rtl/>
          <w:lang w:eastAsia="he-IL"/>
        </w:rPr>
        <w:t xml:space="preserve"> של אגף בכיר אזרחים ותיקים.</w:t>
      </w:r>
    </w:p>
    <w:p w:rsidR="00861D72" w:rsidRPr="00861D72" w:rsidP="00F90255">
      <w:pPr>
        <w:spacing w:line="269" w:lineRule="auto"/>
        <w:rPr>
          <w:rFonts w:ascii="David" w:eastAsia="Calibri" w:hAnsi="David"/>
          <w:sz w:val="24"/>
          <w:rtl/>
          <w:lang w:eastAsia="he-IL"/>
        </w:rPr>
      </w:pPr>
    </w:p>
    <w:p w:rsidR="00861D72" w:rsidRPr="00861D72" w:rsidP="005167AC">
      <w:pPr>
        <w:spacing w:line="269" w:lineRule="auto"/>
        <w:ind w:left="140"/>
        <w:jc w:val="center"/>
        <w:rPr>
          <w:rFonts w:ascii="David" w:eastAsia="Calibri" w:hAnsi="David"/>
          <w:b/>
          <w:bCs/>
          <w:sz w:val="24"/>
          <w:rtl/>
          <w:lang w:eastAsia="he-IL"/>
        </w:rPr>
      </w:pPr>
      <w:r w:rsidRPr="00861D72">
        <w:rPr>
          <w:rFonts w:ascii="David" w:eastAsia="Calibri" w:hAnsi="David" w:hint="cs"/>
          <w:sz w:val="24"/>
          <w:rtl/>
          <w:lang w:eastAsia="he-IL"/>
        </w:rPr>
        <w:t xml:space="preserve">לוח 3: </w:t>
      </w:r>
      <w:r w:rsidRPr="00861D72">
        <w:rPr>
          <w:rFonts w:ascii="David" w:eastAsia="Calibri" w:hAnsi="David" w:hint="cs"/>
          <w:b/>
          <w:bCs/>
          <w:sz w:val="24"/>
          <w:rtl/>
          <w:lang w:eastAsia="he-IL"/>
        </w:rPr>
        <w:t xml:space="preserve">פעולות </w:t>
      </w:r>
      <w:r w:rsidRPr="00861D72">
        <w:rPr>
          <w:rFonts w:ascii="David" w:eastAsia="Calibri" w:hAnsi="David" w:hint="cs"/>
          <w:b/>
          <w:bCs/>
          <w:sz w:val="24"/>
          <w:rtl/>
          <w:lang w:eastAsia="he-IL"/>
        </w:rPr>
        <w:t>התכלול</w:t>
      </w:r>
      <w:r w:rsidRPr="00861D72">
        <w:rPr>
          <w:rFonts w:ascii="David" w:eastAsia="Calibri" w:hAnsi="David" w:hint="cs"/>
          <w:b/>
          <w:bCs/>
          <w:sz w:val="24"/>
          <w:rtl/>
          <w:lang w:eastAsia="he-IL"/>
        </w:rPr>
        <w:t xml:space="preserve"> של הרשות לפיתוח כלכלי של מגזר המיעוטים בהשוואה לאלו של אגף בכיר אזרחים ותיקים</w:t>
      </w:r>
    </w:p>
    <w:tbl>
      <w:tblPr>
        <w:tblStyle w:val="TableGrid"/>
        <w:bidiVisual/>
        <w:tblW w:w="7792" w:type="dxa"/>
        <w:tblInd w:w="310" w:type="dxa"/>
        <w:tblLook w:val="04A0"/>
      </w:tblPr>
      <w:tblGrid>
        <w:gridCol w:w="2540"/>
        <w:gridCol w:w="2410"/>
        <w:gridCol w:w="2842"/>
      </w:tblGrid>
      <w:tr w:rsidTr="005167AC">
        <w:tblPrEx>
          <w:tblW w:w="7792" w:type="dxa"/>
          <w:tblInd w:w="310" w:type="dxa"/>
          <w:tblLook w:val="04A0"/>
        </w:tblPrEx>
        <w:tc>
          <w:tcPr>
            <w:tcW w:w="2540" w:type="dxa"/>
            <w:tcBorders>
              <w:bottom w:val="single" w:sz="4" w:space="0" w:color="auto"/>
              <w:right w:val="nil"/>
            </w:tcBorders>
            <w:shd w:val="clear" w:color="auto" w:fill="A6CBFA"/>
          </w:tcPr>
          <w:p w:rsidR="00861D72" w:rsidRPr="00861D72" w:rsidP="00F90255">
            <w:pPr>
              <w:spacing w:line="269" w:lineRule="auto"/>
              <w:ind w:left="312"/>
              <w:rPr>
                <w:b/>
                <w:bCs/>
                <w:sz w:val="18"/>
                <w:szCs w:val="22"/>
                <w:rtl/>
                <w:lang w:eastAsia="he-IL"/>
              </w:rPr>
            </w:pPr>
            <w:r w:rsidRPr="00861D72">
              <w:rPr>
                <w:rFonts w:hint="cs"/>
                <w:b/>
                <w:bCs/>
                <w:sz w:val="18"/>
                <w:szCs w:val="22"/>
                <w:rtl/>
                <w:lang w:eastAsia="he-IL"/>
              </w:rPr>
              <w:t>פעולת תכלול</w:t>
            </w:r>
          </w:p>
        </w:tc>
        <w:tc>
          <w:tcPr>
            <w:tcW w:w="2410" w:type="dxa"/>
            <w:tcBorders>
              <w:left w:val="nil"/>
              <w:bottom w:val="single" w:sz="4" w:space="0" w:color="auto"/>
              <w:right w:val="nil"/>
            </w:tcBorders>
            <w:shd w:val="clear" w:color="auto" w:fill="A6CBFA"/>
          </w:tcPr>
          <w:p w:rsidR="00861D72" w:rsidRPr="00861D72" w:rsidP="00F90255">
            <w:pPr>
              <w:spacing w:line="269" w:lineRule="auto"/>
              <w:ind w:left="312"/>
              <w:rPr>
                <w:b/>
                <w:bCs/>
                <w:sz w:val="18"/>
                <w:szCs w:val="22"/>
                <w:rtl/>
                <w:lang w:eastAsia="he-IL"/>
              </w:rPr>
            </w:pPr>
            <w:r w:rsidRPr="00861D72">
              <w:rPr>
                <w:rFonts w:hint="cs"/>
                <w:b/>
                <w:bCs/>
                <w:sz w:val="18"/>
                <w:szCs w:val="22"/>
                <w:rtl/>
                <w:lang w:eastAsia="he-IL"/>
              </w:rPr>
              <w:t>הרשות לפיתוח כלכלי של מגזר המיעוטים</w:t>
            </w:r>
          </w:p>
        </w:tc>
        <w:tc>
          <w:tcPr>
            <w:tcW w:w="2842" w:type="dxa"/>
            <w:tcBorders>
              <w:left w:val="nil"/>
            </w:tcBorders>
            <w:shd w:val="clear" w:color="auto" w:fill="A6CBFA"/>
          </w:tcPr>
          <w:p w:rsidR="00861D72" w:rsidRPr="00861D72" w:rsidP="00F90255">
            <w:pPr>
              <w:spacing w:line="269" w:lineRule="auto"/>
              <w:ind w:left="312"/>
              <w:rPr>
                <w:b/>
                <w:bCs/>
                <w:sz w:val="18"/>
                <w:szCs w:val="22"/>
                <w:rtl/>
                <w:lang w:eastAsia="he-IL"/>
              </w:rPr>
            </w:pPr>
            <w:r w:rsidRPr="00861D72">
              <w:rPr>
                <w:rFonts w:hint="cs"/>
                <w:b/>
                <w:bCs/>
                <w:sz w:val="18"/>
                <w:szCs w:val="22"/>
                <w:rtl/>
                <w:lang w:eastAsia="he-IL"/>
              </w:rPr>
              <w:t>אגף בכיר אזרחים ותיקים</w:t>
            </w:r>
          </w:p>
        </w:tc>
      </w:tr>
      <w:tr w:rsidTr="005167AC">
        <w:tblPrEx>
          <w:tblW w:w="7792" w:type="dxa"/>
          <w:tblInd w:w="310" w:type="dxa"/>
          <w:tblLook w:val="04A0"/>
        </w:tblPrEx>
        <w:tc>
          <w:tcPr>
            <w:tcW w:w="2540" w:type="dxa"/>
            <w:tcBorders>
              <w:right w:val="nil"/>
            </w:tcBorders>
            <w:shd w:val="clear" w:color="auto" w:fill="D2E5FD"/>
          </w:tcPr>
          <w:p w:rsidR="00861D72" w:rsidRPr="00861D72" w:rsidP="00F90255">
            <w:pPr>
              <w:spacing w:line="269" w:lineRule="auto"/>
              <w:ind w:left="25"/>
              <w:rPr>
                <w:sz w:val="18"/>
                <w:szCs w:val="22"/>
                <w:rtl/>
                <w:lang w:eastAsia="he-IL"/>
              </w:rPr>
            </w:pPr>
            <w:r w:rsidRPr="00861D72">
              <w:rPr>
                <w:rFonts w:hint="cs"/>
                <w:sz w:val="18"/>
                <w:szCs w:val="22"/>
                <w:rtl/>
                <w:lang w:eastAsia="he-IL"/>
              </w:rPr>
              <w:t xml:space="preserve">דיון ואישור של </w:t>
            </w:r>
            <w:r w:rsidRPr="00861D72">
              <w:rPr>
                <w:rFonts w:hint="cs"/>
                <w:sz w:val="18"/>
                <w:szCs w:val="22"/>
                <w:rtl/>
                <w:lang w:eastAsia="he-IL"/>
              </w:rPr>
              <w:t>תוכניות</w:t>
            </w:r>
            <w:r w:rsidRPr="00861D72">
              <w:rPr>
                <w:rFonts w:hint="cs"/>
                <w:sz w:val="18"/>
                <w:szCs w:val="22"/>
                <w:rtl/>
                <w:lang w:eastAsia="he-IL"/>
              </w:rPr>
              <w:t xml:space="preserve"> העבודה של המשרדים השותפים</w:t>
            </w:r>
          </w:p>
        </w:tc>
        <w:tc>
          <w:tcPr>
            <w:tcW w:w="2410" w:type="dxa"/>
            <w:tcBorders>
              <w:left w:val="nil"/>
              <w:right w:val="nil"/>
            </w:tcBorders>
            <w:shd w:val="clear" w:color="auto" w:fill="FFFFFF"/>
          </w:tcPr>
          <w:p w:rsidR="00861D72" w:rsidRPr="00861D72" w:rsidP="00F90255">
            <w:pPr>
              <w:spacing w:line="269" w:lineRule="auto"/>
              <w:ind w:left="312"/>
              <w:jc w:val="center"/>
              <w:rPr>
                <w:sz w:val="18"/>
                <w:szCs w:val="22"/>
                <w:lang w:eastAsia="he-IL"/>
              </w:rPr>
            </w:pPr>
            <w:r w:rsidRPr="00861D72">
              <w:rPr>
                <w:noProof/>
                <w:sz w:val="18"/>
                <w:szCs w:val="22"/>
              </w:rPr>
              <w:drawing>
                <wp:inline distT="0" distB="0" distL="0" distR="0">
                  <wp:extent cx="202247" cy="180000"/>
                  <wp:effectExtent l="0" t="0" r="762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2842" w:type="dxa"/>
            <w:tcBorders>
              <w:left w:val="nil"/>
            </w:tcBorders>
            <w:shd w:val="clear" w:color="auto" w:fill="FFFFFF"/>
          </w:tcPr>
          <w:p w:rsidR="00861D72" w:rsidRPr="00861D72" w:rsidP="00F90255">
            <w:pPr>
              <w:spacing w:line="269" w:lineRule="auto"/>
              <w:ind w:left="312"/>
              <w:jc w:val="center"/>
              <w:rPr>
                <w:sz w:val="18"/>
                <w:szCs w:val="22"/>
                <w:lang w:eastAsia="he-IL"/>
              </w:rPr>
            </w:pPr>
            <w:r w:rsidRPr="00861D72">
              <w:rPr>
                <w:noProof/>
                <w:sz w:val="18"/>
                <w:szCs w:val="22"/>
              </w:rPr>
              <w:drawing>
                <wp:inline distT="0" distB="0" distL="0" distR="0">
                  <wp:extent cx="152400" cy="180975"/>
                  <wp:effectExtent l="0" t="0" r="0" b="952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5167AC">
        <w:tblPrEx>
          <w:tblW w:w="7792" w:type="dxa"/>
          <w:tblInd w:w="310" w:type="dxa"/>
          <w:tblLook w:val="04A0"/>
        </w:tblPrEx>
        <w:tc>
          <w:tcPr>
            <w:tcW w:w="2540" w:type="dxa"/>
            <w:tcBorders>
              <w:right w:val="nil"/>
            </w:tcBorders>
            <w:shd w:val="clear" w:color="auto" w:fill="D2E5FD"/>
          </w:tcPr>
          <w:p w:rsidR="00861D72" w:rsidRPr="00861D72" w:rsidP="00F90255">
            <w:pPr>
              <w:spacing w:line="269" w:lineRule="auto"/>
              <w:ind w:left="25"/>
              <w:rPr>
                <w:sz w:val="18"/>
                <w:szCs w:val="22"/>
                <w:rtl/>
                <w:lang w:eastAsia="he-IL"/>
              </w:rPr>
            </w:pPr>
            <w:r w:rsidRPr="00861D72">
              <w:rPr>
                <w:rFonts w:hint="cs"/>
                <w:sz w:val="18"/>
                <w:szCs w:val="22"/>
                <w:rtl/>
                <w:lang w:eastAsia="he-IL"/>
              </w:rPr>
              <w:t xml:space="preserve">מעקב על ביצוע </w:t>
            </w:r>
            <w:r w:rsidRPr="00861D72">
              <w:rPr>
                <w:rFonts w:hint="cs"/>
                <w:sz w:val="18"/>
                <w:szCs w:val="22"/>
                <w:rtl/>
                <w:lang w:eastAsia="he-IL"/>
              </w:rPr>
              <w:t>תוכנית</w:t>
            </w:r>
            <w:r w:rsidRPr="00861D72">
              <w:rPr>
                <w:rFonts w:hint="cs"/>
                <w:sz w:val="18"/>
                <w:szCs w:val="22"/>
                <w:rtl/>
                <w:lang w:eastAsia="he-IL"/>
              </w:rPr>
              <w:t xml:space="preserve"> העבודה</w:t>
            </w:r>
          </w:p>
        </w:tc>
        <w:tc>
          <w:tcPr>
            <w:tcW w:w="2410" w:type="dxa"/>
            <w:tcBorders>
              <w:left w:val="nil"/>
              <w:right w:val="nil"/>
            </w:tcBorders>
            <w:shd w:val="clear" w:color="auto" w:fill="FFFFFF"/>
          </w:tcPr>
          <w:p w:rsidR="00861D72" w:rsidRPr="00861D72" w:rsidP="00F90255">
            <w:pPr>
              <w:spacing w:line="269" w:lineRule="auto"/>
              <w:ind w:left="312"/>
              <w:jc w:val="center"/>
              <w:rPr>
                <w:sz w:val="18"/>
                <w:szCs w:val="22"/>
                <w:rtl/>
                <w:lang w:eastAsia="he-IL"/>
              </w:rPr>
            </w:pPr>
            <w:r w:rsidRPr="00861D72">
              <w:rPr>
                <w:noProof/>
                <w:sz w:val="18"/>
                <w:szCs w:val="22"/>
              </w:rPr>
              <w:drawing>
                <wp:inline distT="0" distB="0" distL="0" distR="0">
                  <wp:extent cx="202247" cy="180000"/>
                  <wp:effectExtent l="0" t="0" r="762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2842" w:type="dxa"/>
            <w:tcBorders>
              <w:left w:val="nil"/>
            </w:tcBorders>
            <w:shd w:val="clear" w:color="auto" w:fill="FFFFFF"/>
          </w:tcPr>
          <w:p w:rsidR="00861D72" w:rsidRPr="00861D72" w:rsidP="00F90255">
            <w:pPr>
              <w:spacing w:line="269" w:lineRule="auto"/>
              <w:ind w:left="312"/>
              <w:jc w:val="center"/>
              <w:rPr>
                <w:sz w:val="18"/>
                <w:szCs w:val="22"/>
                <w:lang w:eastAsia="he-IL"/>
              </w:rPr>
            </w:pPr>
            <w:r w:rsidRPr="00861D72">
              <w:rPr>
                <w:noProof/>
                <w:sz w:val="18"/>
                <w:szCs w:val="22"/>
              </w:rPr>
              <w:drawing>
                <wp:inline distT="0" distB="0" distL="0" distR="0">
                  <wp:extent cx="152400" cy="180975"/>
                  <wp:effectExtent l="0" t="0" r="0" b="952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5167AC">
        <w:tblPrEx>
          <w:tblW w:w="7792" w:type="dxa"/>
          <w:tblInd w:w="310" w:type="dxa"/>
          <w:tblLook w:val="04A0"/>
        </w:tblPrEx>
        <w:tc>
          <w:tcPr>
            <w:tcW w:w="2540" w:type="dxa"/>
            <w:tcBorders>
              <w:right w:val="nil"/>
            </w:tcBorders>
            <w:shd w:val="clear" w:color="auto" w:fill="D2E5FD"/>
          </w:tcPr>
          <w:p w:rsidR="00861D72" w:rsidRPr="00861D72" w:rsidP="00F90255">
            <w:pPr>
              <w:spacing w:line="269" w:lineRule="auto"/>
              <w:ind w:left="25"/>
              <w:rPr>
                <w:sz w:val="18"/>
                <w:szCs w:val="22"/>
                <w:rtl/>
                <w:lang w:eastAsia="he-IL"/>
              </w:rPr>
            </w:pPr>
            <w:r w:rsidRPr="00861D72">
              <w:rPr>
                <w:rFonts w:hint="cs"/>
                <w:sz w:val="18"/>
                <w:szCs w:val="22"/>
                <w:rtl/>
                <w:lang w:eastAsia="he-IL"/>
              </w:rPr>
              <w:t>מינוי נציג משרדי לנושא</w:t>
            </w:r>
          </w:p>
        </w:tc>
        <w:tc>
          <w:tcPr>
            <w:tcW w:w="2410" w:type="dxa"/>
            <w:tcBorders>
              <w:left w:val="nil"/>
              <w:right w:val="nil"/>
            </w:tcBorders>
            <w:shd w:val="clear" w:color="auto" w:fill="FFFFFF"/>
          </w:tcPr>
          <w:p w:rsidR="00861D72" w:rsidRPr="00861D72" w:rsidP="00F90255">
            <w:pPr>
              <w:spacing w:line="269" w:lineRule="auto"/>
              <w:ind w:left="312"/>
              <w:jc w:val="center"/>
              <w:rPr>
                <w:sz w:val="18"/>
                <w:szCs w:val="22"/>
                <w:lang w:eastAsia="he-IL"/>
              </w:rPr>
            </w:pPr>
            <w:r w:rsidRPr="00861D72">
              <w:rPr>
                <w:noProof/>
                <w:sz w:val="18"/>
                <w:szCs w:val="22"/>
              </w:rPr>
              <w:drawing>
                <wp:inline distT="0" distB="0" distL="0" distR="0">
                  <wp:extent cx="202247" cy="180000"/>
                  <wp:effectExtent l="0" t="0" r="762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2842" w:type="dxa"/>
            <w:tcBorders>
              <w:left w:val="nil"/>
            </w:tcBorders>
            <w:shd w:val="clear" w:color="auto" w:fill="FFFFFF"/>
          </w:tcPr>
          <w:p w:rsidR="00861D72" w:rsidRPr="00861D72" w:rsidP="00F90255">
            <w:pPr>
              <w:spacing w:line="269" w:lineRule="auto"/>
              <w:ind w:left="312"/>
              <w:jc w:val="center"/>
              <w:rPr>
                <w:sz w:val="18"/>
                <w:szCs w:val="22"/>
                <w:rtl/>
                <w:lang w:eastAsia="he-IL"/>
              </w:rPr>
            </w:pPr>
            <w:r w:rsidRPr="00861D72">
              <w:rPr>
                <w:noProof/>
                <w:sz w:val="18"/>
                <w:szCs w:val="22"/>
              </w:rPr>
              <w:drawing>
                <wp:inline distT="0" distB="0" distL="0" distR="0">
                  <wp:extent cx="241300" cy="182880"/>
                  <wp:effectExtent l="0" t="0" r="0" b="762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300" cy="182880"/>
                          </a:xfrm>
                          <a:prstGeom prst="rect">
                            <a:avLst/>
                          </a:prstGeom>
                          <a:noFill/>
                          <a:ln>
                            <a:noFill/>
                          </a:ln>
                        </pic:spPr>
                      </pic:pic>
                    </a:graphicData>
                  </a:graphic>
                </wp:inline>
              </w:drawing>
            </w:r>
            <w:r w:rsidRPr="00861D72">
              <w:rPr>
                <w:rFonts w:hint="cs"/>
                <w:sz w:val="18"/>
                <w:szCs w:val="22"/>
                <w:rtl/>
                <w:lang w:eastAsia="he-IL"/>
              </w:rPr>
              <w:t>יש נציגים ברשויות המקומיות אשר המשרד מכשיר, אין נציגים במשרדים ממשלתיים</w:t>
            </w:r>
          </w:p>
        </w:tc>
      </w:tr>
      <w:tr w:rsidTr="005167AC">
        <w:tblPrEx>
          <w:tblW w:w="7792" w:type="dxa"/>
          <w:tblInd w:w="310" w:type="dxa"/>
          <w:tblLook w:val="04A0"/>
        </w:tblPrEx>
        <w:tc>
          <w:tcPr>
            <w:tcW w:w="2540" w:type="dxa"/>
            <w:tcBorders>
              <w:right w:val="nil"/>
            </w:tcBorders>
            <w:shd w:val="clear" w:color="auto" w:fill="D2E5FD"/>
          </w:tcPr>
          <w:p w:rsidR="00861D72" w:rsidRPr="00861D72" w:rsidP="00F90255">
            <w:pPr>
              <w:spacing w:line="269" w:lineRule="auto"/>
              <w:ind w:left="25"/>
              <w:rPr>
                <w:sz w:val="18"/>
                <w:szCs w:val="22"/>
                <w:rtl/>
                <w:lang w:eastAsia="he-IL"/>
              </w:rPr>
            </w:pPr>
            <w:r w:rsidRPr="00861D72">
              <w:rPr>
                <w:rFonts w:hint="cs"/>
                <w:sz w:val="18"/>
                <w:szCs w:val="22"/>
                <w:rtl/>
                <w:lang w:eastAsia="he-IL"/>
              </w:rPr>
              <w:t xml:space="preserve">צוותי עבודה משותפים </w:t>
            </w:r>
          </w:p>
        </w:tc>
        <w:tc>
          <w:tcPr>
            <w:tcW w:w="2410" w:type="dxa"/>
            <w:tcBorders>
              <w:left w:val="nil"/>
              <w:right w:val="nil"/>
            </w:tcBorders>
            <w:shd w:val="clear" w:color="auto" w:fill="FFFFFF"/>
          </w:tcPr>
          <w:p w:rsidR="00861D72" w:rsidRPr="00861D72" w:rsidP="00F90255">
            <w:pPr>
              <w:spacing w:line="269" w:lineRule="auto"/>
              <w:ind w:left="312"/>
              <w:jc w:val="center"/>
              <w:rPr>
                <w:sz w:val="18"/>
                <w:szCs w:val="22"/>
                <w:rtl/>
                <w:lang w:eastAsia="he-IL"/>
              </w:rPr>
            </w:pPr>
            <w:r w:rsidRPr="00861D72">
              <w:rPr>
                <w:noProof/>
                <w:sz w:val="18"/>
                <w:szCs w:val="22"/>
              </w:rPr>
              <w:drawing>
                <wp:inline distT="0" distB="0" distL="0" distR="0">
                  <wp:extent cx="202247" cy="180000"/>
                  <wp:effectExtent l="0" t="0" r="762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2842" w:type="dxa"/>
            <w:tcBorders>
              <w:left w:val="nil"/>
            </w:tcBorders>
            <w:shd w:val="clear" w:color="auto" w:fill="FFFFFF"/>
          </w:tcPr>
          <w:p w:rsidR="00861D72" w:rsidRPr="00861D72" w:rsidP="00F90255">
            <w:pPr>
              <w:spacing w:line="269" w:lineRule="auto"/>
              <w:ind w:left="312"/>
              <w:jc w:val="center"/>
              <w:rPr>
                <w:sz w:val="18"/>
                <w:szCs w:val="22"/>
                <w:lang w:eastAsia="he-IL"/>
              </w:rPr>
            </w:pPr>
            <w:r w:rsidRPr="00861D72">
              <w:rPr>
                <w:noProof/>
                <w:sz w:val="18"/>
                <w:szCs w:val="22"/>
              </w:rPr>
              <w:drawing>
                <wp:inline distT="0" distB="0" distL="0" distR="0">
                  <wp:extent cx="152400" cy="180975"/>
                  <wp:effectExtent l="0" t="0" r="0" b="952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bl>
    <w:p w:rsidR="00861D72" w:rsidRPr="00861D72" w:rsidP="00F90255">
      <w:pPr>
        <w:spacing w:line="269" w:lineRule="auto"/>
        <w:rPr>
          <w:rFonts w:eastAsia="Calibri"/>
          <w:rtl/>
        </w:rPr>
      </w:pPr>
    </w:p>
    <w:p w:rsidR="00861D72" w:rsidRPr="00861D72" w:rsidP="00F90255">
      <w:pPr>
        <w:widowControl w:val="0"/>
        <w:spacing w:line="269" w:lineRule="auto"/>
        <w:ind w:left="312"/>
        <w:contextualSpacing/>
        <w:rPr>
          <w:rFonts w:ascii="David" w:eastAsia="Calibri" w:hAnsi="David"/>
          <w:b/>
          <w:bCs/>
          <w:rtl/>
          <w:lang w:eastAsia="he-IL"/>
        </w:rPr>
      </w:pPr>
      <w:r w:rsidRPr="00861D72">
        <w:rPr>
          <w:rFonts w:ascii="David" w:eastAsia="Calibri" w:hAnsi="David" w:hint="cs"/>
          <w:b/>
          <w:bCs/>
          <w:rtl/>
          <w:lang w:eastAsia="he-IL"/>
        </w:rPr>
        <w:t xml:space="preserve">מהלוח </w:t>
      </w:r>
      <w:bookmarkStart w:id="44" w:name="_Hlk222219279"/>
      <w:r w:rsidRPr="00861D72">
        <w:rPr>
          <w:rFonts w:ascii="David" w:eastAsia="Calibri" w:hAnsi="David" w:hint="cs"/>
          <w:b/>
          <w:bCs/>
          <w:rtl/>
          <w:lang w:eastAsia="he-IL"/>
        </w:rPr>
        <w:t xml:space="preserve">עולה כי המשרד לשוויון חברתי בכלל, ובאמצעות </w:t>
      </w:r>
      <w:r w:rsidRPr="00861D72">
        <w:rPr>
          <w:rFonts w:ascii="David" w:eastAsia="Calibri" w:hAnsi="David"/>
          <w:b/>
          <w:bCs/>
          <w:rtl/>
          <w:lang w:eastAsia="he-IL"/>
        </w:rPr>
        <w:t xml:space="preserve">אגף בכיר אזרחים ותיקים </w:t>
      </w:r>
      <w:r w:rsidRPr="00861D72">
        <w:rPr>
          <w:rFonts w:ascii="David" w:eastAsia="Calibri" w:hAnsi="David" w:hint="cs"/>
          <w:b/>
          <w:bCs/>
          <w:rtl/>
          <w:lang w:eastAsia="he-IL"/>
        </w:rPr>
        <w:t>בפרט,</w:t>
      </w:r>
      <w:r w:rsidRPr="00861D72">
        <w:rPr>
          <w:rFonts w:ascii="David" w:eastAsia="Calibri" w:hAnsi="David"/>
          <w:b/>
          <w:bCs/>
          <w:rtl/>
          <w:lang w:eastAsia="he-IL"/>
        </w:rPr>
        <w:t xml:space="preserve"> </w:t>
      </w:r>
      <w:r w:rsidRPr="00861D72">
        <w:rPr>
          <w:rFonts w:ascii="David" w:eastAsia="Calibri" w:hAnsi="David" w:hint="cs"/>
          <w:b/>
          <w:bCs/>
          <w:rtl/>
          <w:lang w:eastAsia="he-IL"/>
        </w:rPr>
        <w:t xml:space="preserve">אינו מאשר את </w:t>
      </w:r>
      <w:r w:rsidRPr="00861D72">
        <w:rPr>
          <w:rFonts w:ascii="David" w:eastAsia="Calibri" w:hAnsi="David" w:hint="cs"/>
          <w:b/>
          <w:bCs/>
          <w:rtl/>
          <w:lang w:eastAsia="he-IL"/>
        </w:rPr>
        <w:t>תוכניות</w:t>
      </w:r>
      <w:r w:rsidRPr="00861D72">
        <w:rPr>
          <w:rFonts w:ascii="David" w:eastAsia="Calibri" w:hAnsi="David" w:hint="cs"/>
          <w:b/>
          <w:bCs/>
          <w:rtl/>
          <w:lang w:eastAsia="he-IL"/>
        </w:rPr>
        <w:t xml:space="preserve"> העבודה של יתר המשרדים השותפים או עוקב אחריהן, אינו ממנה נציגים לנושא ההזדקנות במשרדי הממשלה השונים ואינו מוביל צוותי עבודה משותפים. </w:t>
      </w:r>
      <w:r w:rsidRPr="00861D72">
        <w:rPr>
          <w:rFonts w:ascii="David" w:eastAsia="Calibri" w:hAnsi="David"/>
          <w:b/>
          <w:bCs/>
          <w:rtl/>
          <w:lang w:eastAsia="he-IL"/>
        </w:rPr>
        <w:t>משכך</w:t>
      </w:r>
      <w:r w:rsidRPr="00861D72">
        <w:rPr>
          <w:rFonts w:ascii="David" w:eastAsia="Calibri" w:hAnsi="David" w:hint="cs"/>
          <w:b/>
          <w:bCs/>
          <w:rtl/>
          <w:lang w:eastAsia="he-IL"/>
        </w:rPr>
        <w:t xml:space="preserve"> הוא </w:t>
      </w:r>
      <w:r w:rsidRPr="00861D72">
        <w:rPr>
          <w:rFonts w:ascii="David" w:eastAsia="Calibri" w:hAnsi="David"/>
          <w:b/>
          <w:bCs/>
          <w:rtl/>
          <w:lang w:eastAsia="he-IL"/>
        </w:rPr>
        <w:t xml:space="preserve">אינו </w:t>
      </w:r>
      <w:r w:rsidRPr="00861D72">
        <w:rPr>
          <w:rFonts w:ascii="David" w:eastAsia="Calibri" w:hAnsi="David" w:hint="cs"/>
          <w:b/>
          <w:bCs/>
          <w:rtl/>
          <w:lang w:eastAsia="he-IL"/>
        </w:rPr>
        <w:t>משמש</w:t>
      </w:r>
      <w:r w:rsidRPr="00861D72">
        <w:rPr>
          <w:rFonts w:ascii="David" w:eastAsia="Calibri" w:hAnsi="David"/>
          <w:b/>
          <w:bCs/>
          <w:rtl/>
          <w:lang w:eastAsia="he-IL"/>
        </w:rPr>
        <w:t xml:space="preserve"> גורם </w:t>
      </w:r>
      <w:r w:rsidRPr="00861D72">
        <w:rPr>
          <w:rFonts w:ascii="David" w:eastAsia="Calibri" w:hAnsi="David"/>
          <w:b/>
          <w:bCs/>
          <w:rtl/>
          <w:lang w:eastAsia="he-IL"/>
        </w:rPr>
        <w:t>מתכלל</w:t>
      </w:r>
      <w:r w:rsidRPr="00861D72">
        <w:rPr>
          <w:rFonts w:ascii="David" w:eastAsia="Calibri" w:hAnsi="David"/>
          <w:b/>
          <w:bCs/>
          <w:rtl/>
          <w:lang w:eastAsia="he-IL"/>
        </w:rPr>
        <w:t xml:space="preserve"> בפועל.</w:t>
      </w:r>
      <w:r w:rsidRPr="00861D72">
        <w:rPr>
          <w:rFonts w:ascii="David" w:eastAsia="Calibri" w:hAnsi="David" w:hint="cs"/>
          <w:b/>
          <w:bCs/>
          <w:rtl/>
          <w:lang w:eastAsia="he-IL"/>
        </w:rPr>
        <w:t xml:space="preserve"> </w:t>
      </w:r>
    </w:p>
    <w:bookmarkEnd w:id="44"/>
    <w:p w:rsidR="00861D72" w:rsidRPr="00861D72" w:rsidP="00F90255">
      <w:pPr>
        <w:spacing w:line="269" w:lineRule="auto"/>
        <w:rPr>
          <w:rFonts w:eastAsia="Calibri"/>
          <w:rtl/>
        </w:rPr>
      </w:pPr>
    </w:p>
    <w:p w:rsidR="00861D72" w:rsidRPr="00861D72" w:rsidP="00F90255">
      <w:pPr>
        <w:widowControl w:val="0"/>
        <w:spacing w:line="269" w:lineRule="auto"/>
        <w:ind w:left="312"/>
        <w:contextualSpacing/>
        <w:rPr>
          <w:rFonts w:ascii="David" w:eastAsia="Calibri" w:hAnsi="David"/>
          <w:b/>
          <w:bCs/>
          <w:rtl/>
          <w:lang w:eastAsia="he-IL"/>
        </w:rPr>
      </w:pPr>
      <w:r w:rsidRPr="00861D72">
        <w:rPr>
          <w:rFonts w:ascii="David" w:eastAsia="Calibri" w:hAnsi="David" w:hint="cs"/>
          <w:b/>
          <w:bCs/>
          <w:rtl/>
          <w:lang w:eastAsia="he-IL"/>
        </w:rPr>
        <w:t xml:space="preserve">יתרה מכך, עלה בביקורת כי המשרד לשוויון חברתי </w:t>
      </w:r>
      <w:bookmarkStart w:id="45" w:name="_Hlk222219303"/>
      <w:r w:rsidRPr="00861D72">
        <w:rPr>
          <w:rFonts w:ascii="David" w:eastAsia="Calibri" w:hAnsi="David" w:hint="cs"/>
          <w:b/>
          <w:bCs/>
          <w:rtl/>
          <w:lang w:eastAsia="he-IL"/>
        </w:rPr>
        <w:t xml:space="preserve">אינו נתפס כגורם </w:t>
      </w:r>
      <w:r w:rsidRPr="00861D72">
        <w:rPr>
          <w:rFonts w:ascii="David" w:eastAsia="Calibri" w:hAnsi="David" w:hint="cs"/>
          <w:b/>
          <w:bCs/>
          <w:rtl/>
          <w:lang w:eastAsia="he-IL"/>
        </w:rPr>
        <w:t>מתכלל</w:t>
      </w:r>
      <w:r w:rsidRPr="00861D72">
        <w:rPr>
          <w:rFonts w:ascii="David" w:eastAsia="Calibri" w:hAnsi="David" w:hint="cs"/>
          <w:b/>
          <w:bCs/>
          <w:rtl/>
          <w:lang w:eastAsia="he-IL"/>
        </w:rPr>
        <w:t xml:space="preserve"> על ידי יתר הגורמים המעורבים</w:t>
      </w:r>
      <w:bookmarkEnd w:id="45"/>
      <w:r w:rsidRPr="00861D72">
        <w:rPr>
          <w:rFonts w:ascii="David" w:eastAsia="Calibri" w:hAnsi="David" w:hint="cs"/>
          <w:b/>
          <w:bCs/>
          <w:rtl/>
          <w:lang w:eastAsia="he-IL"/>
        </w:rPr>
        <w:t xml:space="preserve">, מאחר שכאשר התבקשו המשיבים במסגרת מיפוי המידע המובנה </w:t>
      </w:r>
      <w:r w:rsidRPr="00861D72">
        <w:rPr>
          <w:rFonts w:ascii="David" w:eastAsia="Calibri" w:hAnsi="David" w:hint="cs"/>
          <w:b/>
          <w:bCs/>
          <w:rtl/>
          <w:lang w:eastAsia="he-IL"/>
        </w:rPr>
        <w:t xml:space="preserve">לציין מי לדעתם </w:t>
      </w:r>
      <w:r w:rsidRPr="00861D72">
        <w:rPr>
          <w:rFonts w:ascii="David" w:eastAsia="Calibri" w:hAnsi="David" w:hint="cs"/>
          <w:b/>
          <w:bCs/>
          <w:rtl/>
          <w:lang w:eastAsia="he-IL"/>
        </w:rPr>
        <w:t>מתכלל</w:t>
      </w:r>
      <w:r w:rsidRPr="00861D72">
        <w:rPr>
          <w:rFonts w:ascii="David" w:eastAsia="Calibri" w:hAnsi="David" w:hint="cs"/>
          <w:b/>
          <w:bCs/>
          <w:rtl/>
          <w:lang w:eastAsia="he-IL"/>
        </w:rPr>
        <w:t xml:space="preserve"> (או צריך </w:t>
      </w:r>
      <w:r w:rsidRPr="00861D72">
        <w:rPr>
          <w:rFonts w:ascii="David" w:eastAsia="Calibri" w:hAnsi="David" w:hint="cs"/>
          <w:b/>
          <w:bCs/>
          <w:rtl/>
          <w:lang w:eastAsia="he-IL"/>
        </w:rPr>
        <w:t>לתכלל</w:t>
      </w:r>
      <w:r w:rsidRPr="00861D72">
        <w:rPr>
          <w:rFonts w:ascii="David" w:eastAsia="Calibri" w:hAnsi="David" w:hint="cs"/>
          <w:b/>
          <w:bCs/>
          <w:rtl/>
          <w:lang w:eastAsia="he-IL"/>
        </w:rPr>
        <w:t>) את נושא הזדקנות האוכלוסייה, איש מהמשיבים</w:t>
      </w:r>
      <w:r>
        <w:rPr>
          <w:rFonts w:ascii="David" w:eastAsia="Calibri" w:hAnsi="David"/>
          <w:b/>
          <w:bCs/>
          <w:vertAlign w:val="superscript"/>
          <w:rtl/>
          <w:lang w:eastAsia="he-IL"/>
        </w:rPr>
        <w:footnoteReference w:id="108"/>
      </w:r>
      <w:r w:rsidRPr="00861D72">
        <w:rPr>
          <w:rFonts w:ascii="David" w:eastAsia="Calibri" w:hAnsi="David" w:hint="cs"/>
          <w:b/>
          <w:bCs/>
          <w:rtl/>
          <w:lang w:eastAsia="he-IL"/>
        </w:rPr>
        <w:t xml:space="preserve"> לא סימן את המשרד לשוויון חברתי בתור הגוף המוביל </w:t>
      </w:r>
      <w:r w:rsidRPr="00861D72">
        <w:rPr>
          <w:rFonts w:ascii="David" w:eastAsia="Calibri" w:hAnsi="David" w:hint="cs"/>
          <w:b/>
          <w:bCs/>
          <w:rtl/>
          <w:lang w:eastAsia="he-IL"/>
        </w:rPr>
        <w:t>והמתכלל</w:t>
      </w:r>
      <w:r w:rsidRPr="00861D72">
        <w:rPr>
          <w:rFonts w:ascii="David" w:eastAsia="Calibri" w:hAnsi="David" w:hint="cs"/>
          <w:b/>
          <w:bCs/>
          <w:rtl/>
          <w:lang w:eastAsia="he-IL"/>
        </w:rPr>
        <w:t xml:space="preserve"> את נושא ההיערכות להזדקנות האוכלוסייה בפועל או בתור הגוף שצריך להיות </w:t>
      </w:r>
      <w:r w:rsidRPr="00861D72">
        <w:rPr>
          <w:rFonts w:ascii="David" w:eastAsia="Calibri" w:hAnsi="David" w:hint="cs"/>
          <w:b/>
          <w:bCs/>
          <w:rtl/>
          <w:lang w:eastAsia="he-IL"/>
        </w:rPr>
        <w:t>המתכלל</w:t>
      </w:r>
      <w:r w:rsidRPr="00861D72">
        <w:rPr>
          <w:rFonts w:ascii="David" w:eastAsia="Calibri" w:hAnsi="David" w:hint="cs"/>
          <w:b/>
          <w:bCs/>
          <w:rtl/>
          <w:lang w:eastAsia="he-IL"/>
        </w:rPr>
        <w:t xml:space="preserve">. </w:t>
      </w:r>
    </w:p>
    <w:p w:rsidR="00861D72" w:rsidRPr="00861D72" w:rsidP="00F90255">
      <w:pPr>
        <w:spacing w:line="269" w:lineRule="auto"/>
        <w:rPr>
          <w:rFonts w:eastAsia="Calibri"/>
          <w:rtl/>
        </w:rPr>
      </w:pPr>
    </w:p>
    <w:p w:rsidR="00861D72" w:rsidRPr="00861D72" w:rsidP="00F90255">
      <w:pPr>
        <w:numPr>
          <w:ilvl w:val="0"/>
          <w:numId w:val="14"/>
        </w:numPr>
        <w:spacing w:line="269" w:lineRule="auto"/>
        <w:rPr>
          <w:rFonts w:ascii="David" w:eastAsia="Calibri" w:hAnsi="David"/>
          <w:b/>
          <w:bCs/>
          <w:sz w:val="24"/>
        </w:rPr>
      </w:pPr>
      <w:r w:rsidRPr="00861D72">
        <w:rPr>
          <w:rFonts w:ascii="David" w:eastAsia="Times New Roman" w:hAnsi="David"/>
          <w:spacing w:val="40"/>
          <w:sz w:val="24"/>
          <w:rtl/>
        </w:rPr>
        <w:t>היעדר פעילות של המועצה הציבורית המייעצת לענייני גמלאים</w:t>
      </w:r>
      <w:r w:rsidRPr="00861D72">
        <w:rPr>
          <w:rFonts w:ascii="David" w:eastAsia="Calibri" w:hAnsi="David"/>
          <w:sz w:val="24"/>
          <w:rtl/>
        </w:rPr>
        <w:t xml:space="preserve">: כחלק מהאחריות שהוטלה על המשרד לשוויון חברתי, לשמש גוף </w:t>
      </w:r>
      <w:r w:rsidRPr="00861D72">
        <w:rPr>
          <w:rFonts w:ascii="David" w:eastAsia="Calibri" w:hAnsi="David"/>
          <w:sz w:val="24"/>
          <w:rtl/>
        </w:rPr>
        <w:t>מתכלל</w:t>
      </w:r>
      <w:r w:rsidRPr="00861D72">
        <w:rPr>
          <w:rFonts w:ascii="David" w:eastAsia="Calibri" w:hAnsi="David"/>
          <w:sz w:val="24"/>
          <w:rtl/>
        </w:rPr>
        <w:t xml:space="preserve">, חוק האזרחים הוותיקים, </w:t>
      </w:r>
      <w:r w:rsidRPr="00861D72">
        <w:rPr>
          <w:rFonts w:ascii="David" w:eastAsia="Calibri" w:hAnsi="David" w:hint="cs"/>
          <w:sz w:val="24"/>
          <w:rtl/>
        </w:rPr>
        <w:t>ה</w:t>
      </w:r>
      <w:r w:rsidRPr="00861D72">
        <w:rPr>
          <w:rFonts w:ascii="David" w:eastAsia="Calibri" w:hAnsi="David"/>
          <w:sz w:val="24"/>
          <w:rtl/>
        </w:rPr>
        <w:t>תש"ן-1989 (להלן - החוק)</w:t>
      </w:r>
      <w:r w:rsidRPr="00861D72">
        <w:rPr>
          <w:rFonts w:ascii="David" w:eastAsia="Calibri" w:hAnsi="David" w:hint="cs"/>
          <w:sz w:val="24"/>
          <w:rtl/>
        </w:rPr>
        <w:t>,</w:t>
      </w:r>
      <w:r w:rsidRPr="00861D72">
        <w:rPr>
          <w:rFonts w:ascii="David" w:eastAsia="Calibri" w:hAnsi="David"/>
          <w:sz w:val="24"/>
          <w:rtl/>
        </w:rPr>
        <w:t xml:space="preserve"> קובע כי </w:t>
      </w:r>
      <w:r w:rsidRPr="00861D72">
        <w:rPr>
          <w:rFonts w:ascii="David" w:eastAsia="Calibri" w:hAnsi="David" w:hint="cs"/>
          <w:sz w:val="24"/>
          <w:rtl/>
        </w:rPr>
        <w:t xml:space="preserve">על </w:t>
      </w:r>
      <w:r w:rsidRPr="00861D72">
        <w:rPr>
          <w:rFonts w:ascii="David" w:eastAsia="Calibri" w:hAnsi="David"/>
          <w:sz w:val="24"/>
          <w:rtl/>
        </w:rPr>
        <w:t xml:space="preserve">השר הממונה על המשרד לשוויון חברתי </w:t>
      </w:r>
      <w:r w:rsidRPr="00861D72">
        <w:rPr>
          <w:rFonts w:ascii="David" w:eastAsia="Calibri" w:hAnsi="David" w:hint="cs"/>
          <w:sz w:val="24"/>
          <w:rtl/>
        </w:rPr>
        <w:t>למנות</w:t>
      </w:r>
      <w:r w:rsidRPr="00861D72">
        <w:rPr>
          <w:rFonts w:ascii="David" w:eastAsia="Calibri" w:hAnsi="David"/>
          <w:sz w:val="24"/>
          <w:rtl/>
        </w:rPr>
        <w:t xml:space="preserve"> מועצה ציבורית לענייני האזרחים הוותיקים ו</w:t>
      </w:r>
      <w:r w:rsidRPr="00861D72">
        <w:rPr>
          <w:rFonts w:ascii="David" w:eastAsia="Calibri" w:hAnsi="David" w:hint="cs"/>
          <w:sz w:val="24"/>
          <w:rtl/>
        </w:rPr>
        <w:t>ל</w:t>
      </w:r>
      <w:r w:rsidRPr="00861D72">
        <w:rPr>
          <w:rFonts w:ascii="David" w:eastAsia="Calibri" w:hAnsi="David"/>
          <w:sz w:val="24"/>
          <w:rtl/>
        </w:rPr>
        <w:t>עמוד בראשה. תפקיד המועצה הוא ליזום ולגבש פעולות והמלצות לשיפור איכות חייהם של האזרחים הוותיקים. עוד קובע החוק כי המועצה תתכנס אחת לחודשיים לפחות.</w:t>
      </w:r>
    </w:p>
    <w:p w:rsidR="00861D72" w:rsidRPr="00861D72" w:rsidP="00F90255">
      <w:pPr>
        <w:spacing w:line="269" w:lineRule="auto"/>
        <w:rPr>
          <w:rFonts w:eastAsia="Calibri"/>
        </w:rPr>
      </w:pPr>
    </w:p>
    <w:p w:rsidR="00861D72" w:rsidP="00F90255">
      <w:pPr>
        <w:spacing w:line="269" w:lineRule="auto"/>
        <w:ind w:left="312"/>
        <w:rPr>
          <w:rFonts w:eastAsia="Calibri"/>
          <w:b/>
          <w:bCs/>
          <w:rtl/>
        </w:rPr>
      </w:pPr>
      <w:r w:rsidRPr="00861D72">
        <w:rPr>
          <w:rFonts w:eastAsia="Calibri" w:hint="cs"/>
          <w:b/>
          <w:bCs/>
          <w:rtl/>
        </w:rPr>
        <w:t xml:space="preserve">בביקורת עלה כי </w:t>
      </w:r>
      <w:bookmarkStart w:id="46" w:name="_Hlk222219357"/>
      <w:r w:rsidRPr="00861D72">
        <w:rPr>
          <w:rFonts w:eastAsia="Calibri" w:hint="cs"/>
          <w:b/>
          <w:bCs/>
          <w:rtl/>
        </w:rPr>
        <w:t>המועצה הציבורית המייעצת לענייני גמלאים מונתה בפעם האחרונה באוגוסט 2020 ותוקפם של כתבי המינוי לחברי המועצה פקע בשנת 2023.</w:t>
      </w:r>
      <w:r w:rsidRPr="00861D72">
        <w:rPr>
          <w:rFonts w:eastAsia="Calibri"/>
          <w:b/>
          <w:bCs/>
          <w:rtl/>
        </w:rPr>
        <w:t xml:space="preserve"> </w:t>
      </w:r>
      <w:r w:rsidRPr="00861D72">
        <w:rPr>
          <w:rFonts w:eastAsia="Calibri" w:hint="cs"/>
          <w:b/>
          <w:bCs/>
          <w:rtl/>
        </w:rPr>
        <w:t>עוד עלה כי המועצה התכנסה שלוש פעמים, כולן בשנת 2020. מאז 2021, לא</w:t>
      </w:r>
      <w:r w:rsidRPr="00861D72">
        <w:rPr>
          <w:rFonts w:eastAsia="Calibri"/>
          <w:b/>
          <w:bCs/>
          <w:rtl/>
        </w:rPr>
        <w:t xml:space="preserve"> </w:t>
      </w:r>
      <w:r w:rsidRPr="00861D72">
        <w:rPr>
          <w:rFonts w:eastAsia="Calibri" w:hint="cs"/>
          <w:b/>
          <w:bCs/>
          <w:rtl/>
        </w:rPr>
        <w:t>ה</w:t>
      </w:r>
      <w:r w:rsidRPr="00861D72">
        <w:rPr>
          <w:rFonts w:eastAsia="Calibri"/>
          <w:b/>
          <w:bCs/>
          <w:rtl/>
        </w:rPr>
        <w:t>תכנס</w:t>
      </w:r>
      <w:r w:rsidRPr="00861D72">
        <w:rPr>
          <w:rFonts w:eastAsia="Calibri" w:hint="cs"/>
          <w:b/>
          <w:bCs/>
          <w:rtl/>
        </w:rPr>
        <w:t xml:space="preserve">ה </w:t>
      </w:r>
      <w:r w:rsidRPr="00861D72">
        <w:rPr>
          <w:rFonts w:eastAsia="Calibri"/>
          <w:b/>
          <w:bCs/>
          <w:rtl/>
        </w:rPr>
        <w:t xml:space="preserve">המועצה הציבורית המייעצת לענייני </w:t>
      </w:r>
      <w:r w:rsidRPr="00861D72">
        <w:rPr>
          <w:rFonts w:eastAsia="Calibri" w:hint="cs"/>
          <w:b/>
          <w:bCs/>
          <w:rtl/>
        </w:rPr>
        <w:t>אזרחים ותיקים</w:t>
      </w:r>
      <w:r w:rsidRPr="00861D72">
        <w:rPr>
          <w:rFonts w:eastAsia="Calibri"/>
          <w:b/>
          <w:bCs/>
          <w:rtl/>
        </w:rPr>
        <w:t xml:space="preserve"> </w:t>
      </w:r>
      <w:r w:rsidRPr="00861D72">
        <w:rPr>
          <w:rFonts w:eastAsia="Calibri" w:hint="cs"/>
          <w:b/>
          <w:bCs/>
          <w:rtl/>
        </w:rPr>
        <w:t xml:space="preserve">כלל, </w:t>
      </w:r>
      <w:r w:rsidRPr="00861D72">
        <w:rPr>
          <w:rFonts w:eastAsia="Calibri" w:hint="eastAsia"/>
          <w:b/>
          <w:bCs/>
          <w:rtl/>
        </w:rPr>
        <w:t>לא</w:t>
      </w:r>
      <w:r w:rsidRPr="00861D72">
        <w:rPr>
          <w:rFonts w:eastAsia="Calibri"/>
          <w:b/>
          <w:bCs/>
          <w:rtl/>
        </w:rPr>
        <w:t xml:space="preserve"> </w:t>
      </w:r>
      <w:r w:rsidRPr="00861D72">
        <w:rPr>
          <w:rFonts w:eastAsia="Calibri" w:hint="eastAsia"/>
          <w:b/>
          <w:bCs/>
          <w:rtl/>
        </w:rPr>
        <w:t>יזמה</w:t>
      </w:r>
      <w:r w:rsidRPr="00861D72">
        <w:rPr>
          <w:rFonts w:eastAsia="Calibri"/>
          <w:b/>
          <w:bCs/>
          <w:rtl/>
        </w:rPr>
        <w:t xml:space="preserve"> </w:t>
      </w:r>
      <w:r w:rsidRPr="00861D72">
        <w:rPr>
          <w:rFonts w:eastAsia="Calibri" w:hint="eastAsia"/>
          <w:b/>
          <w:bCs/>
          <w:rtl/>
        </w:rPr>
        <w:t>ולא</w:t>
      </w:r>
      <w:r w:rsidRPr="00861D72">
        <w:rPr>
          <w:rFonts w:eastAsia="Calibri"/>
          <w:b/>
          <w:bCs/>
          <w:rtl/>
        </w:rPr>
        <w:t xml:space="preserve"> </w:t>
      </w:r>
      <w:r w:rsidRPr="00861D72">
        <w:rPr>
          <w:rFonts w:eastAsia="Calibri" w:hint="eastAsia"/>
          <w:b/>
          <w:bCs/>
          <w:rtl/>
        </w:rPr>
        <w:t>גיבשה</w:t>
      </w:r>
      <w:r w:rsidRPr="00861D72">
        <w:rPr>
          <w:rFonts w:eastAsia="Calibri"/>
          <w:b/>
          <w:bCs/>
          <w:rtl/>
        </w:rPr>
        <w:t xml:space="preserve"> </w:t>
      </w:r>
      <w:r w:rsidRPr="00861D72">
        <w:rPr>
          <w:rFonts w:eastAsia="Calibri" w:hint="eastAsia"/>
          <w:b/>
          <w:bCs/>
          <w:rtl/>
        </w:rPr>
        <w:t>המלצות</w:t>
      </w:r>
      <w:r w:rsidRPr="00861D72">
        <w:rPr>
          <w:rFonts w:eastAsia="Calibri"/>
          <w:b/>
          <w:bCs/>
          <w:rtl/>
        </w:rPr>
        <w:t xml:space="preserve"> </w:t>
      </w:r>
      <w:r w:rsidRPr="00861D72">
        <w:rPr>
          <w:rFonts w:eastAsia="Calibri" w:hint="eastAsia"/>
          <w:b/>
          <w:bCs/>
          <w:rtl/>
        </w:rPr>
        <w:t>לשיפור</w:t>
      </w:r>
      <w:r w:rsidRPr="00861D72">
        <w:rPr>
          <w:rFonts w:eastAsia="Calibri"/>
          <w:b/>
          <w:bCs/>
          <w:rtl/>
        </w:rPr>
        <w:t xml:space="preserve"> </w:t>
      </w:r>
      <w:r w:rsidRPr="00861D72">
        <w:rPr>
          <w:rFonts w:eastAsia="Calibri" w:hint="eastAsia"/>
          <w:b/>
          <w:bCs/>
          <w:rtl/>
        </w:rPr>
        <w:t>איכות</w:t>
      </w:r>
      <w:r w:rsidRPr="00861D72">
        <w:rPr>
          <w:rFonts w:eastAsia="Calibri"/>
          <w:b/>
          <w:bCs/>
          <w:rtl/>
        </w:rPr>
        <w:t xml:space="preserve"> </w:t>
      </w:r>
      <w:r w:rsidRPr="00861D72">
        <w:rPr>
          <w:rFonts w:eastAsia="Calibri" w:hint="eastAsia"/>
          <w:b/>
          <w:bCs/>
          <w:rtl/>
        </w:rPr>
        <w:t>חייהם</w:t>
      </w:r>
      <w:r w:rsidRPr="00861D72">
        <w:rPr>
          <w:rFonts w:eastAsia="Calibri"/>
          <w:b/>
          <w:bCs/>
          <w:rtl/>
        </w:rPr>
        <w:t xml:space="preserve"> </w:t>
      </w:r>
      <w:r w:rsidRPr="00861D72">
        <w:rPr>
          <w:rFonts w:eastAsia="Calibri" w:hint="eastAsia"/>
          <w:b/>
          <w:bCs/>
          <w:rtl/>
        </w:rPr>
        <w:t>של</w:t>
      </w:r>
      <w:r w:rsidRPr="00861D72">
        <w:rPr>
          <w:rFonts w:eastAsia="Calibri"/>
          <w:b/>
          <w:bCs/>
          <w:rtl/>
        </w:rPr>
        <w:t xml:space="preserve"> </w:t>
      </w:r>
      <w:r w:rsidRPr="00861D72">
        <w:rPr>
          <w:rFonts w:eastAsia="Calibri" w:hint="eastAsia"/>
          <w:b/>
          <w:bCs/>
          <w:rtl/>
        </w:rPr>
        <w:t>האזרחים</w:t>
      </w:r>
      <w:r w:rsidRPr="00861D72">
        <w:rPr>
          <w:rFonts w:eastAsia="Calibri"/>
          <w:b/>
          <w:bCs/>
          <w:rtl/>
        </w:rPr>
        <w:t xml:space="preserve"> </w:t>
      </w:r>
      <w:r w:rsidRPr="00861D72">
        <w:rPr>
          <w:rFonts w:eastAsia="Calibri" w:hint="eastAsia"/>
          <w:b/>
          <w:bCs/>
          <w:rtl/>
        </w:rPr>
        <w:t>הוותיקים</w:t>
      </w:r>
      <w:r w:rsidRPr="00861D72">
        <w:rPr>
          <w:rFonts w:eastAsia="Calibri"/>
          <w:b/>
          <w:bCs/>
          <w:rtl/>
        </w:rPr>
        <w:t>.</w:t>
      </w:r>
      <w:r w:rsidRPr="00861D72">
        <w:rPr>
          <w:rFonts w:eastAsia="Calibri" w:hint="cs"/>
          <w:b/>
          <w:bCs/>
          <w:rtl/>
        </w:rPr>
        <w:t xml:space="preserve"> לא זו אף זו, ממועד פקיעתם של כתבי המינוי למועצה באוגוסט 2023, לא מינתה השרה לשוויון חברתי חברי מועצה חדשים, כך שלא בהתאם לקבוע בחוק לא קיימת מועצה ציבורית לענייני אזרחים ותיקים בפועל.</w:t>
      </w:r>
    </w:p>
    <w:p w:rsidR="005167AC" w:rsidRPr="00861D72" w:rsidP="00F90255">
      <w:pPr>
        <w:spacing w:line="269" w:lineRule="auto"/>
        <w:ind w:left="312"/>
        <w:rPr>
          <w:rFonts w:eastAsia="Calibri"/>
          <w:b/>
          <w:bCs/>
          <w:rtl/>
        </w:rPr>
      </w:pPr>
    </w:p>
    <w:p w:rsidR="00861D72" w:rsidRPr="00861D72" w:rsidP="00F90255">
      <w:pPr>
        <w:spacing w:line="269" w:lineRule="auto"/>
        <w:ind w:left="312"/>
        <w:rPr>
          <w:rFonts w:eastAsia="Calibri"/>
          <w:rtl/>
        </w:rPr>
      </w:pPr>
      <w:r w:rsidRPr="00861D72">
        <w:rPr>
          <w:rFonts w:eastAsia="Calibri" w:hint="cs"/>
          <w:rtl/>
        </w:rPr>
        <w:t xml:space="preserve">המשרד לשוויון חברתי ציין בתשובתו כי הוא רואה חשיבות רבה בפעילות הוועדה המייעצת לאזרחים ותיקים ובקיומן המלא של זכויותיה, וכי הוא זיהה את הצורך והחל בתהליך מוסדר לכינוסה. </w:t>
      </w:r>
    </w:p>
    <w:p w:rsidR="00861D72" w:rsidRPr="00861D72" w:rsidP="00F90255">
      <w:pPr>
        <w:spacing w:line="269" w:lineRule="auto"/>
        <w:rPr>
          <w:rFonts w:eastAsia="Calibri"/>
          <w:rtl/>
        </w:rPr>
      </w:pPr>
      <w:r w:rsidRPr="00861D72">
        <w:rPr>
          <w:rFonts w:eastAsia="Calibri" w:hint="cs"/>
          <w:rtl/>
        </w:rPr>
        <w:t xml:space="preserve"> </w:t>
      </w:r>
      <w:bookmarkEnd w:id="46"/>
    </w:p>
    <w:p w:rsidR="00861D72" w:rsidRPr="00861D72" w:rsidP="002D37E0">
      <w:pPr>
        <w:spacing w:line="269" w:lineRule="auto"/>
        <w:ind w:left="315"/>
        <w:rPr>
          <w:rFonts w:eastAsia="Calibri"/>
          <w:rtl/>
        </w:rPr>
      </w:pPr>
      <w:r w:rsidRPr="00861D72">
        <w:rPr>
          <w:rFonts w:eastAsia="Calibri" w:hint="cs"/>
          <w:b/>
          <w:bCs/>
          <w:rtl/>
        </w:rPr>
        <w:t>על</w:t>
      </w:r>
      <w:r w:rsidRPr="00861D72">
        <w:rPr>
          <w:rFonts w:eastAsia="Calibri"/>
          <w:b/>
          <w:bCs/>
          <w:rtl/>
        </w:rPr>
        <w:t xml:space="preserve"> השר</w:t>
      </w:r>
      <w:r w:rsidRPr="00861D72">
        <w:rPr>
          <w:rFonts w:eastAsia="Calibri" w:hint="eastAsia"/>
          <w:b/>
          <w:bCs/>
          <w:rtl/>
        </w:rPr>
        <w:t>ה</w:t>
      </w:r>
      <w:r w:rsidRPr="00861D72">
        <w:rPr>
          <w:rFonts w:eastAsia="Calibri"/>
          <w:b/>
          <w:bCs/>
          <w:rtl/>
        </w:rPr>
        <w:t xml:space="preserve"> </w:t>
      </w:r>
      <w:r w:rsidRPr="00861D72">
        <w:rPr>
          <w:rFonts w:eastAsia="Calibri" w:hint="eastAsia"/>
          <w:b/>
          <w:bCs/>
          <w:rtl/>
        </w:rPr>
        <w:t>לשוויון</w:t>
      </w:r>
      <w:r w:rsidRPr="00861D72">
        <w:rPr>
          <w:rFonts w:eastAsia="Calibri"/>
          <w:b/>
          <w:bCs/>
          <w:rtl/>
        </w:rPr>
        <w:t xml:space="preserve"> </w:t>
      </w:r>
      <w:r w:rsidRPr="00861D72">
        <w:rPr>
          <w:rFonts w:eastAsia="Calibri" w:hint="eastAsia"/>
          <w:b/>
          <w:bCs/>
          <w:rtl/>
        </w:rPr>
        <w:t>חברתי</w:t>
      </w:r>
      <w:r w:rsidRPr="00861D72">
        <w:rPr>
          <w:rFonts w:eastAsia="Calibri"/>
          <w:b/>
          <w:bCs/>
          <w:rtl/>
        </w:rPr>
        <w:t xml:space="preserve"> </w:t>
      </w:r>
      <w:r w:rsidRPr="00861D72">
        <w:rPr>
          <w:rFonts w:eastAsia="Calibri" w:hint="cs"/>
          <w:b/>
          <w:bCs/>
          <w:rtl/>
        </w:rPr>
        <w:t>לפעול</w:t>
      </w:r>
      <w:r w:rsidRPr="00861D72">
        <w:rPr>
          <w:rFonts w:eastAsia="Calibri"/>
          <w:b/>
          <w:bCs/>
          <w:rtl/>
        </w:rPr>
        <w:t xml:space="preserve"> </w:t>
      </w:r>
      <w:r w:rsidRPr="00861D72">
        <w:rPr>
          <w:rFonts w:eastAsia="Calibri" w:hint="cs"/>
          <w:b/>
          <w:bCs/>
          <w:rtl/>
        </w:rPr>
        <w:t xml:space="preserve">בהתאם לחובתה לפי החוק ולמנות </w:t>
      </w:r>
      <w:r w:rsidRPr="00861D72">
        <w:rPr>
          <w:rFonts w:eastAsia="Calibri"/>
          <w:b/>
          <w:bCs/>
          <w:rtl/>
        </w:rPr>
        <w:t>חברי</w:t>
      </w:r>
      <w:r w:rsidRPr="00861D72">
        <w:rPr>
          <w:rFonts w:eastAsia="Calibri" w:hint="cs"/>
          <w:b/>
          <w:bCs/>
          <w:rtl/>
        </w:rPr>
        <w:t>ם</w:t>
      </w:r>
      <w:r w:rsidRPr="00861D72">
        <w:rPr>
          <w:rFonts w:eastAsia="Calibri"/>
          <w:b/>
          <w:bCs/>
          <w:rtl/>
        </w:rPr>
        <w:t xml:space="preserve"> </w:t>
      </w:r>
      <w:r w:rsidRPr="00861D72">
        <w:rPr>
          <w:rFonts w:eastAsia="Calibri" w:hint="cs"/>
          <w:b/>
          <w:bCs/>
          <w:rtl/>
        </w:rPr>
        <w:t>ל</w:t>
      </w:r>
      <w:r w:rsidRPr="00861D72">
        <w:rPr>
          <w:rFonts w:eastAsia="Calibri"/>
          <w:b/>
          <w:bCs/>
          <w:rtl/>
        </w:rPr>
        <w:t>מועצה הציבורית לענייני האזרחים הוותיקים</w:t>
      </w:r>
      <w:r w:rsidRPr="00861D72">
        <w:rPr>
          <w:rFonts w:eastAsia="Calibri" w:hint="cs"/>
          <w:b/>
          <w:bCs/>
          <w:rtl/>
        </w:rPr>
        <w:t>,</w:t>
      </w:r>
      <w:r w:rsidRPr="00861D72">
        <w:rPr>
          <w:rFonts w:eastAsia="Calibri"/>
          <w:b/>
          <w:bCs/>
          <w:rtl/>
        </w:rPr>
        <w:t xml:space="preserve"> ו</w:t>
      </w:r>
      <w:r w:rsidRPr="00861D72">
        <w:rPr>
          <w:rFonts w:eastAsia="Calibri" w:hint="cs"/>
          <w:b/>
          <w:bCs/>
          <w:rtl/>
        </w:rPr>
        <w:t>ל</w:t>
      </w:r>
      <w:r w:rsidRPr="00861D72">
        <w:rPr>
          <w:rFonts w:eastAsia="Calibri"/>
          <w:b/>
          <w:bCs/>
          <w:rtl/>
        </w:rPr>
        <w:t>קב</w:t>
      </w:r>
      <w:r w:rsidRPr="00861D72">
        <w:rPr>
          <w:rFonts w:eastAsia="Calibri" w:hint="cs"/>
          <w:b/>
          <w:bCs/>
          <w:rtl/>
        </w:rPr>
        <w:t>ו</w:t>
      </w:r>
      <w:r w:rsidRPr="00861D72">
        <w:rPr>
          <w:rFonts w:eastAsia="Calibri"/>
          <w:b/>
          <w:bCs/>
          <w:rtl/>
        </w:rPr>
        <w:t xml:space="preserve">ע לוח ישיבות קבוע בהתאם לחוק </w:t>
      </w:r>
      <w:r w:rsidRPr="00861D72">
        <w:rPr>
          <w:rFonts w:eastAsia="Calibri" w:hint="cs"/>
          <w:b/>
          <w:bCs/>
          <w:rtl/>
        </w:rPr>
        <w:t>-</w:t>
      </w:r>
      <w:r w:rsidRPr="00861D72">
        <w:rPr>
          <w:rFonts w:eastAsia="Calibri"/>
          <w:b/>
          <w:bCs/>
          <w:rtl/>
        </w:rPr>
        <w:t xml:space="preserve"> אחת לחודשיים לפחות. </w:t>
      </w:r>
      <w:r w:rsidRPr="00861D72">
        <w:rPr>
          <w:rFonts w:eastAsia="Calibri" w:hint="cs"/>
          <w:b/>
          <w:bCs/>
          <w:rtl/>
        </w:rPr>
        <w:t>כמו כן על</w:t>
      </w:r>
      <w:r w:rsidRPr="00861D72">
        <w:rPr>
          <w:rFonts w:eastAsia="Calibri"/>
          <w:b/>
          <w:bCs/>
          <w:rtl/>
        </w:rPr>
        <w:t xml:space="preserve"> המועצה</w:t>
      </w:r>
      <w:r w:rsidRPr="00861D72">
        <w:rPr>
          <w:rFonts w:eastAsia="Calibri" w:hint="cs"/>
          <w:b/>
          <w:bCs/>
          <w:rtl/>
        </w:rPr>
        <w:t xml:space="preserve"> שתתמנה</w:t>
      </w:r>
      <w:r w:rsidRPr="00861D72">
        <w:rPr>
          <w:rFonts w:eastAsia="Calibri"/>
          <w:b/>
          <w:bCs/>
          <w:rtl/>
        </w:rPr>
        <w:t xml:space="preserve"> </w:t>
      </w:r>
      <w:r w:rsidRPr="00861D72">
        <w:rPr>
          <w:rFonts w:eastAsia="Calibri" w:hint="cs"/>
          <w:b/>
          <w:bCs/>
          <w:rtl/>
        </w:rPr>
        <w:t>ל</w:t>
      </w:r>
      <w:r w:rsidRPr="00861D72">
        <w:rPr>
          <w:rFonts w:eastAsia="Calibri"/>
          <w:b/>
          <w:bCs/>
          <w:rtl/>
        </w:rPr>
        <w:t>קיים דיוני</w:t>
      </w:r>
      <w:r w:rsidRPr="00861D72">
        <w:rPr>
          <w:rFonts w:eastAsia="Calibri" w:hint="cs"/>
          <w:b/>
          <w:bCs/>
          <w:rtl/>
        </w:rPr>
        <w:t>ם</w:t>
      </w:r>
      <w:r w:rsidRPr="00861D72">
        <w:rPr>
          <w:rFonts w:eastAsia="Calibri"/>
          <w:b/>
          <w:bCs/>
          <w:rtl/>
        </w:rPr>
        <w:t xml:space="preserve"> </w:t>
      </w:r>
      <w:r w:rsidRPr="00861D72">
        <w:rPr>
          <w:rFonts w:eastAsia="Calibri" w:hint="cs"/>
          <w:b/>
          <w:bCs/>
          <w:rtl/>
        </w:rPr>
        <w:t>ול</w:t>
      </w:r>
      <w:r w:rsidRPr="00861D72">
        <w:rPr>
          <w:rFonts w:eastAsia="Calibri"/>
          <w:b/>
          <w:bCs/>
          <w:rtl/>
        </w:rPr>
        <w:t>דון בכל הסוגיות הנוגעות לשיפור איכות חיי האזרחים הוותיקים</w:t>
      </w:r>
      <w:r w:rsidRPr="00861D72">
        <w:rPr>
          <w:rFonts w:eastAsia="Calibri"/>
          <w:b/>
          <w:bCs/>
        </w:rPr>
        <w:t>.</w:t>
      </w:r>
    </w:p>
    <w:p w:rsidR="00861D72" w:rsidRPr="00861D72" w:rsidP="00F90255">
      <w:pPr>
        <w:spacing w:line="269" w:lineRule="auto"/>
        <w:jc w:val="center"/>
        <w:rPr>
          <w:rFonts w:ascii="Arial" w:eastAsia="Calibri" w:hAnsi="Arial" w:cs="Arial"/>
          <w:sz w:val="36"/>
          <w:rtl/>
        </w:rPr>
      </w:pPr>
      <w:r w:rsidRPr="00861D72">
        <w:rPr>
          <w:rFonts w:ascii="Segoe UI Symbol" w:eastAsia="Calibri" w:hAnsi="Segoe UI Symbol" w:cs="Segoe UI Symbol" w:hint="cs"/>
          <w:sz w:val="36"/>
          <w:rtl/>
        </w:rPr>
        <w:t>✰</w:t>
      </w:r>
    </w:p>
    <w:p w:rsidR="00861D72" w:rsidRPr="00861D72" w:rsidP="00F90255">
      <w:pPr>
        <w:spacing w:line="269" w:lineRule="auto"/>
        <w:rPr>
          <w:rFonts w:eastAsia="Calibri"/>
          <w:rtl/>
        </w:rPr>
      </w:pPr>
    </w:p>
    <w:p w:rsidR="00861D72" w:rsidRPr="00861D72" w:rsidP="00F90255">
      <w:pPr>
        <w:widowControl w:val="0"/>
        <w:spacing w:line="269" w:lineRule="auto"/>
        <w:rPr>
          <w:rFonts w:ascii="David" w:eastAsia="Times New Roman" w:hAnsi="David"/>
          <w:b/>
          <w:bCs/>
          <w:sz w:val="24"/>
          <w:rtl/>
          <w:lang w:eastAsia="he-IL"/>
        </w:rPr>
      </w:pPr>
      <w:r w:rsidRPr="00861D72">
        <w:rPr>
          <w:rFonts w:eastAsia="Calibri" w:hint="cs"/>
          <w:b/>
          <w:bCs/>
          <w:rtl/>
        </w:rPr>
        <w:t xml:space="preserve">בעוד שבמדינות שונות בעולם, ובתחומים רוחביים אחרים במדינת ישראל, קיים גוף </w:t>
      </w:r>
      <w:r w:rsidRPr="00861D72">
        <w:rPr>
          <w:rFonts w:eastAsia="Calibri" w:hint="cs"/>
          <w:b/>
          <w:bCs/>
          <w:rtl/>
        </w:rPr>
        <w:t>מתכלל</w:t>
      </w:r>
      <w:r w:rsidRPr="00861D72">
        <w:rPr>
          <w:rFonts w:eastAsia="Calibri" w:hint="cs"/>
          <w:b/>
          <w:bCs/>
          <w:rtl/>
        </w:rPr>
        <w:t xml:space="preserve">, </w:t>
      </w:r>
      <w:r w:rsidRPr="00861D72">
        <w:rPr>
          <w:rFonts w:eastAsia="Calibri" w:hint="eastAsia"/>
          <w:b/>
          <w:bCs/>
          <w:rtl/>
        </w:rPr>
        <w:t>כדוגמת</w:t>
      </w:r>
      <w:r w:rsidRPr="00861D72">
        <w:rPr>
          <w:rFonts w:eastAsia="Calibri"/>
          <w:b/>
          <w:bCs/>
          <w:rtl/>
        </w:rPr>
        <w:t xml:space="preserve"> </w:t>
      </w:r>
      <w:r w:rsidRPr="00861D72">
        <w:rPr>
          <w:rFonts w:eastAsia="Calibri" w:hint="eastAsia"/>
          <w:b/>
          <w:bCs/>
          <w:rtl/>
        </w:rPr>
        <w:t>משרד</w:t>
      </w:r>
      <w:r w:rsidRPr="00861D72">
        <w:rPr>
          <w:rFonts w:eastAsia="Calibri"/>
          <w:b/>
          <w:bCs/>
          <w:rtl/>
        </w:rPr>
        <w:t xml:space="preserve"> </w:t>
      </w:r>
      <w:r w:rsidRPr="00861D72">
        <w:rPr>
          <w:rFonts w:eastAsia="Calibri" w:hint="eastAsia"/>
          <w:b/>
          <w:bCs/>
          <w:rtl/>
        </w:rPr>
        <w:t>הבריאות</w:t>
      </w:r>
      <w:r w:rsidRPr="00861D72">
        <w:rPr>
          <w:rFonts w:eastAsia="Calibri"/>
          <w:b/>
          <w:bCs/>
          <w:rtl/>
        </w:rPr>
        <w:t xml:space="preserve"> </w:t>
      </w:r>
      <w:r w:rsidRPr="00861D72">
        <w:rPr>
          <w:rFonts w:eastAsia="Calibri" w:hint="eastAsia"/>
          <w:b/>
          <w:bCs/>
          <w:rtl/>
        </w:rPr>
        <w:t>באירלנד</w:t>
      </w:r>
      <w:r w:rsidRPr="00861D72">
        <w:rPr>
          <w:rFonts w:eastAsia="Calibri"/>
          <w:b/>
          <w:bCs/>
          <w:rtl/>
        </w:rPr>
        <w:t xml:space="preserve"> </w:t>
      </w:r>
      <w:r w:rsidRPr="00861D72">
        <w:rPr>
          <w:rFonts w:eastAsia="Calibri" w:hint="eastAsia"/>
          <w:b/>
          <w:bCs/>
          <w:rtl/>
        </w:rPr>
        <w:t>המוביל</w:t>
      </w:r>
      <w:r w:rsidRPr="00861D72">
        <w:rPr>
          <w:rFonts w:eastAsia="Calibri"/>
          <w:b/>
          <w:bCs/>
          <w:rtl/>
        </w:rPr>
        <w:t xml:space="preserve"> </w:t>
      </w:r>
      <w:r w:rsidRPr="00861D72">
        <w:rPr>
          <w:rFonts w:eastAsia="Calibri" w:hint="eastAsia"/>
          <w:b/>
          <w:bCs/>
          <w:rtl/>
        </w:rPr>
        <w:t>את</w:t>
      </w:r>
      <w:r w:rsidRPr="00861D72">
        <w:rPr>
          <w:rFonts w:eastAsia="Calibri"/>
          <w:b/>
          <w:bCs/>
          <w:rtl/>
        </w:rPr>
        <w:t xml:space="preserve"> </w:t>
      </w:r>
      <w:r w:rsidRPr="00861D72">
        <w:rPr>
          <w:rFonts w:eastAsia="Calibri" w:hint="eastAsia"/>
          <w:b/>
          <w:bCs/>
          <w:rtl/>
        </w:rPr>
        <w:t>האסטרטגיה</w:t>
      </w:r>
      <w:r w:rsidRPr="00861D72">
        <w:rPr>
          <w:rFonts w:eastAsia="Calibri"/>
          <w:b/>
          <w:bCs/>
          <w:rtl/>
        </w:rPr>
        <w:t xml:space="preserve"> </w:t>
      </w:r>
      <w:r w:rsidRPr="00861D72">
        <w:rPr>
          <w:rFonts w:eastAsia="Calibri" w:hint="eastAsia"/>
          <w:b/>
          <w:bCs/>
          <w:rtl/>
        </w:rPr>
        <w:t>הלאומית</w:t>
      </w:r>
      <w:r w:rsidRPr="00861D72">
        <w:rPr>
          <w:rFonts w:eastAsia="Calibri"/>
          <w:b/>
          <w:bCs/>
          <w:rtl/>
        </w:rPr>
        <w:t xml:space="preserve"> </w:t>
      </w:r>
      <w:r w:rsidRPr="00861D72">
        <w:rPr>
          <w:rFonts w:eastAsia="Calibri" w:hint="eastAsia"/>
          <w:b/>
          <w:bCs/>
          <w:rtl/>
        </w:rPr>
        <w:t>להזדקנות</w:t>
      </w:r>
      <w:r w:rsidRPr="00861D72">
        <w:rPr>
          <w:rFonts w:eastAsia="Calibri"/>
          <w:b/>
          <w:bCs/>
          <w:rtl/>
        </w:rPr>
        <w:t xml:space="preserve"> </w:t>
      </w:r>
      <w:r w:rsidRPr="00861D72">
        <w:rPr>
          <w:rFonts w:eastAsia="Calibri" w:hint="eastAsia"/>
          <w:b/>
          <w:bCs/>
          <w:rtl/>
        </w:rPr>
        <w:t>חיובית</w:t>
      </w:r>
      <w:r w:rsidRPr="00861D72">
        <w:rPr>
          <w:rFonts w:eastAsia="Calibri" w:hint="cs"/>
          <w:b/>
          <w:bCs/>
          <w:rtl/>
        </w:rPr>
        <w:t xml:space="preserve"> וה</w:t>
      </w:r>
      <w:r w:rsidRPr="00861D72">
        <w:rPr>
          <w:rFonts w:ascii="David" w:eastAsia="Calibri" w:hAnsi="David"/>
          <w:b/>
          <w:bCs/>
          <w:sz w:val="24"/>
          <w:rtl/>
        </w:rPr>
        <w:t xml:space="preserve">מנהלת בראשות המשרד להגנת הסביבה </w:t>
      </w:r>
      <w:r w:rsidRPr="00861D72">
        <w:rPr>
          <w:rFonts w:ascii="David" w:eastAsia="Calibri" w:hAnsi="David"/>
          <w:b/>
          <w:bCs/>
          <w:sz w:val="24"/>
          <w:rtl/>
        </w:rPr>
        <w:t>לתכלול</w:t>
      </w:r>
      <w:r w:rsidRPr="00861D72">
        <w:rPr>
          <w:rFonts w:ascii="David" w:eastAsia="Calibri" w:hAnsi="David"/>
          <w:b/>
          <w:bCs/>
          <w:sz w:val="24"/>
          <w:rtl/>
        </w:rPr>
        <w:t xml:space="preserve"> </w:t>
      </w:r>
      <w:r w:rsidRPr="00861D72">
        <w:rPr>
          <w:rFonts w:ascii="David" w:eastAsia="Calibri" w:hAnsi="David" w:hint="cs"/>
          <w:b/>
          <w:bCs/>
          <w:sz w:val="24"/>
          <w:rtl/>
        </w:rPr>
        <w:t xml:space="preserve">של </w:t>
      </w:r>
      <w:r w:rsidRPr="00861D72">
        <w:rPr>
          <w:rFonts w:ascii="David" w:eastAsia="Calibri" w:hAnsi="David"/>
          <w:b/>
          <w:bCs/>
          <w:sz w:val="24"/>
          <w:rtl/>
        </w:rPr>
        <w:t>היערכות ישראל לשינויי אקלים</w:t>
      </w:r>
      <w:r w:rsidRPr="00861D72">
        <w:rPr>
          <w:rFonts w:ascii="David" w:eastAsia="Calibri" w:hAnsi="David" w:hint="cs"/>
          <w:b/>
          <w:bCs/>
          <w:sz w:val="24"/>
          <w:rtl/>
        </w:rPr>
        <w:t xml:space="preserve">, </w:t>
      </w:r>
      <w:r w:rsidRPr="00861D72">
        <w:rPr>
          <w:rFonts w:eastAsia="Calibri"/>
          <w:b/>
          <w:bCs/>
          <w:rtl/>
        </w:rPr>
        <w:t xml:space="preserve">אין </w:t>
      </w:r>
      <w:r w:rsidRPr="00861D72">
        <w:rPr>
          <w:rFonts w:eastAsia="Calibri" w:hint="cs"/>
          <w:b/>
          <w:bCs/>
          <w:rtl/>
        </w:rPr>
        <w:t>ה</w:t>
      </w:r>
      <w:r w:rsidRPr="00861D72">
        <w:rPr>
          <w:rFonts w:eastAsia="Calibri"/>
          <w:b/>
          <w:bCs/>
          <w:rtl/>
        </w:rPr>
        <w:t>יום</w:t>
      </w:r>
      <w:r w:rsidRPr="00861D72">
        <w:rPr>
          <w:rFonts w:eastAsia="Calibri" w:hint="cs"/>
          <w:b/>
          <w:bCs/>
          <w:rtl/>
        </w:rPr>
        <w:t xml:space="preserve"> בישראל </w:t>
      </w:r>
      <w:r w:rsidRPr="00861D72">
        <w:rPr>
          <w:rFonts w:eastAsia="Calibri"/>
          <w:b/>
          <w:bCs/>
          <w:rtl/>
        </w:rPr>
        <w:t xml:space="preserve">גוף </w:t>
      </w:r>
      <w:r w:rsidRPr="00861D72">
        <w:rPr>
          <w:rFonts w:eastAsia="Calibri"/>
          <w:b/>
          <w:bCs/>
          <w:rtl/>
        </w:rPr>
        <w:t>מתכלל</w:t>
      </w:r>
      <w:r w:rsidRPr="00861D72">
        <w:rPr>
          <w:rFonts w:eastAsia="Calibri"/>
          <w:b/>
          <w:bCs/>
          <w:rtl/>
        </w:rPr>
        <w:t xml:space="preserve"> האמון על ריכוז, </w:t>
      </w:r>
      <w:r w:rsidRPr="00861D72">
        <w:rPr>
          <w:rFonts w:eastAsia="Calibri" w:hint="cs"/>
          <w:b/>
          <w:bCs/>
          <w:rtl/>
        </w:rPr>
        <w:t xml:space="preserve">על </w:t>
      </w:r>
      <w:r w:rsidRPr="00861D72">
        <w:rPr>
          <w:rFonts w:eastAsia="Calibri"/>
          <w:b/>
          <w:bCs/>
          <w:rtl/>
        </w:rPr>
        <w:t>תיאום ו</w:t>
      </w:r>
      <w:r w:rsidRPr="00861D72">
        <w:rPr>
          <w:rFonts w:eastAsia="Calibri" w:hint="cs"/>
          <w:b/>
          <w:bCs/>
          <w:rtl/>
        </w:rPr>
        <w:t xml:space="preserve">על </w:t>
      </w:r>
      <w:r w:rsidRPr="00861D72">
        <w:rPr>
          <w:rFonts w:eastAsia="Calibri"/>
          <w:b/>
          <w:bCs/>
          <w:rtl/>
        </w:rPr>
        <w:t xml:space="preserve">הובלת </w:t>
      </w:r>
      <w:r w:rsidRPr="00861D72">
        <w:rPr>
          <w:rFonts w:eastAsia="Calibri" w:hint="cs"/>
          <w:b/>
          <w:bCs/>
          <w:rtl/>
        </w:rPr>
        <w:t>ה</w:t>
      </w:r>
      <w:r w:rsidRPr="00861D72">
        <w:rPr>
          <w:rFonts w:eastAsia="Calibri"/>
          <w:b/>
          <w:bCs/>
          <w:rtl/>
        </w:rPr>
        <w:t xml:space="preserve">נושא </w:t>
      </w:r>
      <w:r w:rsidRPr="00861D72">
        <w:rPr>
          <w:rFonts w:eastAsia="Calibri" w:hint="cs"/>
          <w:b/>
          <w:bCs/>
          <w:rtl/>
        </w:rPr>
        <w:t>של הזדקנות האוכלוסייה</w:t>
      </w:r>
      <w:r w:rsidRPr="00861D72">
        <w:rPr>
          <w:rFonts w:eastAsia="Calibri"/>
          <w:b/>
          <w:bCs/>
          <w:rtl/>
        </w:rPr>
        <w:t xml:space="preserve"> ברמה הלאומית. המשרד לשוויון חברתי, </w:t>
      </w:r>
      <w:r w:rsidRPr="00861D72">
        <w:rPr>
          <w:rFonts w:eastAsia="Calibri" w:hint="cs"/>
          <w:b/>
          <w:bCs/>
          <w:rtl/>
        </w:rPr>
        <w:t>ה</w:t>
      </w:r>
      <w:r w:rsidRPr="00861D72">
        <w:rPr>
          <w:rFonts w:eastAsia="Calibri"/>
          <w:b/>
          <w:bCs/>
          <w:rtl/>
        </w:rPr>
        <w:t xml:space="preserve">אמור למלא תפקיד זה, אינו </w:t>
      </w:r>
      <w:r w:rsidRPr="00861D72">
        <w:rPr>
          <w:rFonts w:eastAsia="Calibri" w:hint="cs"/>
          <w:b/>
          <w:bCs/>
          <w:rtl/>
        </w:rPr>
        <w:t xml:space="preserve">בעל המאפיינים לשמש גוף </w:t>
      </w:r>
      <w:r w:rsidRPr="00861D72">
        <w:rPr>
          <w:rFonts w:eastAsia="Calibri" w:hint="cs"/>
          <w:b/>
          <w:bCs/>
          <w:rtl/>
        </w:rPr>
        <w:t>מתכלל</w:t>
      </w:r>
      <w:r w:rsidRPr="00861D72">
        <w:rPr>
          <w:rFonts w:eastAsia="Calibri" w:hint="cs"/>
          <w:b/>
          <w:bCs/>
          <w:rtl/>
        </w:rPr>
        <w:t xml:space="preserve"> - אין לו סמכות לקבל החלטות ולחייב את משרדי הממשלה לפעול על פיהן, ואין לו תקציב עצמאי ייעודי ארוך טווח. זאת ועוד, אגף בכיר אזרחים ותיקים, העוסק בתחום ההזדקנות, אינו יציב ארגונית והועבר בין משרדים לאורך השנים. מעברים אלו מ</w:t>
      </w:r>
      <w:r w:rsidRPr="00861D72">
        <w:rPr>
          <w:rFonts w:eastAsia="Calibri"/>
          <w:b/>
          <w:bCs/>
          <w:rtl/>
        </w:rPr>
        <w:t xml:space="preserve">צמצמים את יכולת המשרד לשוויון חברתי למלא בפועל תפקיד של גוף </w:t>
      </w:r>
      <w:r w:rsidRPr="00861D72">
        <w:rPr>
          <w:rFonts w:eastAsia="Calibri"/>
          <w:b/>
          <w:bCs/>
          <w:rtl/>
        </w:rPr>
        <w:t>מתכלל</w:t>
      </w:r>
      <w:r w:rsidRPr="00861D72">
        <w:rPr>
          <w:rFonts w:eastAsia="Calibri" w:hint="cs"/>
          <w:b/>
          <w:bCs/>
          <w:rtl/>
        </w:rPr>
        <w:t>.</w:t>
      </w:r>
      <w:r w:rsidRPr="00861D72">
        <w:rPr>
          <w:rFonts w:eastAsia="Calibri"/>
          <w:b/>
          <w:bCs/>
          <w:rtl/>
        </w:rPr>
        <w:t xml:space="preserve"> </w:t>
      </w:r>
      <w:r w:rsidRPr="00861D72">
        <w:rPr>
          <w:rFonts w:eastAsia="Calibri" w:hint="cs"/>
          <w:b/>
          <w:bCs/>
          <w:rtl/>
        </w:rPr>
        <w:t xml:space="preserve">כמו כן הוא אינו </w:t>
      </w:r>
      <w:r w:rsidRPr="00861D72">
        <w:rPr>
          <w:rFonts w:eastAsia="Calibri"/>
          <w:b/>
          <w:bCs/>
          <w:rtl/>
        </w:rPr>
        <w:t xml:space="preserve">מבצע את עבודת </w:t>
      </w:r>
      <w:r w:rsidRPr="00861D72">
        <w:rPr>
          <w:rFonts w:eastAsia="Calibri"/>
          <w:b/>
          <w:bCs/>
          <w:rtl/>
        </w:rPr>
        <w:t>התכלול</w:t>
      </w:r>
      <w:r w:rsidRPr="00861D72">
        <w:rPr>
          <w:rFonts w:eastAsia="Calibri"/>
          <w:b/>
          <w:bCs/>
          <w:rtl/>
        </w:rPr>
        <w:t xml:space="preserve"> הנדרשת</w:t>
      </w:r>
      <w:r w:rsidRPr="00861D72">
        <w:rPr>
          <w:rFonts w:eastAsia="Calibri" w:hint="cs"/>
          <w:b/>
          <w:bCs/>
          <w:rtl/>
        </w:rPr>
        <w:t xml:space="preserve"> בפועל</w:t>
      </w:r>
      <w:r w:rsidRPr="00861D72">
        <w:rPr>
          <w:rFonts w:eastAsia="Calibri"/>
          <w:b/>
          <w:bCs/>
          <w:rtl/>
        </w:rPr>
        <w:t>.</w:t>
      </w:r>
      <w:r w:rsidRPr="00861D72">
        <w:rPr>
          <w:rFonts w:eastAsia="Calibri" w:hint="cs"/>
          <w:b/>
          <w:bCs/>
          <w:rtl/>
        </w:rPr>
        <w:t xml:space="preserve"> </w:t>
      </w:r>
      <w:r w:rsidRPr="00861D72">
        <w:rPr>
          <w:rFonts w:eastAsia="Calibri"/>
          <w:b/>
          <w:bCs/>
          <w:rtl/>
        </w:rPr>
        <w:t xml:space="preserve">במקביל, לא קיים גוף ממשלתי אחר </w:t>
      </w:r>
      <w:r w:rsidRPr="00861D72">
        <w:rPr>
          <w:rFonts w:eastAsia="Calibri" w:hint="cs"/>
          <w:b/>
          <w:bCs/>
          <w:rtl/>
        </w:rPr>
        <w:t>ה</w:t>
      </w:r>
      <w:r w:rsidRPr="00861D72">
        <w:rPr>
          <w:rFonts w:eastAsia="Calibri"/>
          <w:b/>
          <w:bCs/>
          <w:rtl/>
        </w:rPr>
        <w:t xml:space="preserve">מבצע תכלול כוללני של הסוגיות, השירותים והמשאבים בתחום. </w:t>
      </w:r>
      <w:r w:rsidRPr="00861D72">
        <w:rPr>
          <w:rFonts w:eastAsia="Calibri" w:hint="cs"/>
          <w:b/>
          <w:bCs/>
          <w:rtl/>
          <w:lang w:eastAsia="he-IL"/>
        </w:rPr>
        <w:t xml:space="preserve">עוד עלה </w:t>
      </w:r>
      <w:r w:rsidRPr="00861D72">
        <w:rPr>
          <w:rFonts w:ascii="David" w:eastAsia="Calibri" w:hAnsi="David" w:hint="cs"/>
          <w:b/>
          <w:bCs/>
          <w:rtl/>
          <w:lang w:eastAsia="he-IL"/>
        </w:rPr>
        <w:t>בביקורת כי המועצה הציבורית המייעצת לענייני גמלאים האחרונה מונתה באוגוסט 2020 ותוקפם של כתבי המינוי לחברי המועצה פקע בשנת 2023, והיא לא התכנסה מאז שנת 2020.</w:t>
      </w:r>
      <w:r w:rsidRPr="00861D72">
        <w:rPr>
          <w:rFonts w:ascii="David" w:eastAsia="Calibri" w:hAnsi="David"/>
          <w:b/>
          <w:bCs/>
          <w:rtl/>
          <w:lang w:eastAsia="he-IL"/>
        </w:rPr>
        <w:t xml:space="preserve"> </w:t>
      </w:r>
      <w:r w:rsidRPr="00861D72">
        <w:rPr>
          <w:rFonts w:ascii="David" w:eastAsia="Times New Roman" w:hAnsi="David" w:hint="cs"/>
          <w:b/>
          <w:bCs/>
          <w:sz w:val="24"/>
          <w:rtl/>
          <w:lang w:eastAsia="he-IL"/>
        </w:rPr>
        <w:t xml:space="preserve">כך שבניגוד לקבוע בחוק לא קיימת מועצה ציבורית לענייני אזרחים ותיקים בפועל. </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bookmarkStart w:id="47" w:name="_Hlk222226814"/>
      <w:r w:rsidRPr="00861D72">
        <w:rPr>
          <w:rFonts w:eastAsia="Calibri" w:hint="cs"/>
          <w:b/>
          <w:bCs/>
          <w:rtl/>
        </w:rPr>
        <w:t xml:space="preserve">מומלץ כי גופי הממשל העוסקים בהזדקנות, ובהם המשרד לשוויון חברתי, משרד הרווחה, משרד הבריאות </w:t>
      </w:r>
      <w:r w:rsidRPr="00861D72">
        <w:rPr>
          <w:rFonts w:eastAsia="Calibri" w:hint="cs"/>
          <w:b/>
          <w:bCs/>
          <w:rtl/>
        </w:rPr>
        <w:t>ובט"ל</w:t>
      </w:r>
      <w:r w:rsidRPr="00861D72">
        <w:rPr>
          <w:rFonts w:eastAsia="Calibri" w:hint="cs"/>
          <w:b/>
          <w:bCs/>
          <w:rtl/>
        </w:rPr>
        <w:t xml:space="preserve">, בהובלת משרד </w:t>
      </w:r>
      <w:r w:rsidRPr="00861D72">
        <w:rPr>
          <w:rFonts w:eastAsia="Calibri" w:hint="cs"/>
          <w:b/>
          <w:bCs/>
          <w:rtl/>
        </w:rPr>
        <w:t>רה"ם</w:t>
      </w:r>
      <w:r w:rsidRPr="00861D72">
        <w:rPr>
          <w:rFonts w:eastAsia="Calibri" w:hint="cs"/>
          <w:b/>
          <w:bCs/>
          <w:rtl/>
        </w:rPr>
        <w:t xml:space="preserve"> יגבשו הצעה לממשלה לעדכון החלטת הממשלה</w:t>
      </w:r>
      <w:r w:rsidRPr="00861D72">
        <w:rPr>
          <w:rFonts w:eastAsia="Calibri"/>
          <w:b/>
          <w:bCs/>
          <w:rtl/>
        </w:rPr>
        <w:t xml:space="preserve"> המטילה על יחידת הסמך לענייני גמלאים במשרד </w:t>
      </w:r>
      <w:r w:rsidRPr="00861D72">
        <w:rPr>
          <w:rFonts w:eastAsia="Calibri" w:hint="cs"/>
          <w:b/>
          <w:bCs/>
          <w:rtl/>
        </w:rPr>
        <w:t>רה"ם</w:t>
      </w:r>
      <w:r w:rsidRPr="00861D72">
        <w:rPr>
          <w:rFonts w:eastAsia="Calibri"/>
          <w:b/>
          <w:bCs/>
          <w:rtl/>
        </w:rPr>
        <w:t xml:space="preserve">, לימים המשרד לשוויון חברתי, את </w:t>
      </w:r>
      <w:r w:rsidRPr="00861D72">
        <w:rPr>
          <w:rFonts w:eastAsia="Calibri"/>
          <w:b/>
          <w:bCs/>
          <w:rtl/>
        </w:rPr>
        <w:t>האחריות לקידום תיאום ואינטגרציה בין</w:t>
      </w:r>
      <w:r w:rsidRPr="00861D72">
        <w:rPr>
          <w:rFonts w:eastAsia="Calibri" w:hint="cs"/>
          <w:b/>
          <w:bCs/>
          <w:rtl/>
        </w:rPr>
        <w:t xml:space="preserve"> ה</w:t>
      </w:r>
      <w:r w:rsidRPr="00861D72">
        <w:rPr>
          <w:rFonts w:eastAsia="Calibri"/>
          <w:b/>
          <w:bCs/>
          <w:rtl/>
        </w:rPr>
        <w:t>משרדי</w:t>
      </w:r>
      <w:r w:rsidRPr="00861D72">
        <w:rPr>
          <w:rFonts w:eastAsia="Calibri" w:hint="cs"/>
          <w:b/>
          <w:bCs/>
          <w:rtl/>
        </w:rPr>
        <w:t>ם</w:t>
      </w:r>
      <w:r w:rsidRPr="00861D72">
        <w:rPr>
          <w:rFonts w:eastAsia="Calibri"/>
          <w:b/>
          <w:bCs/>
          <w:rtl/>
        </w:rPr>
        <w:t xml:space="preserve"> בנושאים הקשורים ל</w:t>
      </w:r>
      <w:r w:rsidRPr="00861D72">
        <w:rPr>
          <w:rFonts w:eastAsia="Calibri" w:hint="cs"/>
          <w:b/>
          <w:bCs/>
          <w:rtl/>
        </w:rPr>
        <w:t>אזרחים ותיקים</w:t>
      </w:r>
      <w:r w:rsidRPr="00861D72">
        <w:rPr>
          <w:rFonts w:eastAsia="Calibri"/>
          <w:b/>
          <w:bCs/>
          <w:rtl/>
        </w:rPr>
        <w:t xml:space="preserve">, ולהטיל את האחריות </w:t>
      </w:r>
      <w:r w:rsidRPr="00861D72">
        <w:rPr>
          <w:rFonts w:eastAsia="Calibri"/>
          <w:b/>
          <w:bCs/>
          <w:rtl/>
        </w:rPr>
        <w:t>לתכלול</w:t>
      </w:r>
      <w:r w:rsidRPr="00861D72">
        <w:rPr>
          <w:rFonts w:eastAsia="Calibri"/>
          <w:b/>
          <w:bCs/>
          <w:rtl/>
        </w:rPr>
        <w:t xml:space="preserve"> נושא ההזדקנות על גוף בעל המאפיינים הנדרשים מגורם </w:t>
      </w:r>
      <w:r w:rsidRPr="00861D72">
        <w:rPr>
          <w:rFonts w:eastAsia="Calibri"/>
          <w:b/>
          <w:bCs/>
          <w:rtl/>
        </w:rPr>
        <w:t>מתכלל</w:t>
      </w:r>
      <w:r w:rsidRPr="00861D72">
        <w:rPr>
          <w:rFonts w:eastAsia="Calibri" w:hint="cs"/>
          <w:b/>
          <w:bCs/>
          <w:rtl/>
        </w:rPr>
        <w:t xml:space="preserve">. </w:t>
      </w:r>
      <w:r w:rsidRPr="00861D72">
        <w:rPr>
          <w:rFonts w:eastAsia="Calibri"/>
          <w:b/>
          <w:bCs/>
          <w:rtl/>
        </w:rPr>
        <w:t xml:space="preserve">הגוף </w:t>
      </w:r>
      <w:r w:rsidRPr="00861D72">
        <w:rPr>
          <w:rFonts w:eastAsia="Calibri"/>
          <w:b/>
          <w:bCs/>
          <w:rtl/>
        </w:rPr>
        <w:t>המתכלל</w:t>
      </w:r>
      <w:r w:rsidRPr="00861D72">
        <w:rPr>
          <w:rFonts w:eastAsia="Calibri"/>
          <w:b/>
          <w:bCs/>
          <w:rtl/>
        </w:rPr>
        <w:t xml:space="preserve"> יכול להיות המשרד לשוויון חברתי, </w:t>
      </w:r>
      <w:r w:rsidRPr="00861D72">
        <w:rPr>
          <w:rFonts w:eastAsia="Calibri" w:hint="cs"/>
          <w:b/>
          <w:bCs/>
          <w:rtl/>
        </w:rPr>
        <w:t xml:space="preserve">בכפוף לכך </w:t>
      </w:r>
      <w:r w:rsidRPr="00861D72">
        <w:rPr>
          <w:rFonts w:eastAsia="Calibri" w:hint="eastAsia"/>
          <w:b/>
          <w:bCs/>
          <w:rtl/>
        </w:rPr>
        <w:t>שיינתנו</w:t>
      </w:r>
      <w:r w:rsidRPr="00861D72">
        <w:rPr>
          <w:rFonts w:eastAsia="Calibri"/>
          <w:b/>
          <w:bCs/>
          <w:rtl/>
        </w:rPr>
        <w:t xml:space="preserve"> לו </w:t>
      </w:r>
      <w:r w:rsidRPr="00861D72">
        <w:rPr>
          <w:rFonts w:eastAsia="Calibri" w:hint="cs"/>
          <w:b/>
          <w:bCs/>
          <w:rtl/>
        </w:rPr>
        <w:t xml:space="preserve">הסמכויות, האחריות והיכולות הנדרשות מגוף </w:t>
      </w:r>
      <w:r w:rsidRPr="00861D72">
        <w:rPr>
          <w:rFonts w:eastAsia="Calibri" w:hint="cs"/>
          <w:b/>
          <w:bCs/>
          <w:rtl/>
        </w:rPr>
        <w:t>מתכלל</w:t>
      </w:r>
      <w:r w:rsidRPr="00861D72">
        <w:rPr>
          <w:rFonts w:eastAsia="Calibri" w:hint="cs"/>
          <w:b/>
          <w:bCs/>
          <w:rtl/>
        </w:rPr>
        <w:t xml:space="preserve">, או כל </w:t>
      </w:r>
      <w:r w:rsidRPr="00861D72">
        <w:rPr>
          <w:rFonts w:eastAsia="Calibri"/>
          <w:b/>
          <w:bCs/>
          <w:rtl/>
        </w:rPr>
        <w:t xml:space="preserve">גוף אחר </w:t>
      </w:r>
      <w:r w:rsidRPr="00861D72">
        <w:rPr>
          <w:rFonts w:eastAsia="Calibri" w:hint="cs"/>
          <w:b/>
          <w:bCs/>
          <w:rtl/>
        </w:rPr>
        <w:t>המ</w:t>
      </w:r>
      <w:r w:rsidRPr="00861D72">
        <w:rPr>
          <w:rFonts w:eastAsia="Calibri"/>
          <w:b/>
          <w:bCs/>
          <w:rtl/>
        </w:rPr>
        <w:t>תאים לתפקיד זה</w:t>
      </w:r>
      <w:r w:rsidRPr="00861D72">
        <w:rPr>
          <w:rFonts w:eastAsia="Calibri" w:hint="cs"/>
          <w:b/>
          <w:bCs/>
          <w:rtl/>
        </w:rPr>
        <w:t xml:space="preserve"> שיוסדרו לו</w:t>
      </w:r>
      <w:r w:rsidRPr="00861D72">
        <w:rPr>
          <w:rFonts w:eastAsia="Calibri"/>
          <w:b/>
          <w:bCs/>
          <w:rtl/>
        </w:rPr>
        <w:t xml:space="preserve"> תחומי האחריות </w:t>
      </w:r>
      <w:r w:rsidRPr="00861D72">
        <w:rPr>
          <w:rFonts w:eastAsia="Calibri" w:hint="cs"/>
          <w:b/>
          <w:bCs/>
          <w:rtl/>
        </w:rPr>
        <w:t>ו</w:t>
      </w:r>
      <w:r w:rsidRPr="00861D72">
        <w:rPr>
          <w:rFonts w:eastAsia="Calibri"/>
          <w:b/>
          <w:bCs/>
          <w:rtl/>
        </w:rPr>
        <w:t>סמכויות התיאום והפיקוח של הגוף</w:t>
      </w:r>
      <w:r w:rsidRPr="00861D72">
        <w:rPr>
          <w:rFonts w:eastAsia="Calibri" w:hint="cs"/>
          <w:b/>
          <w:bCs/>
          <w:rtl/>
        </w:rPr>
        <w:t xml:space="preserve"> </w:t>
      </w:r>
      <w:r w:rsidRPr="00861D72">
        <w:rPr>
          <w:rFonts w:eastAsia="Calibri" w:hint="cs"/>
          <w:b/>
          <w:bCs/>
          <w:rtl/>
        </w:rPr>
        <w:t>המתכלל</w:t>
      </w:r>
      <w:r w:rsidRPr="00861D72">
        <w:rPr>
          <w:rFonts w:eastAsia="Calibri" w:hint="cs"/>
          <w:b/>
          <w:bCs/>
          <w:rtl/>
        </w:rPr>
        <w:t>. כמו כן</w:t>
      </w:r>
      <w:r w:rsidRPr="00861D72">
        <w:rPr>
          <w:rFonts w:eastAsia="Calibri"/>
          <w:b/>
          <w:bCs/>
          <w:rtl/>
        </w:rPr>
        <w:t xml:space="preserve"> מומלץ להקים מנגנון קבוע למעקב </w:t>
      </w:r>
      <w:r w:rsidRPr="00861D72">
        <w:rPr>
          <w:rFonts w:eastAsia="Calibri" w:hint="cs"/>
          <w:b/>
          <w:bCs/>
          <w:rtl/>
        </w:rPr>
        <w:t>ול</w:t>
      </w:r>
      <w:r w:rsidRPr="00861D72">
        <w:rPr>
          <w:rFonts w:eastAsia="Calibri"/>
          <w:b/>
          <w:bCs/>
          <w:rtl/>
        </w:rPr>
        <w:t xml:space="preserve">הערכה של פעילות </w:t>
      </w:r>
      <w:r w:rsidRPr="00861D72">
        <w:rPr>
          <w:rFonts w:eastAsia="Calibri"/>
          <w:b/>
          <w:bCs/>
          <w:rtl/>
        </w:rPr>
        <w:t>התכלול</w:t>
      </w:r>
      <w:r w:rsidRPr="00861D72">
        <w:rPr>
          <w:rFonts w:eastAsia="Calibri" w:hint="cs"/>
          <w:b/>
          <w:bCs/>
          <w:rtl/>
        </w:rPr>
        <w:t xml:space="preserve"> כדי</w:t>
      </w:r>
      <w:r w:rsidRPr="00861D72">
        <w:rPr>
          <w:rFonts w:eastAsia="Calibri"/>
          <w:b/>
          <w:bCs/>
          <w:rtl/>
        </w:rPr>
        <w:t xml:space="preserve"> להבטיח יישום אפקטיבי ומתמשך של מדיניות לטובת האזרחים הוותיקים</w:t>
      </w:r>
      <w:r w:rsidRPr="00861D72">
        <w:rPr>
          <w:rFonts w:eastAsia="Calibri"/>
          <w:b/>
          <w:bCs/>
        </w:rPr>
        <w:t>.</w:t>
      </w:r>
    </w:p>
    <w:bookmarkEnd w:id="47"/>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hint="cs"/>
          <w:b/>
          <w:bCs/>
          <w:rtl/>
        </w:rPr>
        <w:t xml:space="preserve">כמו כן היות שמשרד </w:t>
      </w:r>
      <w:r w:rsidRPr="00861D72">
        <w:rPr>
          <w:rFonts w:eastAsia="Calibri" w:hint="cs"/>
          <w:b/>
          <w:bCs/>
          <w:rtl/>
        </w:rPr>
        <w:t>רה"ם</w:t>
      </w:r>
      <w:r w:rsidRPr="00861D72">
        <w:rPr>
          <w:rFonts w:eastAsia="Calibri" w:hint="cs"/>
          <w:b/>
          <w:bCs/>
          <w:rtl/>
        </w:rPr>
        <w:t xml:space="preserve"> </w:t>
      </w:r>
      <w:r w:rsidRPr="00861D72">
        <w:rPr>
          <w:rFonts w:eastAsia="Calibri"/>
          <w:b/>
          <w:bCs/>
          <w:rtl/>
        </w:rPr>
        <w:t xml:space="preserve">מתמחה בהובלת רפורמות ותהליכים בין-משרדיים, בתיאום בין רשויות ובתרגום חזון ליעדים ולמדדים, </w:t>
      </w:r>
      <w:r w:rsidRPr="00861D72">
        <w:rPr>
          <w:rFonts w:eastAsia="Calibri" w:hint="cs"/>
          <w:b/>
          <w:bCs/>
          <w:rtl/>
        </w:rPr>
        <w:t>ומכיוון ש</w:t>
      </w:r>
      <w:r w:rsidRPr="00861D72">
        <w:rPr>
          <w:rFonts w:eastAsia="Calibri"/>
          <w:b/>
          <w:bCs/>
          <w:rtl/>
        </w:rPr>
        <w:t xml:space="preserve">המועצה הלאומית לכלכלה שבמשרד סימנה </w:t>
      </w:r>
      <w:r w:rsidRPr="00861D72">
        <w:rPr>
          <w:rFonts w:ascii="David" w:eastAsia="Calibri" w:hAnsi="David"/>
          <w:b/>
          <w:bCs/>
          <w:sz w:val="24"/>
          <w:rtl/>
        </w:rPr>
        <w:t>את הזדקנות האוכלוסייה כאתגר אסטרטגי לאומי</w:t>
      </w:r>
      <w:r>
        <w:rPr>
          <w:rFonts w:ascii="David" w:eastAsia="Calibri" w:hAnsi="David"/>
          <w:b/>
          <w:bCs/>
          <w:sz w:val="24"/>
          <w:vertAlign w:val="superscript"/>
          <w:rtl/>
        </w:rPr>
        <w:footnoteReference w:id="109"/>
      </w:r>
      <w:r w:rsidRPr="00861D72">
        <w:rPr>
          <w:rFonts w:ascii="David" w:eastAsia="Calibri" w:hAnsi="David" w:hint="cs"/>
          <w:b/>
          <w:bCs/>
          <w:sz w:val="24"/>
          <w:rtl/>
        </w:rPr>
        <w:t>,</w:t>
      </w:r>
      <w:r w:rsidRPr="00861D72">
        <w:rPr>
          <w:rFonts w:ascii="David" w:eastAsia="Calibri" w:hAnsi="David"/>
          <w:b/>
          <w:bCs/>
          <w:sz w:val="24"/>
          <w:rtl/>
        </w:rPr>
        <w:t xml:space="preserve"> </w:t>
      </w:r>
      <w:r w:rsidRPr="00861D72">
        <w:rPr>
          <w:rFonts w:ascii="David" w:eastAsia="Calibri" w:hAnsi="David" w:hint="cs"/>
          <w:b/>
          <w:bCs/>
          <w:sz w:val="24"/>
          <w:rtl/>
        </w:rPr>
        <w:t>מומלץ לבחון את מינויו האפשרי כ</w:t>
      </w:r>
      <w:r w:rsidRPr="00861D72">
        <w:rPr>
          <w:rFonts w:ascii="David" w:eastAsia="Calibri" w:hAnsi="David"/>
          <w:b/>
          <w:bCs/>
          <w:sz w:val="24"/>
          <w:rtl/>
        </w:rPr>
        <w:t>גורם</w:t>
      </w:r>
      <w:r w:rsidRPr="00861D72">
        <w:rPr>
          <w:rFonts w:eastAsia="Calibri"/>
          <w:b/>
          <w:bCs/>
          <w:rtl/>
        </w:rPr>
        <w:t xml:space="preserve"> </w:t>
      </w:r>
      <w:r w:rsidRPr="00861D72">
        <w:rPr>
          <w:rFonts w:eastAsia="Calibri"/>
          <w:b/>
          <w:bCs/>
          <w:rtl/>
        </w:rPr>
        <w:t>מתכלל</w:t>
      </w:r>
      <w:r w:rsidRPr="00861D72">
        <w:rPr>
          <w:rFonts w:eastAsia="Calibri"/>
          <w:b/>
          <w:bCs/>
          <w:rtl/>
        </w:rPr>
        <w:t xml:space="preserve">, </w:t>
      </w:r>
      <w:r w:rsidRPr="00861D72">
        <w:rPr>
          <w:rFonts w:eastAsia="Calibri" w:hint="cs"/>
          <w:b/>
          <w:bCs/>
          <w:rtl/>
        </w:rPr>
        <w:t>מאחר ש</w:t>
      </w:r>
      <w:r w:rsidRPr="00861D72">
        <w:rPr>
          <w:rFonts w:eastAsia="Calibri"/>
          <w:b/>
          <w:bCs/>
          <w:rtl/>
        </w:rPr>
        <w:t xml:space="preserve">כבר בהחלטת ממשלה משנת 2006 נקבע כי יחידת הסמך שבו תפעל כגוף מטה לתיאום מדיניות לשיפור איכות חיי הגמלאים. </w:t>
      </w:r>
      <w:r w:rsidRPr="00861D72">
        <w:rPr>
          <w:rFonts w:eastAsia="Calibri" w:hint="cs"/>
          <w:b/>
          <w:bCs/>
          <w:rtl/>
        </w:rPr>
        <w:t xml:space="preserve">כמו כן, </w:t>
      </w:r>
      <w:r w:rsidRPr="00861D72">
        <w:rPr>
          <w:rFonts w:eastAsia="Calibri"/>
          <w:b/>
          <w:bCs/>
          <w:rtl/>
        </w:rPr>
        <w:t xml:space="preserve">לאחרונה אף החל אגף ממשל וחברה במשרד </w:t>
      </w:r>
      <w:r w:rsidRPr="00861D72">
        <w:rPr>
          <w:rFonts w:eastAsia="Calibri" w:hint="cs"/>
          <w:b/>
          <w:bCs/>
          <w:rtl/>
        </w:rPr>
        <w:t>רה"ם</w:t>
      </w:r>
      <w:r w:rsidRPr="00861D72">
        <w:rPr>
          <w:rFonts w:eastAsia="Calibri" w:hint="cs"/>
          <w:b/>
          <w:bCs/>
          <w:rtl/>
        </w:rPr>
        <w:t xml:space="preserve"> </w:t>
      </w:r>
      <w:r w:rsidRPr="00861D72">
        <w:rPr>
          <w:rFonts w:eastAsia="Calibri"/>
          <w:b/>
          <w:bCs/>
          <w:rtl/>
        </w:rPr>
        <w:t>בתהליך ניסיוני של תכנון משותף לתוכניות העבודה הממשלתיות בנושא הזדקנות מיטבית</w:t>
      </w:r>
      <w:r>
        <w:rPr>
          <w:rFonts w:eastAsia="Calibri"/>
          <w:b/>
          <w:bCs/>
          <w:vertAlign w:val="superscript"/>
          <w:rtl/>
        </w:rPr>
        <w:footnoteReference w:id="110"/>
      </w:r>
      <w:r w:rsidRPr="00861D72">
        <w:rPr>
          <w:rFonts w:eastAsia="Calibri" w:hint="cs"/>
          <w:b/>
          <w:bCs/>
          <w:rtl/>
        </w:rPr>
        <w:t>,</w:t>
      </w:r>
      <w:r w:rsidRPr="00861D72">
        <w:rPr>
          <w:rFonts w:eastAsia="Calibri"/>
          <w:b/>
          <w:bCs/>
          <w:rtl/>
        </w:rPr>
        <w:t xml:space="preserve"> צעד הממחיש את הפוטנציאל שלו לשמש זרוע תכלול יעילה ומובילה בתחום זה</w:t>
      </w:r>
      <w:r w:rsidRPr="00861D72">
        <w:rPr>
          <w:rFonts w:eastAsia="Calibri"/>
          <w:b/>
          <w:bCs/>
        </w:rPr>
        <w:t>.</w:t>
      </w:r>
    </w:p>
    <w:p w:rsidR="00861D72" w:rsidRPr="00861D72" w:rsidP="00F90255">
      <w:pPr>
        <w:spacing w:line="269" w:lineRule="auto"/>
        <w:rPr>
          <w:rFonts w:eastAsia="Calibri"/>
          <w:b/>
          <w:bCs/>
          <w:rtl/>
        </w:rPr>
      </w:pPr>
    </w:p>
    <w:p w:rsidR="00861D72" w:rsidRPr="00861D72" w:rsidP="00F90255">
      <w:pPr>
        <w:spacing w:line="269" w:lineRule="auto"/>
        <w:rPr>
          <w:rFonts w:ascii="David" w:eastAsia="Calibri" w:hAnsi="David"/>
          <w:sz w:val="24"/>
          <w:rtl/>
        </w:rPr>
      </w:pPr>
      <w:r w:rsidRPr="00861D72">
        <w:rPr>
          <w:rFonts w:ascii="David" w:eastAsia="Calibri" w:hAnsi="David" w:hint="cs"/>
          <w:sz w:val="24"/>
          <w:rtl/>
        </w:rPr>
        <w:t xml:space="preserve">להלן התייחסות הגורמים השונים לסוגיית </w:t>
      </w:r>
      <w:r w:rsidRPr="00861D72">
        <w:rPr>
          <w:rFonts w:ascii="David" w:eastAsia="Calibri" w:hAnsi="David" w:hint="cs"/>
          <w:sz w:val="24"/>
          <w:rtl/>
        </w:rPr>
        <w:t>התכלול</w:t>
      </w:r>
      <w:r w:rsidRPr="00861D72">
        <w:rPr>
          <w:rFonts w:ascii="David" w:eastAsia="Calibri" w:hAnsi="David" w:hint="cs"/>
          <w:sz w:val="24"/>
          <w:rtl/>
        </w:rPr>
        <w:t xml:space="preserve"> של תחום הזדקנות האוכלוסייה:</w:t>
      </w:r>
    </w:p>
    <w:p w:rsidR="00861D72" w:rsidRPr="00861D72" w:rsidP="00F90255">
      <w:pPr>
        <w:spacing w:line="269" w:lineRule="auto"/>
        <w:rPr>
          <w:rFonts w:ascii="David" w:eastAsia="Calibri" w:hAnsi="David"/>
          <w:sz w:val="24"/>
          <w:rtl/>
        </w:rPr>
      </w:pPr>
    </w:p>
    <w:p w:rsidR="00861D72" w:rsidRPr="00861D72" w:rsidP="00F90255">
      <w:pPr>
        <w:numPr>
          <w:ilvl w:val="0"/>
          <w:numId w:val="20"/>
        </w:numPr>
        <w:spacing w:line="269" w:lineRule="auto"/>
        <w:rPr>
          <w:rFonts w:ascii="David" w:eastAsia="Calibri" w:hAnsi="David"/>
          <w:sz w:val="24"/>
        </w:rPr>
      </w:pPr>
      <w:r w:rsidRPr="00861D72">
        <w:rPr>
          <w:rFonts w:ascii="David" w:eastAsia="Calibri" w:hAnsi="David"/>
          <w:sz w:val="24"/>
          <w:rtl/>
        </w:rPr>
        <w:t xml:space="preserve">משרד </w:t>
      </w:r>
      <w:r w:rsidRPr="00861D72">
        <w:rPr>
          <w:rFonts w:ascii="David" w:eastAsia="Calibri" w:hAnsi="David"/>
          <w:sz w:val="24"/>
          <w:rtl/>
        </w:rPr>
        <w:t>רה"ם</w:t>
      </w:r>
      <w:r w:rsidRPr="00861D72">
        <w:rPr>
          <w:rFonts w:ascii="David" w:eastAsia="Calibri" w:hAnsi="David"/>
          <w:sz w:val="24"/>
          <w:rtl/>
        </w:rPr>
        <w:t xml:space="preserve"> מסר בת</w:t>
      </w:r>
      <w:r w:rsidRPr="00861D72">
        <w:rPr>
          <w:rFonts w:ascii="David" w:eastAsia="Calibri" w:hAnsi="David" w:hint="cs"/>
          <w:sz w:val="24"/>
          <w:rtl/>
        </w:rPr>
        <w:t>ש</w:t>
      </w:r>
      <w:r w:rsidRPr="00861D72">
        <w:rPr>
          <w:rFonts w:ascii="David" w:eastAsia="Calibri" w:hAnsi="David"/>
          <w:sz w:val="24"/>
          <w:rtl/>
        </w:rPr>
        <w:t xml:space="preserve">ובתו כי הגדרת גוף </w:t>
      </w:r>
      <w:r w:rsidRPr="00861D72">
        <w:rPr>
          <w:rFonts w:ascii="David" w:eastAsia="Calibri" w:hAnsi="David"/>
          <w:sz w:val="24"/>
          <w:rtl/>
        </w:rPr>
        <w:t>מתכלל</w:t>
      </w:r>
      <w:r w:rsidRPr="00861D72">
        <w:rPr>
          <w:rFonts w:ascii="David" w:eastAsia="Calibri" w:hAnsi="David"/>
          <w:sz w:val="24"/>
          <w:rtl/>
        </w:rPr>
        <w:t xml:space="preserve"> כרוכה בשיקולי מדיניות </w:t>
      </w:r>
      <w:r w:rsidRPr="00861D72">
        <w:rPr>
          <w:rFonts w:ascii="David" w:eastAsia="Calibri" w:hAnsi="David"/>
          <w:sz w:val="24"/>
          <w:rtl/>
        </w:rPr>
        <w:t>ות</w:t>
      </w:r>
      <w:r w:rsidRPr="00861D72">
        <w:rPr>
          <w:rFonts w:ascii="David" w:eastAsia="Calibri" w:hAnsi="David" w:hint="cs"/>
          <w:sz w:val="24"/>
          <w:rtl/>
        </w:rPr>
        <w:t>י</w:t>
      </w:r>
      <w:r w:rsidRPr="00861D72">
        <w:rPr>
          <w:rFonts w:ascii="David" w:eastAsia="Calibri" w:hAnsi="David"/>
          <w:sz w:val="24"/>
          <w:rtl/>
        </w:rPr>
        <w:t>עדוף</w:t>
      </w:r>
      <w:r w:rsidRPr="00861D72">
        <w:rPr>
          <w:rFonts w:ascii="David" w:eastAsia="Calibri" w:hAnsi="David"/>
          <w:sz w:val="24"/>
          <w:rtl/>
        </w:rPr>
        <w:t xml:space="preserve"> תחומי אחריות ומשאבים, ובהתאם הוא יבחן את התועלות של הגדרת גוף </w:t>
      </w:r>
      <w:r w:rsidRPr="00861D72">
        <w:rPr>
          <w:rFonts w:ascii="David" w:eastAsia="Calibri" w:hAnsi="David"/>
          <w:sz w:val="24"/>
          <w:rtl/>
        </w:rPr>
        <w:t>מתכלל</w:t>
      </w:r>
      <w:r w:rsidRPr="00861D72">
        <w:rPr>
          <w:rFonts w:ascii="David" w:eastAsia="Calibri" w:hAnsi="David"/>
          <w:sz w:val="24"/>
          <w:rtl/>
        </w:rPr>
        <w:t xml:space="preserve"> לצד חלופות נוספות לביסוס מ</w:t>
      </w:r>
      <w:r w:rsidRPr="00861D72">
        <w:rPr>
          <w:rFonts w:ascii="David" w:eastAsia="Calibri" w:hAnsi="David" w:hint="cs"/>
          <w:sz w:val="24"/>
          <w:rtl/>
        </w:rPr>
        <w:t>נגנו</w:t>
      </w:r>
      <w:r w:rsidRPr="00861D72">
        <w:rPr>
          <w:rFonts w:ascii="David" w:eastAsia="Calibri" w:hAnsi="David"/>
          <w:sz w:val="24"/>
          <w:rtl/>
        </w:rPr>
        <w:t xml:space="preserve">ני תיאום ועבודה משותפים, תוך בחינת השיקולים השונים; </w:t>
      </w:r>
    </w:p>
    <w:p w:rsidR="00861D72" w:rsidRPr="00861D72" w:rsidP="00F90255">
      <w:pPr>
        <w:spacing w:line="269" w:lineRule="auto"/>
        <w:ind w:left="340"/>
        <w:rPr>
          <w:rFonts w:ascii="David" w:eastAsia="Calibri" w:hAnsi="David"/>
          <w:sz w:val="24"/>
        </w:rPr>
      </w:pPr>
    </w:p>
    <w:p w:rsidR="00861D72" w:rsidRPr="00861D72" w:rsidP="00F90255">
      <w:pPr>
        <w:numPr>
          <w:ilvl w:val="0"/>
          <w:numId w:val="20"/>
        </w:numPr>
        <w:spacing w:line="269" w:lineRule="auto"/>
        <w:rPr>
          <w:rFonts w:ascii="David" w:eastAsia="Calibri" w:hAnsi="David"/>
          <w:sz w:val="24"/>
          <w:rtl/>
        </w:rPr>
      </w:pPr>
      <w:r w:rsidRPr="00861D72">
        <w:rPr>
          <w:rFonts w:ascii="David" w:eastAsia="Calibri" w:hAnsi="David"/>
          <w:sz w:val="24"/>
          <w:rtl/>
        </w:rPr>
        <w:t>משרד האוצר התייחס בת</w:t>
      </w:r>
      <w:r w:rsidRPr="00861D72">
        <w:rPr>
          <w:rFonts w:ascii="David" w:eastAsia="Calibri" w:hAnsi="David" w:hint="cs"/>
          <w:sz w:val="24"/>
          <w:rtl/>
        </w:rPr>
        <w:t>ש</w:t>
      </w:r>
      <w:r w:rsidRPr="00861D72">
        <w:rPr>
          <w:rFonts w:ascii="David" w:eastAsia="Calibri" w:hAnsi="David"/>
          <w:sz w:val="24"/>
          <w:rtl/>
        </w:rPr>
        <w:t>ובתו</w:t>
      </w:r>
      <w:r w:rsidRPr="00861D72">
        <w:rPr>
          <w:rFonts w:ascii="David" w:eastAsia="Calibri" w:hAnsi="David" w:hint="cs"/>
          <w:sz w:val="24"/>
          <w:rtl/>
        </w:rPr>
        <w:t xml:space="preserve"> למשרד מבקר המדינה ממאי 2026 (להלן - תשובת משרד האוצר)</w:t>
      </w:r>
      <w:r w:rsidRPr="00861D72">
        <w:rPr>
          <w:rFonts w:ascii="David" w:eastAsia="Calibri" w:hAnsi="David"/>
          <w:sz w:val="24"/>
          <w:rtl/>
        </w:rPr>
        <w:t xml:space="preserve"> לנושא זה וציין כי לעמדתו קיים קושי לקדם מהלכים משמעותיים בתחום נוכח ריבוי השחקנים, וכי נדרש לצמצם את הפיצול הקיים בתחום ואת מספר הגורמים המעורבים בו ולקבוע גורם </w:t>
      </w:r>
      <w:r w:rsidRPr="00861D72">
        <w:rPr>
          <w:rFonts w:ascii="David" w:eastAsia="Calibri" w:hAnsi="David"/>
          <w:sz w:val="24"/>
          <w:rtl/>
        </w:rPr>
        <w:t>מתכלל</w:t>
      </w:r>
      <w:r w:rsidRPr="00861D72">
        <w:rPr>
          <w:rFonts w:ascii="David" w:eastAsia="Calibri" w:hAnsi="David"/>
          <w:sz w:val="24"/>
          <w:rtl/>
        </w:rPr>
        <w:t xml:space="preserve"> אחד שיעסוק בסוגיה באופן שוטף;</w:t>
      </w:r>
      <w:r w:rsidRPr="00861D72">
        <w:rPr>
          <w:rFonts w:ascii="David" w:eastAsia="Calibri" w:hAnsi="David" w:hint="cs"/>
          <w:sz w:val="24"/>
          <w:rtl/>
        </w:rPr>
        <w:t xml:space="preserve"> </w:t>
      </w:r>
    </w:p>
    <w:p w:rsidR="00861D72" w:rsidRPr="00861D72" w:rsidP="00F90255">
      <w:pPr>
        <w:spacing w:line="269" w:lineRule="auto"/>
        <w:rPr>
          <w:rFonts w:eastAsia="Calibri"/>
        </w:rPr>
      </w:pPr>
    </w:p>
    <w:p w:rsidR="00861D72" w:rsidRPr="00861D72" w:rsidP="00F90255">
      <w:pPr>
        <w:numPr>
          <w:ilvl w:val="0"/>
          <w:numId w:val="20"/>
        </w:numPr>
        <w:spacing w:line="269" w:lineRule="auto"/>
        <w:rPr>
          <w:rFonts w:ascii="David" w:eastAsia="Calibri" w:hAnsi="David"/>
          <w:sz w:val="24"/>
        </w:rPr>
      </w:pPr>
      <w:r w:rsidRPr="00861D72">
        <w:rPr>
          <w:rFonts w:ascii="David" w:eastAsia="Calibri" w:hAnsi="David"/>
          <w:sz w:val="24"/>
          <w:rtl/>
        </w:rPr>
        <w:t>בט"ל</w:t>
      </w:r>
      <w:r w:rsidRPr="00861D72">
        <w:rPr>
          <w:rFonts w:ascii="David" w:eastAsia="Calibri" w:hAnsi="David"/>
          <w:sz w:val="24"/>
          <w:rtl/>
        </w:rPr>
        <w:t xml:space="preserve"> ציין בת</w:t>
      </w:r>
      <w:r w:rsidRPr="00861D72">
        <w:rPr>
          <w:rFonts w:ascii="David" w:eastAsia="Calibri" w:hAnsi="David" w:hint="cs"/>
          <w:sz w:val="24"/>
          <w:rtl/>
        </w:rPr>
        <w:t>ש</w:t>
      </w:r>
      <w:r w:rsidRPr="00861D72">
        <w:rPr>
          <w:rFonts w:ascii="David" w:eastAsia="Calibri" w:hAnsi="David"/>
          <w:sz w:val="24"/>
          <w:rtl/>
        </w:rPr>
        <w:t>ובתו</w:t>
      </w:r>
      <w:r w:rsidRPr="00861D72">
        <w:rPr>
          <w:rFonts w:ascii="David" w:eastAsia="Calibri" w:hAnsi="David" w:hint="cs"/>
          <w:sz w:val="24"/>
          <w:rtl/>
        </w:rPr>
        <w:t xml:space="preserve"> למשרד מבקר המדינה ממאי 2026 (להלן - תשובת </w:t>
      </w:r>
      <w:r w:rsidRPr="00861D72">
        <w:rPr>
          <w:rFonts w:ascii="David" w:eastAsia="Calibri" w:hAnsi="David" w:hint="cs"/>
          <w:sz w:val="24"/>
          <w:rtl/>
        </w:rPr>
        <w:t>בט"ל</w:t>
      </w:r>
      <w:r w:rsidRPr="00861D72">
        <w:rPr>
          <w:rFonts w:ascii="David" w:eastAsia="Calibri" w:hAnsi="David" w:hint="cs"/>
          <w:sz w:val="24"/>
          <w:rtl/>
        </w:rPr>
        <w:t>)</w:t>
      </w:r>
      <w:r w:rsidRPr="00861D72">
        <w:rPr>
          <w:rFonts w:ascii="David" w:eastAsia="Calibri" w:hAnsi="David"/>
          <w:sz w:val="24"/>
          <w:rtl/>
        </w:rPr>
        <w:t xml:space="preserve"> כי הוא מקבל את המלצת הביקורת בדבר הצורך בגורם </w:t>
      </w:r>
      <w:r w:rsidRPr="00861D72">
        <w:rPr>
          <w:rFonts w:ascii="David" w:eastAsia="Calibri" w:hAnsi="David"/>
          <w:sz w:val="24"/>
          <w:rtl/>
        </w:rPr>
        <w:t>מתכלל</w:t>
      </w:r>
      <w:r w:rsidRPr="00861D72">
        <w:rPr>
          <w:rFonts w:ascii="David" w:eastAsia="Calibri" w:hAnsi="David"/>
          <w:sz w:val="24"/>
          <w:rtl/>
        </w:rPr>
        <w:t>, ו</w:t>
      </w:r>
      <w:r w:rsidRPr="00861D72">
        <w:rPr>
          <w:rFonts w:ascii="David" w:eastAsia="Calibri" w:hAnsi="David" w:hint="cs"/>
          <w:sz w:val="24"/>
          <w:rtl/>
        </w:rPr>
        <w:t>ה</w:t>
      </w:r>
      <w:r w:rsidRPr="00861D72">
        <w:rPr>
          <w:rFonts w:ascii="David" w:eastAsia="Calibri" w:hAnsi="David"/>
          <w:sz w:val="24"/>
          <w:rtl/>
        </w:rPr>
        <w:t xml:space="preserve">וסיף כי </w:t>
      </w:r>
      <w:r w:rsidRPr="00861D72">
        <w:rPr>
          <w:rFonts w:ascii="David" w:eastAsia="Calibri" w:hAnsi="David" w:hint="cs"/>
          <w:sz w:val="24"/>
          <w:rtl/>
        </w:rPr>
        <w:t>ה</w:t>
      </w:r>
      <w:r w:rsidRPr="00861D72">
        <w:rPr>
          <w:rFonts w:ascii="David" w:eastAsia="Calibri" w:hAnsi="David"/>
          <w:sz w:val="24"/>
          <w:rtl/>
        </w:rPr>
        <w:t xml:space="preserve">יום פורום </w:t>
      </w:r>
      <w:r w:rsidRPr="00861D72">
        <w:rPr>
          <w:rFonts w:ascii="David" w:eastAsia="Calibri" w:hAnsi="David"/>
          <w:sz w:val="24"/>
          <w:rtl/>
        </w:rPr>
        <w:t>בר"ק</w:t>
      </w:r>
      <w:r>
        <w:rPr>
          <w:rFonts w:ascii="David" w:eastAsia="Calibri" w:hAnsi="David"/>
          <w:sz w:val="24"/>
          <w:vertAlign w:val="superscript"/>
          <w:rtl/>
        </w:rPr>
        <w:footnoteReference w:id="111"/>
      </w:r>
      <w:r w:rsidRPr="00861D72">
        <w:rPr>
          <w:rFonts w:ascii="David" w:eastAsia="Calibri" w:hAnsi="David"/>
          <w:sz w:val="24"/>
          <w:rtl/>
        </w:rPr>
        <w:t xml:space="preserve"> </w:t>
      </w:r>
      <w:r w:rsidRPr="00861D72">
        <w:rPr>
          <w:rFonts w:ascii="David" w:eastAsia="Calibri" w:hAnsi="David" w:hint="cs"/>
          <w:sz w:val="24"/>
          <w:rtl/>
        </w:rPr>
        <w:t>הוא</w:t>
      </w:r>
      <w:r w:rsidRPr="00861D72">
        <w:rPr>
          <w:rFonts w:ascii="David" w:eastAsia="Calibri" w:hAnsi="David"/>
          <w:sz w:val="24"/>
          <w:rtl/>
        </w:rPr>
        <w:t xml:space="preserve"> מנגנון </w:t>
      </w:r>
      <w:r w:rsidRPr="00861D72">
        <w:rPr>
          <w:rFonts w:ascii="David" w:eastAsia="Calibri" w:hAnsi="David"/>
          <w:sz w:val="24"/>
          <w:rtl/>
        </w:rPr>
        <w:t>התכלול</w:t>
      </w:r>
      <w:r w:rsidRPr="00861D72">
        <w:rPr>
          <w:rFonts w:ascii="David" w:eastAsia="Calibri" w:hAnsi="David"/>
          <w:sz w:val="24"/>
          <w:rtl/>
        </w:rPr>
        <w:t xml:space="preserve"> המעשי האפקטיבי ביותר; </w:t>
      </w:r>
    </w:p>
    <w:p w:rsidR="00861D72" w:rsidRPr="00861D72" w:rsidP="00F90255">
      <w:pPr>
        <w:spacing w:line="269" w:lineRule="auto"/>
        <w:rPr>
          <w:rFonts w:ascii="David" w:eastAsia="Calibri" w:hAnsi="David"/>
          <w:sz w:val="24"/>
        </w:rPr>
      </w:pPr>
    </w:p>
    <w:p w:rsidR="00861D72" w:rsidRPr="00861D72" w:rsidP="00F90255">
      <w:pPr>
        <w:numPr>
          <w:ilvl w:val="0"/>
          <w:numId w:val="20"/>
        </w:numPr>
        <w:spacing w:line="269" w:lineRule="auto"/>
        <w:rPr>
          <w:rFonts w:ascii="David" w:eastAsia="Calibri" w:hAnsi="David"/>
          <w:sz w:val="24"/>
        </w:rPr>
      </w:pPr>
      <w:r w:rsidRPr="00861D72">
        <w:rPr>
          <w:rFonts w:ascii="David" w:eastAsia="Calibri" w:hAnsi="David"/>
          <w:sz w:val="24"/>
          <w:rtl/>
        </w:rPr>
        <w:t xml:space="preserve">משרד הרווחה ציין בתשובתו </w:t>
      </w:r>
      <w:r w:rsidRPr="00861D72">
        <w:rPr>
          <w:rFonts w:ascii="David" w:eastAsia="Calibri" w:hAnsi="David" w:hint="cs"/>
          <w:sz w:val="24"/>
          <w:rtl/>
        </w:rPr>
        <w:t xml:space="preserve">למשרד מבקר המדינה </w:t>
      </w:r>
      <w:r w:rsidRPr="00861D72">
        <w:rPr>
          <w:rFonts w:ascii="David" w:eastAsia="Calibri" w:hAnsi="David"/>
          <w:sz w:val="24"/>
          <w:rtl/>
        </w:rPr>
        <w:t xml:space="preserve">ממאי 2026 (להלן </w:t>
      </w:r>
      <w:r w:rsidRPr="00861D72">
        <w:rPr>
          <w:rFonts w:ascii="David" w:eastAsia="Calibri" w:hAnsi="David" w:hint="cs"/>
          <w:sz w:val="24"/>
          <w:rtl/>
        </w:rPr>
        <w:t xml:space="preserve">- תשובת </w:t>
      </w:r>
      <w:r w:rsidRPr="00861D72">
        <w:rPr>
          <w:rFonts w:ascii="David" w:eastAsia="Calibri" w:hAnsi="David"/>
          <w:sz w:val="24"/>
          <w:rtl/>
        </w:rPr>
        <w:t>משרד הרווחה</w:t>
      </w:r>
      <w:r w:rsidRPr="00861D72">
        <w:rPr>
          <w:rFonts w:ascii="David" w:eastAsia="Calibri" w:hAnsi="David" w:hint="cs"/>
          <w:sz w:val="24"/>
          <w:rtl/>
        </w:rPr>
        <w:t>)</w:t>
      </w:r>
      <w:r w:rsidRPr="00861D72">
        <w:rPr>
          <w:rFonts w:ascii="David" w:eastAsia="Calibri" w:hAnsi="David"/>
          <w:sz w:val="24"/>
          <w:rtl/>
        </w:rPr>
        <w:t xml:space="preserve"> כי </w:t>
      </w:r>
      <w:r w:rsidRPr="00861D72">
        <w:rPr>
          <w:rFonts w:ascii="David" w:eastAsia="Calibri" w:hAnsi="David" w:hint="cs"/>
          <w:sz w:val="24"/>
          <w:rtl/>
        </w:rPr>
        <w:t xml:space="preserve">תחום ההזדקנות מחייב גורם ממשלתי </w:t>
      </w:r>
      <w:r w:rsidRPr="00861D72">
        <w:rPr>
          <w:rFonts w:ascii="David" w:eastAsia="Calibri" w:hAnsi="David" w:hint="cs"/>
          <w:sz w:val="24"/>
          <w:rtl/>
        </w:rPr>
        <w:t>מתכלל</w:t>
      </w:r>
      <w:r w:rsidRPr="00861D72">
        <w:rPr>
          <w:rFonts w:ascii="David" w:eastAsia="Calibri" w:hAnsi="David" w:hint="cs"/>
          <w:sz w:val="24"/>
          <w:rtl/>
        </w:rPr>
        <w:t xml:space="preserve"> בעל פריסה ארצית, תשתית מקצועית, יכולות ביצוע, מנגנוני פיקוח ועבודה ישירה מול הרשויות המקומיות והקהילה. הוא הוסיף כי </w:t>
      </w:r>
      <w:r w:rsidRPr="00861D72">
        <w:rPr>
          <w:rFonts w:ascii="David" w:eastAsia="Calibri" w:hAnsi="David"/>
          <w:sz w:val="24"/>
          <w:rtl/>
        </w:rPr>
        <w:t xml:space="preserve">נוכח </w:t>
      </w:r>
      <w:r w:rsidRPr="00861D72">
        <w:rPr>
          <w:rFonts w:ascii="David" w:eastAsia="Calibri" w:hAnsi="David" w:hint="cs"/>
          <w:sz w:val="24"/>
          <w:rtl/>
        </w:rPr>
        <w:t>המבנה הארגוני שלו ונוכח מומחיותו המקצועיות</w:t>
      </w:r>
      <w:r w:rsidRPr="00861D72">
        <w:rPr>
          <w:rFonts w:ascii="David" w:eastAsia="Calibri" w:hAnsi="David"/>
          <w:sz w:val="24"/>
          <w:rtl/>
        </w:rPr>
        <w:t xml:space="preserve"> הוא מ</w:t>
      </w:r>
      <w:r w:rsidRPr="00861D72">
        <w:rPr>
          <w:rFonts w:ascii="David" w:eastAsia="Calibri" w:hAnsi="David" w:hint="cs"/>
          <w:sz w:val="24"/>
          <w:rtl/>
        </w:rPr>
        <w:t>תאים</w:t>
      </w:r>
      <w:r w:rsidRPr="00861D72">
        <w:rPr>
          <w:rFonts w:ascii="David" w:eastAsia="Calibri" w:hAnsi="David"/>
          <w:sz w:val="24"/>
          <w:rtl/>
        </w:rPr>
        <w:t xml:space="preserve"> </w:t>
      </w:r>
      <w:r w:rsidRPr="00861D72">
        <w:rPr>
          <w:rFonts w:ascii="David" w:eastAsia="Calibri" w:hAnsi="David" w:hint="cs"/>
          <w:sz w:val="24"/>
          <w:rtl/>
        </w:rPr>
        <w:t>לתכלל</w:t>
      </w:r>
      <w:r w:rsidRPr="00861D72">
        <w:rPr>
          <w:rFonts w:ascii="David" w:eastAsia="Calibri" w:hAnsi="David" w:hint="cs"/>
          <w:sz w:val="24"/>
          <w:rtl/>
        </w:rPr>
        <w:t xml:space="preserve"> </w:t>
      </w:r>
      <w:r w:rsidRPr="00861D72">
        <w:rPr>
          <w:rFonts w:ascii="David" w:eastAsia="Calibri" w:hAnsi="David"/>
          <w:sz w:val="24"/>
          <w:rtl/>
        </w:rPr>
        <w:t>תחום זה ברמה הלאומית, בכפוף להתאמת הסמכויות, מנגנוני התיאום והמשאבים הנדרשים</w:t>
      </w:r>
      <w:r w:rsidRPr="00861D72">
        <w:rPr>
          <w:rFonts w:ascii="David" w:eastAsia="Calibri" w:hAnsi="David" w:hint="cs"/>
          <w:sz w:val="24"/>
          <w:rtl/>
        </w:rPr>
        <w:t>, וכי כבר כיום הוא מרכז חלק משמעותי מהמענים הקהילתיים בתחום הזקנה.</w:t>
      </w:r>
    </w:p>
    <w:p w:rsidR="00861D72" w:rsidRPr="00861D72" w:rsidP="00F90255">
      <w:pPr>
        <w:spacing w:line="269" w:lineRule="auto"/>
        <w:rPr>
          <w:rFonts w:eastAsia="Calibri"/>
          <w:rtl/>
        </w:rPr>
      </w:pPr>
    </w:p>
    <w:p w:rsidR="00861D72" w:rsidRPr="00861D72" w:rsidP="00F90255">
      <w:pPr>
        <w:spacing w:line="269" w:lineRule="auto"/>
        <w:rPr>
          <w:rFonts w:ascii="David" w:eastAsia="Calibri" w:hAnsi="David"/>
          <w:sz w:val="24"/>
          <w:rtl/>
        </w:rPr>
      </w:pPr>
      <w:r w:rsidRPr="00861D72">
        <w:rPr>
          <w:rFonts w:ascii="David" w:eastAsia="Calibri" w:hAnsi="David" w:hint="cs"/>
          <w:sz w:val="24"/>
          <w:rtl/>
        </w:rPr>
        <w:t xml:space="preserve">עם זאת, משרד הבריאות מסר בתשובתו </w:t>
      </w:r>
      <w:r w:rsidRPr="00861D72">
        <w:rPr>
          <w:rFonts w:ascii="David" w:eastAsia="Calibri" w:hAnsi="David"/>
          <w:sz w:val="24"/>
          <w:rtl/>
        </w:rPr>
        <w:t>כי בנושא רב-ממשקי, שבו מעורבים שותפים רבים</w:t>
      </w:r>
      <w:r w:rsidRPr="00861D72">
        <w:rPr>
          <w:rFonts w:ascii="David" w:eastAsia="Calibri" w:hAnsi="David" w:hint="cs"/>
          <w:sz w:val="24"/>
          <w:rtl/>
        </w:rPr>
        <w:t>,</w:t>
      </w:r>
      <w:r w:rsidRPr="00861D72">
        <w:rPr>
          <w:rFonts w:ascii="David" w:eastAsia="Calibri" w:hAnsi="David"/>
          <w:sz w:val="24"/>
          <w:rtl/>
        </w:rPr>
        <w:t xml:space="preserve"> ולכל אחד מהם תחומי אחריות שונים ולעיתים משיקים, לא תמיד נכון או ישים למנות גורם אחראי יחיד. </w:t>
      </w:r>
      <w:r w:rsidRPr="00861D72">
        <w:rPr>
          <w:rFonts w:ascii="David" w:eastAsia="Calibri" w:hAnsi="David" w:hint="cs"/>
          <w:sz w:val="24"/>
          <w:rtl/>
        </w:rPr>
        <w:t xml:space="preserve">הוא הוסיף כי </w:t>
      </w:r>
      <w:r w:rsidRPr="00861D72">
        <w:rPr>
          <w:rFonts w:ascii="David" w:eastAsia="Calibri" w:hAnsi="David"/>
          <w:sz w:val="24"/>
          <w:rtl/>
        </w:rPr>
        <w:t xml:space="preserve">יש מקום לקיומו של גוף </w:t>
      </w:r>
      <w:r w:rsidRPr="00861D72">
        <w:rPr>
          <w:rFonts w:ascii="David" w:eastAsia="Calibri" w:hAnsi="David"/>
          <w:sz w:val="24"/>
          <w:rtl/>
        </w:rPr>
        <w:t>מתכלל</w:t>
      </w:r>
      <w:r w:rsidRPr="00861D72">
        <w:rPr>
          <w:rFonts w:ascii="David" w:eastAsia="Calibri" w:hAnsi="David"/>
          <w:sz w:val="24"/>
          <w:rtl/>
        </w:rPr>
        <w:t xml:space="preserve">, אשר ירכז את תמונת המצב, יקבל דיווחים מהגורמים השונים ויסייע ביצירת תיאום בין השותפים. לצד זאת, חשוב להבחין בין תכלול לבין אחריות ביצועית: ניסיון העבר מלמד כי מינוי גורם </w:t>
      </w:r>
      <w:r w:rsidRPr="00861D72">
        <w:rPr>
          <w:rFonts w:ascii="David" w:eastAsia="Calibri" w:hAnsi="David"/>
          <w:sz w:val="24"/>
          <w:rtl/>
        </w:rPr>
        <w:t>מתכלל</w:t>
      </w:r>
      <w:r w:rsidRPr="00861D72">
        <w:rPr>
          <w:rFonts w:ascii="David" w:eastAsia="Calibri" w:hAnsi="David"/>
          <w:sz w:val="24"/>
          <w:rtl/>
        </w:rPr>
        <w:t xml:space="preserve"> או אחראי ללא סמכויות ממשיות </w:t>
      </w:r>
      <w:r w:rsidRPr="00861D72">
        <w:rPr>
          <w:rFonts w:ascii="David" w:eastAsia="Calibri" w:hAnsi="David" w:hint="cs"/>
          <w:sz w:val="24"/>
          <w:rtl/>
        </w:rPr>
        <w:t>לא הוכיח את עצמו בעבר</w:t>
      </w:r>
      <w:r w:rsidRPr="00861D72">
        <w:rPr>
          <w:rFonts w:ascii="David" w:eastAsia="Calibri" w:hAnsi="David"/>
          <w:sz w:val="24"/>
          <w:rtl/>
        </w:rPr>
        <w:t>, ועלול להגביל את יכולתו להוביל שינוי בפועל.</w:t>
      </w:r>
      <w:r w:rsidRPr="00861D72">
        <w:rPr>
          <w:rFonts w:ascii="David" w:eastAsia="Calibri" w:hAnsi="David" w:hint="cs"/>
          <w:sz w:val="24"/>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rtl/>
        </w:rPr>
        <w:t>המשרד לשוויון חברתי ציין בת</w:t>
      </w:r>
      <w:r w:rsidRPr="00861D72">
        <w:rPr>
          <w:rFonts w:eastAsia="Calibri" w:hint="cs"/>
          <w:rtl/>
        </w:rPr>
        <w:t>ש</w:t>
      </w:r>
      <w:r w:rsidRPr="00861D72">
        <w:rPr>
          <w:rFonts w:eastAsia="Calibri"/>
          <w:rtl/>
        </w:rPr>
        <w:t>ובתו כי סוגיית ההזדקנות אינה יכולה להיות מטופלת על ידי משרד אחד בלבד, אלא מחייבת מנגנון קבוע של עבודה ממשלתית משותפת</w:t>
      </w:r>
      <w:r w:rsidRPr="00861D72">
        <w:rPr>
          <w:rFonts w:eastAsia="Calibri" w:hint="cs"/>
          <w:rtl/>
        </w:rPr>
        <w:t>.</w:t>
      </w:r>
      <w:r w:rsidRPr="00861D72">
        <w:rPr>
          <w:rFonts w:eastAsia="Calibri"/>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b/>
          <w:bCs/>
          <w:rtl/>
        </w:rPr>
        <w:t xml:space="preserve">עולה מכאן כי בתשובותיהם לממצאי הביקורת הסכימו משרד </w:t>
      </w:r>
      <w:r w:rsidRPr="00861D72">
        <w:rPr>
          <w:rFonts w:eastAsia="Calibri" w:hint="cs"/>
          <w:b/>
          <w:bCs/>
          <w:rtl/>
        </w:rPr>
        <w:t>רה"ם</w:t>
      </w:r>
      <w:r w:rsidRPr="00861D72">
        <w:rPr>
          <w:rFonts w:eastAsia="Calibri" w:hint="cs"/>
          <w:b/>
          <w:bCs/>
          <w:rtl/>
        </w:rPr>
        <w:t xml:space="preserve">, משרד האוצר, </w:t>
      </w:r>
      <w:r w:rsidRPr="00861D72">
        <w:rPr>
          <w:rFonts w:eastAsia="Calibri" w:hint="cs"/>
          <w:b/>
          <w:bCs/>
          <w:rtl/>
        </w:rPr>
        <w:t>בט"ל</w:t>
      </w:r>
      <w:r w:rsidRPr="00861D72">
        <w:rPr>
          <w:rFonts w:eastAsia="Calibri" w:hint="cs"/>
          <w:b/>
          <w:bCs/>
          <w:rtl/>
        </w:rPr>
        <w:t xml:space="preserve"> ומשרד הרווחה בדבר הצורך והחשיבות במינוי גורם </w:t>
      </w:r>
      <w:r w:rsidRPr="00861D72">
        <w:rPr>
          <w:rFonts w:eastAsia="Calibri" w:hint="cs"/>
          <w:b/>
          <w:bCs/>
          <w:rtl/>
        </w:rPr>
        <w:t>מתכלל</w:t>
      </w:r>
      <w:r w:rsidRPr="00861D72">
        <w:rPr>
          <w:rFonts w:eastAsia="Calibri" w:hint="cs"/>
          <w:b/>
          <w:bCs/>
          <w:rtl/>
        </w:rPr>
        <w:t xml:space="preserve"> לסוגיית ההזדקנות, ובכלל זה נכונותם של חלק מהמשרדים לשמש גורם כזה. משרד הבריאות והמשרד לשוויון חברתי העלו שיקולים נוספים שיש לשקול במהלך שכזה. משרד מבקר המדינה ממליץ לגופי הממשל לקיים דיון משותף בנושא הגדרתו של גוף </w:t>
      </w:r>
      <w:r w:rsidRPr="00861D72">
        <w:rPr>
          <w:rFonts w:eastAsia="Calibri" w:hint="cs"/>
          <w:b/>
          <w:bCs/>
          <w:rtl/>
        </w:rPr>
        <w:t>מתכלל</w:t>
      </w:r>
      <w:r w:rsidRPr="00861D72">
        <w:rPr>
          <w:rFonts w:eastAsia="Calibri" w:hint="cs"/>
          <w:b/>
          <w:bCs/>
          <w:rtl/>
        </w:rPr>
        <w:t xml:space="preserve"> לתחום הזדקנות האוכלוסייה, ובהתאם לקדם הצעת מחליטים </w:t>
      </w:r>
      <w:r w:rsidRPr="00861D72">
        <w:rPr>
          <w:rFonts w:eastAsia="Calibri" w:hint="cs"/>
          <w:b/>
          <w:bCs/>
          <w:rtl/>
        </w:rPr>
        <w:t>לאסדרת</w:t>
      </w:r>
      <w:r w:rsidRPr="00861D72">
        <w:rPr>
          <w:rFonts w:eastAsia="Calibri" w:hint="cs"/>
          <w:b/>
          <w:bCs/>
          <w:rtl/>
        </w:rPr>
        <w:t xml:space="preserve"> התחום.</w:t>
      </w:r>
    </w:p>
    <w:p w:rsidR="00861D72" w:rsidRPr="00861D72" w:rsidP="00F90255">
      <w:pPr>
        <w:spacing w:line="269" w:lineRule="auto"/>
        <w:rPr>
          <w:rFonts w:eastAsia="Calibri"/>
          <w:rtl/>
        </w:rPr>
      </w:pPr>
    </w:p>
    <w:p w:rsidR="00861D72" w:rsidRPr="00861D72" w:rsidP="00F90255">
      <w:pPr>
        <w:widowControl w:val="0"/>
        <w:spacing w:line="269" w:lineRule="auto"/>
        <w:contextualSpacing/>
        <w:rPr>
          <w:rFonts w:ascii="David" w:eastAsia="Calibri" w:hAnsi="David"/>
          <w:rtl/>
          <w:lang w:eastAsia="he-IL"/>
        </w:rPr>
      </w:pPr>
      <w:r w:rsidRPr="00861D72">
        <w:rPr>
          <w:rFonts w:ascii="David" w:eastAsia="Calibri" w:hAnsi="David" w:hint="eastAsia"/>
          <w:rtl/>
          <w:lang w:eastAsia="he-IL"/>
        </w:rPr>
        <w:t>משרד</w:t>
      </w:r>
      <w:r w:rsidRPr="00861D72">
        <w:rPr>
          <w:rFonts w:ascii="David" w:eastAsia="Calibri" w:hAnsi="David"/>
          <w:rtl/>
          <w:lang w:eastAsia="he-IL"/>
        </w:rPr>
        <w:t xml:space="preserve"> מבקר המדינה בחן את ההשלכות </w:t>
      </w:r>
      <w:r w:rsidRPr="00861D72">
        <w:rPr>
          <w:rFonts w:ascii="David" w:eastAsia="Calibri" w:hAnsi="David" w:hint="cs"/>
          <w:rtl/>
          <w:lang w:eastAsia="he-IL"/>
        </w:rPr>
        <w:t>מהיעדר</w:t>
      </w:r>
      <w:r w:rsidRPr="00861D72">
        <w:rPr>
          <w:rFonts w:ascii="David" w:eastAsia="Calibri" w:hAnsi="David"/>
          <w:rtl/>
          <w:lang w:eastAsia="he-IL"/>
        </w:rPr>
        <w:t xml:space="preserve"> </w:t>
      </w:r>
      <w:r w:rsidRPr="00861D72">
        <w:rPr>
          <w:rFonts w:ascii="David" w:eastAsia="Calibri" w:hAnsi="David" w:hint="eastAsia"/>
          <w:rtl/>
          <w:lang w:eastAsia="he-IL"/>
        </w:rPr>
        <w:t>גורם</w:t>
      </w:r>
      <w:r w:rsidRPr="00861D72">
        <w:rPr>
          <w:rFonts w:ascii="David" w:eastAsia="Calibri" w:hAnsi="David"/>
          <w:rtl/>
          <w:lang w:eastAsia="he-IL"/>
        </w:rPr>
        <w:t xml:space="preserve"> </w:t>
      </w:r>
      <w:r w:rsidRPr="00861D72">
        <w:rPr>
          <w:rFonts w:ascii="David" w:eastAsia="Calibri" w:hAnsi="David" w:hint="eastAsia"/>
          <w:rtl/>
          <w:lang w:eastAsia="he-IL"/>
        </w:rPr>
        <w:t>מתכלל</w:t>
      </w:r>
      <w:r w:rsidRPr="00861D72">
        <w:rPr>
          <w:rFonts w:ascii="David" w:eastAsia="Calibri" w:hAnsi="David"/>
          <w:rtl/>
          <w:lang w:eastAsia="he-IL"/>
        </w:rPr>
        <w:t xml:space="preserve"> מרכזי לה</w:t>
      </w:r>
      <w:r w:rsidRPr="00861D72">
        <w:rPr>
          <w:rFonts w:ascii="David" w:eastAsia="Calibri" w:hAnsi="David" w:hint="cs"/>
          <w:rtl/>
          <w:lang w:eastAsia="he-IL"/>
        </w:rPr>
        <w:t>י</w:t>
      </w:r>
      <w:r w:rsidRPr="00861D72">
        <w:rPr>
          <w:rFonts w:ascii="David" w:eastAsia="Calibri" w:hAnsi="David"/>
          <w:rtl/>
          <w:lang w:eastAsia="he-IL"/>
        </w:rPr>
        <w:t xml:space="preserve">ערכות המדינה להזדקנות האוכלוסייה </w:t>
      </w:r>
      <w:r w:rsidRPr="00861D72">
        <w:rPr>
          <w:rFonts w:ascii="David" w:eastAsia="Calibri" w:hAnsi="David" w:hint="eastAsia"/>
          <w:rtl/>
          <w:lang w:eastAsia="he-IL"/>
        </w:rPr>
        <w:t>כמפורט</w:t>
      </w:r>
      <w:r w:rsidRPr="00861D72">
        <w:rPr>
          <w:rFonts w:ascii="David" w:eastAsia="Calibri" w:hAnsi="David"/>
          <w:rtl/>
          <w:lang w:eastAsia="he-IL"/>
        </w:rPr>
        <w:t xml:space="preserve"> </w:t>
      </w:r>
      <w:r w:rsidRPr="00861D72">
        <w:rPr>
          <w:rFonts w:ascii="David" w:eastAsia="Calibri" w:hAnsi="David" w:hint="eastAsia"/>
          <w:rtl/>
          <w:lang w:eastAsia="he-IL"/>
        </w:rPr>
        <w:t>להלן</w:t>
      </w:r>
      <w:r w:rsidRPr="00861D72">
        <w:rPr>
          <w:rFonts w:ascii="David" w:eastAsia="Calibri" w:hAnsi="David"/>
          <w:rtl/>
          <w:lang w:eastAsia="he-IL"/>
        </w:rPr>
        <w:t>:</w:t>
      </w:r>
    </w:p>
    <w:p w:rsidR="00861D72" w:rsidRPr="00861D72" w:rsidP="00F90255">
      <w:pPr>
        <w:widowControl w:val="0"/>
        <w:spacing w:line="269" w:lineRule="auto"/>
        <w:contextualSpacing/>
        <w:rPr>
          <w:rFonts w:ascii="David" w:eastAsia="Calibri" w:hAnsi="David"/>
          <w:rtl/>
          <w:lang w:eastAsia="he-IL"/>
        </w:rPr>
      </w:pPr>
    </w:p>
    <w:p w:rsidR="00861D72" w:rsidRPr="00861D72" w:rsidP="00F90255">
      <w:pPr>
        <w:keepNext/>
        <w:keepLines/>
        <w:spacing w:line="269" w:lineRule="auto"/>
        <w:outlineLvl w:val="3"/>
        <w:rPr>
          <w:rFonts w:eastAsia="Times New Roman"/>
          <w:bCs/>
          <w:szCs w:val="26"/>
          <w:rtl/>
        </w:rPr>
      </w:pPr>
      <w:r w:rsidRPr="00861D72">
        <w:rPr>
          <w:rFonts w:eastAsia="Times New Roman" w:hint="cs"/>
          <w:bCs/>
          <w:szCs w:val="26"/>
          <w:rtl/>
        </w:rPr>
        <w:t>שיתוף פעולה</w:t>
      </w:r>
      <w:r w:rsidRPr="00861D72">
        <w:rPr>
          <w:rFonts w:eastAsia="Times New Roman"/>
          <w:bCs/>
          <w:szCs w:val="26"/>
          <w:rtl/>
        </w:rPr>
        <w:t xml:space="preserve"> </w:t>
      </w:r>
      <w:r w:rsidRPr="00861D72">
        <w:rPr>
          <w:rFonts w:eastAsia="Times New Roman" w:hint="eastAsia"/>
          <w:bCs/>
          <w:szCs w:val="26"/>
          <w:rtl/>
        </w:rPr>
        <w:t>בין</w:t>
      </w:r>
      <w:r w:rsidRPr="00861D72">
        <w:rPr>
          <w:rFonts w:eastAsia="Times New Roman"/>
          <w:bCs/>
          <w:szCs w:val="26"/>
          <w:rtl/>
        </w:rPr>
        <w:t xml:space="preserve"> </w:t>
      </w:r>
      <w:r w:rsidRPr="00861D72">
        <w:rPr>
          <w:rFonts w:eastAsia="Times New Roman" w:hint="eastAsia"/>
          <w:bCs/>
          <w:szCs w:val="26"/>
          <w:rtl/>
        </w:rPr>
        <w:t>הגורמים</w:t>
      </w:r>
      <w:r w:rsidRPr="00861D72">
        <w:rPr>
          <w:rFonts w:eastAsia="Times New Roman"/>
          <w:bCs/>
          <w:szCs w:val="26"/>
          <w:rtl/>
        </w:rPr>
        <w:t xml:space="preserve"> </w:t>
      </w:r>
      <w:r w:rsidRPr="00861D72">
        <w:rPr>
          <w:rFonts w:eastAsia="Times New Roman" w:hint="eastAsia"/>
          <w:bCs/>
          <w:szCs w:val="26"/>
          <w:rtl/>
        </w:rPr>
        <w:t>השונים</w:t>
      </w:r>
      <w:r w:rsidRPr="00861D72">
        <w:rPr>
          <w:rFonts w:eastAsia="Times New Roman"/>
          <w:bCs/>
          <w:szCs w:val="26"/>
          <w:rtl/>
        </w:rPr>
        <w:t xml:space="preserve"> </w:t>
      </w:r>
      <w:r w:rsidRPr="00861D72">
        <w:rPr>
          <w:rFonts w:eastAsia="Times New Roman" w:hint="eastAsia"/>
          <w:bCs/>
          <w:szCs w:val="26"/>
          <w:rtl/>
        </w:rPr>
        <w:t>המטפלים</w:t>
      </w:r>
      <w:r w:rsidRPr="00861D72">
        <w:rPr>
          <w:rFonts w:eastAsia="Times New Roman"/>
          <w:bCs/>
          <w:szCs w:val="26"/>
          <w:rtl/>
        </w:rPr>
        <w:t xml:space="preserve"> </w:t>
      </w:r>
      <w:r w:rsidRPr="00861D72">
        <w:rPr>
          <w:rFonts w:eastAsia="Times New Roman" w:hint="eastAsia"/>
          <w:bCs/>
          <w:szCs w:val="26"/>
          <w:rtl/>
        </w:rPr>
        <w:t>בזקנים</w:t>
      </w:r>
    </w:p>
    <w:p w:rsidR="00861D72" w:rsidRPr="00861D72" w:rsidP="00F90255">
      <w:pPr>
        <w:spacing w:line="269" w:lineRule="auto"/>
        <w:rPr>
          <w:rFonts w:eastAsia="Calibri"/>
          <w:rtl/>
        </w:rPr>
      </w:pPr>
    </w:p>
    <w:p w:rsidR="00861D72" w:rsidRPr="00861D72" w:rsidP="00F90255">
      <w:pPr>
        <w:widowControl w:val="0"/>
        <w:spacing w:line="269" w:lineRule="auto"/>
        <w:rPr>
          <w:rFonts w:eastAsia="Calibri"/>
          <w:rtl/>
        </w:rPr>
      </w:pPr>
      <w:r w:rsidRPr="00861D72">
        <w:rPr>
          <w:rFonts w:ascii="David" w:eastAsia="Times New Roman" w:hAnsi="David"/>
          <w:sz w:val="24"/>
          <w:rtl/>
          <w:lang w:eastAsia="he-IL"/>
        </w:rPr>
        <w:t xml:space="preserve">שיתופי פעולה הם תנאי יסוד לבניית רצף טיפולי ושירותי, לתכנון מבוסס נתונים ולייעול השימוש </w:t>
      </w:r>
      <w:r w:rsidRPr="00861D72">
        <w:rPr>
          <w:rFonts w:eastAsia="Calibri"/>
          <w:sz w:val="40"/>
          <w:rtl/>
        </w:rPr>
        <w:t>במשאבים</w:t>
      </w:r>
      <w:r w:rsidRPr="00861D72">
        <w:rPr>
          <w:rFonts w:ascii="David" w:eastAsia="Times New Roman" w:hAnsi="David"/>
          <w:sz w:val="24"/>
          <w:rtl/>
          <w:lang w:eastAsia="he-IL"/>
        </w:rPr>
        <w:t xml:space="preserve"> ציבוריים</w:t>
      </w:r>
      <w:r w:rsidRPr="00861D72">
        <w:rPr>
          <w:rFonts w:eastAsia="Calibri" w:hint="cs"/>
          <w:rtl/>
        </w:rPr>
        <w:t>. ס</w:t>
      </w:r>
      <w:r w:rsidRPr="00861D72">
        <w:rPr>
          <w:rFonts w:eastAsia="Calibri"/>
          <w:rtl/>
        </w:rPr>
        <w:t xml:space="preserve">וגיות רבות במדיניות ציבורית מחייבות שיתוף פעולה מובנה בין </w:t>
      </w:r>
      <w:r w:rsidRPr="00861D72">
        <w:rPr>
          <w:rFonts w:eastAsia="Calibri" w:hint="cs"/>
          <w:rtl/>
        </w:rPr>
        <w:t xml:space="preserve">כמה </w:t>
      </w:r>
      <w:r w:rsidRPr="00861D72">
        <w:rPr>
          <w:rFonts w:eastAsia="Calibri"/>
          <w:rtl/>
        </w:rPr>
        <w:t xml:space="preserve">גופי ממשל לצורך השגת יעדים ותוצאות אפקטיביות. שיתופי פעולה אלו חיוניים במיוחד בנושאים </w:t>
      </w:r>
      <w:r w:rsidRPr="00861D72">
        <w:rPr>
          <w:rFonts w:eastAsia="Calibri"/>
          <w:rtl/>
        </w:rPr>
        <w:t>חוצי</w:t>
      </w:r>
      <w:r w:rsidRPr="00861D72">
        <w:rPr>
          <w:rFonts w:eastAsia="Calibri"/>
          <w:rtl/>
        </w:rPr>
        <w:t>-תחומים, המשפיעים על אוכלוסיות שונות ועל תהליכים משקיים וחברתיים רחבים</w:t>
      </w:r>
      <w:r w:rsidRPr="00861D72">
        <w:rPr>
          <w:rFonts w:eastAsia="Calibri" w:hint="cs"/>
          <w:rtl/>
        </w:rPr>
        <w:t>, כדוגמת נושא הזדקנות האוכלוסייה</w:t>
      </w:r>
      <w:r>
        <w:rPr>
          <w:rFonts w:eastAsia="Calibri"/>
          <w:vertAlign w:val="superscript"/>
          <w:rtl/>
        </w:rPr>
        <w:footnoteReference w:id="112"/>
      </w:r>
      <w:r w:rsidRPr="00861D72">
        <w:rPr>
          <w:rFonts w:eastAsia="Calibri" w:hint="cs"/>
          <w:rtl/>
        </w:rPr>
        <w:t xml:space="preserve">. כאמור, </w:t>
      </w:r>
      <w:r w:rsidRPr="00861D72">
        <w:rPr>
          <w:rFonts w:eastAsia="Calibri"/>
          <w:rtl/>
        </w:rPr>
        <w:t>תחום הזקנה מורכב ורב</w:t>
      </w:r>
      <w:r w:rsidRPr="00861D72">
        <w:rPr>
          <w:rFonts w:eastAsia="Calibri" w:hint="cs"/>
          <w:rtl/>
        </w:rPr>
        <w:t>-</w:t>
      </w:r>
      <w:r w:rsidRPr="00861D72">
        <w:rPr>
          <w:rFonts w:eastAsia="Calibri"/>
          <w:rtl/>
        </w:rPr>
        <w:t>ממדי ונמצא באחריות משרדים שונים</w:t>
      </w:r>
      <w:r w:rsidRPr="00861D72">
        <w:rPr>
          <w:rFonts w:eastAsia="Calibri" w:hint="cs"/>
          <w:rtl/>
        </w:rPr>
        <w:t>, דבר ה</w:t>
      </w:r>
      <w:r w:rsidRPr="00861D72">
        <w:rPr>
          <w:rFonts w:eastAsia="Calibri"/>
          <w:rtl/>
        </w:rPr>
        <w:t>מקשה על</w:t>
      </w:r>
      <w:r w:rsidRPr="00861D72">
        <w:rPr>
          <w:rFonts w:eastAsia="Calibri" w:hint="cs"/>
          <w:rtl/>
        </w:rPr>
        <w:t xml:space="preserve"> מתן</w:t>
      </w:r>
      <w:r w:rsidRPr="00861D72">
        <w:rPr>
          <w:rFonts w:eastAsia="Calibri"/>
          <w:rtl/>
        </w:rPr>
        <w:t xml:space="preserve"> מענה כולל ומתואם</w:t>
      </w:r>
      <w:r w:rsidRPr="00861D72">
        <w:rPr>
          <w:rFonts w:eastAsia="Calibri" w:hint="cs"/>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על פי </w:t>
      </w:r>
      <w:r w:rsidRPr="00861D72">
        <w:rPr>
          <w:rFonts w:eastAsia="Calibri"/>
          <w:rtl/>
        </w:rPr>
        <w:t>מדריך השיתוף הממשלתי</w:t>
      </w:r>
      <w:r w:rsidRPr="00861D72">
        <w:rPr>
          <w:rFonts w:eastAsia="Calibri" w:hint="cs"/>
          <w:rtl/>
        </w:rPr>
        <w:t>,</w:t>
      </w:r>
      <w:r w:rsidRPr="00861D72">
        <w:rPr>
          <w:rFonts w:eastAsia="Calibri"/>
          <w:rtl/>
        </w:rPr>
        <w:t xml:space="preserve"> שיתוף פעולה בין</w:t>
      </w:r>
      <w:r w:rsidRPr="00861D72">
        <w:rPr>
          <w:rFonts w:eastAsia="Calibri" w:hint="cs"/>
          <w:rtl/>
        </w:rPr>
        <w:t>-</w:t>
      </w:r>
      <w:r w:rsidRPr="00861D72">
        <w:rPr>
          <w:rFonts w:eastAsia="Calibri"/>
          <w:rtl/>
        </w:rPr>
        <w:t xml:space="preserve">משרדי הוא מצב שבו לפחות שני משרדים בונים מערכת יחסים סביב מטרה משותפת, כך שהעבודה יחד (ולא בנפרד) מייצרת ערך ציבורי באמצעות שילוב </w:t>
      </w:r>
      <w:r w:rsidRPr="00861D72">
        <w:rPr>
          <w:rFonts w:eastAsia="Calibri" w:hint="cs"/>
          <w:rtl/>
        </w:rPr>
        <w:t>יכולות וכלים</w:t>
      </w:r>
      <w:r w:rsidRPr="00861D72">
        <w:rPr>
          <w:rFonts w:eastAsia="Calibri"/>
          <w:rtl/>
        </w:rPr>
        <w:t xml:space="preserve"> משלימים, </w:t>
      </w:r>
      <w:r w:rsidRPr="00861D72">
        <w:rPr>
          <w:rFonts w:eastAsia="Calibri" w:hint="cs"/>
          <w:rtl/>
        </w:rPr>
        <w:t xml:space="preserve">באמצעות </w:t>
      </w:r>
      <w:r w:rsidRPr="00861D72">
        <w:rPr>
          <w:rFonts w:eastAsia="Calibri"/>
          <w:rtl/>
        </w:rPr>
        <w:t>ניצול יעיל יותר של משאבים ו</w:t>
      </w:r>
      <w:r w:rsidRPr="00861D72">
        <w:rPr>
          <w:rFonts w:eastAsia="Calibri" w:hint="cs"/>
          <w:rtl/>
        </w:rPr>
        <w:t xml:space="preserve">באמצעות </w:t>
      </w:r>
      <w:r w:rsidRPr="00861D72">
        <w:rPr>
          <w:rFonts w:eastAsia="Calibri"/>
          <w:rtl/>
        </w:rPr>
        <w:t xml:space="preserve">חלוקת אחריות ברורה. הצורך בשיתופי פעולה אינו </w:t>
      </w:r>
      <w:r w:rsidRPr="00861D72">
        <w:rPr>
          <w:rFonts w:eastAsia="Calibri" w:hint="cs"/>
          <w:rtl/>
        </w:rPr>
        <w:t>"</w:t>
      </w:r>
      <w:r w:rsidRPr="00861D72">
        <w:rPr>
          <w:rFonts w:eastAsia="Calibri"/>
          <w:rtl/>
        </w:rPr>
        <w:t>מותרות</w:t>
      </w:r>
      <w:r w:rsidRPr="00861D72">
        <w:rPr>
          <w:rFonts w:eastAsia="Calibri" w:hint="cs"/>
          <w:rtl/>
        </w:rPr>
        <w:t>",</w:t>
      </w:r>
      <w:r w:rsidRPr="00861D72">
        <w:rPr>
          <w:rFonts w:eastAsia="Calibri"/>
          <w:rtl/>
        </w:rPr>
        <w:t xml:space="preserve"> </w:t>
      </w:r>
      <w:bookmarkStart w:id="48" w:name="_Hlk219975267"/>
      <w:r w:rsidRPr="00861D72">
        <w:rPr>
          <w:rFonts w:eastAsia="Calibri" w:hint="cs"/>
          <w:rtl/>
        </w:rPr>
        <w:t>שעה ש</w:t>
      </w:r>
      <w:r w:rsidRPr="00861D72">
        <w:rPr>
          <w:rFonts w:eastAsia="Calibri"/>
          <w:rtl/>
        </w:rPr>
        <w:t xml:space="preserve">שיעור </w:t>
      </w:r>
      <w:r w:rsidRPr="00861D72">
        <w:rPr>
          <w:rFonts w:eastAsia="Calibri" w:hint="cs"/>
          <w:rtl/>
        </w:rPr>
        <w:t>גבוה</w:t>
      </w:r>
      <w:r w:rsidRPr="00861D72">
        <w:rPr>
          <w:rFonts w:eastAsia="Calibri"/>
          <w:rtl/>
        </w:rPr>
        <w:t xml:space="preserve"> מהחסמים ביישום החלטות ממשלה נובע ממחלוקות בין משרדים</w:t>
      </w:r>
      <w:r w:rsidRPr="00861D72">
        <w:rPr>
          <w:rFonts w:eastAsia="Calibri" w:hint="cs"/>
          <w:rtl/>
        </w:rPr>
        <w:t>.</w:t>
      </w:r>
      <w:r w:rsidRPr="00861D72">
        <w:rPr>
          <w:rFonts w:eastAsia="Calibri"/>
          <w:rtl/>
        </w:rPr>
        <w:t xml:space="preserve"> בפועל</w:t>
      </w:r>
      <w:r w:rsidRPr="00861D72">
        <w:rPr>
          <w:rFonts w:eastAsia="Calibri" w:hint="cs"/>
          <w:rtl/>
        </w:rPr>
        <w:t>,</w:t>
      </w:r>
      <w:r w:rsidRPr="00861D72">
        <w:rPr>
          <w:rFonts w:eastAsia="Calibri"/>
          <w:rtl/>
        </w:rPr>
        <w:t xml:space="preserve"> רבות מההחלטות מטילות אחריות ביצועית על יותר ממשרד אחד</w:t>
      </w:r>
      <w:r w:rsidRPr="00861D72">
        <w:rPr>
          <w:rFonts w:eastAsia="Calibri" w:hint="cs"/>
          <w:rtl/>
        </w:rPr>
        <w:t>,</w:t>
      </w:r>
      <w:r w:rsidRPr="00861D72">
        <w:rPr>
          <w:rFonts w:eastAsia="Calibri"/>
          <w:rtl/>
        </w:rPr>
        <w:t xml:space="preserve"> ולכן ללא שיתוף פעולה אפקטיבי קשה להגיע לתוצאות</w:t>
      </w:r>
      <w:r>
        <w:rPr>
          <w:rFonts w:eastAsia="Calibri"/>
          <w:vertAlign w:val="superscript"/>
          <w:rtl/>
        </w:rPr>
        <w:footnoteReference w:id="113"/>
      </w:r>
      <w:r w:rsidRPr="00861D72">
        <w:rPr>
          <w:rFonts w:eastAsia="Calibri"/>
          <w:rtl/>
        </w:rPr>
        <w:t xml:space="preserve">. </w:t>
      </w:r>
      <w:bookmarkEnd w:id="48"/>
      <w:r w:rsidRPr="00861D72">
        <w:rPr>
          <w:rFonts w:eastAsia="Calibri" w:hint="cs"/>
          <w:rtl/>
        </w:rPr>
        <w:t xml:space="preserve">בתרשים שלהלן מוצג המודל לבניית שיתופי פעולה בין משרדי ממשלה. </w:t>
      </w:r>
    </w:p>
    <w:p w:rsidR="00861D72" w:rsidRPr="00861D72" w:rsidP="00F90255">
      <w:pPr>
        <w:spacing w:line="269" w:lineRule="auto"/>
        <w:rPr>
          <w:rFonts w:eastAsia="Calibri"/>
          <w:rtl/>
        </w:rPr>
      </w:pPr>
    </w:p>
    <w:p w:rsidR="00861D72" w:rsidRPr="00861D72" w:rsidP="00EB2B30">
      <w:pPr>
        <w:keepNext/>
        <w:keepLines/>
        <w:spacing w:line="269" w:lineRule="auto"/>
        <w:jc w:val="center"/>
        <w:rPr>
          <w:rFonts w:eastAsia="Calibri"/>
          <w:rtl/>
        </w:rPr>
      </w:pPr>
      <w:r w:rsidRPr="00861D72">
        <w:rPr>
          <w:rFonts w:eastAsia="Calibri" w:hint="cs"/>
          <w:rtl/>
        </w:rPr>
        <w:t xml:space="preserve">תרשים 16: </w:t>
      </w:r>
      <w:r w:rsidRPr="00861D72">
        <w:rPr>
          <w:rFonts w:eastAsia="Calibri" w:hint="cs"/>
          <w:b/>
          <w:bCs/>
          <w:rtl/>
        </w:rPr>
        <w:t>מודל לשיתופי פעולה בין משרדי ממשלה</w:t>
      </w:r>
    </w:p>
    <w:p w:rsidR="00861D72" w:rsidRPr="00861D72" w:rsidP="00F90255">
      <w:pPr>
        <w:spacing w:line="269" w:lineRule="auto"/>
        <w:rPr>
          <w:rFonts w:eastAsia="Calibri"/>
          <w:rtl/>
        </w:rPr>
      </w:pPr>
      <w:r w:rsidRPr="00861D72">
        <w:rPr>
          <w:rFonts w:eastAsia="Calibri"/>
          <w:noProof/>
        </w:rPr>
        <w:drawing>
          <wp:inline distT="0" distB="0" distL="0" distR="0">
            <wp:extent cx="5220335" cy="3903345"/>
            <wp:effectExtent l="38100" t="0" r="37465" b="0"/>
            <wp:docPr id="20" name="דיאגרמה 20" descr="מימין:&#10;המודל&#10;לבניית&#10;שיתופי&#10;פעולה&#10;&#10;מימין למעלה:&#10;הגדרת גורם מוביל&#10;בעל סמכות&#10;ואחריות להוביל&#10;ולתמרץ&#10;&#10;משמאל למעלה:&#10;נדרש כדי להבטיח ניהול עקבי, פתרון מחלוקות והתקדמות&#10;משלב התכנון ועד ליישום ולהערכה&#10;&#10;מימין:&#10;יצירת אמון&#10;באמצעות תקשורת&#10;מובנית ובאמצעות&#10;שפה משותפת&#10;&#10;משמאל:&#10;בהירות מטרה, היוועצות מוקדמת והחלפת מידע&#10;&#10;משמאל:&#10;הסדרה תקציבית הנחשבת אתגר מרכזי ומומלץ לקבוע&#10;אמות מידה ברורות ועדיפויות קריטיות לתקציב רב-שנתי&#10;והתואם את מחזור החיים של המהלך&#10;&#10;מימין:&#10;מיסוד השותפות&#10;כבר בשלבים&#10;הראשונים&#10;&#10;משמאל:&#10;הסדרה מבנית&#10;בחירת מבנה שותפות המאפשר בעלות משותפת בלי&#10;לפגוע בסמכויות&#10;&#10;משמאל:&#10;הסדרה תהליכית&#10;שלד מינימלי של מחויבות, החלטה על סמכויות, לוחות&#10;זמנים ומי מצרף מתי&#10;&#10;מימין:&#10;מנגנוני שקיפות&#10;מידע&#10;&#10;משמאל:&#10;מערכת קבועה להעברת מידע ומוסכמת מראש על אופן&#10;ריכוזו ושמירתו&#10;">
              <a:extLst xmlns:a="http://schemas.openxmlformats.org/drawingml/2006/main">
                <a:ext xmlns:a="http://schemas.openxmlformats.org/drawingml/2006/main" uri="{FF2B5EF4-FFF2-40B4-BE49-F238E27FC236}">
                  <a16:creationId xmlns:a16="http://schemas.microsoft.com/office/drawing/2014/main" id="{D0E57334-CB84-4DCC-8745-73BDF15A27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61D72" w:rsidRPr="00861D72" w:rsidP="00F90255">
      <w:pPr>
        <w:spacing w:line="269" w:lineRule="auto"/>
        <w:rPr>
          <w:rFonts w:eastAsia="Calibri"/>
          <w:szCs w:val="20"/>
          <w:rtl/>
        </w:rPr>
      </w:pPr>
      <w:r w:rsidRPr="00861D72">
        <w:rPr>
          <w:rFonts w:eastAsia="Calibri" w:hint="cs"/>
          <w:szCs w:val="20"/>
          <w:rtl/>
        </w:rPr>
        <w:t>עפ"י המודל לשיתופי פעולה בין משרדי ממשלה</w:t>
      </w:r>
      <w:r>
        <w:rPr>
          <w:rFonts w:eastAsia="Calibri"/>
          <w:vertAlign w:val="superscript"/>
          <w:rtl/>
        </w:rPr>
        <w:footnoteReference w:id="114"/>
      </w:r>
      <w:r w:rsidRPr="00861D72">
        <w:rPr>
          <w:rFonts w:eastAsia="Calibri" w:hint="cs"/>
          <w:szCs w:val="20"/>
          <w:rtl/>
        </w:rPr>
        <w:t>.</w:t>
      </w:r>
    </w:p>
    <w:p w:rsidR="00861D72" w:rsidRPr="00861D72" w:rsidP="00F90255">
      <w:pPr>
        <w:spacing w:line="269" w:lineRule="auto"/>
        <w:rPr>
          <w:rFonts w:eastAsia="Calibri"/>
          <w:rtl/>
        </w:rPr>
      </w:pPr>
    </w:p>
    <w:p w:rsidR="00861D72" w:rsidRPr="00861D72" w:rsidP="00F90255">
      <w:pPr>
        <w:widowControl w:val="0"/>
        <w:spacing w:line="269" w:lineRule="auto"/>
        <w:rPr>
          <w:rFonts w:eastAsia="Calibri"/>
          <w:rtl/>
        </w:rPr>
      </w:pPr>
      <w:r w:rsidRPr="00861D72">
        <w:rPr>
          <w:rFonts w:eastAsia="Calibri"/>
          <w:rtl/>
        </w:rPr>
        <w:t>למרות שיתו</w:t>
      </w:r>
      <w:r w:rsidRPr="00861D72">
        <w:rPr>
          <w:rFonts w:eastAsia="Calibri" w:hint="cs"/>
          <w:rtl/>
        </w:rPr>
        <w:t>פי</w:t>
      </w:r>
      <w:r w:rsidRPr="00861D72">
        <w:rPr>
          <w:rFonts w:eastAsia="Calibri"/>
          <w:rtl/>
        </w:rPr>
        <w:t xml:space="preserve"> הפעולה </w:t>
      </w:r>
      <w:r w:rsidRPr="00861D72">
        <w:rPr>
          <w:rFonts w:eastAsia="Calibri" w:hint="cs"/>
          <w:rtl/>
        </w:rPr>
        <w:t xml:space="preserve">החלקיים הקיימים </w:t>
      </w:r>
      <w:r w:rsidRPr="00861D72">
        <w:rPr>
          <w:rFonts w:eastAsia="Calibri"/>
          <w:rtl/>
        </w:rPr>
        <w:t>בין הגופים, הפיצול במבנה הממשלתי מוביל לחפיפות</w:t>
      </w:r>
      <w:r w:rsidRPr="00861D72">
        <w:rPr>
          <w:rFonts w:eastAsia="Calibri" w:hint="cs"/>
          <w:rtl/>
        </w:rPr>
        <w:t>,</w:t>
      </w:r>
      <w:r w:rsidRPr="00861D72">
        <w:rPr>
          <w:rFonts w:eastAsia="Calibri"/>
          <w:rtl/>
        </w:rPr>
        <w:t xml:space="preserve"> </w:t>
      </w:r>
      <w:r w:rsidRPr="00861D72">
        <w:rPr>
          <w:rFonts w:eastAsia="Calibri" w:hint="cs"/>
          <w:rtl/>
        </w:rPr>
        <w:t>ל</w:t>
      </w:r>
      <w:r w:rsidRPr="00861D72">
        <w:rPr>
          <w:rFonts w:eastAsia="Calibri"/>
          <w:rtl/>
        </w:rPr>
        <w:t>חוסר תיאו</w:t>
      </w:r>
      <w:r w:rsidRPr="00861D72">
        <w:rPr>
          <w:rFonts w:eastAsia="Calibri" w:hint="cs"/>
          <w:rtl/>
        </w:rPr>
        <w:t>ם ולעומס על האזרחים הוותיקים ועל בני משפחותיהם, הנאלצים להבין מיהו הגורם הנותן שירותים, אילו שירותים ומתי הם ניתנים</w:t>
      </w:r>
      <w:r>
        <w:rPr>
          <w:rFonts w:eastAsia="Calibri"/>
          <w:vertAlign w:val="superscript"/>
          <w:rtl/>
        </w:rPr>
        <w:footnoteReference w:id="115"/>
      </w:r>
      <w:r w:rsidRPr="00861D72">
        <w:rPr>
          <w:rFonts w:eastAsia="Calibri" w:hint="cs"/>
          <w:rtl/>
        </w:rPr>
        <w:t>.</w:t>
      </w:r>
      <w:r w:rsidRPr="00861D72">
        <w:rPr>
          <w:rFonts w:eastAsia="Calibri"/>
        </w:rPr>
        <w:t xml:space="preserve"> </w:t>
      </w:r>
      <w:r w:rsidRPr="00861D72">
        <w:rPr>
          <w:rFonts w:eastAsia="Calibri"/>
          <w:rtl/>
        </w:rPr>
        <w:t xml:space="preserve">חשיבות התיאום הבין-משרדי הודגשה גם במהלך משבר הקורונה, שבו ציינה ועדת משנה בין-מגזרית במשרד </w:t>
      </w:r>
      <w:r w:rsidRPr="00861D72">
        <w:rPr>
          <w:rFonts w:eastAsia="Calibri"/>
          <w:rtl/>
        </w:rPr>
        <w:t>רה״</w:t>
      </w:r>
      <w:r w:rsidRPr="00861D72">
        <w:rPr>
          <w:rFonts w:eastAsia="Calibri" w:hint="cs"/>
          <w:rtl/>
        </w:rPr>
        <w:t>ם</w:t>
      </w:r>
      <w:r w:rsidRPr="00861D72">
        <w:rPr>
          <w:rFonts w:eastAsia="Calibri"/>
          <w:rtl/>
        </w:rPr>
        <w:t xml:space="preserve"> את הצורך במנגנון </w:t>
      </w:r>
      <w:r w:rsidRPr="00861D72">
        <w:rPr>
          <w:rFonts w:eastAsia="Calibri"/>
          <w:rtl/>
        </w:rPr>
        <w:t>לתכלול</w:t>
      </w:r>
      <w:r w:rsidRPr="00861D72">
        <w:rPr>
          <w:rFonts w:eastAsia="Calibri"/>
          <w:rtl/>
        </w:rPr>
        <w:t xml:space="preserve"> ולתיאום בין צ</w:t>
      </w:r>
      <w:r w:rsidRPr="00861D72">
        <w:rPr>
          <w:rFonts w:eastAsia="Calibri" w:hint="cs"/>
          <w:rtl/>
        </w:rPr>
        <w:t>ו</w:t>
      </w:r>
      <w:r w:rsidRPr="00861D72">
        <w:rPr>
          <w:rFonts w:eastAsia="Calibri"/>
          <w:rtl/>
        </w:rPr>
        <w:t>רכי האזרחים הוותיקים למענים הניתנים להם</w:t>
      </w:r>
      <w:r>
        <w:rPr>
          <w:rFonts w:eastAsia="Calibri"/>
          <w:vertAlign w:val="superscript"/>
          <w:rtl/>
        </w:rPr>
        <w:footnoteReference w:id="116"/>
      </w:r>
      <w:r w:rsidRPr="00861D72">
        <w:rPr>
          <w:rFonts w:eastAsia="Calibri" w:hint="cs"/>
          <w:rt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החלטת הממשלה 145 מ-2015 קבעה, כאמור, כי על משרדי הממשלה ליישם את כיווני הפעולה של הערכת המצב האסטרטגית תוך שיתוף פעולה בין-משרדי</w:t>
      </w:r>
      <w:r>
        <w:rPr>
          <w:rFonts w:eastAsia="Calibri"/>
          <w:vertAlign w:val="superscript"/>
          <w:rtl/>
        </w:rPr>
        <w:footnoteReference w:id="117"/>
      </w:r>
      <w:r w:rsidRPr="00861D72">
        <w:rPr>
          <w:rFonts w:eastAsia="Calibri" w:hint="cs"/>
          <w:rtl/>
        </w:rPr>
        <w:t xml:space="preserve">, </w:t>
      </w:r>
      <w:r w:rsidRPr="00861D72">
        <w:rPr>
          <w:rFonts w:eastAsia="Calibri"/>
          <w:rtl/>
        </w:rPr>
        <w:t>באופן שישפר את השירות הציבורי ל</w:t>
      </w:r>
      <w:r w:rsidRPr="00861D72">
        <w:rPr>
          <w:rFonts w:eastAsia="Calibri" w:hint="cs"/>
          <w:rtl/>
        </w:rPr>
        <w:t>זקני</w:t>
      </w:r>
      <w:r w:rsidRPr="00861D72">
        <w:rPr>
          <w:rFonts w:eastAsia="Calibri"/>
          <w:rtl/>
        </w:rPr>
        <w:t>ם ולבני משפחותיהם. הערה דומה נכללת בדוח של בנק</w:t>
      </w:r>
      <w:r w:rsidRPr="00861D72">
        <w:rPr>
          <w:rFonts w:eastAsia="Calibri" w:hint="cs"/>
          <w:rtl/>
        </w:rPr>
        <w:t xml:space="preserve"> </w:t>
      </w:r>
      <w:r w:rsidRPr="00861D72">
        <w:rPr>
          <w:rFonts w:eastAsia="Calibri"/>
          <w:rtl/>
        </w:rPr>
        <w:t>ישראל</w:t>
      </w:r>
      <w:r w:rsidRPr="00861D72">
        <w:rPr>
          <w:rFonts w:eastAsia="Calibri" w:hint="cs"/>
          <w:rtl/>
        </w:rPr>
        <w:t xml:space="preserve">, שציין כי </w:t>
      </w:r>
      <w:r w:rsidRPr="00861D72">
        <w:rPr>
          <w:rFonts w:eastAsia="Calibri"/>
          <w:rtl/>
        </w:rPr>
        <w:t>יש לבחון דרכים להגברת התיאום בין השירותים השונים בקהילה</w:t>
      </w:r>
      <w:r w:rsidRPr="00861D72">
        <w:rPr>
          <w:rFonts w:eastAsia="Calibri" w:hint="cs"/>
          <w:rtl/>
        </w:rPr>
        <w:t xml:space="preserve"> </w:t>
      </w:r>
      <w:r w:rsidRPr="00861D72">
        <w:rPr>
          <w:rFonts w:eastAsia="Calibri"/>
          <w:rtl/>
        </w:rPr>
        <w:t>ובמוסדות באופן שישפר את השירות הציבורי ל</w:t>
      </w:r>
      <w:r w:rsidRPr="00861D72">
        <w:rPr>
          <w:rFonts w:eastAsia="Calibri" w:hint="cs"/>
          <w:rtl/>
        </w:rPr>
        <w:t>זקני</w:t>
      </w:r>
      <w:r w:rsidRPr="00861D72">
        <w:rPr>
          <w:rFonts w:eastAsia="Calibri"/>
          <w:rtl/>
        </w:rPr>
        <w:t>ם ולבני משפחותיהם</w:t>
      </w:r>
      <w:r>
        <w:rPr>
          <w:rFonts w:eastAsia="Calibri"/>
          <w:vertAlign w:val="superscript"/>
          <w:rtl/>
        </w:rPr>
        <w:footnoteReference w:id="118"/>
      </w:r>
      <w:r w:rsidRPr="00861D72">
        <w:rPr>
          <w:rFonts w:eastAsia="Calibri"/>
          <w:rtl/>
        </w:rPr>
        <w:t>.</w:t>
      </w:r>
      <w:r w:rsidRPr="00861D72">
        <w:rPr>
          <w:rFonts w:eastAsia="Calibri" w:hint="cs"/>
          <w:rtl/>
        </w:rPr>
        <w:t xml:space="preserve"> </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גם מפת המדדים, קובעת כערך מנחה למפה וכמסגרת לה את נושא המערכתיות, ובפרט את הצורך בשיתוף פעולה בין-משרדי ורב-מגזרי</w:t>
      </w:r>
      <w:r>
        <w:rPr>
          <w:rFonts w:eastAsia="Calibri"/>
          <w:vertAlign w:val="superscript"/>
          <w:rtl/>
        </w:rPr>
        <w:footnoteReference w:id="119"/>
      </w:r>
      <w:r w:rsidRPr="00861D72">
        <w:rPr>
          <w:rFonts w:eastAsia="Calibri" w:hint="cs"/>
          <w:rtl/>
        </w:rPr>
        <w:t>:</w:t>
      </w:r>
    </w:p>
    <w:p w:rsidR="00861D72" w:rsidRPr="00861D72" w:rsidP="00F90255">
      <w:pPr>
        <w:spacing w:line="269" w:lineRule="auto"/>
        <w:rPr>
          <w:rFonts w:ascii="David" w:eastAsia="Calibri" w:hAnsi="David"/>
          <w:sz w:val="24"/>
          <w:rtl/>
        </w:rPr>
      </w:pPr>
      <w:r w:rsidRPr="00861D72">
        <w:rPr>
          <w:rFonts w:eastAsia="Times New Roman" w:hint="cs"/>
          <w:bCs/>
          <w:spacing w:val="40"/>
          <w:rtl/>
        </w:rPr>
        <w:t>שיתוף פעולה בין-משרדי:</w:t>
      </w:r>
      <w:r w:rsidRPr="00861D72">
        <w:rPr>
          <w:rFonts w:ascii="David" w:eastAsia="Calibri" w:hAnsi="David" w:hint="cs"/>
          <w:sz w:val="24"/>
          <w:rtl/>
        </w:rPr>
        <w:t xml:space="preserve"> </w:t>
      </w:r>
      <w:r w:rsidRPr="00861D72">
        <w:rPr>
          <w:rFonts w:ascii="David" w:eastAsia="Calibri" w:hAnsi="David"/>
          <w:sz w:val="24"/>
          <w:rtl/>
        </w:rPr>
        <w:t xml:space="preserve">הוא תנאי מרכזי לפעולה מערכתית יעילה. הוא מאפשר תיאום מדיניות, שירותים משולבים ותגובה מתואמת לאתגרים </w:t>
      </w:r>
      <w:r w:rsidRPr="00861D72">
        <w:rPr>
          <w:rFonts w:ascii="David" w:eastAsia="Calibri" w:hAnsi="David"/>
          <w:sz w:val="24"/>
          <w:rtl/>
        </w:rPr>
        <w:t>חוצי</w:t>
      </w:r>
      <w:r w:rsidRPr="00861D72">
        <w:rPr>
          <w:rFonts w:ascii="David" w:eastAsia="Calibri" w:hAnsi="David" w:hint="cs"/>
          <w:sz w:val="24"/>
          <w:rtl/>
        </w:rPr>
        <w:t>-</w:t>
      </w:r>
      <w:r w:rsidRPr="00861D72">
        <w:rPr>
          <w:rFonts w:ascii="David" w:eastAsia="Calibri" w:hAnsi="David"/>
          <w:sz w:val="24"/>
          <w:rtl/>
        </w:rPr>
        <w:t xml:space="preserve">תחומים, כמו שינוי אקלים או בריאות הציבור. עם זאת שיתופי פעולה אלה כרוכים בקשיים </w:t>
      </w:r>
      <w:r w:rsidRPr="00861D72">
        <w:rPr>
          <w:rFonts w:ascii="David" w:eastAsia="Calibri" w:hAnsi="David" w:hint="cs"/>
          <w:sz w:val="24"/>
          <w:rtl/>
        </w:rPr>
        <w:t>-</w:t>
      </w:r>
      <w:r w:rsidRPr="00861D72">
        <w:rPr>
          <w:rFonts w:ascii="David" w:eastAsia="Calibri" w:hAnsi="David"/>
          <w:sz w:val="24"/>
          <w:rtl/>
        </w:rPr>
        <w:t xml:space="preserve"> תחרות בין יחידות, פערי תרבות ארגונית והיעדר מנגנוני ניהול משותפים. נציבות שירות המדינה הציעה מודל לשיתוף אפקטיבי</w:t>
      </w:r>
      <w:r w:rsidRPr="00861D72">
        <w:rPr>
          <w:rFonts w:ascii="David" w:eastAsia="Calibri" w:hAnsi="David" w:hint="cs"/>
          <w:sz w:val="24"/>
          <w:rtl/>
        </w:rPr>
        <w:t>,</w:t>
      </w:r>
      <w:r w:rsidRPr="00861D72">
        <w:rPr>
          <w:rFonts w:ascii="David" w:eastAsia="Calibri" w:hAnsi="David"/>
          <w:sz w:val="24"/>
          <w:rtl/>
        </w:rPr>
        <w:t xml:space="preserve"> הכולל זיהוי אינטרסים משותפים, פורומים רוחביים והגדרת ממשקי פעולה ברורים </w:t>
      </w:r>
      <w:r w:rsidRPr="00861D72">
        <w:rPr>
          <w:rFonts w:ascii="David" w:eastAsia="Calibri" w:hAnsi="David" w:hint="cs"/>
          <w:sz w:val="24"/>
          <w:rtl/>
        </w:rPr>
        <w:t>-</w:t>
      </w:r>
      <w:r w:rsidRPr="00861D72">
        <w:rPr>
          <w:rFonts w:ascii="David" w:eastAsia="Calibri" w:hAnsi="David"/>
          <w:sz w:val="24"/>
          <w:rtl/>
        </w:rPr>
        <w:t xml:space="preserve"> כלים </w:t>
      </w:r>
      <w:r w:rsidRPr="00861D72">
        <w:rPr>
          <w:rFonts w:ascii="David" w:eastAsia="Calibri" w:hAnsi="David" w:hint="cs"/>
          <w:sz w:val="24"/>
          <w:rtl/>
        </w:rPr>
        <w:t>שביכולתם</w:t>
      </w:r>
      <w:r w:rsidRPr="00861D72">
        <w:rPr>
          <w:rFonts w:ascii="David" w:eastAsia="Calibri" w:hAnsi="David"/>
          <w:sz w:val="24"/>
          <w:rtl/>
        </w:rPr>
        <w:t xml:space="preserve"> לשפר עקביות מדיניות ולמנוע כפילויות.</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Times New Roman" w:hint="cs"/>
          <w:bCs/>
          <w:spacing w:val="40"/>
          <w:rtl/>
        </w:rPr>
        <w:t>שיתוף פעולה רב-מגזרי:</w:t>
      </w:r>
      <w:r w:rsidRPr="00861D72">
        <w:rPr>
          <w:rFonts w:ascii="David" w:eastAsia="Calibri" w:hAnsi="David" w:hint="cs"/>
          <w:sz w:val="24"/>
          <w:rtl/>
        </w:rPr>
        <w:t xml:space="preserve"> </w:t>
      </w:r>
      <w:r w:rsidRPr="00861D72">
        <w:rPr>
          <w:rFonts w:ascii="David" w:eastAsia="Calibri" w:hAnsi="David"/>
          <w:sz w:val="24"/>
          <w:rtl/>
        </w:rPr>
        <w:t xml:space="preserve">מדגיש עבודה אינטגרטיבית של הממשלה עם רשויות מקומיות, יחידות סמך וגופים ציבוריים נוספים, מתוך ראייה של </w:t>
      </w:r>
      <w:r w:rsidRPr="00861D72">
        <w:rPr>
          <w:rFonts w:ascii="David" w:eastAsia="Calibri" w:hAnsi="David" w:hint="cs"/>
          <w:sz w:val="24"/>
          <w:rtl/>
        </w:rPr>
        <w:t>מערכת</w:t>
      </w:r>
      <w:r w:rsidRPr="00861D72">
        <w:rPr>
          <w:rFonts w:ascii="David" w:eastAsia="Calibri" w:hAnsi="David"/>
          <w:sz w:val="24"/>
          <w:rtl/>
        </w:rPr>
        <w:t xml:space="preserve"> יחסים ולא </w:t>
      </w:r>
      <w:r w:rsidRPr="00861D72">
        <w:rPr>
          <w:rFonts w:ascii="David" w:eastAsia="Calibri" w:hAnsi="David" w:hint="cs"/>
          <w:sz w:val="24"/>
          <w:rtl/>
        </w:rPr>
        <w:t xml:space="preserve">של </w:t>
      </w:r>
      <w:r w:rsidRPr="00861D72">
        <w:rPr>
          <w:rFonts w:ascii="David" w:eastAsia="Calibri" w:hAnsi="David"/>
          <w:sz w:val="24"/>
          <w:rtl/>
        </w:rPr>
        <w:t xml:space="preserve">היררכיה נוקשה. גישה זו מאפשרת למידה משותפת, שימוש מיטבי במשאבים והתמודדות טובה יותר עם אתגרים מורכבים. בעולם שבו בעיות רבות חוצות תחומים וגבולות, יכולת לשתף פעולה בין גופים ומגזרים </w:t>
      </w:r>
      <w:r w:rsidRPr="00861D72">
        <w:rPr>
          <w:rFonts w:ascii="David" w:eastAsia="Calibri" w:hAnsi="David" w:hint="cs"/>
          <w:sz w:val="24"/>
          <w:rtl/>
        </w:rPr>
        <w:t>היא גורם</w:t>
      </w:r>
      <w:r w:rsidRPr="00861D72">
        <w:rPr>
          <w:rFonts w:ascii="David" w:eastAsia="Calibri" w:hAnsi="David"/>
          <w:sz w:val="24"/>
          <w:rtl/>
        </w:rPr>
        <w:t xml:space="preserve"> מפתח בממשל אפקטיבי.</w:t>
      </w:r>
    </w:p>
    <w:p w:rsidR="00861D72" w:rsidRPr="00861D72" w:rsidP="00F90255">
      <w:pPr>
        <w:spacing w:line="269" w:lineRule="auto"/>
        <w:rPr>
          <w:rFonts w:eastAsia="Calibri"/>
          <w:rtl/>
        </w:rPr>
      </w:pPr>
    </w:p>
    <w:p w:rsidR="00861D72" w:rsidRPr="00861D72" w:rsidP="00F90255">
      <w:pPr>
        <w:keepNext/>
        <w:keepLines/>
        <w:spacing w:line="269" w:lineRule="auto"/>
        <w:outlineLvl w:val="4"/>
        <w:rPr>
          <w:rFonts w:eastAsia="Times New Roman"/>
          <w:bCs/>
          <w:spacing w:val="40"/>
          <w:rtl/>
          <w:lang w:eastAsia="he-IL"/>
        </w:rPr>
      </w:pPr>
      <w:r w:rsidRPr="00861D72">
        <w:rPr>
          <w:rFonts w:eastAsia="Times New Roman" w:hint="cs"/>
          <w:bCs/>
          <w:spacing w:val="40"/>
          <w:rtl/>
          <w:lang w:eastAsia="he-IL"/>
        </w:rPr>
        <w:t>מהלכים ליצירת שיתופי פעולה</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Calibri"/>
          <w:rtl/>
          <w:lang w:eastAsia="he-IL"/>
        </w:rPr>
        <w:t>נוכח הצורך בשיתוף פעולה רב</w:t>
      </w:r>
      <w:r w:rsidRPr="00861D72">
        <w:rPr>
          <w:rFonts w:eastAsia="Calibri" w:hint="cs"/>
          <w:rtl/>
          <w:lang w:eastAsia="he-IL"/>
        </w:rPr>
        <w:t>-</w:t>
      </w:r>
      <w:r w:rsidRPr="00861D72">
        <w:rPr>
          <w:rFonts w:eastAsia="Calibri"/>
          <w:rtl/>
          <w:lang w:eastAsia="he-IL"/>
        </w:rPr>
        <w:t>מערכתי, קודמו במהלך השנים מהלכים בין</w:t>
      </w:r>
      <w:r w:rsidRPr="00861D72">
        <w:rPr>
          <w:rFonts w:eastAsia="Calibri" w:hint="cs"/>
          <w:rtl/>
          <w:lang w:eastAsia="he-IL"/>
        </w:rPr>
        <w:t>-</w:t>
      </w:r>
      <w:r w:rsidRPr="00861D72">
        <w:rPr>
          <w:rFonts w:eastAsia="Calibri"/>
          <w:rtl/>
          <w:lang w:eastAsia="he-IL"/>
        </w:rPr>
        <w:t xml:space="preserve">משרדיים </w:t>
      </w:r>
      <w:r w:rsidRPr="00861D72">
        <w:rPr>
          <w:rFonts w:eastAsia="Calibri" w:hint="cs"/>
          <w:rtl/>
          <w:lang w:eastAsia="he-IL"/>
        </w:rPr>
        <w:t xml:space="preserve">ורב-מגזריים </w:t>
      </w:r>
      <w:r w:rsidRPr="00861D72">
        <w:rPr>
          <w:rFonts w:eastAsia="Calibri"/>
          <w:rtl/>
          <w:lang w:eastAsia="he-IL"/>
        </w:rPr>
        <w:t xml:space="preserve">לקידום התיאום, </w:t>
      </w:r>
      <w:r w:rsidRPr="00861D72">
        <w:rPr>
          <w:rFonts w:eastAsia="Calibri" w:hint="cs"/>
          <w:rtl/>
          <w:lang w:eastAsia="he-IL"/>
        </w:rPr>
        <w:t>ל</w:t>
      </w:r>
      <w:r w:rsidRPr="00861D72">
        <w:rPr>
          <w:rFonts w:eastAsia="Calibri"/>
          <w:rtl/>
          <w:lang w:eastAsia="he-IL"/>
        </w:rPr>
        <w:t>יישום המדיניות ו</w:t>
      </w:r>
      <w:r w:rsidRPr="00861D72">
        <w:rPr>
          <w:rFonts w:eastAsia="Calibri" w:hint="cs"/>
          <w:rtl/>
          <w:lang w:eastAsia="he-IL"/>
        </w:rPr>
        <w:t>ל</w:t>
      </w:r>
      <w:r w:rsidRPr="00861D72">
        <w:rPr>
          <w:rFonts w:eastAsia="Calibri"/>
          <w:rtl/>
          <w:lang w:eastAsia="he-IL"/>
        </w:rPr>
        <w:t>שיפור המענים</w:t>
      </w:r>
      <w:r w:rsidRPr="00861D72">
        <w:rPr>
          <w:rFonts w:eastAsia="Calibri" w:hint="cs"/>
          <w:rtl/>
          <w:lang w:eastAsia="he-IL"/>
        </w:rPr>
        <w:t>:</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Times New Roman"/>
          <w:bCs/>
          <w:spacing w:val="40"/>
          <w:rtl/>
        </w:rPr>
        <w:t xml:space="preserve">פורום </w:t>
      </w:r>
      <w:r w:rsidRPr="00861D72">
        <w:rPr>
          <w:rFonts w:eastAsia="Times New Roman"/>
          <w:bCs/>
          <w:spacing w:val="40"/>
          <w:rtl/>
        </w:rPr>
        <w:t>בר״ק</w:t>
      </w:r>
      <w:r w:rsidRPr="00861D72">
        <w:rPr>
          <w:rFonts w:eastAsia="Times New Roman" w:hint="cs"/>
          <w:bCs/>
          <w:spacing w:val="40"/>
          <w:rtl/>
        </w:rPr>
        <w:t xml:space="preserve"> (</w:t>
      </w:r>
      <w:r w:rsidRPr="00861D72">
        <w:rPr>
          <w:rFonts w:eastAsia="Times New Roman" w:hint="cs"/>
          <w:bCs/>
          <w:spacing w:val="40"/>
          <w:rtl/>
        </w:rPr>
        <w:t>בט"ל</w:t>
      </w:r>
      <w:r w:rsidRPr="00861D72">
        <w:rPr>
          <w:rFonts w:eastAsia="Times New Roman" w:hint="cs"/>
          <w:bCs/>
          <w:spacing w:val="40"/>
          <w:rtl/>
        </w:rPr>
        <w:t>, רווחה וקופות החולים):</w:t>
      </w:r>
      <w:r w:rsidRPr="00861D72">
        <w:rPr>
          <w:rFonts w:eastAsia="Calibri" w:hint="cs"/>
          <w:rtl/>
          <w:lang w:eastAsia="he-IL"/>
        </w:rPr>
        <w:t xml:space="preserve"> ש</w:t>
      </w:r>
      <w:r w:rsidRPr="00861D72">
        <w:rPr>
          <w:rFonts w:eastAsia="Calibri"/>
          <w:rtl/>
          <w:lang w:eastAsia="he-IL"/>
        </w:rPr>
        <w:t>מטרות</w:t>
      </w:r>
      <w:r w:rsidRPr="00861D72">
        <w:rPr>
          <w:rFonts w:eastAsia="Calibri" w:hint="cs"/>
          <w:rtl/>
          <w:lang w:eastAsia="he-IL"/>
        </w:rPr>
        <w:t>יו הן: לפ</w:t>
      </w:r>
      <w:r w:rsidRPr="00861D72">
        <w:rPr>
          <w:rFonts w:eastAsia="Calibri"/>
          <w:rtl/>
          <w:lang w:eastAsia="he-IL"/>
        </w:rPr>
        <w:t>תח תפיסה משותפת ות</w:t>
      </w:r>
      <w:r w:rsidRPr="00861D72">
        <w:rPr>
          <w:rFonts w:eastAsia="Calibri" w:hint="cs"/>
          <w:rtl/>
          <w:lang w:eastAsia="he-IL"/>
        </w:rPr>
        <w:t>ו</w:t>
      </w:r>
      <w:r w:rsidRPr="00861D72">
        <w:rPr>
          <w:rFonts w:eastAsia="Calibri"/>
          <w:rtl/>
          <w:lang w:eastAsia="he-IL"/>
        </w:rPr>
        <w:t>כנית פעולה אסטרטגית, רב-מערכתית ומקצועית לאתגרי הזדקנות</w:t>
      </w:r>
      <w:r w:rsidRPr="00861D72">
        <w:rPr>
          <w:rFonts w:eastAsia="Calibri" w:hint="cs"/>
          <w:rtl/>
          <w:lang w:eastAsia="he-IL"/>
        </w:rPr>
        <w:t>;</w:t>
      </w:r>
      <w:r w:rsidRPr="00861D72">
        <w:rPr>
          <w:rFonts w:eastAsia="Calibri"/>
          <w:rtl/>
          <w:lang w:eastAsia="he-IL"/>
        </w:rPr>
        <w:t xml:space="preserve"> </w:t>
      </w:r>
      <w:r w:rsidRPr="00861D72">
        <w:rPr>
          <w:rFonts w:eastAsia="Calibri" w:hint="cs"/>
          <w:rtl/>
          <w:lang w:eastAsia="he-IL"/>
        </w:rPr>
        <w:t>ל</w:t>
      </w:r>
      <w:r w:rsidRPr="00861D72">
        <w:rPr>
          <w:rFonts w:eastAsia="Calibri"/>
          <w:rtl/>
          <w:lang w:eastAsia="he-IL"/>
        </w:rPr>
        <w:t xml:space="preserve">גבש מפת אתגרים, חסמים והזדמנויות כבסיס לפיתוח </w:t>
      </w:r>
      <w:r w:rsidRPr="00861D72">
        <w:rPr>
          <w:rFonts w:eastAsia="Calibri"/>
          <w:rtl/>
          <w:lang w:eastAsia="he-IL"/>
        </w:rPr>
        <w:t>ת</w:t>
      </w:r>
      <w:r w:rsidRPr="00861D72">
        <w:rPr>
          <w:rFonts w:eastAsia="Calibri" w:hint="cs"/>
          <w:rtl/>
          <w:lang w:eastAsia="he-IL"/>
        </w:rPr>
        <w:t>ו</w:t>
      </w:r>
      <w:r w:rsidRPr="00861D72">
        <w:rPr>
          <w:rFonts w:eastAsia="Calibri"/>
          <w:rtl/>
          <w:lang w:eastAsia="he-IL"/>
        </w:rPr>
        <w:t>כניות</w:t>
      </w:r>
      <w:r w:rsidRPr="00861D72">
        <w:rPr>
          <w:rFonts w:eastAsia="Calibri"/>
          <w:rtl/>
          <w:lang w:eastAsia="he-IL"/>
        </w:rPr>
        <w:t xml:space="preserve"> עבודה משותפות</w:t>
      </w:r>
      <w:r w:rsidRPr="00861D72">
        <w:rPr>
          <w:rFonts w:eastAsia="Calibri" w:hint="cs"/>
          <w:rtl/>
          <w:lang w:eastAsia="he-IL"/>
        </w:rPr>
        <w:t>; ולקדם</w:t>
      </w:r>
      <w:r w:rsidRPr="00861D72">
        <w:rPr>
          <w:rFonts w:eastAsia="Calibri"/>
          <w:rtl/>
          <w:lang w:eastAsia="he-IL"/>
        </w:rPr>
        <w:t xml:space="preserve"> </w:t>
      </w:r>
      <w:r w:rsidRPr="00861D72">
        <w:rPr>
          <w:rFonts w:eastAsia="Calibri"/>
          <w:rtl/>
          <w:lang w:eastAsia="he-IL"/>
        </w:rPr>
        <w:t>אקוסיסטם</w:t>
      </w:r>
      <w:r w:rsidRPr="00861D72">
        <w:rPr>
          <w:rFonts w:eastAsia="Calibri" w:hint="cs"/>
          <w:rtl/>
          <w:lang w:eastAsia="he-IL"/>
        </w:rPr>
        <w:t xml:space="preserve"> (מארג)</w:t>
      </w:r>
      <w:r w:rsidRPr="00861D72">
        <w:rPr>
          <w:rFonts w:eastAsia="Calibri"/>
          <w:rtl/>
          <w:lang w:eastAsia="he-IL"/>
        </w:rPr>
        <w:t xml:space="preserve"> מתואם להובלת תהליכים בשדה לשיפור המענים לזקן בשגרה ובחירום ומיצוי אפקטיבי של המשאבים.</w:t>
      </w:r>
      <w:r w:rsidRPr="00861D72">
        <w:rPr>
          <w:rFonts w:eastAsia="Calibri" w:hint="cs"/>
          <w:rtl/>
          <w:lang w:eastAsia="he-IL"/>
        </w:rPr>
        <w:t xml:space="preserve"> הפורום מורכב מפורום מנכ"לים</w:t>
      </w:r>
      <w:r>
        <w:rPr>
          <w:rFonts w:eastAsia="Calibri"/>
          <w:vertAlign w:val="superscript"/>
          <w:rtl/>
          <w:lang w:eastAsia="he-IL"/>
        </w:rPr>
        <w:footnoteReference w:id="120"/>
      </w:r>
      <w:r w:rsidRPr="00861D72">
        <w:rPr>
          <w:rFonts w:eastAsia="Calibri" w:hint="cs"/>
          <w:rtl/>
          <w:lang w:eastAsia="he-IL"/>
        </w:rPr>
        <w:t>, מפורום מובילים ברמה אסטרטגית וברמה ניהולית ומארבעה צוותי עבודה בנושאי</w:t>
      </w:r>
      <w:r w:rsidRPr="00861D72">
        <w:rPr>
          <w:rFonts w:eastAsia="Calibri" w:hint="cs"/>
          <w:lang w:eastAsia="he-IL"/>
        </w:rPr>
        <w:t xml:space="preserve"> </w:t>
      </w:r>
      <w:r w:rsidRPr="00861D72">
        <w:rPr>
          <w:rFonts w:eastAsia="Calibri" w:hint="cs"/>
          <w:rtl/>
          <w:lang w:eastAsia="he-IL"/>
        </w:rPr>
        <w:t>מניעת הידרדרות, דאטה-</w:t>
      </w:r>
      <w:r w:rsidRPr="00861D72">
        <w:rPr>
          <w:rFonts w:eastAsia="Calibri" w:hint="cs"/>
          <w:rtl/>
          <w:lang w:eastAsia="he-IL"/>
        </w:rPr>
        <w:t>דיגיטל</w:t>
      </w:r>
      <w:r w:rsidRPr="00861D72">
        <w:rPr>
          <w:rFonts w:eastAsia="Calibri" w:hint="cs"/>
          <w:rtl/>
          <w:lang w:eastAsia="he-IL"/>
        </w:rPr>
        <w:t>, רשויות מקומיות ומערכי דיור.</w:t>
      </w:r>
    </w:p>
    <w:p w:rsidR="00861D72" w:rsidRPr="00861D72" w:rsidP="00F90255">
      <w:pPr>
        <w:spacing w:line="269" w:lineRule="auto"/>
        <w:rPr>
          <w:rFonts w:eastAsia="Calibri"/>
          <w:rtl/>
        </w:rPr>
      </w:pPr>
    </w:p>
    <w:p w:rsidR="00861D72" w:rsidRPr="00861D72" w:rsidP="00F90255">
      <w:pPr>
        <w:spacing w:line="269" w:lineRule="auto"/>
        <w:rPr>
          <w:rFonts w:eastAsia="Calibri"/>
          <w:rtl/>
          <w:lang w:eastAsia="he-IL"/>
        </w:rPr>
      </w:pPr>
      <w:r w:rsidRPr="00861D72">
        <w:rPr>
          <w:rFonts w:eastAsia="Times New Roman"/>
          <w:bCs/>
          <w:spacing w:val="40"/>
          <w:rtl/>
        </w:rPr>
        <w:t>פורום השותפים הממשלתי עם ג'וינט-אשל</w:t>
      </w:r>
      <w:r w:rsidRPr="00861D72">
        <w:rPr>
          <w:rFonts w:eastAsia="Times New Roman" w:hint="cs"/>
          <w:bCs/>
          <w:spacing w:val="40"/>
          <w:rtl/>
        </w:rPr>
        <w:t>:</w:t>
      </w:r>
      <w:r w:rsidRPr="00861D72">
        <w:rPr>
          <w:rFonts w:eastAsia="Calibri"/>
          <w:rtl/>
          <w:lang w:eastAsia="he-IL"/>
        </w:rPr>
        <w:t xml:space="preserve"> כולל נציגים ממשרדי ממשלה, </w:t>
      </w:r>
      <w:r w:rsidRPr="00861D72">
        <w:rPr>
          <w:rFonts w:eastAsia="Calibri" w:hint="cs"/>
          <w:rtl/>
          <w:lang w:eastAsia="he-IL"/>
        </w:rPr>
        <w:t>מ</w:t>
      </w:r>
      <w:r w:rsidRPr="00861D72">
        <w:rPr>
          <w:rFonts w:eastAsia="Calibri"/>
          <w:rtl/>
          <w:lang w:eastAsia="he-IL"/>
        </w:rPr>
        <w:t xml:space="preserve">רשויות מקומיות, </w:t>
      </w:r>
      <w:r w:rsidRPr="00861D72">
        <w:rPr>
          <w:rFonts w:eastAsia="Calibri" w:hint="cs"/>
          <w:rtl/>
          <w:lang w:eastAsia="he-IL"/>
        </w:rPr>
        <w:t>מ</w:t>
      </w:r>
      <w:r w:rsidRPr="00861D72">
        <w:rPr>
          <w:rFonts w:eastAsia="Calibri"/>
          <w:rtl/>
          <w:lang w:eastAsia="he-IL"/>
        </w:rPr>
        <w:t>ארגונים חברתיים ו</w:t>
      </w:r>
      <w:r w:rsidRPr="00861D72">
        <w:rPr>
          <w:rFonts w:eastAsia="Calibri" w:hint="cs"/>
          <w:rtl/>
          <w:lang w:eastAsia="he-IL"/>
        </w:rPr>
        <w:t>מ</w:t>
      </w:r>
      <w:r w:rsidRPr="00861D72">
        <w:rPr>
          <w:rFonts w:eastAsia="Calibri"/>
          <w:rtl/>
          <w:lang w:eastAsia="he-IL"/>
        </w:rPr>
        <w:t>עמותות</w:t>
      </w:r>
      <w:r>
        <w:rPr>
          <w:rFonts w:eastAsia="Calibri"/>
          <w:vertAlign w:val="superscript"/>
          <w:rtl/>
          <w:lang w:eastAsia="he-IL"/>
        </w:rPr>
        <w:footnoteReference w:id="121"/>
      </w:r>
      <w:r w:rsidRPr="00861D72">
        <w:rPr>
          <w:rFonts w:eastAsia="Calibri"/>
          <w:rtl/>
          <w:lang w:eastAsia="he-IL"/>
        </w:rPr>
        <w:t xml:space="preserve">, ומתמקד בקידום </w:t>
      </w:r>
      <w:r w:rsidRPr="00861D72">
        <w:rPr>
          <w:rFonts w:eastAsia="Calibri" w:hint="cs"/>
          <w:rtl/>
          <w:lang w:eastAsia="he-IL"/>
        </w:rPr>
        <w:t xml:space="preserve">של </w:t>
      </w:r>
      <w:r w:rsidRPr="00861D72">
        <w:rPr>
          <w:rFonts w:eastAsia="Calibri"/>
          <w:rtl/>
          <w:lang w:eastAsia="he-IL"/>
        </w:rPr>
        <w:t>הזדקנות מיטבית בישראל.</w:t>
      </w:r>
      <w:r w:rsidRPr="00861D72">
        <w:rPr>
          <w:rFonts w:eastAsia="Calibri" w:hint="cs"/>
          <w:rtl/>
          <w:lang w:eastAsia="he-IL"/>
        </w:rPr>
        <w:t xml:space="preserve"> פורום השותפים הממשלתי עם ג'וינט-אשל גיבש את </w:t>
      </w:r>
      <w:r w:rsidRPr="00861D72">
        <w:rPr>
          <w:rFonts w:eastAsia="Calibri"/>
          <w:rtl/>
          <w:lang w:eastAsia="he-IL"/>
        </w:rPr>
        <w:t xml:space="preserve">מפת </w:t>
      </w:r>
      <w:r w:rsidRPr="00861D72">
        <w:rPr>
          <w:rFonts w:eastAsia="Calibri" w:hint="eastAsia"/>
          <w:rtl/>
          <w:lang w:eastAsia="he-IL"/>
        </w:rPr>
        <w:t>ה</w:t>
      </w:r>
      <w:r w:rsidRPr="00861D72">
        <w:rPr>
          <w:rFonts w:eastAsia="Calibri"/>
          <w:rtl/>
          <w:lang w:eastAsia="he-IL"/>
        </w:rPr>
        <w:t xml:space="preserve">מדדים </w:t>
      </w:r>
      <w:r w:rsidRPr="00861D72">
        <w:rPr>
          <w:rFonts w:eastAsia="Calibri" w:hint="eastAsia"/>
          <w:rtl/>
          <w:lang w:eastAsia="he-IL"/>
        </w:rPr>
        <w:t>ה</w:t>
      </w:r>
      <w:r w:rsidRPr="00861D72">
        <w:rPr>
          <w:rFonts w:eastAsia="Calibri"/>
          <w:rtl/>
          <w:lang w:eastAsia="he-IL"/>
        </w:rPr>
        <w:t xml:space="preserve">לאומית להזדקנות מיטבית, </w:t>
      </w:r>
      <w:r w:rsidRPr="00861D72">
        <w:rPr>
          <w:rFonts w:eastAsia="Calibri" w:hint="eastAsia"/>
          <w:rtl/>
          <w:lang w:eastAsia="he-IL"/>
        </w:rPr>
        <w:t>וקידם</w:t>
      </w:r>
      <w:r w:rsidRPr="00861D72">
        <w:rPr>
          <w:rFonts w:eastAsia="Calibri"/>
          <w:rtl/>
          <w:lang w:eastAsia="he-IL"/>
        </w:rPr>
        <w:t xml:space="preserve"> </w:t>
      </w:r>
      <w:r w:rsidRPr="00861D72">
        <w:rPr>
          <w:rFonts w:eastAsia="Calibri" w:hint="eastAsia"/>
          <w:rtl/>
          <w:lang w:eastAsia="he-IL"/>
        </w:rPr>
        <w:t>את</w:t>
      </w:r>
      <w:r w:rsidRPr="00861D72">
        <w:rPr>
          <w:rFonts w:eastAsia="Calibri"/>
          <w:rtl/>
          <w:lang w:eastAsia="he-IL"/>
        </w:rPr>
        <w:t xml:space="preserve"> </w:t>
      </w:r>
      <w:r w:rsidRPr="00861D72">
        <w:rPr>
          <w:rFonts w:eastAsia="Calibri" w:hint="eastAsia"/>
          <w:rtl/>
          <w:lang w:eastAsia="he-IL"/>
        </w:rPr>
        <w:t>החלטת</w:t>
      </w:r>
      <w:r w:rsidRPr="00861D72">
        <w:rPr>
          <w:rFonts w:eastAsia="Calibri"/>
          <w:rtl/>
          <w:lang w:eastAsia="he-IL"/>
        </w:rPr>
        <w:t xml:space="preserve"> </w:t>
      </w:r>
      <w:r w:rsidRPr="00861D72">
        <w:rPr>
          <w:rFonts w:eastAsia="Calibri" w:hint="cs"/>
          <w:rtl/>
          <w:lang w:eastAsia="he-IL"/>
        </w:rPr>
        <w:t>ה</w:t>
      </w:r>
      <w:r w:rsidRPr="00861D72">
        <w:rPr>
          <w:rFonts w:eastAsia="Calibri" w:hint="eastAsia"/>
          <w:rtl/>
          <w:lang w:eastAsia="he-IL"/>
        </w:rPr>
        <w:t>ממשלה</w:t>
      </w:r>
      <w:r w:rsidRPr="00861D72">
        <w:rPr>
          <w:rFonts w:eastAsia="Calibri"/>
          <w:rtl/>
          <w:lang w:eastAsia="he-IL"/>
        </w:rPr>
        <w:t xml:space="preserve"> 127 </w:t>
      </w:r>
      <w:r w:rsidRPr="00861D72">
        <w:rPr>
          <w:rFonts w:eastAsia="Calibri" w:hint="cs"/>
          <w:rtl/>
          <w:lang w:eastAsia="he-IL"/>
        </w:rPr>
        <w:t xml:space="preserve">מ-2021 </w:t>
      </w:r>
      <w:r w:rsidRPr="00861D72">
        <w:rPr>
          <w:rFonts w:eastAsia="Calibri" w:hint="eastAsia"/>
          <w:rtl/>
          <w:lang w:eastAsia="he-IL"/>
        </w:rPr>
        <w:t>המאמצת</w:t>
      </w:r>
      <w:r w:rsidRPr="00861D72">
        <w:rPr>
          <w:rFonts w:eastAsia="Calibri"/>
          <w:rtl/>
          <w:lang w:eastAsia="he-IL"/>
        </w:rPr>
        <w:t xml:space="preserve"> </w:t>
      </w:r>
      <w:r w:rsidRPr="00861D72">
        <w:rPr>
          <w:rFonts w:eastAsia="Calibri" w:hint="eastAsia"/>
          <w:rtl/>
          <w:lang w:eastAsia="he-IL"/>
        </w:rPr>
        <w:t>אותה</w:t>
      </w:r>
      <w:r w:rsidRPr="00861D72">
        <w:rPr>
          <w:rFonts w:eastAsia="Calibri"/>
          <w:rtl/>
          <w:lang w:eastAsia="he-IL"/>
        </w:rPr>
        <w:t>. הפורום פועל לעיצוב תפיסה ורא</w:t>
      </w:r>
      <w:r w:rsidRPr="00861D72">
        <w:rPr>
          <w:rFonts w:eastAsia="Calibri" w:hint="cs"/>
          <w:rtl/>
          <w:lang w:eastAsia="he-IL"/>
        </w:rPr>
        <w:t>י</w:t>
      </w:r>
      <w:r w:rsidRPr="00861D72">
        <w:rPr>
          <w:rFonts w:eastAsia="Calibri"/>
          <w:rtl/>
          <w:lang w:eastAsia="he-IL"/>
        </w:rPr>
        <w:t>יה כוללת של מגמות וסוגיות מרכזיות לקידום הזדקנות מיטבי</w:t>
      </w:r>
      <w:r w:rsidRPr="00861D72">
        <w:rPr>
          <w:rFonts w:eastAsia="Calibri" w:hint="eastAsia"/>
          <w:rtl/>
          <w:lang w:eastAsia="he-IL"/>
        </w:rPr>
        <w:t>ת</w:t>
      </w:r>
      <w:r w:rsidRPr="00861D72">
        <w:rPr>
          <w:rFonts w:eastAsia="Calibri"/>
          <w:rtl/>
          <w:lang w:eastAsia="he-IL"/>
        </w:rPr>
        <w:t xml:space="preserve">, </w:t>
      </w:r>
      <w:r w:rsidRPr="00861D72">
        <w:rPr>
          <w:rFonts w:eastAsia="Calibri" w:hint="cs"/>
          <w:rtl/>
          <w:lang w:eastAsia="he-IL"/>
        </w:rPr>
        <w:t>ל</w:t>
      </w:r>
      <w:r w:rsidRPr="00861D72">
        <w:rPr>
          <w:rFonts w:eastAsia="Calibri" w:hint="eastAsia"/>
          <w:rtl/>
          <w:lang w:eastAsia="he-IL"/>
        </w:rPr>
        <w:t>יישום</w:t>
      </w:r>
      <w:r w:rsidRPr="00861D72">
        <w:rPr>
          <w:rFonts w:eastAsia="Calibri"/>
          <w:rtl/>
          <w:lang w:eastAsia="he-IL"/>
        </w:rPr>
        <w:t xml:space="preserve"> </w:t>
      </w:r>
      <w:r w:rsidRPr="00861D72">
        <w:rPr>
          <w:rFonts w:eastAsia="Calibri" w:hint="eastAsia"/>
          <w:rtl/>
          <w:lang w:eastAsia="he-IL"/>
        </w:rPr>
        <w:t>ו</w:t>
      </w:r>
      <w:r w:rsidRPr="00861D72">
        <w:rPr>
          <w:rFonts w:eastAsia="Calibri" w:hint="cs"/>
          <w:rtl/>
          <w:lang w:eastAsia="he-IL"/>
        </w:rPr>
        <w:t>ל</w:t>
      </w:r>
      <w:r w:rsidRPr="00861D72">
        <w:rPr>
          <w:rFonts w:eastAsia="Calibri" w:hint="eastAsia"/>
          <w:rtl/>
          <w:lang w:eastAsia="he-IL"/>
        </w:rPr>
        <w:t>הטמעה</w:t>
      </w:r>
      <w:r w:rsidRPr="00861D72">
        <w:rPr>
          <w:rFonts w:eastAsia="Calibri"/>
          <w:rtl/>
          <w:lang w:eastAsia="he-IL"/>
        </w:rPr>
        <w:t xml:space="preserve"> </w:t>
      </w:r>
      <w:r w:rsidRPr="00861D72">
        <w:rPr>
          <w:rFonts w:eastAsia="Calibri" w:hint="eastAsia"/>
          <w:rtl/>
          <w:lang w:eastAsia="he-IL"/>
        </w:rPr>
        <w:t>של</w:t>
      </w:r>
      <w:r w:rsidRPr="00861D72">
        <w:rPr>
          <w:rFonts w:eastAsia="Calibri"/>
          <w:rtl/>
          <w:lang w:eastAsia="he-IL"/>
        </w:rPr>
        <w:t xml:space="preserve"> </w:t>
      </w:r>
      <w:r w:rsidRPr="00861D72">
        <w:rPr>
          <w:rFonts w:eastAsia="Calibri" w:hint="eastAsia"/>
          <w:rtl/>
          <w:lang w:eastAsia="he-IL"/>
        </w:rPr>
        <w:t>החלטת</w:t>
      </w:r>
      <w:r w:rsidRPr="00861D72">
        <w:rPr>
          <w:rFonts w:eastAsia="Calibri"/>
          <w:rtl/>
          <w:lang w:eastAsia="he-IL"/>
        </w:rPr>
        <w:t xml:space="preserve"> </w:t>
      </w:r>
      <w:r w:rsidRPr="00861D72">
        <w:rPr>
          <w:rFonts w:eastAsia="Calibri" w:hint="cs"/>
          <w:rtl/>
          <w:lang w:eastAsia="he-IL"/>
        </w:rPr>
        <w:t>ה</w:t>
      </w:r>
      <w:r w:rsidRPr="00861D72">
        <w:rPr>
          <w:rFonts w:eastAsia="Calibri" w:hint="eastAsia"/>
          <w:rtl/>
          <w:lang w:eastAsia="he-IL"/>
        </w:rPr>
        <w:t>ממשלה</w:t>
      </w:r>
      <w:r w:rsidRPr="00861D72">
        <w:rPr>
          <w:rFonts w:eastAsia="Calibri"/>
          <w:rtl/>
          <w:lang w:eastAsia="he-IL"/>
        </w:rPr>
        <w:t xml:space="preserve"> 127 </w:t>
      </w:r>
      <w:r w:rsidRPr="00861D72">
        <w:rPr>
          <w:rFonts w:eastAsia="Calibri" w:hint="eastAsia"/>
          <w:rtl/>
          <w:lang w:eastAsia="he-IL"/>
        </w:rPr>
        <w:t>בדבר</w:t>
      </w:r>
      <w:r w:rsidRPr="00861D72">
        <w:rPr>
          <w:rFonts w:eastAsia="Calibri"/>
          <w:rtl/>
          <w:lang w:eastAsia="he-IL"/>
        </w:rPr>
        <w:t xml:space="preserve"> </w:t>
      </w:r>
      <w:r w:rsidRPr="00861D72">
        <w:rPr>
          <w:rFonts w:eastAsia="Calibri" w:hint="eastAsia"/>
          <w:rtl/>
          <w:lang w:eastAsia="he-IL"/>
        </w:rPr>
        <w:t>אימוץ</w:t>
      </w:r>
      <w:r w:rsidRPr="00861D72">
        <w:rPr>
          <w:rFonts w:eastAsia="Calibri"/>
          <w:rtl/>
          <w:lang w:eastAsia="he-IL"/>
        </w:rPr>
        <w:t xml:space="preserve"> </w:t>
      </w:r>
      <w:r w:rsidRPr="00861D72">
        <w:rPr>
          <w:rFonts w:eastAsia="Calibri" w:hint="eastAsia"/>
          <w:rtl/>
          <w:lang w:eastAsia="he-IL"/>
        </w:rPr>
        <w:t>מפת</w:t>
      </w:r>
      <w:r w:rsidRPr="00861D72">
        <w:rPr>
          <w:rFonts w:eastAsia="Calibri"/>
          <w:rtl/>
          <w:lang w:eastAsia="he-IL"/>
        </w:rPr>
        <w:t xml:space="preserve"> </w:t>
      </w:r>
      <w:r w:rsidRPr="00861D72">
        <w:rPr>
          <w:rFonts w:eastAsia="Calibri" w:hint="eastAsia"/>
          <w:rtl/>
          <w:lang w:eastAsia="he-IL"/>
        </w:rPr>
        <w:t>המדדים</w:t>
      </w:r>
      <w:r w:rsidRPr="00861D72">
        <w:rPr>
          <w:rFonts w:eastAsia="Calibri"/>
          <w:rtl/>
          <w:lang w:eastAsia="he-IL"/>
        </w:rPr>
        <w:t xml:space="preserve">, </w:t>
      </w:r>
      <w:r w:rsidRPr="00861D72">
        <w:rPr>
          <w:rFonts w:eastAsia="Calibri" w:hint="eastAsia"/>
          <w:rtl/>
          <w:lang w:eastAsia="he-IL"/>
        </w:rPr>
        <w:t>ו</w:t>
      </w:r>
      <w:r w:rsidRPr="00861D72">
        <w:rPr>
          <w:rFonts w:eastAsia="Calibri" w:hint="cs"/>
          <w:rtl/>
          <w:lang w:eastAsia="he-IL"/>
        </w:rPr>
        <w:t>ל</w:t>
      </w:r>
      <w:r w:rsidRPr="00861D72">
        <w:rPr>
          <w:rFonts w:eastAsia="Calibri" w:hint="eastAsia"/>
          <w:rtl/>
          <w:lang w:eastAsia="he-IL"/>
        </w:rPr>
        <w:t>הכוונה</w:t>
      </w:r>
      <w:r w:rsidRPr="00861D72">
        <w:rPr>
          <w:rFonts w:eastAsia="Calibri"/>
          <w:rtl/>
          <w:lang w:eastAsia="he-IL"/>
        </w:rPr>
        <w:t xml:space="preserve"> </w:t>
      </w:r>
      <w:r w:rsidRPr="00861D72">
        <w:rPr>
          <w:rFonts w:eastAsia="Calibri" w:hint="eastAsia"/>
          <w:rtl/>
          <w:lang w:eastAsia="he-IL"/>
        </w:rPr>
        <w:t>ו</w:t>
      </w:r>
      <w:r w:rsidRPr="00861D72">
        <w:rPr>
          <w:rFonts w:eastAsia="Calibri" w:hint="cs"/>
          <w:rtl/>
          <w:lang w:eastAsia="he-IL"/>
        </w:rPr>
        <w:t>ל</w:t>
      </w:r>
      <w:r w:rsidRPr="00861D72">
        <w:rPr>
          <w:rFonts w:eastAsia="Calibri" w:hint="eastAsia"/>
          <w:rtl/>
          <w:lang w:eastAsia="he-IL"/>
        </w:rPr>
        <w:t>חידוד</w:t>
      </w:r>
      <w:r w:rsidRPr="00861D72">
        <w:rPr>
          <w:rFonts w:eastAsia="Calibri"/>
          <w:rtl/>
          <w:lang w:eastAsia="he-IL"/>
        </w:rPr>
        <w:t xml:space="preserve"> </w:t>
      </w:r>
      <w:r w:rsidRPr="00861D72">
        <w:rPr>
          <w:rFonts w:eastAsia="Calibri" w:hint="eastAsia"/>
          <w:rtl/>
          <w:lang w:eastAsia="he-IL"/>
        </w:rPr>
        <w:t>של</w:t>
      </w:r>
      <w:r w:rsidRPr="00861D72">
        <w:rPr>
          <w:rFonts w:eastAsia="Calibri"/>
          <w:rtl/>
          <w:lang w:eastAsia="he-IL"/>
        </w:rPr>
        <w:t xml:space="preserve"> </w:t>
      </w:r>
      <w:r w:rsidRPr="00861D72">
        <w:rPr>
          <w:rFonts w:eastAsia="Calibri" w:hint="eastAsia"/>
          <w:rtl/>
          <w:lang w:eastAsia="he-IL"/>
        </w:rPr>
        <w:t>כיווני</w:t>
      </w:r>
      <w:r w:rsidRPr="00861D72">
        <w:rPr>
          <w:rFonts w:eastAsia="Calibri"/>
          <w:rtl/>
          <w:lang w:eastAsia="he-IL"/>
        </w:rPr>
        <w:t xml:space="preserve"> </w:t>
      </w:r>
      <w:r w:rsidRPr="00861D72">
        <w:rPr>
          <w:rFonts w:eastAsia="Calibri" w:hint="cs"/>
          <w:rtl/>
          <w:lang w:eastAsia="he-IL"/>
        </w:rPr>
        <w:t>ה</w:t>
      </w:r>
      <w:r w:rsidRPr="00861D72">
        <w:rPr>
          <w:rFonts w:eastAsia="Calibri" w:hint="eastAsia"/>
          <w:rtl/>
          <w:lang w:eastAsia="he-IL"/>
        </w:rPr>
        <w:t>פעולה</w:t>
      </w:r>
      <w:r w:rsidRPr="00861D72">
        <w:rPr>
          <w:rFonts w:eastAsia="Calibri"/>
          <w:rtl/>
          <w:lang w:eastAsia="he-IL"/>
        </w:rPr>
        <w:t xml:space="preserve"> </w:t>
      </w:r>
      <w:r w:rsidRPr="00861D72">
        <w:rPr>
          <w:rFonts w:eastAsia="Calibri" w:hint="cs"/>
          <w:rtl/>
          <w:lang w:eastAsia="he-IL"/>
        </w:rPr>
        <w:t>ה</w:t>
      </w:r>
      <w:r w:rsidRPr="00861D72">
        <w:rPr>
          <w:rFonts w:eastAsia="Calibri" w:hint="eastAsia"/>
          <w:rtl/>
          <w:lang w:eastAsia="he-IL"/>
        </w:rPr>
        <w:t>נדרשים</w:t>
      </w:r>
      <w:r w:rsidRPr="00861D72">
        <w:rPr>
          <w:rFonts w:eastAsia="Calibri"/>
          <w:rtl/>
          <w:lang w:eastAsia="he-IL"/>
        </w:rPr>
        <w:t xml:space="preserve"> </w:t>
      </w:r>
      <w:r w:rsidRPr="00861D72">
        <w:rPr>
          <w:rFonts w:eastAsia="Calibri" w:hint="eastAsia"/>
          <w:rtl/>
          <w:lang w:eastAsia="he-IL"/>
        </w:rPr>
        <w:t>לאור</w:t>
      </w:r>
      <w:r w:rsidRPr="00861D72">
        <w:rPr>
          <w:rFonts w:eastAsia="Calibri"/>
          <w:rtl/>
          <w:lang w:eastAsia="he-IL"/>
        </w:rPr>
        <w:t xml:space="preserve"> </w:t>
      </w:r>
      <w:r w:rsidRPr="00861D72">
        <w:rPr>
          <w:rFonts w:eastAsia="Calibri" w:hint="eastAsia"/>
          <w:rtl/>
          <w:lang w:eastAsia="he-IL"/>
        </w:rPr>
        <w:t>העשייה</w:t>
      </w:r>
      <w:r w:rsidRPr="00861D72">
        <w:rPr>
          <w:rFonts w:eastAsia="Calibri"/>
          <w:rtl/>
          <w:lang w:eastAsia="he-IL"/>
        </w:rPr>
        <w:t xml:space="preserve"> </w:t>
      </w:r>
      <w:r w:rsidRPr="00861D72">
        <w:rPr>
          <w:rFonts w:eastAsia="Calibri" w:hint="eastAsia"/>
          <w:rtl/>
          <w:lang w:eastAsia="he-IL"/>
        </w:rPr>
        <w:t>של</w:t>
      </w:r>
      <w:r w:rsidRPr="00861D72">
        <w:rPr>
          <w:rFonts w:eastAsia="Calibri"/>
          <w:rtl/>
          <w:lang w:eastAsia="he-IL"/>
        </w:rPr>
        <w:t xml:space="preserve"> </w:t>
      </w:r>
      <w:r w:rsidRPr="00861D72">
        <w:rPr>
          <w:rFonts w:eastAsia="Calibri" w:hint="eastAsia"/>
          <w:rtl/>
          <w:lang w:eastAsia="he-IL"/>
        </w:rPr>
        <w:t>כלל</w:t>
      </w:r>
      <w:r w:rsidRPr="00861D72">
        <w:rPr>
          <w:rFonts w:eastAsia="Calibri"/>
          <w:rtl/>
          <w:lang w:eastAsia="he-IL"/>
        </w:rPr>
        <w:t xml:space="preserve"> </w:t>
      </w:r>
      <w:r w:rsidRPr="00861D72">
        <w:rPr>
          <w:rFonts w:eastAsia="Calibri" w:hint="eastAsia"/>
          <w:rtl/>
          <w:lang w:eastAsia="he-IL"/>
        </w:rPr>
        <w:t>המשרדים</w:t>
      </w:r>
      <w:r w:rsidRPr="00861D72">
        <w:rPr>
          <w:rFonts w:eastAsia="Calibri"/>
          <w:rtl/>
          <w:lang w:eastAsia="he-IL"/>
        </w:rPr>
        <w:t>.</w:t>
      </w:r>
    </w:p>
    <w:p w:rsidR="00861D72" w:rsidRPr="00861D72" w:rsidP="00F90255">
      <w:pPr>
        <w:spacing w:line="269" w:lineRule="auto"/>
        <w:rPr>
          <w:rFonts w:eastAsia="Calibri"/>
          <w:rtl/>
        </w:rPr>
      </w:pPr>
    </w:p>
    <w:p w:rsidR="00861D72" w:rsidRPr="00861D72" w:rsidP="00F90255">
      <w:pPr>
        <w:spacing w:line="269" w:lineRule="auto"/>
        <w:rPr>
          <w:rFonts w:eastAsia="Calibri"/>
          <w:highlight w:val="yellow"/>
          <w:rtl/>
          <w:lang w:eastAsia="he-IL"/>
        </w:rPr>
      </w:pPr>
      <w:r w:rsidRPr="00861D72">
        <w:rPr>
          <w:rFonts w:eastAsia="Times New Roman" w:hint="cs"/>
          <w:bCs/>
          <w:spacing w:val="40"/>
          <w:rtl/>
        </w:rPr>
        <w:t>תוכנית</w:t>
      </w:r>
      <w:r w:rsidRPr="00861D72">
        <w:rPr>
          <w:rFonts w:eastAsia="Times New Roman" w:hint="cs"/>
          <w:bCs/>
          <w:spacing w:val="40"/>
          <w:rtl/>
        </w:rPr>
        <w:t xml:space="preserve"> זמן עתיד:</w:t>
      </w:r>
      <w:r w:rsidRPr="00861D72">
        <w:rPr>
          <w:rFonts w:eastAsia="Calibri" w:hint="cs"/>
          <w:rtl/>
          <w:lang w:eastAsia="he-IL"/>
        </w:rPr>
        <w:t xml:space="preserve"> היא </w:t>
      </w:r>
      <w:r w:rsidRPr="00861D72">
        <w:rPr>
          <w:rFonts w:eastAsia="Calibri"/>
          <w:rtl/>
          <w:lang w:eastAsia="he-IL"/>
        </w:rPr>
        <w:t>תוכנית</w:t>
      </w:r>
      <w:r w:rsidRPr="00861D72">
        <w:rPr>
          <w:rFonts w:eastAsia="Calibri"/>
          <w:rtl/>
          <w:lang w:eastAsia="he-IL"/>
        </w:rPr>
        <w:t xml:space="preserve"> עתודה מערכתית בשיתוף עם משרד </w:t>
      </w:r>
      <w:r w:rsidRPr="00861D72">
        <w:rPr>
          <w:rFonts w:eastAsia="Calibri"/>
          <w:rtl/>
          <w:lang w:eastAsia="he-IL"/>
        </w:rPr>
        <w:t>רה"</w:t>
      </w:r>
      <w:r w:rsidRPr="00861D72">
        <w:rPr>
          <w:rFonts w:eastAsia="Calibri" w:hint="cs"/>
          <w:rtl/>
          <w:lang w:eastAsia="he-IL"/>
        </w:rPr>
        <w:t>ם</w:t>
      </w:r>
      <w:r w:rsidRPr="00861D72">
        <w:rPr>
          <w:rFonts w:eastAsia="Calibri"/>
          <w:rtl/>
          <w:lang w:eastAsia="he-IL"/>
        </w:rPr>
        <w:t xml:space="preserve">, משרד הרווחה, משרד הבריאות, משרד האוצר, המשרד לשוויון חברתי, </w:t>
      </w:r>
      <w:r w:rsidRPr="00861D72">
        <w:rPr>
          <w:rFonts w:eastAsia="Calibri" w:hint="cs"/>
          <w:rtl/>
          <w:lang w:eastAsia="he-IL"/>
        </w:rPr>
        <w:t>בט"ל</w:t>
      </w:r>
      <w:r w:rsidRPr="00861D72">
        <w:rPr>
          <w:rFonts w:eastAsia="Calibri"/>
          <w:rtl/>
          <w:lang w:eastAsia="he-IL"/>
        </w:rPr>
        <w:t>, השלטון המקומי</w:t>
      </w:r>
      <w:r w:rsidRPr="00861D72">
        <w:rPr>
          <w:rFonts w:eastAsia="Calibri" w:hint="cs"/>
          <w:rtl/>
          <w:lang w:eastAsia="he-IL"/>
        </w:rPr>
        <w:t xml:space="preserve"> וגורמים מהמגזר השלישי שנ</w:t>
      </w:r>
      <w:r w:rsidRPr="00861D72">
        <w:rPr>
          <w:rFonts w:eastAsia="Calibri"/>
          <w:rtl/>
          <w:lang w:eastAsia="he-IL"/>
        </w:rPr>
        <w:t>ועדה לפתח רשת בין מערכתית של מנהיגות ומנהיגים בעמדות מפתח ממגוון מגזרים, בעלי פוטנציאל</w:t>
      </w:r>
      <w:r w:rsidRPr="00861D72">
        <w:rPr>
          <w:rFonts w:eastAsia="Calibri" w:hint="cs"/>
          <w:rtl/>
          <w:lang w:eastAsia="he-IL"/>
        </w:rPr>
        <w:t xml:space="preserve"> </w:t>
      </w:r>
      <w:r w:rsidRPr="00861D72">
        <w:rPr>
          <w:rFonts w:eastAsia="Calibri"/>
          <w:rtl/>
          <w:lang w:eastAsia="he-IL"/>
        </w:rPr>
        <w:t xml:space="preserve">להוביל שינוי במערכות ההזדקנות בישראל לטובת שיפור איכות החיים של </w:t>
      </w:r>
      <w:r w:rsidRPr="00861D72">
        <w:rPr>
          <w:rFonts w:eastAsia="Calibri" w:hint="cs"/>
          <w:rtl/>
          <w:lang w:eastAsia="he-IL"/>
        </w:rPr>
        <w:t>האוכלוסייה המזדקנת בישראל</w:t>
      </w:r>
      <w:r>
        <w:rPr>
          <w:rFonts w:eastAsia="Calibri"/>
          <w:vertAlign w:val="superscript"/>
          <w:rtl/>
          <w:lang w:eastAsia="he-IL"/>
        </w:rPr>
        <w:footnoteReference w:id="122"/>
      </w:r>
      <w:r w:rsidRPr="00861D72">
        <w:rPr>
          <w:rFonts w:eastAsia="Calibri" w:hint="cs"/>
          <w:rtl/>
          <w:lang w:eastAsia="he-IL"/>
        </w:rPr>
        <w:t>.</w:t>
      </w:r>
    </w:p>
    <w:p w:rsidR="00861D72" w:rsidRPr="00861D72" w:rsidP="00F90255">
      <w:pPr>
        <w:spacing w:line="269" w:lineRule="auto"/>
        <w:rPr>
          <w:rFonts w:eastAsia="Calibri"/>
          <w:rtl/>
        </w:rPr>
      </w:pPr>
    </w:p>
    <w:p w:rsidR="00861D72" w:rsidRPr="00861D72" w:rsidP="00F90255">
      <w:pPr>
        <w:spacing w:line="269" w:lineRule="auto"/>
        <w:rPr>
          <w:rFonts w:eastAsia="Calibri"/>
        </w:rPr>
      </w:pPr>
      <w:r w:rsidRPr="00861D72">
        <w:rPr>
          <w:rFonts w:eastAsia="Times New Roman" w:hint="cs"/>
          <w:bCs/>
          <w:spacing w:val="40"/>
          <w:rtl/>
        </w:rPr>
        <w:t>הגברת התיאום הבין-משרדי ב</w:t>
      </w:r>
      <w:r w:rsidRPr="00861D72">
        <w:rPr>
          <w:rFonts w:eastAsia="Times New Roman" w:hint="eastAsia"/>
          <w:bCs/>
          <w:spacing w:val="40"/>
          <w:rtl/>
        </w:rPr>
        <w:t>תוכנית</w:t>
      </w:r>
      <w:r w:rsidRPr="00861D72">
        <w:rPr>
          <w:rFonts w:eastAsia="Times New Roman"/>
          <w:bCs/>
          <w:spacing w:val="40"/>
          <w:rtl/>
        </w:rPr>
        <w:t xml:space="preserve"> העבודה הממשלתית לשנת 2025</w:t>
      </w:r>
      <w:r w:rsidRPr="00861D72">
        <w:rPr>
          <w:rFonts w:eastAsia="Times New Roman" w:hint="cs"/>
          <w:bCs/>
          <w:spacing w:val="40"/>
          <w:rtl/>
        </w:rPr>
        <w:t>:</w:t>
      </w:r>
      <w:r w:rsidRPr="00861D72">
        <w:rPr>
          <w:rFonts w:eastAsia="Calibri" w:hint="cs"/>
          <w:rtl/>
        </w:rPr>
        <w:t xml:space="preserve"> </w:t>
      </w:r>
      <w:r w:rsidRPr="00861D72">
        <w:rPr>
          <w:rFonts w:eastAsia="Calibri"/>
          <w:rtl/>
        </w:rPr>
        <w:t xml:space="preserve">במטרה לחזק את התיאום הבין-משרדי ולהגביר את </w:t>
      </w:r>
      <w:r w:rsidRPr="00861D72">
        <w:rPr>
          <w:rFonts w:eastAsia="Calibri" w:hint="cs"/>
          <w:rtl/>
        </w:rPr>
        <w:t>ההשפעות</w:t>
      </w:r>
      <w:r w:rsidRPr="00861D72">
        <w:rPr>
          <w:rFonts w:eastAsia="Calibri"/>
          <w:rtl/>
        </w:rPr>
        <w:t xml:space="preserve"> של הפעולות הממשלתיות, </w:t>
      </w:r>
      <w:bookmarkStart w:id="49" w:name="_Hlk219975331"/>
      <w:r w:rsidRPr="00861D72">
        <w:rPr>
          <w:rFonts w:eastAsia="Calibri" w:hint="cs"/>
          <w:rtl/>
        </w:rPr>
        <w:t>החל</w:t>
      </w:r>
      <w:r w:rsidRPr="00861D72">
        <w:rPr>
          <w:rFonts w:eastAsia="Calibri"/>
          <w:rtl/>
        </w:rPr>
        <w:t xml:space="preserve"> אגף ממשל וחברה </w:t>
      </w:r>
      <w:r w:rsidRPr="00861D72">
        <w:rPr>
          <w:rFonts w:eastAsia="Calibri" w:hint="cs"/>
          <w:rtl/>
        </w:rPr>
        <w:t xml:space="preserve">במשרד </w:t>
      </w:r>
      <w:r w:rsidRPr="00861D72">
        <w:rPr>
          <w:rFonts w:eastAsia="Calibri" w:hint="cs"/>
          <w:rtl/>
        </w:rPr>
        <w:t>רה"ם</w:t>
      </w:r>
      <w:r w:rsidRPr="00861D72">
        <w:rPr>
          <w:rFonts w:eastAsia="Calibri" w:hint="cs"/>
          <w:rtl/>
        </w:rPr>
        <w:t xml:space="preserve"> במהלך התנסותי של </w:t>
      </w:r>
      <w:r w:rsidRPr="00861D72">
        <w:rPr>
          <w:rFonts w:eastAsia="Calibri"/>
          <w:rtl/>
        </w:rPr>
        <w:t xml:space="preserve">תכנון משותף סביב סוגיית </w:t>
      </w:r>
      <w:r w:rsidRPr="00861D72">
        <w:rPr>
          <w:rFonts w:eastAsia="Calibri" w:hint="cs"/>
          <w:rtl/>
        </w:rPr>
        <w:t>ה</w:t>
      </w:r>
      <w:r w:rsidRPr="00861D72">
        <w:rPr>
          <w:rFonts w:eastAsia="Calibri"/>
          <w:rtl/>
        </w:rPr>
        <w:t xml:space="preserve">ליבה </w:t>
      </w:r>
      <w:r w:rsidRPr="00861D72">
        <w:rPr>
          <w:rFonts w:eastAsia="Calibri" w:hint="cs"/>
          <w:rtl/>
        </w:rPr>
        <w:t>של</w:t>
      </w:r>
      <w:r w:rsidRPr="00861D72">
        <w:rPr>
          <w:rFonts w:eastAsia="Calibri"/>
          <w:rtl/>
        </w:rPr>
        <w:t xml:space="preserve"> הזדקנות מיטבית בישראל</w:t>
      </w:r>
      <w:r w:rsidRPr="00861D72">
        <w:rPr>
          <w:rFonts w:eastAsia="Calibri" w:hint="cs"/>
          <w:rtl/>
        </w:rPr>
        <w:t xml:space="preserve">. במסגרת מהלך זה נבנתה </w:t>
      </w:r>
      <w:r w:rsidRPr="00861D72">
        <w:rPr>
          <w:rFonts w:eastAsia="Calibri" w:hint="cs"/>
          <w:rtl/>
        </w:rPr>
        <w:t>תוכנית</w:t>
      </w:r>
      <w:r w:rsidRPr="00861D72">
        <w:rPr>
          <w:rFonts w:eastAsia="Calibri" w:hint="cs"/>
          <w:rtl/>
        </w:rPr>
        <w:t xml:space="preserve"> עבודה אחודה המכנסת את המשימות המרכזיות מתוכניות העבודה הפרטניות של משרדי הממשלה לשנת 2025 בנושא הזדקנות מיטבית (להלן - הפיילוט).</w:t>
      </w:r>
    </w:p>
    <w:bookmarkEnd w:id="49"/>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המשימות בפיילוט כונסו למטרות וליעדים משותפים. כמו כן המשימות משקפות תכנון משותף</w:t>
      </w:r>
      <w:r>
        <w:rPr>
          <w:rFonts w:eastAsia="Calibri"/>
          <w:vertAlign w:val="superscript"/>
          <w:rtl/>
        </w:rPr>
        <w:footnoteReference w:id="123"/>
      </w:r>
      <w:r w:rsidRPr="00861D72">
        <w:rPr>
          <w:rFonts w:eastAsia="Calibri" w:hint="cs"/>
          <w:rtl/>
        </w:rPr>
        <w:t xml:space="preserve">: </w:t>
      </w:r>
    </w:p>
    <w:p w:rsidR="00861D72" w:rsidRPr="00861D72" w:rsidP="00F90255">
      <w:pPr>
        <w:spacing w:line="269" w:lineRule="auto"/>
        <w:rPr>
          <w:rFonts w:eastAsia="Calibri"/>
          <w:rtl/>
        </w:rPr>
      </w:pPr>
    </w:p>
    <w:p w:rsidR="00861D72" w:rsidRPr="00861D72" w:rsidP="00F90255">
      <w:pPr>
        <w:numPr>
          <w:ilvl w:val="0"/>
          <w:numId w:val="16"/>
        </w:numPr>
        <w:spacing w:line="269" w:lineRule="auto"/>
        <w:ind w:left="312"/>
        <w:rPr>
          <w:rFonts w:ascii="Calibri" w:eastAsia="Calibri" w:hAnsi="Calibri" w:cs="Calibri"/>
          <w:sz w:val="22"/>
          <w:szCs w:val="22"/>
        </w:rPr>
      </w:pPr>
      <w:r w:rsidRPr="00861D72">
        <w:rPr>
          <w:rFonts w:eastAsia="Calibri" w:hint="eastAsia"/>
          <w:rtl/>
        </w:rPr>
        <w:t>משימות</w:t>
      </w:r>
      <w:r w:rsidRPr="00861D72">
        <w:rPr>
          <w:rFonts w:eastAsia="Calibri"/>
          <w:rtl/>
        </w:rPr>
        <w:t xml:space="preserve"> </w:t>
      </w:r>
      <w:r w:rsidRPr="00861D72">
        <w:rPr>
          <w:rFonts w:eastAsia="Calibri" w:hint="eastAsia"/>
          <w:rtl/>
        </w:rPr>
        <w:t>תכנון</w:t>
      </w:r>
      <w:r w:rsidRPr="00861D72">
        <w:rPr>
          <w:rFonts w:eastAsia="Calibri"/>
          <w:rtl/>
        </w:rPr>
        <w:t xml:space="preserve"> </w:t>
      </w:r>
      <w:r w:rsidRPr="00861D72">
        <w:rPr>
          <w:rFonts w:eastAsia="Calibri" w:hint="eastAsia"/>
          <w:rtl/>
        </w:rPr>
        <w:t>ויישום</w:t>
      </w:r>
      <w:r w:rsidRPr="00861D72">
        <w:rPr>
          <w:rFonts w:eastAsia="Calibri"/>
          <w:rtl/>
        </w:rPr>
        <w:t xml:space="preserve"> </w:t>
      </w:r>
      <w:r w:rsidRPr="00861D72">
        <w:rPr>
          <w:rFonts w:eastAsia="Calibri" w:hint="eastAsia"/>
          <w:rtl/>
        </w:rPr>
        <w:t>משותף</w:t>
      </w:r>
      <w:r w:rsidRPr="00861D72">
        <w:rPr>
          <w:rFonts w:eastAsia="Calibri"/>
          <w:rtl/>
        </w:rPr>
        <w:t xml:space="preserve"> </w:t>
      </w:r>
      <w:r w:rsidRPr="00861D72">
        <w:rPr>
          <w:rFonts w:ascii="David" w:eastAsia="Calibri" w:hAnsi="David" w:hint="eastAsia"/>
          <w:rtl/>
        </w:rPr>
        <w:t>-</w:t>
      </w:r>
      <w:r w:rsidRPr="00861D72">
        <w:rPr>
          <w:rFonts w:eastAsia="Calibri"/>
          <w:rtl/>
        </w:rPr>
        <w:t xml:space="preserve"> </w:t>
      </w:r>
      <w:r w:rsidRPr="00861D72">
        <w:rPr>
          <w:rFonts w:eastAsia="Calibri" w:hint="eastAsia"/>
          <w:rtl/>
        </w:rPr>
        <w:t>משימות</w:t>
      </w:r>
      <w:r w:rsidRPr="00861D72">
        <w:rPr>
          <w:rFonts w:eastAsia="Calibri"/>
          <w:rtl/>
        </w:rPr>
        <w:t xml:space="preserve"> </w:t>
      </w:r>
      <w:r w:rsidRPr="00861D72">
        <w:rPr>
          <w:rFonts w:eastAsia="Calibri" w:hint="eastAsia"/>
          <w:rtl/>
        </w:rPr>
        <w:t>מתוכניות</w:t>
      </w:r>
      <w:r w:rsidRPr="00861D72">
        <w:rPr>
          <w:rFonts w:eastAsia="Calibri"/>
          <w:rtl/>
        </w:rPr>
        <w:t xml:space="preserve"> </w:t>
      </w:r>
      <w:r w:rsidRPr="00861D72">
        <w:rPr>
          <w:rFonts w:eastAsia="Calibri" w:hint="eastAsia"/>
          <w:rtl/>
        </w:rPr>
        <w:t>העבודה</w:t>
      </w:r>
      <w:r w:rsidRPr="00861D72">
        <w:rPr>
          <w:rFonts w:eastAsia="Calibri"/>
          <w:rtl/>
        </w:rPr>
        <w:t xml:space="preserve"> </w:t>
      </w:r>
      <w:r w:rsidRPr="00861D72">
        <w:rPr>
          <w:rFonts w:eastAsia="Calibri" w:hint="eastAsia"/>
          <w:rtl/>
        </w:rPr>
        <w:t>של</w:t>
      </w:r>
      <w:r w:rsidRPr="00861D72">
        <w:rPr>
          <w:rFonts w:eastAsia="Calibri"/>
          <w:rtl/>
        </w:rPr>
        <w:t xml:space="preserve"> </w:t>
      </w:r>
      <w:r w:rsidRPr="00861D72">
        <w:rPr>
          <w:rFonts w:eastAsia="Calibri" w:hint="eastAsia"/>
          <w:rtl/>
        </w:rPr>
        <w:t>פו</w:t>
      </w:r>
      <w:r w:rsidRPr="00861D72">
        <w:rPr>
          <w:rFonts w:eastAsia="Calibri"/>
          <w:rtl/>
        </w:rPr>
        <w:t xml:space="preserve">רומים בין-משרדיים ובין-מערכתיים, כדוגמת </w:t>
      </w:r>
      <w:r w:rsidRPr="00861D72">
        <w:rPr>
          <w:rFonts w:eastAsia="Calibri"/>
          <w:rtl/>
        </w:rPr>
        <w:t>תוכנית</w:t>
      </w:r>
      <w:r w:rsidRPr="00861D72">
        <w:rPr>
          <w:rFonts w:eastAsia="Calibri"/>
          <w:rtl/>
        </w:rPr>
        <w:t xml:space="preserve"> העבודה של פורום </w:t>
      </w:r>
      <w:r w:rsidRPr="00861D72">
        <w:rPr>
          <w:rFonts w:eastAsia="Calibri"/>
          <w:rtl/>
        </w:rPr>
        <w:t>בר"ק</w:t>
      </w:r>
      <w:r w:rsidRPr="00861D72">
        <w:rPr>
          <w:rFonts w:eastAsia="Calibri"/>
          <w:rtl/>
        </w:rPr>
        <w:t xml:space="preserve"> לשנת 2025.</w:t>
      </w:r>
    </w:p>
    <w:p w:rsidR="00861D72" w:rsidRPr="00861D72" w:rsidP="00F90255">
      <w:pPr>
        <w:spacing w:line="269" w:lineRule="auto"/>
        <w:ind w:left="312"/>
        <w:rPr>
          <w:rFonts w:ascii="Calibri" w:eastAsia="Calibri" w:hAnsi="Calibri" w:cs="Calibri"/>
          <w:sz w:val="22"/>
          <w:szCs w:val="22"/>
          <w:rtl/>
        </w:rPr>
      </w:pPr>
    </w:p>
    <w:p w:rsidR="00861D72" w:rsidRPr="00861D72" w:rsidP="00F90255">
      <w:pPr>
        <w:numPr>
          <w:ilvl w:val="0"/>
          <w:numId w:val="16"/>
        </w:numPr>
        <w:spacing w:line="269" w:lineRule="auto"/>
        <w:ind w:left="312"/>
        <w:rPr>
          <w:rFonts w:ascii="Calibri" w:eastAsia="Calibri" w:hAnsi="Calibri" w:cs="Calibri"/>
          <w:sz w:val="22"/>
          <w:szCs w:val="22"/>
        </w:rPr>
      </w:pPr>
      <w:r w:rsidRPr="00861D72">
        <w:rPr>
          <w:rFonts w:eastAsia="Calibri" w:hint="eastAsia"/>
          <w:rtl/>
        </w:rPr>
        <w:t>משימות</w:t>
      </w:r>
      <w:r w:rsidRPr="00861D72">
        <w:rPr>
          <w:rFonts w:eastAsia="Calibri"/>
          <w:rtl/>
        </w:rPr>
        <w:t xml:space="preserve"> </w:t>
      </w:r>
      <w:r w:rsidRPr="00861D72">
        <w:rPr>
          <w:rFonts w:eastAsia="Calibri" w:hint="eastAsia"/>
          <w:rtl/>
        </w:rPr>
        <w:t>בין</w:t>
      </w:r>
      <w:r w:rsidRPr="00861D72">
        <w:rPr>
          <w:rFonts w:eastAsia="Calibri"/>
          <w:rtl/>
        </w:rPr>
        <w:t xml:space="preserve"> </w:t>
      </w:r>
      <w:r w:rsidRPr="00861D72">
        <w:rPr>
          <w:rFonts w:eastAsia="Calibri" w:hint="eastAsia"/>
          <w:rtl/>
        </w:rPr>
        <w:t>משרדיות</w:t>
      </w:r>
      <w:r w:rsidRPr="00861D72">
        <w:rPr>
          <w:rFonts w:eastAsia="Calibri"/>
          <w:rtl/>
        </w:rPr>
        <w:t xml:space="preserve"> </w:t>
      </w:r>
      <w:r w:rsidRPr="00861D72">
        <w:rPr>
          <w:rFonts w:eastAsia="Calibri" w:hint="eastAsia"/>
          <w:rtl/>
        </w:rPr>
        <w:t>-</w:t>
      </w:r>
      <w:r w:rsidRPr="00861D72">
        <w:rPr>
          <w:rFonts w:eastAsia="Calibri"/>
          <w:rtl/>
        </w:rPr>
        <w:t xml:space="preserve"> </w:t>
      </w:r>
      <w:r w:rsidRPr="00861D72">
        <w:rPr>
          <w:rFonts w:eastAsia="Calibri" w:hint="eastAsia"/>
          <w:rtl/>
        </w:rPr>
        <w:t>משימ</w:t>
      </w:r>
      <w:r w:rsidRPr="00861D72">
        <w:rPr>
          <w:rFonts w:eastAsia="Calibri"/>
          <w:rtl/>
        </w:rPr>
        <w:t xml:space="preserve">ות מרכזיות מתוכניות העבודה המשרדיות </w:t>
      </w:r>
      <w:r w:rsidRPr="00861D72">
        <w:rPr>
          <w:rFonts w:eastAsia="Calibri" w:hint="cs"/>
          <w:rtl/>
        </w:rPr>
        <w:t>ה</w:t>
      </w:r>
      <w:r w:rsidRPr="00861D72">
        <w:rPr>
          <w:rFonts w:eastAsia="Calibri"/>
          <w:rtl/>
        </w:rPr>
        <w:t xml:space="preserve">מבוצעות </w:t>
      </w:r>
      <w:r w:rsidRPr="00861D72">
        <w:rPr>
          <w:rFonts w:eastAsia="Calibri" w:hint="cs"/>
          <w:rtl/>
        </w:rPr>
        <w:t>ב</w:t>
      </w:r>
      <w:r w:rsidRPr="00861D72">
        <w:rPr>
          <w:rFonts w:eastAsia="Calibri"/>
          <w:rtl/>
        </w:rPr>
        <w:t>משותף על ידי שני משרדים ויותר.</w:t>
      </w:r>
    </w:p>
    <w:p w:rsidR="00861D72" w:rsidRPr="00861D72" w:rsidP="00F90255">
      <w:pPr>
        <w:spacing w:line="269" w:lineRule="auto"/>
        <w:rPr>
          <w:rFonts w:eastAsia="Calibri"/>
          <w:rtl/>
        </w:rPr>
      </w:pPr>
    </w:p>
    <w:p w:rsidR="00861D72" w:rsidRPr="00861D72" w:rsidP="00F90255">
      <w:pPr>
        <w:numPr>
          <w:ilvl w:val="0"/>
          <w:numId w:val="16"/>
        </w:numPr>
        <w:spacing w:line="269" w:lineRule="auto"/>
        <w:ind w:left="312"/>
        <w:rPr>
          <w:rFonts w:ascii="Calibri" w:eastAsia="Calibri" w:hAnsi="Calibri" w:cs="Calibri"/>
          <w:sz w:val="22"/>
          <w:szCs w:val="22"/>
          <w:rtl/>
        </w:rPr>
      </w:pPr>
      <w:r w:rsidRPr="00861D72">
        <w:rPr>
          <w:rFonts w:eastAsia="Calibri" w:hint="eastAsia"/>
          <w:rtl/>
        </w:rPr>
        <w:t>משימות</w:t>
      </w:r>
      <w:r w:rsidRPr="00861D72">
        <w:rPr>
          <w:rFonts w:eastAsia="Calibri"/>
          <w:rtl/>
        </w:rPr>
        <w:t xml:space="preserve"> </w:t>
      </w:r>
      <w:r w:rsidRPr="00861D72">
        <w:rPr>
          <w:rFonts w:eastAsia="Calibri" w:hint="eastAsia"/>
          <w:rtl/>
        </w:rPr>
        <w:t>נפרדות</w:t>
      </w:r>
      <w:r w:rsidRPr="00861D72">
        <w:rPr>
          <w:rFonts w:eastAsia="Calibri"/>
          <w:rtl/>
        </w:rPr>
        <w:t xml:space="preserve"> </w:t>
      </w:r>
      <w:r w:rsidRPr="00861D72">
        <w:rPr>
          <w:rFonts w:eastAsia="Calibri" w:hint="eastAsia"/>
          <w:rtl/>
        </w:rPr>
        <w:t>המקדמות</w:t>
      </w:r>
      <w:r w:rsidRPr="00861D72">
        <w:rPr>
          <w:rFonts w:eastAsia="Calibri"/>
          <w:rtl/>
        </w:rPr>
        <w:t xml:space="preserve"> </w:t>
      </w:r>
      <w:r w:rsidRPr="00861D72">
        <w:rPr>
          <w:rFonts w:eastAsia="Calibri" w:hint="eastAsia"/>
          <w:rtl/>
        </w:rPr>
        <w:t>יעדים</w:t>
      </w:r>
      <w:r w:rsidRPr="00861D72">
        <w:rPr>
          <w:rFonts w:eastAsia="Calibri"/>
          <w:rtl/>
        </w:rPr>
        <w:t xml:space="preserve"> </w:t>
      </w:r>
      <w:r w:rsidRPr="00861D72">
        <w:rPr>
          <w:rFonts w:eastAsia="Calibri" w:hint="eastAsia"/>
          <w:rtl/>
        </w:rPr>
        <w:t>משותפים</w:t>
      </w:r>
      <w:r w:rsidRPr="00861D72">
        <w:rPr>
          <w:rFonts w:eastAsia="Calibri"/>
          <w:rtl/>
        </w:rPr>
        <w:t xml:space="preserve"> </w:t>
      </w:r>
      <w:r w:rsidRPr="00861D72">
        <w:rPr>
          <w:rFonts w:eastAsia="Calibri" w:hint="eastAsia"/>
          <w:rtl/>
        </w:rPr>
        <w:t>-</w:t>
      </w:r>
      <w:r w:rsidRPr="00861D72">
        <w:rPr>
          <w:rFonts w:eastAsia="Calibri"/>
          <w:rtl/>
        </w:rPr>
        <w:t xml:space="preserve"> </w:t>
      </w:r>
      <w:r w:rsidRPr="00861D72">
        <w:rPr>
          <w:rFonts w:eastAsia="Calibri" w:hint="eastAsia"/>
          <w:rtl/>
        </w:rPr>
        <w:t>משימות</w:t>
      </w:r>
      <w:r w:rsidRPr="00861D72">
        <w:rPr>
          <w:rFonts w:eastAsia="Calibri"/>
          <w:rtl/>
        </w:rPr>
        <w:t xml:space="preserve"> </w:t>
      </w:r>
      <w:r w:rsidRPr="00861D72">
        <w:rPr>
          <w:rFonts w:eastAsia="Calibri" w:hint="eastAsia"/>
          <w:rtl/>
        </w:rPr>
        <w:t>מר</w:t>
      </w:r>
      <w:r w:rsidRPr="00861D72">
        <w:rPr>
          <w:rFonts w:eastAsia="Calibri"/>
          <w:rtl/>
        </w:rPr>
        <w:t xml:space="preserve">כזיות מתוכניות העבודה המשרדיות </w:t>
      </w:r>
      <w:r w:rsidRPr="00861D72">
        <w:rPr>
          <w:rFonts w:eastAsia="Calibri" w:hint="cs"/>
          <w:rtl/>
        </w:rPr>
        <w:t>ה</w:t>
      </w:r>
      <w:r w:rsidRPr="00861D72">
        <w:rPr>
          <w:rFonts w:eastAsia="Calibri"/>
          <w:rtl/>
        </w:rPr>
        <w:t>מתבצעות בנפרד אך מקדמות מטרות ויעדים משותפים לקידום הזדקנות מיטבית.</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rtl/>
        </w:rPr>
        <w:t xml:space="preserve">הפיילוט נועד לייצר תשתית לתכנון רוחבי ומתואם, שיחבר בין </w:t>
      </w:r>
      <w:r w:rsidRPr="00861D72">
        <w:rPr>
          <w:rFonts w:eastAsia="Calibri"/>
          <w:rtl/>
        </w:rPr>
        <w:t>ת</w:t>
      </w:r>
      <w:r w:rsidRPr="00861D72">
        <w:rPr>
          <w:rFonts w:eastAsia="Calibri" w:hint="cs"/>
          <w:rtl/>
        </w:rPr>
        <w:t>ו</w:t>
      </w:r>
      <w:r w:rsidRPr="00861D72">
        <w:rPr>
          <w:rFonts w:eastAsia="Calibri"/>
          <w:rtl/>
        </w:rPr>
        <w:t>כניות</w:t>
      </w:r>
      <w:r w:rsidRPr="00861D72">
        <w:rPr>
          <w:rFonts w:eastAsia="Calibri"/>
          <w:rtl/>
        </w:rPr>
        <w:t xml:space="preserve"> ויעדים קיימים, יעמיק את שיתופי הפעולה וישפר את היעילות והאפקטיביות של צעדי ההתערבות</w:t>
      </w:r>
      <w:r w:rsidRPr="00861D72">
        <w:rPr>
          <w:rFonts w:eastAsia="Calibri" w:hint="cs"/>
          <w:rtl/>
        </w:rPr>
        <w:t>.</w:t>
      </w:r>
    </w:p>
    <w:p w:rsidR="00861D72" w:rsidRPr="00861D72" w:rsidP="00F90255">
      <w:pPr>
        <w:spacing w:line="269" w:lineRule="auto"/>
        <w:rPr>
          <w:rFonts w:eastAsia="Calibri"/>
          <w:rtl/>
        </w:rPr>
      </w:pPr>
    </w:p>
    <w:p w:rsidR="00861D72" w:rsidRPr="00861D72" w:rsidP="00F90255">
      <w:pPr>
        <w:spacing w:line="269" w:lineRule="auto"/>
        <w:rPr>
          <w:rFonts w:eastAsia="Calibri"/>
          <w:b/>
          <w:bCs/>
          <w:rtl/>
          <w:lang w:eastAsia="he-IL"/>
        </w:rPr>
      </w:pPr>
      <w:r w:rsidRPr="00861D72">
        <w:rPr>
          <w:rFonts w:eastAsia="Calibri" w:hint="cs"/>
          <w:b/>
          <w:bCs/>
          <w:rtl/>
          <w:lang w:eastAsia="he-IL"/>
        </w:rPr>
        <w:t>משרד מבקר</w:t>
      </w:r>
      <w:r w:rsidRPr="00861D72">
        <w:rPr>
          <w:rFonts w:eastAsia="Calibri"/>
          <w:b/>
          <w:bCs/>
          <w:rtl/>
          <w:lang w:eastAsia="he-IL"/>
        </w:rPr>
        <w:t xml:space="preserve"> המדינה מציין לחיוב </w:t>
      </w:r>
      <w:r w:rsidRPr="00861D72">
        <w:rPr>
          <w:rFonts w:eastAsia="Calibri" w:hint="eastAsia"/>
          <w:b/>
          <w:bCs/>
          <w:rtl/>
          <w:lang w:eastAsia="he-IL"/>
        </w:rPr>
        <w:t>את</w:t>
      </w:r>
      <w:r w:rsidRPr="00861D72">
        <w:rPr>
          <w:rFonts w:eastAsia="Calibri"/>
          <w:b/>
          <w:bCs/>
          <w:rtl/>
          <w:lang w:eastAsia="he-IL"/>
        </w:rPr>
        <w:t xml:space="preserve"> המהלכים </w:t>
      </w:r>
      <w:r w:rsidRPr="00861D72">
        <w:rPr>
          <w:rFonts w:eastAsia="Calibri" w:hint="cs"/>
          <w:b/>
          <w:bCs/>
          <w:rtl/>
          <w:lang w:eastAsia="he-IL"/>
        </w:rPr>
        <w:t>שנוצרו לטובת</w:t>
      </w:r>
      <w:r w:rsidRPr="00861D72">
        <w:rPr>
          <w:rFonts w:eastAsia="Calibri"/>
          <w:b/>
          <w:bCs/>
          <w:rtl/>
          <w:lang w:eastAsia="he-IL"/>
        </w:rPr>
        <w:t xml:space="preserve"> שיתוף פעולה</w:t>
      </w:r>
      <w:r w:rsidRPr="00861D72">
        <w:rPr>
          <w:rFonts w:eastAsia="Calibri" w:hint="cs"/>
          <w:b/>
          <w:bCs/>
          <w:rtl/>
          <w:lang w:eastAsia="he-IL"/>
        </w:rPr>
        <w:t xml:space="preserve"> בין הגורמים האמונים על הטיפול בהזדקנות האוכלוסייה: פורום </w:t>
      </w:r>
      <w:r w:rsidRPr="00861D72">
        <w:rPr>
          <w:rFonts w:eastAsia="Calibri" w:hint="cs"/>
          <w:b/>
          <w:bCs/>
          <w:rtl/>
          <w:lang w:eastAsia="he-IL"/>
        </w:rPr>
        <w:t>בר"ק</w:t>
      </w:r>
      <w:r w:rsidRPr="00861D72">
        <w:rPr>
          <w:rFonts w:eastAsia="Calibri" w:hint="cs"/>
          <w:b/>
          <w:bCs/>
          <w:rtl/>
          <w:lang w:eastAsia="he-IL"/>
        </w:rPr>
        <w:t xml:space="preserve">, פורום השותפים הממשלתי עם ג'וינט-אשל, </w:t>
      </w:r>
      <w:r w:rsidRPr="00861D72">
        <w:rPr>
          <w:rFonts w:eastAsia="Calibri" w:hint="cs"/>
          <w:b/>
          <w:bCs/>
          <w:rtl/>
          <w:lang w:eastAsia="he-IL"/>
        </w:rPr>
        <w:t>תוכנית</w:t>
      </w:r>
      <w:r w:rsidRPr="00861D72">
        <w:rPr>
          <w:rFonts w:eastAsia="Calibri" w:hint="cs"/>
          <w:b/>
          <w:bCs/>
          <w:rtl/>
          <w:lang w:eastAsia="he-IL"/>
        </w:rPr>
        <w:t xml:space="preserve"> זמן עתיד ופיילוט הגברת התיאום הבין-משרדי.</w:t>
      </w:r>
      <w:r w:rsidRPr="00861D72">
        <w:rPr>
          <w:rFonts w:eastAsia="Calibri"/>
          <w:b/>
          <w:bCs/>
          <w:rtl/>
          <w:lang w:eastAsia="he-IL"/>
        </w:rPr>
        <w:t xml:space="preserve"> </w:t>
      </w:r>
      <w:r w:rsidRPr="00861D72">
        <w:rPr>
          <w:rFonts w:eastAsia="Calibri" w:hint="eastAsia"/>
          <w:b/>
          <w:bCs/>
          <w:rtl/>
          <w:lang w:eastAsia="he-IL"/>
        </w:rPr>
        <w:t>עם</w:t>
      </w:r>
      <w:r w:rsidRPr="00861D72">
        <w:rPr>
          <w:rFonts w:eastAsia="Calibri"/>
          <w:b/>
          <w:bCs/>
          <w:rtl/>
          <w:lang w:eastAsia="he-IL"/>
        </w:rPr>
        <w:t xml:space="preserve"> </w:t>
      </w:r>
      <w:r w:rsidRPr="00861D72">
        <w:rPr>
          <w:rFonts w:eastAsia="Calibri" w:hint="eastAsia"/>
          <w:b/>
          <w:bCs/>
          <w:rtl/>
          <w:lang w:eastAsia="he-IL"/>
        </w:rPr>
        <w:t>זאת</w:t>
      </w:r>
      <w:r w:rsidRPr="00861D72">
        <w:rPr>
          <w:rFonts w:eastAsia="Calibri"/>
          <w:b/>
          <w:bCs/>
          <w:rtl/>
          <w:lang w:eastAsia="he-IL"/>
        </w:rPr>
        <w:t xml:space="preserve"> </w:t>
      </w:r>
      <w:r w:rsidRPr="00861D72">
        <w:rPr>
          <w:rFonts w:eastAsia="Calibri" w:hint="eastAsia"/>
          <w:b/>
          <w:bCs/>
          <w:rtl/>
          <w:lang w:eastAsia="he-IL"/>
        </w:rPr>
        <w:t>המהלכים</w:t>
      </w:r>
      <w:r w:rsidRPr="00861D72">
        <w:rPr>
          <w:rFonts w:eastAsia="Calibri"/>
          <w:b/>
          <w:bCs/>
          <w:rtl/>
          <w:lang w:eastAsia="he-IL"/>
        </w:rPr>
        <w:t xml:space="preserve"> </w:t>
      </w:r>
      <w:r w:rsidRPr="00861D72">
        <w:rPr>
          <w:rFonts w:eastAsia="Calibri" w:hint="cs"/>
          <w:b/>
          <w:bCs/>
          <w:rtl/>
          <w:lang w:eastAsia="he-IL"/>
        </w:rPr>
        <w:t>אינם</w:t>
      </w:r>
      <w:r w:rsidRPr="00861D72">
        <w:rPr>
          <w:rFonts w:eastAsia="Calibri"/>
          <w:b/>
          <w:bCs/>
          <w:rtl/>
          <w:lang w:eastAsia="he-IL"/>
        </w:rPr>
        <w:t xml:space="preserve"> </w:t>
      </w:r>
      <w:r w:rsidRPr="00861D72">
        <w:rPr>
          <w:rFonts w:eastAsia="Calibri" w:hint="eastAsia"/>
          <w:b/>
          <w:bCs/>
          <w:rtl/>
          <w:lang w:eastAsia="he-IL"/>
        </w:rPr>
        <w:t>מחייבים</w:t>
      </w:r>
      <w:r w:rsidRPr="00861D72">
        <w:rPr>
          <w:rFonts w:eastAsia="Calibri"/>
          <w:b/>
          <w:bCs/>
          <w:rtl/>
          <w:lang w:eastAsia="he-IL"/>
        </w:rPr>
        <w:t xml:space="preserve"> את כל המשרדים </w:t>
      </w:r>
      <w:r w:rsidRPr="00861D72">
        <w:rPr>
          <w:rFonts w:eastAsia="Calibri" w:hint="cs"/>
          <w:b/>
          <w:bCs/>
          <w:rtl/>
          <w:lang w:eastAsia="he-IL"/>
        </w:rPr>
        <w:t>ו</w:t>
      </w:r>
      <w:r w:rsidRPr="00861D72">
        <w:rPr>
          <w:rFonts w:eastAsia="Calibri"/>
          <w:b/>
          <w:bCs/>
          <w:rtl/>
          <w:lang w:eastAsia="he-IL"/>
        </w:rPr>
        <w:t xml:space="preserve">לא כולם </w:t>
      </w:r>
      <w:r w:rsidRPr="00861D72">
        <w:rPr>
          <w:rFonts w:eastAsia="Calibri" w:hint="eastAsia"/>
          <w:b/>
          <w:bCs/>
          <w:rtl/>
          <w:lang w:eastAsia="he-IL"/>
        </w:rPr>
        <w:t>לוקחים</w:t>
      </w:r>
      <w:r w:rsidRPr="00861D72">
        <w:rPr>
          <w:rFonts w:eastAsia="Calibri"/>
          <w:b/>
          <w:bCs/>
          <w:rtl/>
          <w:lang w:eastAsia="he-IL"/>
        </w:rPr>
        <w:t xml:space="preserve"> </w:t>
      </w:r>
      <w:r w:rsidRPr="00861D72">
        <w:rPr>
          <w:rFonts w:eastAsia="Calibri" w:hint="eastAsia"/>
          <w:b/>
          <w:bCs/>
          <w:rtl/>
          <w:lang w:eastAsia="he-IL"/>
        </w:rPr>
        <w:t>בהם</w:t>
      </w:r>
      <w:r w:rsidRPr="00861D72">
        <w:rPr>
          <w:rFonts w:eastAsia="Calibri"/>
          <w:b/>
          <w:bCs/>
          <w:rtl/>
          <w:lang w:eastAsia="he-IL"/>
        </w:rPr>
        <w:t xml:space="preserve"> </w:t>
      </w:r>
      <w:r w:rsidRPr="00861D72">
        <w:rPr>
          <w:rFonts w:eastAsia="Calibri" w:hint="eastAsia"/>
          <w:b/>
          <w:bCs/>
          <w:rtl/>
          <w:lang w:eastAsia="he-IL"/>
        </w:rPr>
        <w:t>חלק</w:t>
      </w:r>
      <w:r w:rsidRPr="00861D72">
        <w:rPr>
          <w:rFonts w:eastAsia="Calibri" w:hint="cs"/>
          <w:b/>
          <w:bCs/>
          <w:rtl/>
          <w:lang w:eastAsia="he-IL"/>
        </w:rPr>
        <w:t>.</w:t>
      </w:r>
    </w:p>
    <w:p w:rsidR="00861D72" w:rsidRPr="00861D72" w:rsidP="00F90255">
      <w:pPr>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משרד </w:t>
      </w:r>
      <w:r w:rsidRPr="00861D72">
        <w:rPr>
          <w:rFonts w:eastAsia="Calibri" w:hint="cs"/>
          <w:rtl/>
        </w:rPr>
        <w:t>רה"ם</w:t>
      </w:r>
      <w:r w:rsidRPr="00861D72">
        <w:rPr>
          <w:rFonts w:eastAsia="Calibri" w:hint="cs"/>
          <w:rtl/>
        </w:rPr>
        <w:t xml:space="preserve"> מסר לצוות הביקורת כי הפיילוט גובש על בסיס עיקרי </w:t>
      </w:r>
      <w:r w:rsidRPr="00861D72">
        <w:rPr>
          <w:rFonts w:eastAsia="Calibri" w:hint="cs"/>
          <w:rtl/>
        </w:rPr>
        <w:t>תוכניות</w:t>
      </w:r>
      <w:r w:rsidRPr="00861D72">
        <w:rPr>
          <w:rFonts w:eastAsia="Calibri" w:hint="cs"/>
          <w:rtl/>
        </w:rPr>
        <w:t xml:space="preserve"> העבודה של משרדי הממשלה המעורבים, ואושר על ידי גורמי המקצוע בכל משרד, לרבות אישור מנכ"ל. בלוח שלהלן מוצגות משימות תכנון ויישום משותף ומשימות בין משרדיות, בחלוקה למטרות כפי שמופיעות בפיילוט.</w:t>
      </w:r>
    </w:p>
    <w:p w:rsidR="00861D72" w:rsidRPr="00861D72" w:rsidP="00F90255">
      <w:pPr>
        <w:spacing w:line="269" w:lineRule="auto"/>
        <w:ind w:left="312"/>
        <w:rPr>
          <w:rFonts w:eastAsia="Calibri"/>
          <w:rtl/>
        </w:rPr>
      </w:pPr>
    </w:p>
    <w:p w:rsidR="00861D72" w:rsidRPr="00861D72" w:rsidP="002D37E0">
      <w:pPr>
        <w:keepNext/>
        <w:keepLines/>
        <w:spacing w:line="269" w:lineRule="auto"/>
        <w:ind w:left="312"/>
        <w:jc w:val="center"/>
        <w:rPr>
          <w:rFonts w:ascii="David" w:eastAsia="Calibri" w:hAnsi="David"/>
          <w:b/>
          <w:bCs/>
          <w:sz w:val="24"/>
          <w:rtl/>
          <w:lang w:eastAsia="he-IL"/>
        </w:rPr>
      </w:pPr>
      <w:r w:rsidRPr="00861D72">
        <w:rPr>
          <w:rFonts w:ascii="David" w:eastAsia="Calibri" w:hAnsi="David" w:hint="cs"/>
          <w:sz w:val="24"/>
          <w:rtl/>
          <w:lang w:eastAsia="he-IL"/>
        </w:rPr>
        <w:t>לוח 4:</w:t>
      </w:r>
      <w:r w:rsidRPr="00861D72">
        <w:rPr>
          <w:rFonts w:ascii="David" w:eastAsia="Calibri" w:hAnsi="David" w:hint="cs"/>
          <w:b/>
          <w:bCs/>
          <w:sz w:val="24"/>
          <w:rtl/>
          <w:lang w:eastAsia="he-IL"/>
        </w:rPr>
        <w:t xml:space="preserve"> משימות תכנון ויישום משותף ומשימות בין משרדיות, בחלוקה למטרות בתוכנית הניסיונית לתכנון משותף</w:t>
      </w:r>
    </w:p>
    <w:tbl>
      <w:tblPr>
        <w:tblStyle w:val="TableGrid"/>
        <w:bidiVisual/>
        <w:tblW w:w="7939" w:type="dxa"/>
        <w:tblInd w:w="156" w:type="dxa"/>
        <w:tblLook w:val="04A0"/>
      </w:tblPr>
      <w:tblGrid>
        <w:gridCol w:w="4824"/>
        <w:gridCol w:w="1557"/>
        <w:gridCol w:w="1558"/>
      </w:tblGrid>
      <w:tr w:rsidTr="00AB5D27">
        <w:tblPrEx>
          <w:tblW w:w="7939" w:type="dxa"/>
          <w:tblInd w:w="156" w:type="dxa"/>
          <w:tblLook w:val="04A0"/>
        </w:tblPrEx>
        <w:trPr>
          <w:trHeight w:val="649"/>
        </w:trPr>
        <w:tc>
          <w:tcPr>
            <w:tcW w:w="4824" w:type="dxa"/>
            <w:tcBorders>
              <w:bottom w:val="single" w:sz="4" w:space="0" w:color="auto"/>
              <w:right w:val="nil"/>
            </w:tcBorders>
            <w:shd w:val="clear" w:color="auto" w:fill="A6CBFA"/>
            <w:hideMark/>
          </w:tcPr>
          <w:p w:rsidR="00861D72" w:rsidRPr="00861D72" w:rsidP="00F90255">
            <w:pPr>
              <w:spacing w:line="269" w:lineRule="auto"/>
              <w:jc w:val="center"/>
              <w:rPr>
                <w:rFonts w:ascii="David" w:eastAsia="Times New Roman" w:hAnsi="David"/>
                <w:color w:val="000000"/>
                <w:sz w:val="22"/>
                <w:szCs w:val="22"/>
              </w:rPr>
            </w:pPr>
            <w:r w:rsidRPr="00861D72">
              <w:rPr>
                <w:rFonts w:ascii="David" w:eastAsia="Times New Roman" w:hAnsi="David" w:hint="cs"/>
                <w:b/>
                <w:bCs/>
                <w:color w:val="000000"/>
                <w:sz w:val="22"/>
                <w:szCs w:val="22"/>
                <w:rtl/>
              </w:rPr>
              <w:t>היעד</w:t>
            </w:r>
          </w:p>
        </w:tc>
        <w:tc>
          <w:tcPr>
            <w:tcW w:w="1557" w:type="dxa"/>
            <w:tcBorders>
              <w:top w:val="single" w:sz="4" w:space="0" w:color="auto"/>
              <w:left w:val="nil"/>
              <w:bottom w:val="single" w:sz="4" w:space="0" w:color="auto"/>
              <w:right w:val="nil"/>
            </w:tcBorders>
            <w:shd w:val="clear" w:color="auto" w:fill="A6CBFA"/>
            <w:hideMark/>
          </w:tcPr>
          <w:p w:rsidR="00861D72" w:rsidRPr="00861D72" w:rsidP="00F90255">
            <w:pPr>
              <w:spacing w:line="269" w:lineRule="auto"/>
              <w:jc w:val="center"/>
              <w:rPr>
                <w:rFonts w:ascii="David" w:eastAsia="Times New Roman" w:hAnsi="David"/>
                <w:b/>
                <w:bCs/>
                <w:color w:val="000000"/>
                <w:sz w:val="22"/>
                <w:szCs w:val="22"/>
                <w:rtl/>
              </w:rPr>
            </w:pPr>
            <w:r w:rsidRPr="00861D72">
              <w:rPr>
                <w:rFonts w:ascii="David" w:eastAsia="Times New Roman" w:hAnsi="David"/>
                <w:b/>
                <w:bCs/>
                <w:color w:val="000000"/>
                <w:sz w:val="22"/>
                <w:szCs w:val="22"/>
                <w:rtl/>
              </w:rPr>
              <w:t xml:space="preserve">משימות </w:t>
            </w:r>
            <w:r w:rsidRPr="00861D72">
              <w:rPr>
                <w:rFonts w:ascii="David" w:eastAsia="Times New Roman" w:hAnsi="David"/>
                <w:b/>
                <w:bCs/>
                <w:color w:val="000000"/>
                <w:sz w:val="22"/>
                <w:szCs w:val="22"/>
                <w:rtl/>
              </w:rPr>
              <w:br/>
              <w:t>בין</w:t>
            </w:r>
            <w:r w:rsidRPr="00861D72">
              <w:rPr>
                <w:rFonts w:ascii="David" w:eastAsia="Times New Roman" w:hAnsi="David" w:hint="cs"/>
                <w:b/>
                <w:bCs/>
                <w:color w:val="000000"/>
                <w:sz w:val="22"/>
                <w:szCs w:val="22"/>
                <w:rtl/>
              </w:rPr>
              <w:t>-</w:t>
            </w:r>
            <w:r w:rsidRPr="00861D72">
              <w:rPr>
                <w:rFonts w:ascii="David" w:eastAsia="Times New Roman" w:hAnsi="David"/>
                <w:b/>
                <w:bCs/>
                <w:color w:val="000000"/>
                <w:sz w:val="22"/>
                <w:szCs w:val="22"/>
                <w:rtl/>
              </w:rPr>
              <w:t>משרדיות</w:t>
            </w:r>
          </w:p>
        </w:tc>
        <w:tc>
          <w:tcPr>
            <w:tcW w:w="1558" w:type="dxa"/>
            <w:tcBorders>
              <w:top w:val="single" w:sz="4" w:space="0" w:color="auto"/>
              <w:left w:val="nil"/>
              <w:bottom w:val="single" w:sz="4" w:space="0" w:color="auto"/>
              <w:right w:val="single" w:sz="4" w:space="0" w:color="auto"/>
            </w:tcBorders>
            <w:shd w:val="clear" w:color="auto" w:fill="A6CBFA"/>
            <w:hideMark/>
          </w:tcPr>
          <w:p w:rsidR="00861D72" w:rsidRPr="00861D72" w:rsidP="00F90255">
            <w:pPr>
              <w:spacing w:line="269" w:lineRule="auto"/>
              <w:jc w:val="center"/>
              <w:rPr>
                <w:rFonts w:ascii="David" w:eastAsia="Times New Roman" w:hAnsi="David"/>
                <w:b/>
                <w:bCs/>
                <w:color w:val="000000"/>
                <w:sz w:val="22"/>
                <w:szCs w:val="22"/>
                <w:rtl/>
              </w:rPr>
            </w:pPr>
            <w:r w:rsidRPr="00861D72">
              <w:rPr>
                <w:rFonts w:ascii="David" w:eastAsia="Times New Roman" w:hAnsi="David"/>
                <w:b/>
                <w:bCs/>
                <w:color w:val="000000"/>
                <w:sz w:val="22"/>
                <w:szCs w:val="22"/>
                <w:rtl/>
              </w:rPr>
              <w:t>משימות ברמת תכנון ויישום משותף</w:t>
            </w:r>
          </w:p>
        </w:tc>
      </w:tr>
      <w:tr w:rsidTr="00861D72">
        <w:tblPrEx>
          <w:tblW w:w="7939" w:type="dxa"/>
          <w:tblInd w:w="156" w:type="dxa"/>
          <w:tblLook w:val="04A0"/>
        </w:tblPrEx>
        <w:trPr>
          <w:trHeight w:val="390"/>
        </w:trPr>
        <w:tc>
          <w:tcPr>
            <w:tcW w:w="4824" w:type="dxa"/>
            <w:tcBorders>
              <w:top w:val="single" w:sz="4" w:space="0" w:color="auto"/>
              <w:left w:val="single" w:sz="4" w:space="0" w:color="auto"/>
              <w:bottom w:val="single" w:sz="4" w:space="0" w:color="auto"/>
              <w:right w:val="nil"/>
            </w:tcBorders>
            <w:shd w:val="clear" w:color="auto" w:fill="FFFFFF"/>
            <w:vAlign w:val="center"/>
            <w:hideMark/>
          </w:tcPr>
          <w:p w:rsidR="00861D72" w:rsidRPr="00861D72" w:rsidP="00F90255">
            <w:pPr>
              <w:spacing w:line="269" w:lineRule="auto"/>
              <w:rPr>
                <w:rFonts w:ascii="David" w:eastAsia="Times New Roman" w:hAnsi="David"/>
                <w:b/>
                <w:bCs/>
                <w:color w:val="000000"/>
                <w:sz w:val="22"/>
                <w:szCs w:val="22"/>
                <w:rtl/>
              </w:rPr>
            </w:pPr>
            <w:r w:rsidRPr="00861D72">
              <w:rPr>
                <w:rFonts w:ascii="David" w:eastAsia="Times New Roman" w:hAnsi="David"/>
                <w:b/>
                <w:bCs/>
                <w:color w:val="000000"/>
                <w:sz w:val="22"/>
                <w:szCs w:val="22"/>
                <w:rtl/>
              </w:rPr>
              <w:t>קידום החוסן הבריאותי</w:t>
            </w:r>
          </w:p>
        </w:tc>
        <w:tc>
          <w:tcPr>
            <w:tcW w:w="1557" w:type="dxa"/>
            <w:tcBorders>
              <w:top w:val="single" w:sz="4" w:space="0" w:color="auto"/>
              <w:left w:val="nil"/>
              <w:right w:val="nil"/>
            </w:tcBorders>
            <w:shd w:val="clear" w:color="auto" w:fill="9DCDAA"/>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2</w:t>
            </w:r>
          </w:p>
        </w:tc>
        <w:tc>
          <w:tcPr>
            <w:tcW w:w="1558" w:type="dxa"/>
            <w:tcBorders>
              <w:top w:val="single" w:sz="4" w:space="0" w:color="auto"/>
              <w:left w:val="nil"/>
              <w:bottom w:val="single" w:sz="4" w:space="0" w:color="auto"/>
              <w:right w:val="single" w:sz="4" w:space="0" w:color="auto"/>
            </w:tcBorders>
            <w:shd w:val="clear" w:color="auto" w:fill="FF8383"/>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0</w:t>
            </w:r>
          </w:p>
        </w:tc>
      </w:tr>
      <w:tr w:rsidTr="00861D72">
        <w:tblPrEx>
          <w:tblW w:w="7939" w:type="dxa"/>
          <w:tblInd w:w="156" w:type="dxa"/>
          <w:tblLook w:val="04A0"/>
        </w:tblPrEx>
        <w:trPr>
          <w:trHeight w:val="390"/>
        </w:trPr>
        <w:tc>
          <w:tcPr>
            <w:tcW w:w="4824" w:type="dxa"/>
            <w:tcBorders>
              <w:top w:val="single" w:sz="4" w:space="0" w:color="auto"/>
              <w:left w:val="single" w:sz="4" w:space="0" w:color="auto"/>
              <w:bottom w:val="single" w:sz="4" w:space="0" w:color="auto"/>
              <w:right w:val="nil"/>
            </w:tcBorders>
            <w:shd w:val="clear" w:color="auto" w:fill="FFFFFF"/>
            <w:vAlign w:val="center"/>
            <w:hideMark/>
          </w:tcPr>
          <w:p w:rsidR="00861D72" w:rsidRPr="00861D72" w:rsidP="00F90255">
            <w:pPr>
              <w:spacing w:line="269" w:lineRule="auto"/>
              <w:rPr>
                <w:rFonts w:ascii="David" w:eastAsia="Times New Roman" w:hAnsi="David"/>
                <w:b/>
                <w:bCs/>
                <w:color w:val="000000"/>
                <w:sz w:val="22"/>
                <w:szCs w:val="22"/>
                <w:rtl/>
              </w:rPr>
            </w:pPr>
            <w:r w:rsidRPr="00861D72">
              <w:rPr>
                <w:rFonts w:ascii="David" w:eastAsia="Times New Roman" w:hAnsi="David"/>
                <w:b/>
                <w:bCs/>
                <w:color w:val="000000"/>
                <w:sz w:val="22"/>
                <w:szCs w:val="22"/>
                <w:rtl/>
              </w:rPr>
              <w:t>קידום החוסן החברתי</w:t>
            </w:r>
          </w:p>
        </w:tc>
        <w:tc>
          <w:tcPr>
            <w:tcW w:w="1557" w:type="dxa"/>
            <w:tcBorders>
              <w:left w:val="nil"/>
              <w:right w:val="nil"/>
            </w:tcBorders>
            <w:shd w:val="clear" w:color="auto" w:fill="9DCDAA"/>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3</w:t>
            </w:r>
          </w:p>
        </w:tc>
        <w:tc>
          <w:tcPr>
            <w:tcW w:w="1558" w:type="dxa"/>
            <w:tcBorders>
              <w:top w:val="single" w:sz="4" w:space="0" w:color="auto"/>
              <w:left w:val="nil"/>
              <w:bottom w:val="single" w:sz="4" w:space="0" w:color="auto"/>
              <w:right w:val="single" w:sz="4" w:space="0" w:color="auto"/>
            </w:tcBorders>
            <w:shd w:val="clear" w:color="auto" w:fill="FF8383"/>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0</w:t>
            </w:r>
          </w:p>
        </w:tc>
      </w:tr>
      <w:tr w:rsidTr="00861D72">
        <w:tblPrEx>
          <w:tblW w:w="7939" w:type="dxa"/>
          <w:tblInd w:w="156" w:type="dxa"/>
          <w:tblLook w:val="04A0"/>
        </w:tblPrEx>
        <w:trPr>
          <w:trHeight w:val="390"/>
        </w:trPr>
        <w:tc>
          <w:tcPr>
            <w:tcW w:w="4824" w:type="dxa"/>
            <w:tcBorders>
              <w:top w:val="single" w:sz="4" w:space="0" w:color="auto"/>
              <w:left w:val="single" w:sz="4" w:space="0" w:color="auto"/>
              <w:bottom w:val="single" w:sz="4" w:space="0" w:color="auto"/>
              <w:right w:val="nil"/>
            </w:tcBorders>
            <w:shd w:val="clear" w:color="auto" w:fill="FFFFFF"/>
            <w:vAlign w:val="center"/>
            <w:hideMark/>
          </w:tcPr>
          <w:p w:rsidR="00861D72" w:rsidRPr="00861D72" w:rsidP="00F90255">
            <w:pPr>
              <w:spacing w:line="269" w:lineRule="auto"/>
              <w:rPr>
                <w:rFonts w:ascii="David" w:eastAsia="Times New Roman" w:hAnsi="David"/>
                <w:b/>
                <w:bCs/>
                <w:color w:val="000000"/>
                <w:sz w:val="22"/>
                <w:szCs w:val="22"/>
                <w:rtl/>
              </w:rPr>
            </w:pPr>
            <w:r w:rsidRPr="00861D72">
              <w:rPr>
                <w:rFonts w:ascii="David" w:eastAsia="Times New Roman" w:hAnsi="David"/>
                <w:b/>
                <w:bCs/>
                <w:color w:val="000000"/>
                <w:sz w:val="22"/>
                <w:szCs w:val="22"/>
                <w:rtl/>
              </w:rPr>
              <w:t>קידום החוסן הכלכלי</w:t>
            </w:r>
          </w:p>
        </w:tc>
        <w:tc>
          <w:tcPr>
            <w:tcW w:w="1557" w:type="dxa"/>
            <w:tcBorders>
              <w:left w:val="nil"/>
              <w:right w:val="nil"/>
            </w:tcBorders>
            <w:shd w:val="clear" w:color="auto" w:fill="FF8383"/>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0</w:t>
            </w:r>
          </w:p>
        </w:tc>
        <w:tc>
          <w:tcPr>
            <w:tcW w:w="1558" w:type="dxa"/>
            <w:tcBorders>
              <w:top w:val="single" w:sz="4" w:space="0" w:color="auto"/>
              <w:left w:val="nil"/>
              <w:bottom w:val="single" w:sz="4" w:space="0" w:color="auto"/>
              <w:right w:val="single" w:sz="4" w:space="0" w:color="auto"/>
            </w:tcBorders>
            <w:shd w:val="clear" w:color="auto" w:fill="FF8383"/>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0</w:t>
            </w:r>
          </w:p>
        </w:tc>
      </w:tr>
      <w:tr w:rsidTr="00861D72">
        <w:tblPrEx>
          <w:tblW w:w="7939" w:type="dxa"/>
          <w:tblInd w:w="156" w:type="dxa"/>
          <w:tblLook w:val="04A0"/>
        </w:tblPrEx>
        <w:trPr>
          <w:trHeight w:val="356"/>
        </w:trPr>
        <w:tc>
          <w:tcPr>
            <w:tcW w:w="4824" w:type="dxa"/>
            <w:tcBorders>
              <w:top w:val="single" w:sz="4" w:space="0" w:color="auto"/>
              <w:left w:val="single" w:sz="4" w:space="0" w:color="auto"/>
              <w:bottom w:val="single" w:sz="4" w:space="0" w:color="auto"/>
              <w:right w:val="nil"/>
            </w:tcBorders>
            <w:shd w:val="clear" w:color="auto" w:fill="FFFFFF"/>
            <w:vAlign w:val="center"/>
            <w:hideMark/>
          </w:tcPr>
          <w:p w:rsidR="00861D72" w:rsidRPr="00861D72" w:rsidP="00F90255">
            <w:pPr>
              <w:spacing w:line="269" w:lineRule="auto"/>
              <w:rPr>
                <w:rFonts w:ascii="David" w:eastAsia="Times New Roman" w:hAnsi="David"/>
                <w:b/>
                <w:bCs/>
                <w:color w:val="000000"/>
                <w:sz w:val="22"/>
                <w:szCs w:val="22"/>
                <w:rtl/>
              </w:rPr>
            </w:pPr>
            <w:r w:rsidRPr="00861D72">
              <w:rPr>
                <w:rFonts w:ascii="David" w:eastAsia="Times New Roman" w:hAnsi="David"/>
                <w:b/>
                <w:bCs/>
                <w:color w:val="000000"/>
                <w:sz w:val="22"/>
                <w:szCs w:val="22"/>
                <w:rtl/>
              </w:rPr>
              <w:t>קידום תשתיות ומנגנוני עבודה ממשלתיים ובין מגזריים</w:t>
            </w:r>
          </w:p>
        </w:tc>
        <w:tc>
          <w:tcPr>
            <w:tcW w:w="1557" w:type="dxa"/>
            <w:tcBorders>
              <w:left w:val="nil"/>
              <w:right w:val="nil"/>
            </w:tcBorders>
            <w:shd w:val="clear" w:color="auto" w:fill="FF8383"/>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0</w:t>
            </w:r>
          </w:p>
        </w:tc>
        <w:tc>
          <w:tcPr>
            <w:tcW w:w="1558" w:type="dxa"/>
            <w:tcBorders>
              <w:top w:val="single" w:sz="4" w:space="0" w:color="auto"/>
              <w:left w:val="nil"/>
              <w:bottom w:val="single" w:sz="4" w:space="0" w:color="auto"/>
              <w:right w:val="single" w:sz="4" w:space="0" w:color="auto"/>
            </w:tcBorders>
            <w:shd w:val="clear" w:color="auto" w:fill="9DCDAA"/>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8</w:t>
            </w:r>
          </w:p>
        </w:tc>
      </w:tr>
      <w:tr w:rsidTr="00861D72">
        <w:tblPrEx>
          <w:tblW w:w="7939" w:type="dxa"/>
          <w:tblInd w:w="156" w:type="dxa"/>
          <w:tblLook w:val="04A0"/>
        </w:tblPrEx>
        <w:trPr>
          <w:trHeight w:val="418"/>
        </w:trPr>
        <w:tc>
          <w:tcPr>
            <w:tcW w:w="4824" w:type="dxa"/>
            <w:tcBorders>
              <w:top w:val="single" w:sz="4" w:space="0" w:color="auto"/>
              <w:left w:val="single" w:sz="4" w:space="0" w:color="auto"/>
              <w:bottom w:val="single" w:sz="4" w:space="0" w:color="auto"/>
              <w:right w:val="nil"/>
            </w:tcBorders>
            <w:shd w:val="clear" w:color="auto" w:fill="FFFFFF"/>
            <w:vAlign w:val="center"/>
            <w:hideMark/>
          </w:tcPr>
          <w:p w:rsidR="00861D72" w:rsidRPr="00861D72" w:rsidP="00F90255">
            <w:pPr>
              <w:spacing w:line="269" w:lineRule="auto"/>
              <w:rPr>
                <w:rFonts w:ascii="David" w:eastAsia="Times New Roman" w:hAnsi="David"/>
                <w:b/>
                <w:bCs/>
                <w:color w:val="000000"/>
                <w:sz w:val="22"/>
                <w:szCs w:val="22"/>
                <w:rtl/>
              </w:rPr>
            </w:pPr>
            <w:r w:rsidRPr="00861D72">
              <w:rPr>
                <w:rFonts w:ascii="David" w:eastAsia="Times New Roman" w:hAnsi="David"/>
                <w:b/>
                <w:bCs/>
                <w:color w:val="000000"/>
                <w:sz w:val="22"/>
                <w:szCs w:val="22"/>
                <w:rtl/>
              </w:rPr>
              <w:t>חיזוק ההון האנושי בשדה הזקנה</w:t>
            </w:r>
          </w:p>
        </w:tc>
        <w:tc>
          <w:tcPr>
            <w:tcW w:w="1557" w:type="dxa"/>
            <w:tcBorders>
              <w:left w:val="nil"/>
              <w:right w:val="nil"/>
            </w:tcBorders>
            <w:shd w:val="clear" w:color="auto" w:fill="9DCDAA"/>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2</w:t>
            </w:r>
          </w:p>
        </w:tc>
        <w:tc>
          <w:tcPr>
            <w:tcW w:w="1558" w:type="dxa"/>
            <w:tcBorders>
              <w:top w:val="single" w:sz="4" w:space="0" w:color="auto"/>
              <w:left w:val="nil"/>
              <w:bottom w:val="single" w:sz="4" w:space="0" w:color="auto"/>
              <w:right w:val="single" w:sz="4" w:space="0" w:color="auto"/>
            </w:tcBorders>
            <w:shd w:val="clear" w:color="auto" w:fill="FF8383"/>
            <w:vAlign w:val="center"/>
            <w:hideMark/>
          </w:tcPr>
          <w:p w:rsidR="00861D72" w:rsidRPr="00861D72" w:rsidP="00F90255">
            <w:pPr>
              <w:spacing w:line="269" w:lineRule="auto"/>
              <w:jc w:val="center"/>
              <w:rPr>
                <w:rFonts w:ascii="David" w:eastAsia="Times New Roman" w:hAnsi="David"/>
                <w:sz w:val="22"/>
                <w:szCs w:val="22"/>
                <w:rtl/>
              </w:rPr>
            </w:pPr>
            <w:r w:rsidRPr="00861D72">
              <w:rPr>
                <w:rFonts w:ascii="David" w:eastAsia="Times New Roman" w:hAnsi="David"/>
                <w:sz w:val="22"/>
                <w:szCs w:val="22"/>
                <w:rtl/>
              </w:rPr>
              <w:t>0</w:t>
            </w:r>
          </w:p>
        </w:tc>
      </w:tr>
    </w:tbl>
    <w:p w:rsidR="00861D72" w:rsidRPr="00861D72" w:rsidP="00F90255">
      <w:pPr>
        <w:spacing w:line="269" w:lineRule="auto"/>
        <w:rPr>
          <w:rFonts w:eastAsia="Calibri"/>
          <w:sz w:val="16"/>
          <w:szCs w:val="20"/>
          <w:rtl/>
        </w:rPr>
      </w:pPr>
      <w:r w:rsidRPr="00861D72">
        <w:rPr>
          <w:rFonts w:eastAsia="Calibri" w:hint="eastAsia"/>
          <w:sz w:val="16"/>
          <w:szCs w:val="20"/>
          <w:rtl/>
        </w:rPr>
        <w:t>על</w:t>
      </w:r>
      <w:r w:rsidRPr="00861D72">
        <w:rPr>
          <w:rFonts w:eastAsia="Calibri"/>
          <w:sz w:val="16"/>
          <w:szCs w:val="20"/>
          <w:rtl/>
        </w:rPr>
        <w:t xml:space="preserve"> פי עיקרי </w:t>
      </w:r>
      <w:r w:rsidRPr="00861D72">
        <w:rPr>
          <w:rFonts w:eastAsia="Calibri" w:hint="eastAsia"/>
          <w:sz w:val="16"/>
          <w:szCs w:val="20"/>
          <w:rtl/>
        </w:rPr>
        <w:t>תוכניות</w:t>
      </w:r>
      <w:r w:rsidRPr="00861D72">
        <w:rPr>
          <w:rFonts w:eastAsia="Calibri"/>
          <w:sz w:val="16"/>
          <w:szCs w:val="20"/>
          <w:rtl/>
        </w:rPr>
        <w:t xml:space="preserve"> העבודה לשנת 2025, בעיבוד משרד מבקר המדינה</w:t>
      </w:r>
      <w:r>
        <w:rPr>
          <w:rFonts w:eastAsia="Calibri"/>
          <w:vertAlign w:val="superscript"/>
          <w:rtl/>
        </w:rPr>
        <w:footnoteReference w:id="124"/>
      </w:r>
      <w:r w:rsidRPr="00861D72">
        <w:rPr>
          <w:rFonts w:eastAsia="Calibri" w:hint="cs"/>
          <w:sz w:val="16"/>
          <w:szCs w:val="20"/>
          <w:rtl/>
        </w:rPr>
        <w:t>.</w:t>
      </w:r>
    </w:p>
    <w:p w:rsidR="00861D72" w:rsidRPr="00861D72" w:rsidP="00F90255">
      <w:pPr>
        <w:spacing w:line="269" w:lineRule="auto"/>
        <w:ind w:left="312"/>
        <w:rPr>
          <w:rFonts w:eastAsia="Calibri"/>
          <w:rtl/>
        </w:rPr>
      </w:pPr>
    </w:p>
    <w:p w:rsidR="00861D72" w:rsidRPr="00861D72" w:rsidP="00F90255">
      <w:pPr>
        <w:spacing w:line="269" w:lineRule="auto"/>
        <w:rPr>
          <w:rFonts w:eastAsia="Calibri"/>
          <w:b/>
          <w:bCs/>
          <w:rtl/>
        </w:rPr>
      </w:pPr>
      <w:r w:rsidRPr="00861D72">
        <w:rPr>
          <w:rFonts w:eastAsia="Calibri" w:hint="cs"/>
          <w:b/>
          <w:bCs/>
          <w:rtl/>
        </w:rPr>
        <w:t>הפיילוט ל</w:t>
      </w:r>
      <w:r w:rsidRPr="00861D72">
        <w:rPr>
          <w:rFonts w:eastAsia="Calibri"/>
          <w:b/>
          <w:bCs/>
          <w:rtl/>
        </w:rPr>
        <w:t>הגברת התיאום הבין-משרדי בתוכנית העבודה הממשלתית לשנת 2025</w:t>
      </w:r>
      <w:r w:rsidRPr="00861D72">
        <w:rPr>
          <w:rFonts w:eastAsia="Calibri" w:hint="cs"/>
          <w:b/>
          <w:bCs/>
          <w:rtl/>
        </w:rPr>
        <w:t xml:space="preserve">, המובל ע"י </w:t>
      </w:r>
      <w:r w:rsidRPr="00861D72">
        <w:rPr>
          <w:rFonts w:eastAsia="Calibri"/>
          <w:b/>
          <w:bCs/>
          <w:rtl/>
        </w:rPr>
        <w:t xml:space="preserve">אגף ממשל וחברה במשרד </w:t>
      </w:r>
      <w:r w:rsidRPr="00861D72">
        <w:rPr>
          <w:rFonts w:eastAsia="Calibri" w:hint="cs"/>
          <w:b/>
          <w:bCs/>
          <w:rtl/>
        </w:rPr>
        <w:t>רה"ם</w:t>
      </w:r>
      <w:r w:rsidRPr="00861D72">
        <w:rPr>
          <w:rFonts w:eastAsia="Calibri" w:hint="cs"/>
          <w:b/>
          <w:bCs/>
          <w:rtl/>
        </w:rPr>
        <w:t>,</w:t>
      </w:r>
      <w:r w:rsidRPr="00861D72">
        <w:rPr>
          <w:rFonts w:eastAsia="Calibri"/>
          <w:b/>
          <w:bCs/>
          <w:rtl/>
        </w:rPr>
        <w:t xml:space="preserve"> </w:t>
      </w:r>
      <w:r w:rsidRPr="00861D72">
        <w:rPr>
          <w:rFonts w:eastAsia="Calibri" w:hint="cs"/>
          <w:b/>
          <w:bCs/>
          <w:rtl/>
        </w:rPr>
        <w:t xml:space="preserve">נועד להגביר תיאום בין משרדי באמצעות קביעת מטרות ויעדים משותפים. עם זאת, מהלוח עולה כי אין אף לא מטרה אחת שיש בה משימות משותפות </w:t>
      </w:r>
      <w:r w:rsidRPr="00861D72">
        <w:rPr>
          <w:rFonts w:eastAsia="Calibri" w:hint="cs"/>
          <w:b/>
          <w:bCs/>
          <w:rtl/>
        </w:rPr>
        <w:t>משני הסוגים - תכנון ויישום משותף ומשימות בין משרדיות. זאת ועוד, למטרת חיזוק החוסן הכלכלי אין אף לא משימה משותפת אחת של כמה משרדים.</w:t>
      </w:r>
    </w:p>
    <w:p w:rsidR="00861D72" w:rsidRPr="00861D72" w:rsidP="00F90255">
      <w:pPr>
        <w:spacing w:line="269" w:lineRule="auto"/>
        <w:ind w:left="312"/>
        <w:rPr>
          <w:rFonts w:eastAsia="Calibri"/>
          <w:b/>
          <w:bCs/>
          <w:rtl/>
        </w:rPr>
      </w:pPr>
    </w:p>
    <w:p w:rsidR="00861D72" w:rsidRPr="00861D72" w:rsidP="00F90255">
      <w:pPr>
        <w:spacing w:line="269" w:lineRule="auto"/>
        <w:rPr>
          <w:rFonts w:eastAsia="Calibri"/>
          <w:b/>
          <w:bCs/>
          <w:rtl/>
        </w:rPr>
      </w:pPr>
      <w:bookmarkStart w:id="50" w:name="_Hlk219975139"/>
      <w:r w:rsidRPr="00861D72">
        <w:rPr>
          <w:rFonts w:eastAsia="Calibri"/>
          <w:b/>
          <w:bCs/>
          <w:rtl/>
        </w:rPr>
        <w:t xml:space="preserve">עולה כי הפיילוט לתכנון משותף שגובש על ידי אגף ממשלה וחברה במשרד </w:t>
      </w:r>
      <w:r w:rsidRPr="00861D72">
        <w:rPr>
          <w:rFonts w:eastAsia="Calibri" w:hint="cs"/>
          <w:b/>
          <w:bCs/>
          <w:rtl/>
        </w:rPr>
        <w:t>רה"ם</w:t>
      </w:r>
      <w:r w:rsidRPr="00861D72">
        <w:rPr>
          <w:rFonts w:eastAsia="Calibri" w:hint="cs"/>
          <w:b/>
          <w:bCs/>
          <w:rtl/>
        </w:rPr>
        <w:t xml:space="preserve"> נמצא בשלביו הראשונים והוא</w:t>
      </w:r>
      <w:r w:rsidRPr="00861D72">
        <w:rPr>
          <w:rFonts w:eastAsia="Calibri"/>
          <w:b/>
          <w:bCs/>
          <w:rtl/>
        </w:rPr>
        <w:t xml:space="preserve"> תחילתו של מהלך </w:t>
      </w:r>
      <w:r w:rsidRPr="00861D72">
        <w:rPr>
          <w:rFonts w:eastAsia="Calibri" w:hint="cs"/>
          <w:b/>
          <w:bCs/>
          <w:rtl/>
        </w:rPr>
        <w:t>רחב יותר לתכנון משותף. ולצד האמור</w:t>
      </w:r>
      <w:r w:rsidRPr="00861D72">
        <w:rPr>
          <w:rFonts w:eastAsia="Calibri"/>
          <w:b/>
          <w:bCs/>
          <w:rtl/>
        </w:rPr>
        <w:t xml:space="preserve">, בשלב בחינתו, </w:t>
      </w:r>
      <w:r w:rsidRPr="00861D72">
        <w:rPr>
          <w:rFonts w:eastAsia="Calibri" w:hint="cs"/>
          <w:b/>
          <w:bCs/>
          <w:rtl/>
        </w:rPr>
        <w:t xml:space="preserve">הפיילוט </w:t>
      </w:r>
      <w:r w:rsidRPr="00861D72">
        <w:rPr>
          <w:rFonts w:eastAsia="Calibri"/>
          <w:b/>
          <w:bCs/>
          <w:rtl/>
        </w:rPr>
        <w:t>נשען במידה רבה על מטרות ומשימות שכבר עוגנו בתוכניות העבודה של משרדי הממשלה</w:t>
      </w:r>
      <w:r w:rsidRPr="00861D72">
        <w:rPr>
          <w:rFonts w:eastAsia="Calibri" w:hint="cs"/>
          <w:b/>
          <w:bCs/>
          <w:rtl/>
        </w:rPr>
        <w:t>.</w:t>
      </w:r>
      <w:r w:rsidRPr="00861D72">
        <w:rPr>
          <w:rFonts w:eastAsia="Calibri"/>
          <w:b/>
          <w:bCs/>
          <w:rtl/>
        </w:rPr>
        <w:t xml:space="preserve"> </w:t>
      </w:r>
    </w:p>
    <w:bookmarkEnd w:id="50"/>
    <w:p w:rsidR="00861D72" w:rsidRPr="00861D72" w:rsidP="00F90255">
      <w:pPr>
        <w:spacing w:line="269" w:lineRule="auto"/>
        <w:ind w:left="312"/>
        <w:rPr>
          <w:rFonts w:eastAsia="Calibri"/>
          <w:rtl/>
        </w:rPr>
      </w:pPr>
    </w:p>
    <w:p w:rsidR="00861D72" w:rsidRPr="00861D72" w:rsidP="00F90255">
      <w:pPr>
        <w:spacing w:line="269" w:lineRule="auto"/>
        <w:rPr>
          <w:rFonts w:eastAsia="Calibri"/>
          <w:rtl/>
        </w:rPr>
      </w:pPr>
      <w:r w:rsidRPr="00861D72">
        <w:rPr>
          <w:rFonts w:eastAsia="Calibri" w:hint="cs"/>
          <w:rtl/>
        </w:rPr>
        <w:t xml:space="preserve">במסגרת </w:t>
      </w:r>
      <w:r w:rsidRPr="00861D72">
        <w:rPr>
          <w:rFonts w:eastAsia="Calibri" w:hint="cs"/>
          <w:sz w:val="24"/>
          <w:rtl/>
        </w:rPr>
        <w:t>הליך המיפוי המובנה</w:t>
      </w:r>
      <w:r w:rsidRPr="00861D72">
        <w:rPr>
          <w:rFonts w:eastAsia="Calibri" w:hint="cs"/>
          <w:rtl/>
        </w:rPr>
        <w:t xml:space="preserve"> מהגופים העוסקים בהזדקנות האוכלוסייה, בדק צוות הביקורת את עמדות הגופים המעורבים בפיילוט בנוגע למימוש מטרותיו - להביא לתכנון משותף ולהגביר תיאום בין משרדי. בתרשים שלהלן מוצגות העמדות.</w:t>
      </w:r>
    </w:p>
    <w:p w:rsidR="00861D72" w:rsidRPr="00861D72" w:rsidP="00F90255">
      <w:pPr>
        <w:spacing w:line="269" w:lineRule="auto"/>
        <w:rPr>
          <w:rFonts w:eastAsia="Calibri"/>
          <w:rtl/>
        </w:rPr>
      </w:pPr>
    </w:p>
    <w:p w:rsidR="00861D72" w:rsidRPr="00861D72" w:rsidP="002D37E0">
      <w:pPr>
        <w:keepNext/>
        <w:keepLines/>
        <w:widowControl w:val="0"/>
        <w:spacing w:line="269" w:lineRule="auto"/>
        <w:ind w:left="312"/>
        <w:contextualSpacing/>
        <w:jc w:val="center"/>
        <w:rPr>
          <w:rFonts w:ascii="David" w:eastAsia="Calibri" w:hAnsi="David"/>
          <w:b/>
          <w:bCs/>
          <w:sz w:val="24"/>
          <w:rtl/>
        </w:rPr>
      </w:pPr>
      <w:r w:rsidRPr="00861D72">
        <w:rPr>
          <w:rFonts w:ascii="David" w:eastAsia="Calibri" w:hAnsi="David" w:hint="cs"/>
          <w:sz w:val="24"/>
          <w:rtl/>
        </w:rPr>
        <w:t xml:space="preserve">תרשים 17: </w:t>
      </w:r>
      <w:r w:rsidRPr="00861D72">
        <w:rPr>
          <w:rFonts w:ascii="David" w:eastAsia="Calibri" w:hAnsi="David" w:hint="cs"/>
          <w:b/>
          <w:bCs/>
          <w:sz w:val="24"/>
          <w:rtl/>
        </w:rPr>
        <w:t>עמדת</w:t>
      </w:r>
      <w:r w:rsidRPr="00861D72">
        <w:rPr>
          <w:rFonts w:ascii="David" w:eastAsia="Calibri" w:hAnsi="David"/>
          <w:b/>
          <w:bCs/>
          <w:sz w:val="24"/>
          <w:rtl/>
        </w:rPr>
        <w:t xml:space="preserve"> הגופים העוסקים בהזדקנות האוכלוסייה</w:t>
      </w:r>
      <w:r w:rsidRPr="00861D72">
        <w:rPr>
          <w:rFonts w:ascii="David" w:eastAsia="Calibri" w:hAnsi="David" w:hint="cs"/>
          <w:b/>
          <w:bCs/>
          <w:sz w:val="24"/>
          <w:rtl/>
        </w:rPr>
        <w:t xml:space="preserve"> על היות הפיילוט כלי לתכנון משותף ולתיאום בנושא הזדקנות האוכלוסייה</w:t>
      </w:r>
    </w:p>
    <w:p w:rsidR="00861D72" w:rsidRPr="00861D72" w:rsidP="00F90255">
      <w:pPr>
        <w:spacing w:line="269" w:lineRule="auto"/>
        <w:rPr>
          <w:rFonts w:eastAsia="Calibri"/>
          <w:rtl/>
        </w:rPr>
      </w:pPr>
      <w:r w:rsidRPr="00861D72">
        <w:rPr>
          <w:rFonts w:eastAsia="Calibri"/>
          <w:noProof/>
        </w:rPr>
        <w:drawing>
          <wp:inline distT="0" distB="0" distL="0" distR="0">
            <wp:extent cx="5224780" cy="5742940"/>
            <wp:effectExtent l="0" t="0" r="0" b="0"/>
            <wp:docPr id="29" name="תמונה 29" descr="לא מכירים&#10;את&#10;הפילוט&#10;35%&#10;&#10;מכירים&#10;את&#10;הפילוט&#10;65%&#10;&#10;מימין:&#10;באיזו מידה לדעתך הפיילוט מביא&#10;לתכנון משותף?&#10;במידה רבה או רבה מאוד&#10;18%&#10;במידה בינונית&#10;18%&#10;במידה מועטה או מועטה מאוד&#10;64%&#10;&#10;משמאל:&#10;באיזו מידה לדעתך הפיילוט מגביר&#10;תיאום בין משרדך?&#10;במידה רבה או רבה מאוד&#10;27%&#10;במידה בינונית&#10;9%&#10;במידה מועטה או מועטה מאוד&#10;64%&#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4780" cy="5742940"/>
                    </a:xfrm>
                    <a:prstGeom prst="rect">
                      <a:avLst/>
                    </a:prstGeom>
                    <a:noFill/>
                  </pic:spPr>
                </pic:pic>
              </a:graphicData>
            </a:graphic>
          </wp:inline>
        </w:drawing>
      </w:r>
    </w:p>
    <w:p w:rsidR="00861D72" w:rsidRPr="00861D72" w:rsidP="00F90255">
      <w:pPr>
        <w:spacing w:line="269" w:lineRule="auto"/>
        <w:rPr>
          <w:rFonts w:eastAsia="Calibri"/>
          <w:sz w:val="16"/>
          <w:szCs w:val="20"/>
          <w:rtl/>
        </w:rPr>
      </w:pPr>
      <w:r w:rsidRPr="00861D72">
        <w:rPr>
          <w:rFonts w:eastAsia="Calibri" w:hint="cs"/>
          <w:sz w:val="16"/>
          <w:szCs w:val="20"/>
          <w:rtl/>
        </w:rPr>
        <w:t xml:space="preserve">על פי </w:t>
      </w:r>
      <w:r w:rsidRPr="00861D72">
        <w:rPr>
          <w:rFonts w:eastAsia="Calibri"/>
          <w:sz w:val="16"/>
          <w:szCs w:val="20"/>
          <w:rtl/>
        </w:rPr>
        <w:t>הליך המיפוי המובנה</w:t>
      </w:r>
      <w:r w:rsidRPr="00861D72">
        <w:rPr>
          <w:rFonts w:eastAsia="Calibri" w:hint="cs"/>
          <w:sz w:val="16"/>
          <w:szCs w:val="20"/>
          <w:rtl/>
        </w:rPr>
        <w:t>.</w:t>
      </w:r>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b/>
          <w:bCs/>
          <w:rtl/>
        </w:rPr>
      </w:pPr>
      <w:bookmarkStart w:id="51" w:name="_Hlk219975156"/>
      <w:r w:rsidRPr="00861D72">
        <w:rPr>
          <w:rFonts w:eastAsia="Calibri" w:hint="cs"/>
          <w:b/>
          <w:bCs/>
          <w:rtl/>
        </w:rPr>
        <w:t xml:space="preserve">מהתרשים עולה </w:t>
      </w:r>
      <w:bookmarkStart w:id="52" w:name="_Hlk222219508"/>
      <w:r w:rsidRPr="00861D72">
        <w:rPr>
          <w:rFonts w:eastAsia="Calibri" w:hint="cs"/>
          <w:b/>
          <w:bCs/>
          <w:rtl/>
        </w:rPr>
        <w:t xml:space="preserve">כי 35% מהמשיבים (המשרד לשוויון חברתי, משרד הרווחה, משרד הבריאות, </w:t>
      </w:r>
      <w:r w:rsidRPr="00861D72">
        <w:rPr>
          <w:rFonts w:eastAsia="Calibri" w:hint="cs"/>
          <w:b/>
          <w:bCs/>
          <w:rtl/>
        </w:rPr>
        <w:t>בט"ל</w:t>
      </w:r>
      <w:r w:rsidRPr="00861D72">
        <w:rPr>
          <w:rFonts w:eastAsia="Calibri" w:hint="cs"/>
          <w:b/>
          <w:bCs/>
          <w:rtl/>
        </w:rPr>
        <w:t xml:space="preserve"> וקופות החולים) אינם מכירים את הפיילוט לתכנון משותף. מקרב אלו המכירים את הפיילוט, 64% השיבו כי הוא מגביר שיתוף פעולה ומביא לתכנון משותף במידה מועטה ומועטה מאוד. רק 18% השיבו כי הוא מגביר שיתוף פעולה במידה רבה ורבה מאוד, ו-27% ציינו כך בנוגע להיותו מגביר תיאום בין-משרדי</w:t>
      </w:r>
      <w:r w:rsidRPr="00861D72">
        <w:rPr>
          <w:rFonts w:eastAsia="Calibri" w:hint="cs"/>
          <w:rtl/>
        </w:rPr>
        <w:t xml:space="preserve">. </w:t>
      </w:r>
      <w:r w:rsidRPr="00861D72">
        <w:rPr>
          <w:rFonts w:eastAsia="Calibri"/>
          <w:b/>
          <w:bCs/>
          <w:rtl/>
        </w:rPr>
        <w:t>ממצאים אלה עשויים להעיד כי הפיילוט מצוי עדיין בשלבי הטמעה ראשוניים, וכי מימוש מטרותיו דורש זמן, העמקה וחיזוק מנגנוני היישום</w:t>
      </w:r>
      <w:r w:rsidRPr="00861D72">
        <w:rPr>
          <w:rFonts w:eastAsia="Calibri"/>
          <w:b/>
          <w:bCs/>
        </w:rPr>
        <w:t>.</w:t>
      </w:r>
    </w:p>
    <w:bookmarkEnd w:id="52"/>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b/>
          <w:bCs/>
          <w:rtl/>
        </w:rPr>
      </w:pPr>
      <w:r w:rsidRPr="00861D72">
        <w:rPr>
          <w:rFonts w:eastAsia="Calibri" w:hint="eastAsia"/>
          <w:b/>
          <w:bCs/>
          <w:sz w:val="40"/>
          <w:rtl/>
        </w:rPr>
        <w:t>מן</w:t>
      </w:r>
      <w:r w:rsidRPr="00861D72">
        <w:rPr>
          <w:rFonts w:eastAsia="Calibri"/>
          <w:b/>
          <w:bCs/>
          <w:sz w:val="40"/>
          <w:rtl/>
        </w:rPr>
        <w:t xml:space="preserve"> האמור עולה כי </w:t>
      </w:r>
      <w:bookmarkStart w:id="53" w:name="_Hlk222669825"/>
      <w:r w:rsidRPr="00861D72">
        <w:rPr>
          <w:rFonts w:eastAsia="Calibri"/>
          <w:b/>
          <w:bCs/>
          <w:sz w:val="40"/>
          <w:rtl/>
        </w:rPr>
        <w:t>רבים מהמשיבים כלל אינם מכירים את הפיילוט</w:t>
      </w:r>
      <w:r w:rsidRPr="00861D72">
        <w:rPr>
          <w:rFonts w:eastAsia="Calibri" w:hint="cs"/>
          <w:b/>
          <w:bCs/>
          <w:sz w:val="40"/>
          <w:rtl/>
        </w:rPr>
        <w:t xml:space="preserve"> לתכנון משותף.</w:t>
      </w:r>
      <w:r w:rsidRPr="00861D72">
        <w:rPr>
          <w:rFonts w:eastAsia="Calibri"/>
          <w:b/>
          <w:bCs/>
          <w:sz w:val="40"/>
          <w:rtl/>
        </w:rPr>
        <w:t xml:space="preserve"> מבין אלו </w:t>
      </w:r>
      <w:r w:rsidRPr="00861D72">
        <w:rPr>
          <w:rFonts w:eastAsia="Calibri" w:hint="cs"/>
          <w:b/>
          <w:bCs/>
          <w:sz w:val="40"/>
          <w:rtl/>
        </w:rPr>
        <w:t>ה</w:t>
      </w:r>
      <w:r w:rsidRPr="00861D72">
        <w:rPr>
          <w:rFonts w:eastAsia="Calibri"/>
          <w:b/>
          <w:bCs/>
          <w:sz w:val="40"/>
          <w:rtl/>
        </w:rPr>
        <w:t xml:space="preserve">מכירים </w:t>
      </w:r>
      <w:r w:rsidRPr="00861D72">
        <w:rPr>
          <w:rFonts w:eastAsia="Calibri" w:hint="cs"/>
          <w:b/>
          <w:bCs/>
          <w:sz w:val="40"/>
          <w:rtl/>
        </w:rPr>
        <w:t>את הפיילוט -</w:t>
      </w:r>
      <w:r w:rsidRPr="00861D72">
        <w:rPr>
          <w:rFonts w:eastAsia="Calibri"/>
          <w:b/>
          <w:bCs/>
          <w:sz w:val="40"/>
          <w:rtl/>
        </w:rPr>
        <w:t xml:space="preserve"> רובם סבורים כי תרומתו לשיתוף פעולה ולתכנון משותף היא מצומצמת מאוד, </w:t>
      </w:r>
      <w:r w:rsidRPr="00861D72">
        <w:rPr>
          <w:rFonts w:eastAsia="Calibri" w:hint="cs"/>
          <w:b/>
          <w:bCs/>
          <w:sz w:val="40"/>
          <w:rtl/>
        </w:rPr>
        <w:t>ואילו</w:t>
      </w:r>
      <w:r w:rsidRPr="00861D72">
        <w:rPr>
          <w:rFonts w:eastAsia="Calibri"/>
          <w:b/>
          <w:bCs/>
          <w:sz w:val="40"/>
          <w:rtl/>
        </w:rPr>
        <w:t xml:space="preserve"> מיעוט בלבד מעריך כי יש לו</w:t>
      </w:r>
      <w:r w:rsidRPr="00861D72">
        <w:rPr>
          <w:rFonts w:eastAsia="Calibri" w:hint="cs"/>
          <w:b/>
          <w:bCs/>
          <w:sz w:val="40"/>
          <w:rtl/>
        </w:rPr>
        <w:t xml:space="preserve"> ה</w:t>
      </w:r>
      <w:r w:rsidRPr="00861D72">
        <w:rPr>
          <w:rFonts w:eastAsia="Calibri"/>
          <w:b/>
          <w:bCs/>
          <w:sz w:val="40"/>
          <w:rtl/>
        </w:rPr>
        <w:t xml:space="preserve">שפעה </w:t>
      </w:r>
      <w:r w:rsidRPr="00861D72">
        <w:rPr>
          <w:rFonts w:eastAsia="Calibri" w:hint="cs"/>
          <w:b/>
          <w:bCs/>
          <w:sz w:val="40"/>
          <w:rtl/>
        </w:rPr>
        <w:t>של ממש</w:t>
      </w:r>
      <w:r w:rsidRPr="00861D72">
        <w:rPr>
          <w:rFonts w:eastAsia="Calibri"/>
          <w:b/>
          <w:bCs/>
          <w:sz w:val="40"/>
          <w:rtl/>
        </w:rPr>
        <w:t xml:space="preserve">. </w:t>
      </w:r>
      <w:bookmarkEnd w:id="53"/>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b/>
          <w:bCs/>
          <w:rtl/>
        </w:rPr>
      </w:pPr>
      <w:r w:rsidRPr="00861D72">
        <w:rPr>
          <w:rFonts w:eastAsia="Calibri" w:hint="cs"/>
          <w:rtl/>
        </w:rPr>
        <w:t xml:space="preserve">משרד </w:t>
      </w:r>
      <w:r w:rsidRPr="00861D72">
        <w:rPr>
          <w:rFonts w:eastAsia="Calibri" w:hint="cs"/>
          <w:rtl/>
        </w:rPr>
        <w:t>רה"ם</w:t>
      </w:r>
      <w:r w:rsidRPr="00861D72">
        <w:rPr>
          <w:rFonts w:eastAsia="Calibri" w:hint="cs"/>
          <w:rtl/>
        </w:rPr>
        <w:t xml:space="preserve"> ציין בתשובתו כי </w:t>
      </w:r>
      <w:r w:rsidRPr="00861D72">
        <w:rPr>
          <w:rFonts w:eastAsia="Calibri"/>
          <w:rtl/>
        </w:rPr>
        <w:t>עצם הפעלתו היזומה של</w:t>
      </w:r>
      <w:r w:rsidRPr="00861D72">
        <w:rPr>
          <w:rFonts w:eastAsia="Calibri" w:hint="cs"/>
          <w:rtl/>
        </w:rPr>
        <w:t xml:space="preserve"> </w:t>
      </w:r>
      <w:r w:rsidRPr="00861D72">
        <w:rPr>
          <w:rFonts w:eastAsia="Calibri"/>
          <w:rtl/>
        </w:rPr>
        <w:t>פיילוט בין</w:t>
      </w:r>
      <w:r w:rsidRPr="00861D72">
        <w:rPr>
          <w:rFonts w:eastAsia="Calibri" w:hint="cs"/>
          <w:rtl/>
        </w:rPr>
        <w:t>-</w:t>
      </w:r>
      <w:r w:rsidRPr="00861D72">
        <w:rPr>
          <w:rFonts w:eastAsia="Calibri"/>
          <w:rtl/>
        </w:rPr>
        <w:t xml:space="preserve">משרדי </w:t>
      </w:r>
      <w:r w:rsidRPr="00861D72">
        <w:rPr>
          <w:rFonts w:eastAsia="Calibri" w:hint="cs"/>
          <w:rtl/>
        </w:rPr>
        <w:t>היא</w:t>
      </w:r>
      <w:r w:rsidRPr="00861D72">
        <w:rPr>
          <w:rFonts w:eastAsia="Calibri"/>
          <w:rtl/>
        </w:rPr>
        <w:t xml:space="preserve"> צעד</w:t>
      </w:r>
      <w:r w:rsidRPr="00861D72">
        <w:rPr>
          <w:rFonts w:eastAsia="Calibri" w:hint="cs"/>
          <w:rtl/>
        </w:rPr>
        <w:t xml:space="preserve"> </w:t>
      </w:r>
      <w:r w:rsidRPr="00861D72">
        <w:rPr>
          <w:rFonts w:eastAsia="Calibri"/>
          <w:rtl/>
        </w:rPr>
        <w:t>משמעותי וחדשני</w:t>
      </w:r>
      <w:r w:rsidRPr="00861D72">
        <w:rPr>
          <w:rFonts w:eastAsia="Calibri" w:hint="cs"/>
          <w:rtl/>
        </w:rPr>
        <w:t xml:space="preserve"> המ</w:t>
      </w:r>
      <w:r w:rsidRPr="00861D72">
        <w:rPr>
          <w:rFonts w:eastAsia="Calibri"/>
          <w:rtl/>
        </w:rPr>
        <w:t>בסס</w:t>
      </w:r>
      <w:r w:rsidRPr="00861D72">
        <w:rPr>
          <w:rFonts w:eastAsia="Calibri" w:hint="cs"/>
          <w:rtl/>
        </w:rPr>
        <w:t xml:space="preserve"> </w:t>
      </w:r>
      <w:r w:rsidRPr="00861D72">
        <w:rPr>
          <w:rFonts w:eastAsia="Calibri"/>
          <w:rtl/>
        </w:rPr>
        <w:t>תשתית להעמקת התיאום והשיח הבין</w:t>
      </w:r>
      <w:r w:rsidRPr="00861D72">
        <w:rPr>
          <w:rFonts w:eastAsia="Calibri" w:hint="cs"/>
          <w:rtl/>
        </w:rPr>
        <w:t>-</w:t>
      </w:r>
      <w:r w:rsidRPr="00861D72">
        <w:rPr>
          <w:rFonts w:eastAsia="Calibri"/>
          <w:rtl/>
        </w:rPr>
        <w:t>משרדי בתהליך הדרגתי</w:t>
      </w:r>
      <w:r w:rsidRPr="00861D72">
        <w:rPr>
          <w:rFonts w:eastAsia="Calibri" w:hint="cs"/>
          <w:rtl/>
        </w:rPr>
        <w:t xml:space="preserve"> </w:t>
      </w:r>
      <w:r w:rsidRPr="00861D72">
        <w:rPr>
          <w:rFonts w:eastAsia="Calibri"/>
          <w:rtl/>
        </w:rPr>
        <w:t>של הבשלה ושכלול</w:t>
      </w:r>
      <w:r w:rsidRPr="00861D72">
        <w:rPr>
          <w:rFonts w:eastAsia="Calibri" w:hint="cs"/>
          <w:rtl/>
        </w:rPr>
        <w:t xml:space="preserve">. היעדרן של </w:t>
      </w:r>
      <w:r w:rsidRPr="00861D72">
        <w:rPr>
          <w:rFonts w:eastAsia="Calibri"/>
          <w:rtl/>
        </w:rPr>
        <w:t xml:space="preserve">משימות משותפות </w:t>
      </w:r>
      <w:r w:rsidRPr="00861D72">
        <w:rPr>
          <w:rFonts w:eastAsia="Calibri" w:hint="cs"/>
          <w:rtl/>
        </w:rPr>
        <w:t>או משימות חדשות אינו מעיד על הצלחת הפיילוט, מאחר ש</w:t>
      </w:r>
      <w:r w:rsidRPr="00861D72">
        <w:rPr>
          <w:rFonts w:eastAsia="Calibri"/>
          <w:rtl/>
        </w:rPr>
        <w:t>תכנון משותף מייצר מטבעו</w:t>
      </w:r>
      <w:r w:rsidRPr="00861D72">
        <w:rPr>
          <w:rFonts w:eastAsia="Calibri" w:hint="cs"/>
          <w:rtl/>
        </w:rPr>
        <w:t xml:space="preserve"> </w:t>
      </w:r>
      <w:r w:rsidRPr="00861D72">
        <w:rPr>
          <w:rFonts w:eastAsia="Calibri"/>
          <w:rtl/>
        </w:rPr>
        <w:t>משימות בין</w:t>
      </w:r>
      <w:r w:rsidRPr="00861D72">
        <w:rPr>
          <w:rFonts w:eastAsia="Calibri" w:hint="cs"/>
          <w:rtl/>
        </w:rPr>
        <w:t>-</w:t>
      </w:r>
      <w:r w:rsidRPr="00861D72">
        <w:rPr>
          <w:rFonts w:eastAsia="Calibri"/>
          <w:rtl/>
        </w:rPr>
        <w:t>משרדיות</w:t>
      </w:r>
      <w:r w:rsidRPr="00861D72">
        <w:rPr>
          <w:rFonts w:eastAsia="Calibri" w:hint="cs"/>
          <w:rtl/>
        </w:rPr>
        <w:t xml:space="preserve">. </w:t>
      </w:r>
      <w:r w:rsidRPr="00861D72">
        <w:rPr>
          <w:rFonts w:eastAsia="Calibri"/>
          <w:rtl/>
        </w:rPr>
        <w:t>הוולונטריות של</w:t>
      </w:r>
      <w:r w:rsidRPr="00861D72">
        <w:rPr>
          <w:rFonts w:eastAsia="Calibri" w:hint="cs"/>
          <w:rtl/>
        </w:rPr>
        <w:t xml:space="preserve"> </w:t>
      </w:r>
      <w:r w:rsidRPr="00861D72">
        <w:rPr>
          <w:rFonts w:eastAsia="Calibri"/>
          <w:rtl/>
        </w:rPr>
        <w:t>הפיילוט היא חלק אינהרנטי מאופי</w:t>
      </w:r>
      <w:r w:rsidRPr="00861D72">
        <w:rPr>
          <w:rFonts w:eastAsia="Calibri" w:hint="cs"/>
          <w:rtl/>
        </w:rPr>
        <w:t xml:space="preserve"> </w:t>
      </w:r>
      <w:r w:rsidRPr="00861D72">
        <w:rPr>
          <w:rFonts w:eastAsia="Calibri"/>
          <w:rtl/>
        </w:rPr>
        <w:t>הניסויי שלו</w:t>
      </w:r>
      <w:r w:rsidRPr="00861D72">
        <w:rPr>
          <w:rFonts w:eastAsia="Calibri" w:hint="cs"/>
          <w:rtl/>
        </w:rPr>
        <w:t xml:space="preserve">, וכחלק מהתפתחותו, </w:t>
      </w:r>
      <w:r w:rsidRPr="00861D72">
        <w:rPr>
          <w:rFonts w:eastAsia="Calibri"/>
          <w:rtl/>
        </w:rPr>
        <w:t>בשנת 2026 נכללו</w:t>
      </w:r>
      <w:r w:rsidRPr="00861D72">
        <w:rPr>
          <w:rFonts w:eastAsia="Calibri" w:hint="cs"/>
          <w:rtl/>
        </w:rPr>
        <w:t xml:space="preserve"> </w:t>
      </w:r>
      <w:r w:rsidRPr="00861D72">
        <w:rPr>
          <w:rFonts w:eastAsia="Calibri"/>
          <w:rtl/>
        </w:rPr>
        <w:t>שותפים נוספים ושוקפו משימות</w:t>
      </w:r>
      <w:r w:rsidRPr="00861D72">
        <w:rPr>
          <w:rFonts w:eastAsia="Calibri" w:hint="cs"/>
          <w:rtl/>
        </w:rPr>
        <w:t xml:space="preserve"> נוספות (חלקן משותפות) </w:t>
      </w:r>
      <w:r w:rsidRPr="00861D72">
        <w:rPr>
          <w:rFonts w:eastAsia="Calibri"/>
          <w:rtl/>
        </w:rPr>
        <w:t>בתחו</w:t>
      </w:r>
      <w:r w:rsidRPr="00861D72">
        <w:rPr>
          <w:rFonts w:eastAsia="Calibri" w:hint="cs"/>
          <w:rtl/>
        </w:rPr>
        <w:t>מי</w:t>
      </w:r>
      <w:r w:rsidRPr="00861D72">
        <w:rPr>
          <w:rFonts w:eastAsia="Calibri"/>
          <w:rtl/>
        </w:rPr>
        <w:t xml:space="preserve">ם </w:t>
      </w:r>
      <w:r w:rsidRPr="00861D72">
        <w:rPr>
          <w:rFonts w:eastAsia="Calibri" w:hint="cs"/>
          <w:rtl/>
        </w:rPr>
        <w:t>שונים, ובין היתר בתחום הכלכלי</w:t>
      </w:r>
      <w:r w:rsidRPr="00861D72">
        <w:rPr>
          <w:rFonts w:eastAsia="Calibri"/>
          <w:rtl/>
        </w:rPr>
        <w:t xml:space="preserve">. </w:t>
      </w:r>
      <w:r w:rsidRPr="00861D72">
        <w:rPr>
          <w:rFonts w:eastAsia="Calibri" w:hint="cs"/>
          <w:rtl/>
        </w:rPr>
        <w:t xml:space="preserve">המשרד הוסיף וציין כי </w:t>
      </w:r>
      <w:r w:rsidRPr="00861D72">
        <w:rPr>
          <w:rFonts w:eastAsia="Calibri"/>
          <w:rtl/>
        </w:rPr>
        <w:t>תוצריו והשלכותיו</w:t>
      </w:r>
      <w:r w:rsidRPr="00861D72">
        <w:rPr>
          <w:rFonts w:eastAsia="Calibri" w:hint="cs"/>
          <w:rtl/>
        </w:rPr>
        <w:t xml:space="preserve"> של הפיילוט </w:t>
      </w:r>
      <w:r w:rsidRPr="00861D72">
        <w:rPr>
          <w:rFonts w:eastAsia="Calibri"/>
          <w:rtl/>
        </w:rPr>
        <w:t>יוכלו להיבחן באופן מיטבי בהמשך,</w:t>
      </w:r>
      <w:r w:rsidRPr="00861D72">
        <w:rPr>
          <w:rFonts w:eastAsia="Calibri" w:hint="cs"/>
          <w:rtl/>
        </w:rPr>
        <w:t xml:space="preserve"> </w:t>
      </w:r>
      <w:r w:rsidRPr="00861D72">
        <w:rPr>
          <w:rFonts w:eastAsia="Calibri"/>
          <w:rtl/>
        </w:rPr>
        <w:t>כחלק מתהליך למידה מצטבר</w:t>
      </w:r>
      <w:r w:rsidRPr="00861D72">
        <w:rPr>
          <w:rFonts w:eastAsia="Calibri" w:hint="cs"/>
          <w:rtl/>
        </w:rPr>
        <w:t xml:space="preserve"> והטמעה.</w:t>
      </w:r>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rtl/>
        </w:rPr>
      </w:pPr>
      <w:r w:rsidRPr="00861D72">
        <w:rPr>
          <w:rFonts w:eastAsia="Calibri"/>
          <w:b/>
          <w:bCs/>
          <w:rtl/>
        </w:rPr>
        <w:t xml:space="preserve">מומלץ כי אגף ממשלה וחברה במשרד </w:t>
      </w:r>
      <w:r w:rsidRPr="00861D72">
        <w:rPr>
          <w:rFonts w:eastAsia="Calibri" w:hint="cs"/>
          <w:b/>
          <w:bCs/>
          <w:rtl/>
        </w:rPr>
        <w:t>רה"ם</w:t>
      </w:r>
      <w:r w:rsidRPr="00861D72">
        <w:rPr>
          <w:rFonts w:eastAsia="Calibri"/>
          <w:b/>
          <w:bCs/>
          <w:rtl/>
        </w:rPr>
        <w:t xml:space="preserve"> יבחן את מתכונת הפיילוט ואת אפשרויות פיתוחו, כך שבהמשך הדרך יכלול גם מטרות ומשימות חדשות ומשותפות, אשר יעודדו עבודה משולבת ומחייבת בין המשרדים, מעבר להצגת פעולות קיימות. עוד מומלץ לפעול להגברת החשיפה לפיילוט ולהבטיח כי כלל הגורמים הרלוונטיים </w:t>
      </w:r>
      <w:r w:rsidRPr="00861D72">
        <w:rPr>
          <w:rFonts w:eastAsia="Calibri" w:hint="cs"/>
          <w:b/>
          <w:bCs/>
          <w:rtl/>
        </w:rPr>
        <w:t>בגופי הממשל</w:t>
      </w:r>
      <w:r w:rsidRPr="00861D72">
        <w:rPr>
          <w:rFonts w:eastAsia="Calibri"/>
          <w:b/>
          <w:bCs/>
          <w:rtl/>
        </w:rPr>
        <w:t xml:space="preserve"> יכירו אותו ויבינו את תכליתו, לשם חיזוק המחויבות והמשמעות של שיתוף הפעולה. </w:t>
      </w:r>
      <w:r w:rsidRPr="00861D72">
        <w:rPr>
          <w:rFonts w:eastAsia="Calibri" w:hint="cs"/>
          <w:b/>
          <w:bCs/>
          <w:rtl/>
        </w:rPr>
        <w:t>כמו כן</w:t>
      </w:r>
      <w:r w:rsidRPr="00861D72">
        <w:rPr>
          <w:rFonts w:eastAsia="Calibri"/>
          <w:b/>
          <w:bCs/>
          <w:rtl/>
        </w:rPr>
        <w:t xml:space="preserve">, </w:t>
      </w:r>
      <w:r w:rsidRPr="00861D72">
        <w:rPr>
          <w:rFonts w:eastAsia="Calibri" w:hint="eastAsia"/>
          <w:b/>
          <w:bCs/>
          <w:rtl/>
        </w:rPr>
        <w:t>מומלץ</w:t>
      </w:r>
      <w:r w:rsidRPr="00861D72">
        <w:rPr>
          <w:rFonts w:eastAsia="Calibri" w:hint="cs"/>
          <w:b/>
          <w:bCs/>
          <w:rtl/>
        </w:rPr>
        <w:t xml:space="preserve"> </w:t>
      </w:r>
      <w:r w:rsidRPr="00861D72">
        <w:rPr>
          <w:rFonts w:eastAsia="Calibri"/>
          <w:b/>
          <w:bCs/>
          <w:rtl/>
        </w:rPr>
        <w:t>לקיים מנגנון מעקב שוטף אחר יישום מטרות הפיילוט לאורך השנה, באופן שיאפשר להעריך את התקדמותו, ללמוד מן הניסיון המצטבר ולבצע התאמות נדרשות בהתאם</w:t>
      </w:r>
      <w:r w:rsidRPr="00861D72">
        <w:rPr>
          <w:rFonts w:eastAsia="Calibri"/>
        </w:rPr>
        <w:t>.</w:t>
      </w:r>
      <w:bookmarkEnd w:id="51"/>
    </w:p>
    <w:p w:rsidR="00861D72" w:rsidRPr="00861D72" w:rsidP="00F90255">
      <w:pPr>
        <w:spacing w:line="269" w:lineRule="auto"/>
        <w:rPr>
          <w:rFonts w:eastAsia="Calibri"/>
          <w:rtl/>
        </w:rPr>
      </w:pPr>
    </w:p>
    <w:p w:rsidR="00861D72" w:rsidRPr="00861D72" w:rsidP="00F90255">
      <w:pPr>
        <w:keepNext/>
        <w:keepLines/>
        <w:spacing w:line="269" w:lineRule="auto"/>
        <w:outlineLvl w:val="4"/>
        <w:rPr>
          <w:rFonts w:eastAsia="Times New Roman"/>
          <w:bCs/>
          <w:spacing w:val="40"/>
          <w:rtl/>
        </w:rPr>
      </w:pPr>
      <w:r w:rsidRPr="00861D72">
        <w:rPr>
          <w:rFonts w:eastAsia="Times New Roman" w:hint="cs"/>
          <w:bCs/>
          <w:spacing w:val="40"/>
          <w:rtl/>
        </w:rPr>
        <w:t>פעילות הנעשית במקביל וללא תיאום מערכתי</w:t>
      </w:r>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rtl/>
        </w:rPr>
      </w:pPr>
      <w:r w:rsidRPr="00861D72">
        <w:rPr>
          <w:rFonts w:eastAsia="Calibri" w:hint="cs"/>
          <w:rtl/>
        </w:rPr>
        <w:t xml:space="preserve">למרות המהלכים ליצירת שיתופי פעולה הנעשים במטרה </w:t>
      </w:r>
      <w:r w:rsidRPr="00861D72">
        <w:rPr>
          <w:rFonts w:eastAsia="Calibri"/>
          <w:rtl/>
        </w:rPr>
        <w:t xml:space="preserve">לחזק את התיאום הבין-משרדי ולהגביר את </w:t>
      </w:r>
      <w:r w:rsidRPr="00861D72">
        <w:rPr>
          <w:rFonts w:eastAsia="Calibri" w:hint="cs"/>
          <w:rtl/>
        </w:rPr>
        <w:t>ההשפעות</w:t>
      </w:r>
      <w:r w:rsidRPr="00861D72">
        <w:rPr>
          <w:rFonts w:eastAsia="Calibri"/>
          <w:rtl/>
        </w:rPr>
        <w:t xml:space="preserve"> של הפעולות הממשלתיות</w:t>
      </w:r>
      <w:r w:rsidRPr="00861D72">
        <w:rPr>
          <w:rFonts w:eastAsia="Calibri" w:hint="cs"/>
          <w:rtl/>
        </w:rPr>
        <w:t xml:space="preserve"> בתחום הזקנה, בפועל, ב</w:t>
      </w:r>
      <w:r w:rsidRPr="00861D72">
        <w:rPr>
          <w:rFonts w:eastAsia="Calibri"/>
          <w:rtl/>
        </w:rPr>
        <w:t xml:space="preserve">תחום הזקנה פועלים </w:t>
      </w:r>
      <w:r w:rsidRPr="00861D72">
        <w:rPr>
          <w:rFonts w:eastAsia="Calibri" w:hint="cs"/>
          <w:rtl/>
        </w:rPr>
        <w:t>היום</w:t>
      </w:r>
      <w:r w:rsidRPr="00861D72">
        <w:rPr>
          <w:rFonts w:eastAsia="Calibri"/>
          <w:rtl/>
        </w:rPr>
        <w:t xml:space="preserve"> גופים רבים, הפועלים לעיתים </w:t>
      </w:r>
      <w:r w:rsidRPr="00861D72">
        <w:rPr>
          <w:rFonts w:eastAsia="Calibri" w:hint="cs"/>
          <w:rtl/>
        </w:rPr>
        <w:t>בו זמנית</w:t>
      </w:r>
      <w:r w:rsidRPr="00861D72">
        <w:rPr>
          <w:rFonts w:eastAsia="Calibri"/>
          <w:rtl/>
        </w:rPr>
        <w:t xml:space="preserve"> או בחפיפה, ללא תיאום מערכתי כולל; דבר </w:t>
      </w:r>
      <w:r w:rsidRPr="00861D72">
        <w:rPr>
          <w:rFonts w:eastAsia="Calibri" w:hint="cs"/>
          <w:rtl/>
        </w:rPr>
        <w:t>ה</w:t>
      </w:r>
      <w:r w:rsidRPr="00861D72">
        <w:rPr>
          <w:rFonts w:eastAsia="Calibri"/>
          <w:rtl/>
        </w:rPr>
        <w:t>מוביל לריבוי יוזמות בלתי מתואמות ו</w:t>
      </w:r>
      <w:r w:rsidRPr="00861D72">
        <w:rPr>
          <w:rFonts w:eastAsia="Calibri" w:hint="cs"/>
          <w:rtl/>
        </w:rPr>
        <w:t>ל</w:t>
      </w:r>
      <w:r w:rsidRPr="00861D72">
        <w:rPr>
          <w:rFonts w:eastAsia="Calibri"/>
          <w:rtl/>
        </w:rPr>
        <w:t>פיצול משאבים</w:t>
      </w:r>
      <w:r w:rsidRPr="00861D72">
        <w:rPr>
          <w:rFonts w:eastAsia="Calibri" w:hint="cs"/>
          <w:rtl/>
        </w:rPr>
        <w:t>.</w:t>
      </w:r>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rtl/>
        </w:rPr>
      </w:pPr>
      <w:bookmarkStart w:id="54" w:name="_Hlk231552609"/>
      <w:r w:rsidRPr="00861D72">
        <w:rPr>
          <w:rFonts w:eastAsia="Calibri" w:hint="cs"/>
          <w:rtl/>
        </w:rPr>
        <w:t xml:space="preserve">כך לדוגמה מערכת </w:t>
      </w:r>
      <w:r w:rsidRPr="00861D72">
        <w:rPr>
          <w:rFonts w:eastAsia="Calibri"/>
          <w:rtl/>
        </w:rPr>
        <w:t xml:space="preserve">הסיעוד מפוצלת בין מספר רב של גורמים </w:t>
      </w:r>
      <w:r w:rsidRPr="00861D72">
        <w:rPr>
          <w:rFonts w:eastAsia="Calibri" w:hint="cs"/>
          <w:rtl/>
        </w:rPr>
        <w:t>שאינם</w:t>
      </w:r>
      <w:r w:rsidRPr="00861D72">
        <w:rPr>
          <w:rFonts w:eastAsia="Calibri"/>
          <w:rtl/>
        </w:rPr>
        <w:t xml:space="preserve"> פועלים בתיאום. מקבלי הגמלה</w:t>
      </w:r>
      <w:r w:rsidRPr="00861D72">
        <w:rPr>
          <w:rFonts w:eastAsia="Calibri" w:hint="cs"/>
          <w:rtl/>
        </w:rPr>
        <w:t xml:space="preserve"> נאלצים</w:t>
      </w:r>
      <w:r w:rsidRPr="00861D72">
        <w:rPr>
          <w:rFonts w:eastAsia="Calibri"/>
          <w:rtl/>
        </w:rPr>
        <w:t xml:space="preserve"> להתנהל ולקבל שירותים מגופים שונים </w:t>
      </w:r>
      <w:r w:rsidRPr="00861D72">
        <w:rPr>
          <w:rFonts w:eastAsia="Calibri" w:hint="cs"/>
          <w:rtl/>
        </w:rPr>
        <w:t>(</w:t>
      </w:r>
      <w:r w:rsidRPr="00861D72">
        <w:rPr>
          <w:rFonts w:eastAsia="Calibri" w:hint="cs"/>
          <w:rtl/>
        </w:rPr>
        <w:t>בט"ל</w:t>
      </w:r>
      <w:r w:rsidRPr="00861D72">
        <w:rPr>
          <w:rFonts w:eastAsia="Calibri" w:hint="cs"/>
          <w:rtl/>
        </w:rPr>
        <w:t xml:space="preserve">, </w:t>
      </w:r>
      <w:r w:rsidRPr="00861D72">
        <w:rPr>
          <w:rFonts w:eastAsia="Calibri"/>
          <w:rtl/>
        </w:rPr>
        <w:t>חברות הסיעוד, קופות</w:t>
      </w:r>
      <w:r w:rsidRPr="00861D72">
        <w:rPr>
          <w:rFonts w:eastAsia="Calibri" w:hint="cs"/>
          <w:rtl/>
        </w:rPr>
        <w:t xml:space="preserve"> </w:t>
      </w:r>
      <w:r w:rsidRPr="00861D72">
        <w:rPr>
          <w:rFonts w:eastAsia="Calibri"/>
          <w:rtl/>
        </w:rPr>
        <w:t xml:space="preserve">החולים, </w:t>
      </w:r>
      <w:r w:rsidRPr="00861D72">
        <w:rPr>
          <w:rFonts w:eastAsia="Calibri" w:hint="cs"/>
          <w:rtl/>
        </w:rPr>
        <w:t>ו</w:t>
      </w:r>
      <w:r w:rsidRPr="00861D72">
        <w:rPr>
          <w:rFonts w:eastAsia="Calibri"/>
          <w:rtl/>
        </w:rPr>
        <w:t>מחלקות לשירותים חברתיים</w:t>
      </w:r>
      <w:r w:rsidRPr="00861D72">
        <w:rPr>
          <w:rFonts w:eastAsia="Calibri" w:hint="cs"/>
          <w:rtl/>
        </w:rPr>
        <w:t xml:space="preserve"> ברשויות המקומיות)</w:t>
      </w:r>
      <w:r w:rsidRPr="00861D72">
        <w:rPr>
          <w:rFonts w:eastAsia="Calibri"/>
          <w:rtl/>
        </w:rPr>
        <w:t xml:space="preserve">, </w:t>
      </w:r>
      <w:r w:rsidRPr="00861D72">
        <w:rPr>
          <w:rFonts w:eastAsia="Calibri" w:hint="cs"/>
          <w:rtl/>
        </w:rPr>
        <w:t>דבר ה</w:t>
      </w:r>
      <w:r w:rsidRPr="00861D72">
        <w:rPr>
          <w:rFonts w:eastAsia="Calibri"/>
          <w:rtl/>
        </w:rPr>
        <w:t>עלול ליצור בלבול ופגיעה ברצף הטיפולי ובמיצוי</w:t>
      </w:r>
      <w:r w:rsidRPr="00861D72">
        <w:rPr>
          <w:rFonts w:eastAsia="Calibri" w:hint="cs"/>
          <w:rtl/>
        </w:rPr>
        <w:t xml:space="preserve"> </w:t>
      </w:r>
      <w:r w:rsidRPr="00861D72">
        <w:rPr>
          <w:rFonts w:eastAsia="Calibri"/>
          <w:rtl/>
        </w:rPr>
        <w:t xml:space="preserve">הזכויות. </w:t>
      </w:r>
      <w:r w:rsidRPr="00861D72">
        <w:rPr>
          <w:rFonts w:eastAsia="Calibri" w:hint="cs"/>
          <w:rtl/>
        </w:rPr>
        <w:t>כמו כן, תובעי</w:t>
      </w:r>
      <w:r w:rsidRPr="00861D72">
        <w:rPr>
          <w:rFonts w:eastAsia="Calibri"/>
          <w:rtl/>
        </w:rPr>
        <w:t xml:space="preserve"> גמלת סיעוד</w:t>
      </w:r>
      <w:r w:rsidRPr="00861D72">
        <w:rPr>
          <w:rFonts w:eastAsia="Calibri" w:hint="cs"/>
          <w:rtl/>
        </w:rPr>
        <w:t xml:space="preserve"> שתביעתם נדחתה</w:t>
      </w:r>
      <w:r w:rsidRPr="00861D72">
        <w:rPr>
          <w:rFonts w:eastAsia="Calibri"/>
          <w:rtl/>
        </w:rPr>
        <w:t xml:space="preserve"> עשויים להיות בעלי פוטנציאל גבוה להתאמה לשירותים</w:t>
      </w:r>
      <w:r w:rsidRPr="00861D72">
        <w:rPr>
          <w:rFonts w:eastAsia="Calibri" w:hint="cs"/>
          <w:rtl/>
        </w:rPr>
        <w:t xml:space="preserve"> </w:t>
      </w:r>
      <w:r w:rsidRPr="00861D72">
        <w:rPr>
          <w:rFonts w:eastAsia="Calibri"/>
          <w:rtl/>
        </w:rPr>
        <w:t xml:space="preserve">של מחלקות לשירותים חברתיים או </w:t>
      </w:r>
      <w:r w:rsidRPr="00861D72">
        <w:rPr>
          <w:rFonts w:eastAsia="Calibri" w:hint="cs"/>
          <w:rtl/>
        </w:rPr>
        <w:t xml:space="preserve">של </w:t>
      </w:r>
      <w:r w:rsidRPr="00861D72">
        <w:rPr>
          <w:rFonts w:eastAsia="Calibri"/>
          <w:rtl/>
        </w:rPr>
        <w:t>קופות חולים</w:t>
      </w:r>
      <w:r w:rsidRPr="00861D72">
        <w:rPr>
          <w:rFonts w:eastAsia="Calibri" w:hint="cs"/>
          <w:rtl/>
        </w:rPr>
        <w:t xml:space="preserve"> (</w:t>
      </w:r>
      <w:r w:rsidRPr="00861D72">
        <w:rPr>
          <w:rFonts w:eastAsia="Calibri"/>
          <w:rtl/>
        </w:rPr>
        <w:t>בין השאר, לטובת מניע</w:t>
      </w:r>
      <w:r w:rsidRPr="00861D72">
        <w:rPr>
          <w:rFonts w:eastAsia="Calibri" w:hint="cs"/>
          <w:rtl/>
        </w:rPr>
        <w:t>ה של</w:t>
      </w:r>
      <w:r w:rsidRPr="00861D72">
        <w:rPr>
          <w:rFonts w:eastAsia="Calibri"/>
          <w:rtl/>
        </w:rPr>
        <w:t xml:space="preserve"> הידרדרות</w:t>
      </w:r>
      <w:r w:rsidRPr="00861D72">
        <w:rPr>
          <w:rFonts w:eastAsia="Calibri" w:hint="cs"/>
          <w:rtl/>
        </w:rPr>
        <w:t xml:space="preserve"> </w:t>
      </w:r>
      <w:r w:rsidRPr="00861D72">
        <w:rPr>
          <w:rFonts w:eastAsia="Calibri"/>
          <w:rtl/>
        </w:rPr>
        <w:t>עתידית</w:t>
      </w:r>
      <w:r w:rsidRPr="00861D72">
        <w:rPr>
          <w:rFonts w:eastAsia="Calibri" w:hint="cs"/>
          <w:rtl/>
        </w:rPr>
        <w:t>)</w:t>
      </w:r>
      <w:r w:rsidRPr="00861D72">
        <w:rPr>
          <w:rFonts w:eastAsia="Calibri"/>
          <w:rtl/>
        </w:rPr>
        <w:t>, אך אין מנגנון העברת מידע סדור ומבנה תמריצים המעודד באופן ברור את מעורבותם</w:t>
      </w:r>
      <w:r w:rsidRPr="00861D72">
        <w:rPr>
          <w:rFonts w:eastAsia="Calibri" w:hint="cs"/>
          <w:rtl/>
        </w:rPr>
        <w:t xml:space="preserve"> </w:t>
      </w:r>
      <w:r w:rsidRPr="00861D72">
        <w:rPr>
          <w:rFonts w:eastAsia="Calibri"/>
          <w:rtl/>
        </w:rPr>
        <w:t xml:space="preserve">של גופים אלה </w:t>
      </w:r>
      <w:r w:rsidRPr="00861D72">
        <w:rPr>
          <w:rFonts w:eastAsia="Calibri" w:hint="cs"/>
          <w:rtl/>
        </w:rPr>
        <w:t>לאחר דחיית התביעה</w:t>
      </w:r>
      <w:r>
        <w:rPr>
          <w:rFonts w:eastAsia="Calibri"/>
          <w:vertAlign w:val="superscript"/>
          <w:rtl/>
        </w:rPr>
        <w:footnoteReference w:id="125"/>
      </w:r>
      <w:r w:rsidRPr="00861D72">
        <w:rPr>
          <w:rFonts w:eastAsia="Calibri"/>
          <w:rtl/>
        </w:rPr>
        <w:t>.</w:t>
      </w:r>
      <w:r w:rsidRPr="00861D72">
        <w:rPr>
          <w:rFonts w:eastAsia="Calibri" w:hint="cs"/>
          <w:rtl/>
        </w:rPr>
        <w:t xml:space="preserve"> </w:t>
      </w:r>
    </w:p>
    <w:bookmarkEnd w:id="54"/>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b/>
          <w:bCs/>
          <w:rtl/>
          <w:lang w:eastAsia="he-IL"/>
        </w:rPr>
      </w:pPr>
      <w:bookmarkStart w:id="55" w:name="_Hlk222669925"/>
      <w:bookmarkStart w:id="56" w:name="_Hlk219975166"/>
      <w:r w:rsidRPr="00861D72">
        <w:rPr>
          <w:rFonts w:eastAsia="Calibri"/>
          <w:b/>
          <w:bCs/>
          <w:rtl/>
        </w:rPr>
        <w:t xml:space="preserve">בתחום הזקנה </w:t>
      </w:r>
      <w:r w:rsidRPr="00861D72">
        <w:rPr>
          <w:rFonts w:eastAsia="Calibri" w:hint="eastAsia"/>
          <w:b/>
          <w:bCs/>
          <w:rtl/>
        </w:rPr>
        <w:t>פועלים</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w:t>
      </w:r>
      <w:r w:rsidRPr="00861D72">
        <w:rPr>
          <w:rFonts w:ascii="David" w:eastAsia="Times New Roman" w:hAnsi="David"/>
          <w:b/>
          <w:bCs/>
          <w:sz w:val="24"/>
          <w:rtl/>
          <w:lang w:eastAsia="he-IL"/>
        </w:rPr>
        <w:t xml:space="preserve">יום גופים רבים, </w:t>
      </w:r>
      <w:r w:rsidRPr="00861D72">
        <w:rPr>
          <w:rFonts w:ascii="David" w:eastAsia="Times New Roman" w:hAnsi="David" w:hint="cs"/>
          <w:b/>
          <w:bCs/>
          <w:sz w:val="24"/>
          <w:rtl/>
          <w:lang w:eastAsia="he-IL"/>
        </w:rPr>
        <w:t xml:space="preserve">והם </w:t>
      </w:r>
      <w:r w:rsidRPr="00861D72">
        <w:rPr>
          <w:rFonts w:ascii="David" w:eastAsia="Times New Roman" w:hAnsi="David"/>
          <w:b/>
          <w:bCs/>
          <w:sz w:val="24"/>
          <w:rtl/>
          <w:lang w:eastAsia="he-IL"/>
        </w:rPr>
        <w:t>פועלים לעיתים במקביל או בחפיפה, ללא תיאום מערכתי כולל</w:t>
      </w:r>
      <w:r w:rsidRPr="00861D72">
        <w:rPr>
          <w:rFonts w:ascii="David" w:eastAsia="Times New Roman" w:hAnsi="David" w:hint="cs"/>
          <w:b/>
          <w:bCs/>
          <w:sz w:val="24"/>
          <w:rtl/>
          <w:lang w:eastAsia="he-IL"/>
        </w:rPr>
        <w:t xml:space="preserve">. לצד כפילות בטיפול, התוצאה יכולה להיות </w:t>
      </w:r>
      <w:r w:rsidRPr="00861D72">
        <w:rPr>
          <w:rFonts w:ascii="David" w:eastAsia="Times New Roman" w:hAnsi="David" w:hint="eastAsia"/>
          <w:b/>
          <w:bCs/>
          <w:sz w:val="24"/>
          <w:rtl/>
          <w:lang w:eastAsia="he-IL"/>
        </w:rPr>
        <w:t>גם</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היעדר</w:t>
      </w:r>
      <w:r w:rsidRPr="00861D72">
        <w:rPr>
          <w:rFonts w:ascii="David" w:eastAsia="Times New Roman" w:hAnsi="David"/>
          <w:b/>
          <w:bCs/>
          <w:sz w:val="24"/>
          <w:rtl/>
          <w:lang w:eastAsia="he-IL"/>
        </w:rPr>
        <w:t xml:space="preserve"> טיפול כלל</w:t>
      </w:r>
      <w:r w:rsidRPr="00861D72">
        <w:rPr>
          <w:rFonts w:ascii="David" w:eastAsia="Times New Roman" w:hAnsi="David" w:hint="cs"/>
          <w:b/>
          <w:bCs/>
          <w:sz w:val="24"/>
          <w:rtl/>
          <w:lang w:eastAsia="he-IL"/>
        </w:rPr>
        <w:t xml:space="preserve">. דוגמה בעניין </w:t>
      </w:r>
      <w:bookmarkEnd w:id="55"/>
      <w:r w:rsidRPr="00861D72">
        <w:rPr>
          <w:rFonts w:ascii="David" w:eastAsia="Times New Roman" w:hAnsi="David" w:hint="cs"/>
          <w:b/>
          <w:bCs/>
          <w:sz w:val="24"/>
          <w:rtl/>
          <w:lang w:eastAsia="he-IL"/>
        </w:rPr>
        <w:t>נוגעת ל</w:t>
      </w:r>
      <w:r w:rsidRPr="00861D72">
        <w:rPr>
          <w:rFonts w:eastAsia="Calibri" w:hint="cs"/>
          <w:b/>
          <w:bCs/>
          <w:rtl/>
        </w:rPr>
        <w:t>תובעי</w:t>
      </w:r>
      <w:r w:rsidRPr="00861D72">
        <w:rPr>
          <w:rFonts w:eastAsia="Calibri"/>
          <w:b/>
          <w:bCs/>
          <w:rtl/>
        </w:rPr>
        <w:t xml:space="preserve"> גמלת סיעוד</w:t>
      </w:r>
      <w:r w:rsidRPr="00861D72">
        <w:rPr>
          <w:rFonts w:eastAsia="Calibri" w:hint="cs"/>
          <w:b/>
          <w:bCs/>
          <w:rtl/>
        </w:rPr>
        <w:t xml:space="preserve"> שתביעתם נדחתה, המידע לגביהם אינו מועבר למחלקות לשירותים חברתיים או לקופות החולים, בהן הם יכולים לקבל שירותים שיסייעו להם במניעת הדרדרות.</w:t>
      </w:r>
      <w:r w:rsidRPr="00861D72">
        <w:rPr>
          <w:rFonts w:eastAsia="Calibri" w:hint="cs"/>
          <w:rtl/>
        </w:rPr>
        <w:t xml:space="preserve"> </w:t>
      </w:r>
    </w:p>
    <w:bookmarkEnd w:id="56"/>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rtl/>
          <w:lang w:eastAsia="he-IL"/>
        </w:rPr>
      </w:pPr>
      <w:r w:rsidRPr="00861D72">
        <w:rPr>
          <w:rFonts w:eastAsia="Calibri" w:hint="cs"/>
          <w:rtl/>
          <w:lang w:eastAsia="he-IL"/>
        </w:rPr>
        <w:t>בט"ל</w:t>
      </w:r>
      <w:r w:rsidRPr="00861D72">
        <w:rPr>
          <w:rFonts w:eastAsia="Calibri" w:hint="cs"/>
          <w:rtl/>
          <w:lang w:eastAsia="he-IL"/>
        </w:rPr>
        <w:t xml:space="preserve"> ציין בתשובתו כי בשנת 2024 הוא הקים ביחד עם משרד הבריאות, משרד הרווחה, קופות החולים, הרשויות המקומיות וגורמים נוספים, צוות תפקוד רב-מערכתי למניעת הדרדרות, שמטרתו לייצר שפה אחידה ומדדים מוסכמים וכן על מנת לזהות ולמפות אוכלוסיות בסיכון. כמו כן, הוסיף </w:t>
      </w:r>
      <w:r w:rsidRPr="00861D72">
        <w:rPr>
          <w:rFonts w:eastAsia="Calibri" w:hint="cs"/>
          <w:rtl/>
          <w:lang w:eastAsia="he-IL"/>
        </w:rPr>
        <w:t>בט"ל</w:t>
      </w:r>
      <w:r w:rsidRPr="00861D72">
        <w:rPr>
          <w:rFonts w:eastAsia="Calibri" w:hint="cs"/>
          <w:rtl/>
          <w:lang w:eastAsia="he-IL"/>
        </w:rPr>
        <w:t xml:space="preserve"> כי מתגבש מענה של סל שירותים אישי, שבו האזרח יבחר שירותים מספקי שירות בין-מערכתיים בהתאם לצרכיו.</w:t>
      </w:r>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rtl/>
          <w:lang w:eastAsia="he-IL"/>
        </w:rPr>
      </w:pPr>
      <w:r w:rsidRPr="00861D72">
        <w:rPr>
          <w:rFonts w:ascii="David" w:eastAsia="Calibri" w:hAnsi="David" w:hint="cs"/>
          <w:sz w:val="24"/>
          <w:rtl/>
        </w:rPr>
        <w:t xml:space="preserve">משרד הבריאות ציין בתשובתו, כי </w:t>
      </w:r>
      <w:r w:rsidRPr="00861D72">
        <w:rPr>
          <w:rFonts w:ascii="David" w:eastAsia="Calibri" w:hAnsi="David"/>
          <w:sz w:val="24"/>
          <w:rtl/>
        </w:rPr>
        <w:t xml:space="preserve">בנושא </w:t>
      </w:r>
      <w:r w:rsidRPr="00861D72">
        <w:rPr>
          <w:rFonts w:ascii="David" w:eastAsia="Calibri" w:hAnsi="David" w:hint="cs"/>
          <w:sz w:val="24"/>
          <w:rtl/>
        </w:rPr>
        <w:t xml:space="preserve">שבו מעורבים </w:t>
      </w:r>
      <w:r w:rsidRPr="00861D72">
        <w:rPr>
          <w:rFonts w:ascii="David" w:eastAsia="Calibri" w:hAnsi="David"/>
          <w:sz w:val="24"/>
          <w:rtl/>
        </w:rPr>
        <w:t xml:space="preserve">שותפים רבים </w:t>
      </w:r>
      <w:r w:rsidRPr="00861D72">
        <w:rPr>
          <w:rFonts w:ascii="David" w:eastAsia="Calibri" w:hAnsi="David" w:hint="cs"/>
          <w:sz w:val="24"/>
          <w:rtl/>
        </w:rPr>
        <w:t xml:space="preserve">עם </w:t>
      </w:r>
      <w:r w:rsidRPr="00861D72">
        <w:rPr>
          <w:rFonts w:ascii="David" w:eastAsia="Calibri" w:hAnsi="David"/>
          <w:sz w:val="24"/>
          <w:rtl/>
        </w:rPr>
        <w:t>תחומי אחריות שונים ומשיקים</w:t>
      </w:r>
      <w:r w:rsidRPr="00861D72">
        <w:rPr>
          <w:rFonts w:ascii="David" w:eastAsia="Calibri" w:hAnsi="David" w:hint="cs"/>
          <w:sz w:val="24"/>
          <w:rtl/>
        </w:rPr>
        <w:t xml:space="preserve">, נכון שכל </w:t>
      </w:r>
      <w:r w:rsidRPr="00861D72">
        <w:rPr>
          <w:rFonts w:ascii="David" w:eastAsia="Calibri" w:hAnsi="David"/>
          <w:sz w:val="24"/>
          <w:rtl/>
        </w:rPr>
        <w:t xml:space="preserve">משרד </w:t>
      </w:r>
      <w:r w:rsidRPr="00861D72">
        <w:rPr>
          <w:rFonts w:ascii="David" w:eastAsia="Calibri" w:hAnsi="David" w:hint="cs"/>
          <w:sz w:val="24"/>
          <w:rtl/>
        </w:rPr>
        <w:t xml:space="preserve">יפעל </w:t>
      </w:r>
      <w:r w:rsidRPr="00861D72">
        <w:rPr>
          <w:rFonts w:ascii="David" w:eastAsia="Calibri" w:hAnsi="David"/>
          <w:sz w:val="24"/>
          <w:rtl/>
        </w:rPr>
        <w:t>לקידום הנושא</w:t>
      </w:r>
      <w:r w:rsidRPr="00861D72">
        <w:rPr>
          <w:rFonts w:ascii="David" w:eastAsia="Calibri" w:hAnsi="David" w:hint="cs"/>
          <w:sz w:val="24"/>
          <w:rtl/>
        </w:rPr>
        <w:t xml:space="preserve"> </w:t>
      </w:r>
      <w:r w:rsidRPr="00861D72">
        <w:rPr>
          <w:rFonts w:ascii="David" w:eastAsia="Calibri" w:hAnsi="David"/>
          <w:sz w:val="24"/>
          <w:rtl/>
        </w:rPr>
        <w:t>בתחום אחריותו ו</w:t>
      </w:r>
      <w:r w:rsidRPr="00861D72">
        <w:rPr>
          <w:rFonts w:ascii="David" w:eastAsia="Calibri" w:hAnsi="David" w:hint="cs"/>
          <w:sz w:val="24"/>
          <w:rtl/>
        </w:rPr>
        <w:t>י</w:t>
      </w:r>
      <w:r w:rsidRPr="00861D72">
        <w:rPr>
          <w:rFonts w:ascii="David" w:eastAsia="Calibri" w:hAnsi="David"/>
          <w:sz w:val="24"/>
          <w:rtl/>
        </w:rPr>
        <w:t>כניס את הנושאים לת</w:t>
      </w:r>
      <w:r w:rsidRPr="00861D72">
        <w:rPr>
          <w:rFonts w:ascii="David" w:eastAsia="Calibri" w:hAnsi="David" w:hint="cs"/>
          <w:sz w:val="24"/>
          <w:rtl/>
        </w:rPr>
        <w:t>ו</w:t>
      </w:r>
      <w:r w:rsidRPr="00861D72">
        <w:rPr>
          <w:rFonts w:ascii="David" w:eastAsia="Calibri" w:hAnsi="David"/>
          <w:sz w:val="24"/>
          <w:rtl/>
        </w:rPr>
        <w:t>כנית העבודה שלו.</w:t>
      </w:r>
    </w:p>
    <w:p w:rsidR="00861D72" w:rsidRPr="00861D72" w:rsidP="00F90255">
      <w:pPr>
        <w:spacing w:line="269" w:lineRule="auto"/>
        <w:ind w:left="312"/>
        <w:rPr>
          <w:rFonts w:eastAsia="Calibri"/>
          <w:sz w:val="16"/>
          <w:szCs w:val="20"/>
          <w:rtl/>
        </w:rPr>
      </w:pPr>
    </w:p>
    <w:p w:rsidR="00861D72" w:rsidRPr="00861D72" w:rsidP="00F90255">
      <w:pPr>
        <w:spacing w:line="269" w:lineRule="auto"/>
        <w:rPr>
          <w:rFonts w:eastAsia="Calibri"/>
          <w:b/>
          <w:bCs/>
          <w:rtl/>
          <w:lang w:eastAsia="he-IL"/>
        </w:rPr>
      </w:pPr>
      <w:r w:rsidRPr="00861D72">
        <w:rPr>
          <w:rFonts w:ascii="David" w:eastAsia="Times New Roman" w:hAnsi="David" w:hint="cs"/>
          <w:b/>
          <w:bCs/>
          <w:sz w:val="24"/>
          <w:rtl/>
          <w:lang w:eastAsia="he-IL"/>
        </w:rPr>
        <w:t xml:space="preserve">משרד מבקר המדינה מציין כי צעדים אלו לתיאום ושיתוף פעולה בין גופי הממשל חשובים לטובת שיפור המענה הניתן לאזרחים הוותיקים, וחיזוק התיאום בין הגורמים המטפלים בהם, וזאת נוכח העובדה שחוסר תיאום בין הגורמים המטפלים באזרחים הוותיקים </w:t>
      </w:r>
      <w:r w:rsidRPr="00861D72">
        <w:rPr>
          <w:rFonts w:ascii="David" w:eastAsia="Times New Roman" w:hAnsi="David"/>
          <w:b/>
          <w:bCs/>
          <w:sz w:val="24"/>
          <w:rtl/>
          <w:lang w:eastAsia="he-IL"/>
        </w:rPr>
        <w:t xml:space="preserve">מוביל לריבוי יוזמות בלתי מתואמות </w:t>
      </w:r>
      <w:r w:rsidRPr="00861D72">
        <w:rPr>
          <w:rFonts w:ascii="David" w:eastAsia="Times New Roman" w:hAnsi="David" w:hint="cs"/>
          <w:b/>
          <w:bCs/>
          <w:sz w:val="24"/>
          <w:rtl/>
          <w:lang w:eastAsia="he-IL"/>
        </w:rPr>
        <w:t>ול</w:t>
      </w:r>
      <w:r w:rsidRPr="00861D72">
        <w:rPr>
          <w:rFonts w:ascii="David" w:eastAsia="Times New Roman" w:hAnsi="David"/>
          <w:b/>
          <w:bCs/>
          <w:sz w:val="24"/>
          <w:rtl/>
          <w:lang w:eastAsia="he-IL"/>
        </w:rPr>
        <w:t>פיצול משאבים</w:t>
      </w:r>
      <w:r w:rsidRPr="00861D72">
        <w:rPr>
          <w:rFonts w:ascii="David" w:eastAsia="Times New Roman" w:hAnsi="David" w:hint="cs"/>
          <w:b/>
          <w:bCs/>
          <w:sz w:val="24"/>
          <w:rtl/>
          <w:lang w:eastAsia="he-IL"/>
        </w:rPr>
        <w:t>;</w:t>
      </w:r>
      <w:r w:rsidRPr="00861D72">
        <w:rPr>
          <w:rFonts w:ascii="David" w:eastAsia="Times New Roman" w:hAnsi="David" w:hint="cs"/>
          <w:sz w:val="24"/>
          <w:rtl/>
          <w:lang w:eastAsia="he-IL"/>
        </w:rPr>
        <w:t xml:space="preserve"> </w:t>
      </w:r>
      <w:r w:rsidRPr="00861D72">
        <w:rPr>
          <w:rFonts w:eastAsia="Calibri" w:hint="cs"/>
          <w:b/>
          <w:bCs/>
          <w:rtl/>
        </w:rPr>
        <w:t>ו</w:t>
      </w:r>
      <w:r w:rsidRPr="00861D72">
        <w:rPr>
          <w:rFonts w:eastAsia="Calibri"/>
          <w:b/>
          <w:bCs/>
          <w:rtl/>
        </w:rPr>
        <w:t>חפיפה זו מייצרת שימוש לא מיטבי במשאבים, כפילות באיסוף נתונים, מקשה על קביעת יעדים מדידים ועל אחריותיות</w:t>
      </w:r>
      <w:r w:rsidRPr="00861D72">
        <w:rPr>
          <w:rFonts w:eastAsia="Calibri" w:hint="cs"/>
          <w:b/>
          <w:bCs/>
          <w:rtl/>
        </w:rPr>
        <w:t xml:space="preserve"> </w:t>
      </w:r>
      <w:r w:rsidRPr="00861D72">
        <w:rPr>
          <w:rFonts w:eastAsia="Calibri"/>
          <w:b/>
          <w:bCs/>
          <w:rtl/>
        </w:rPr>
        <w:t xml:space="preserve">ויוצרת קושי בתיאום בין הגופים ובהאחדת מסרים. נוסף על כך, ריבוי </w:t>
      </w:r>
      <w:r w:rsidRPr="00861D72">
        <w:rPr>
          <w:rFonts w:eastAsia="Calibri" w:hint="cs"/>
          <w:b/>
          <w:bCs/>
          <w:rtl/>
        </w:rPr>
        <w:t xml:space="preserve">נותני השירות, </w:t>
      </w:r>
      <w:r w:rsidRPr="00861D72">
        <w:rPr>
          <w:rFonts w:eastAsia="Calibri"/>
          <w:b/>
          <w:bCs/>
          <w:rtl/>
        </w:rPr>
        <w:t xml:space="preserve">עלול לבלבל </w:t>
      </w:r>
      <w:r w:rsidRPr="00861D72">
        <w:rPr>
          <w:rFonts w:eastAsia="Calibri" w:hint="cs"/>
          <w:b/>
          <w:bCs/>
          <w:rtl/>
        </w:rPr>
        <w:t>את האזרחים הוותיקים ואת בני משפחותיהם</w:t>
      </w:r>
      <w:r w:rsidRPr="00861D72">
        <w:rPr>
          <w:rFonts w:eastAsia="Calibri"/>
          <w:b/>
          <w:bCs/>
          <w:rtl/>
        </w:rPr>
        <w:t xml:space="preserve"> בשאלה לאן לפנות ולגרום לפערים בטיפול ולחוסר עקביות במעקב וביישום</w:t>
      </w:r>
      <w:r w:rsidRPr="00861D72">
        <w:rPr>
          <w:rFonts w:eastAsia="Calibri" w:hint="cs"/>
          <w:b/>
          <w:bCs/>
          <w:rtl/>
        </w:rPr>
        <w:t>, ואף להביא לכך שלא יקבלו שירות</w:t>
      </w:r>
      <w:r w:rsidRPr="00861D72">
        <w:rPr>
          <w:rFonts w:eastAsia="Calibri"/>
          <w:b/>
          <w:bCs/>
        </w:rPr>
        <w:t>.</w:t>
      </w:r>
    </w:p>
    <w:p w:rsidR="00861D72" w:rsidRPr="00861D72" w:rsidP="00F90255">
      <w:pPr>
        <w:spacing w:line="269" w:lineRule="auto"/>
        <w:rPr>
          <w:rFonts w:eastAsia="Calibri"/>
          <w:b/>
          <w:bCs/>
          <w:rtl/>
          <w:lang w:eastAsia="he-IL"/>
        </w:rPr>
      </w:pPr>
    </w:p>
    <w:p w:rsidR="00861D72" w:rsidRPr="00861D72" w:rsidP="00F90255">
      <w:pPr>
        <w:keepNext/>
        <w:keepLines/>
        <w:spacing w:line="269" w:lineRule="auto"/>
        <w:outlineLvl w:val="4"/>
        <w:rPr>
          <w:rFonts w:eastAsia="Times New Roman"/>
          <w:bCs/>
          <w:spacing w:val="40"/>
          <w:rtl/>
          <w:lang w:eastAsia="he-IL"/>
        </w:rPr>
      </w:pPr>
      <w:r w:rsidRPr="00861D72">
        <w:rPr>
          <w:rFonts w:eastAsia="Times New Roman" w:hint="cs"/>
          <w:bCs/>
          <w:spacing w:val="40"/>
          <w:rtl/>
          <w:lang w:eastAsia="he-IL"/>
        </w:rPr>
        <w:t>שיתוף פעולה בין הגופים המטפלים בזקנים</w:t>
      </w:r>
    </w:p>
    <w:p w:rsidR="00861D72" w:rsidRPr="00861D72" w:rsidP="00F90255">
      <w:pPr>
        <w:spacing w:line="269" w:lineRule="auto"/>
        <w:ind w:left="312"/>
        <w:rPr>
          <w:rFonts w:eastAsia="Calibri"/>
          <w:sz w:val="16"/>
          <w:szCs w:val="20"/>
          <w:rtl/>
        </w:rPr>
      </w:pPr>
    </w:p>
    <w:p w:rsidR="00861D72" w:rsidRPr="00861D72" w:rsidP="00F90255">
      <w:pPr>
        <w:widowControl w:val="0"/>
        <w:spacing w:line="269" w:lineRule="auto"/>
        <w:rPr>
          <w:rFonts w:ascii="David" w:eastAsia="Times New Roman" w:hAnsi="David"/>
          <w:sz w:val="24"/>
          <w:rtl/>
          <w:lang w:eastAsia="he-IL"/>
        </w:rPr>
      </w:pPr>
      <w:r w:rsidRPr="00861D72">
        <w:rPr>
          <w:rFonts w:ascii="David" w:eastAsia="Times New Roman" w:hAnsi="David" w:hint="cs"/>
          <w:sz w:val="24"/>
          <w:rtl/>
          <w:lang w:eastAsia="he-IL"/>
        </w:rPr>
        <w:t xml:space="preserve">במסגרת </w:t>
      </w:r>
      <w:r w:rsidRPr="00861D72">
        <w:rPr>
          <w:rFonts w:eastAsia="Calibri" w:hint="cs"/>
          <w:sz w:val="24"/>
          <w:rtl/>
        </w:rPr>
        <w:t>הליך המיפוי המובנה</w:t>
      </w:r>
      <w:r w:rsidRPr="00861D72">
        <w:rPr>
          <w:rFonts w:ascii="David" w:eastAsia="Times New Roman" w:hAnsi="David" w:hint="cs"/>
          <w:sz w:val="24"/>
          <w:rtl/>
          <w:lang w:eastAsia="he-IL"/>
        </w:rPr>
        <w:t xml:space="preserve"> מהגופים העוסקים בהזדקנות האוכלוסייה, הם נשאלו באיזו מידה, לדעתם, מתקיים שיתוף פעולה בין הגורמים השונים, והתבקשו לציין את שיתופי הפעולה המרכזיים שלהם. בתרשים שלהלן מוצגות תשובותיהם.</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jc w:val="center"/>
        <w:rPr>
          <w:rFonts w:ascii="David" w:eastAsia="Times New Roman" w:hAnsi="David"/>
          <w:sz w:val="24"/>
          <w:rtl/>
          <w:lang w:eastAsia="he-IL"/>
        </w:rPr>
      </w:pPr>
      <w:r w:rsidRPr="00861D72">
        <w:rPr>
          <w:rFonts w:ascii="David" w:eastAsia="Times New Roman" w:hAnsi="David" w:hint="cs"/>
          <w:sz w:val="24"/>
          <w:rtl/>
          <w:lang w:eastAsia="he-IL"/>
        </w:rPr>
        <w:t xml:space="preserve">תרשים 18: </w:t>
      </w:r>
      <w:r w:rsidRPr="00861D72">
        <w:rPr>
          <w:rFonts w:ascii="David" w:eastAsia="Times New Roman" w:hAnsi="David" w:hint="cs"/>
          <w:b/>
          <w:bCs/>
          <w:sz w:val="24"/>
          <w:rtl/>
          <w:lang w:eastAsia="he-IL"/>
        </w:rPr>
        <w:t>תשובות הגופים העוסקים בהזדקנות האוכלוסייה על מידת שיתוף הפעולה ביניהם</w:t>
      </w:r>
    </w:p>
    <w:p w:rsidR="00861D72" w:rsidRPr="00861D72" w:rsidP="00F90255">
      <w:pPr>
        <w:spacing w:line="269" w:lineRule="auto"/>
        <w:rPr>
          <w:rFonts w:eastAsia="Calibri"/>
          <w:szCs w:val="20"/>
          <w:rtl/>
          <w:lang w:eastAsia="he-IL"/>
        </w:rPr>
      </w:pPr>
      <w:r w:rsidRPr="00861D72">
        <w:rPr>
          <w:rFonts w:eastAsia="Calibri"/>
          <w:noProof/>
          <w:lang w:eastAsia="he-IL"/>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231130" cy="2700655"/>
            <wp:effectExtent l="0" t="0" r="7620" b="4445"/>
            <wp:wrapSquare wrapText="bothSides"/>
            <wp:docPr id="70" name="תמונה 70" descr="במידה מועטה או מועטה מאוד&#10;15%&#10;במידה רבה או רבה מאוד&#10;30%&#10;במידה בינונית&#10;55%&#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700655"/>
                    </a:xfrm>
                    <a:prstGeom prst="rect">
                      <a:avLst/>
                    </a:prstGeom>
                    <a:noFill/>
                  </pic:spPr>
                </pic:pic>
              </a:graphicData>
            </a:graphic>
          </wp:anchor>
        </w:drawing>
      </w:r>
      <w:r w:rsidRPr="00861D72">
        <w:rPr>
          <w:rFonts w:eastAsia="Calibri" w:hint="cs"/>
          <w:szCs w:val="20"/>
          <w:rtl/>
          <w:lang w:eastAsia="he-IL"/>
        </w:rPr>
        <w:t xml:space="preserve">על פי </w:t>
      </w:r>
      <w:r w:rsidRPr="00861D72">
        <w:rPr>
          <w:rFonts w:eastAsia="Calibri"/>
          <w:szCs w:val="20"/>
          <w:rtl/>
          <w:lang w:eastAsia="he-IL"/>
        </w:rPr>
        <w:t>הליך המיפוי המובנה</w:t>
      </w:r>
      <w:r w:rsidRPr="00861D72">
        <w:rPr>
          <w:rFonts w:eastAsia="Calibri" w:hint="cs"/>
          <w:szCs w:val="20"/>
          <w:rtl/>
          <w:lang w:eastAsia="he-IL"/>
        </w:rPr>
        <w:t>.</w:t>
      </w:r>
    </w:p>
    <w:p w:rsidR="00861D72" w:rsidRPr="00861D72" w:rsidP="00F90255">
      <w:pPr>
        <w:spacing w:line="269" w:lineRule="auto"/>
        <w:ind w:left="312"/>
        <w:rPr>
          <w:rFonts w:eastAsia="Calibri"/>
          <w:sz w:val="16"/>
          <w:szCs w:val="20"/>
          <w:rtl/>
        </w:rPr>
      </w:pPr>
    </w:p>
    <w:p w:rsidR="00861D72" w:rsidRPr="00861D72" w:rsidP="00F90255">
      <w:pPr>
        <w:widowControl w:val="0"/>
        <w:spacing w:line="269" w:lineRule="auto"/>
        <w:rPr>
          <w:rFonts w:ascii="David" w:eastAsia="Times New Roman" w:hAnsi="David"/>
          <w:b/>
          <w:bCs/>
          <w:sz w:val="24"/>
          <w:rtl/>
          <w:lang w:eastAsia="he-IL"/>
        </w:rPr>
      </w:pPr>
      <w:r w:rsidRPr="00861D72">
        <w:rPr>
          <w:rFonts w:ascii="David" w:eastAsia="Times New Roman" w:hAnsi="David" w:hint="cs"/>
          <w:b/>
          <w:bCs/>
          <w:sz w:val="24"/>
          <w:rtl/>
          <w:lang w:eastAsia="he-IL"/>
        </w:rPr>
        <w:t xml:space="preserve">מהתרשים עולה כי </w:t>
      </w:r>
      <w:bookmarkStart w:id="57" w:name="_Hlk219975175"/>
      <w:r w:rsidRPr="00861D72">
        <w:rPr>
          <w:rFonts w:ascii="David" w:eastAsia="Times New Roman" w:hAnsi="David" w:hint="cs"/>
          <w:b/>
          <w:bCs/>
          <w:sz w:val="24"/>
          <w:rtl/>
          <w:lang w:eastAsia="he-IL"/>
        </w:rPr>
        <w:t>כ-70% מהמשיבים דיווחו כי מידת שיתוף הפעולה בין הגורמים השונים העוסקים בהזדקנות האוכלוסייה היא בינונית ואף פחות מכך.</w:t>
      </w:r>
    </w:p>
    <w:p w:rsidR="00861D72" w:rsidRPr="00861D72" w:rsidP="00F90255">
      <w:pPr>
        <w:widowControl w:val="0"/>
        <w:spacing w:line="269" w:lineRule="auto"/>
        <w:rPr>
          <w:rFonts w:ascii="David" w:eastAsia="Times New Roman" w:hAnsi="David"/>
          <w:sz w:val="24"/>
          <w:rtl/>
          <w:lang w:eastAsia="he-IL"/>
        </w:rPr>
      </w:pPr>
      <w:bookmarkStart w:id="58" w:name="_Hlk219975184"/>
      <w:bookmarkEnd w:id="57"/>
    </w:p>
    <w:p w:rsidR="00861D72" w:rsidRPr="00861D72" w:rsidP="00F90255">
      <w:pPr>
        <w:spacing w:line="269" w:lineRule="auto"/>
        <w:rPr>
          <w:rFonts w:eastAsia="Calibri"/>
          <w:b/>
          <w:bCs/>
          <w:rtl/>
          <w:lang w:eastAsia="he-IL"/>
        </w:rPr>
      </w:pPr>
      <w:r w:rsidRPr="00861D72">
        <w:rPr>
          <w:rFonts w:eastAsia="Calibri" w:hint="cs"/>
          <w:b/>
          <w:bCs/>
          <w:rtl/>
          <w:lang w:eastAsia="he-IL"/>
        </w:rPr>
        <w:t>המשיבים ב</w:t>
      </w:r>
      <w:r w:rsidRPr="00861D72">
        <w:rPr>
          <w:rFonts w:eastAsia="Calibri"/>
          <w:b/>
          <w:bCs/>
          <w:rtl/>
          <w:lang w:eastAsia="he-IL"/>
        </w:rPr>
        <w:t>הליך המיפוי המובנה</w:t>
      </w:r>
      <w:r w:rsidRPr="00861D72">
        <w:rPr>
          <w:rFonts w:eastAsia="Calibri" w:hint="cs"/>
          <w:b/>
          <w:bCs/>
          <w:rtl/>
          <w:lang w:eastAsia="he-IL"/>
        </w:rPr>
        <w:t xml:space="preserve"> התבקשו לציין את שיתופי הפעולה המרכזיים של משרדם. מתשובותיהם עולה כי משרד הבריאות (צוין 10 פעמים), </w:t>
      </w:r>
      <w:r w:rsidRPr="00861D72">
        <w:rPr>
          <w:rFonts w:eastAsia="Calibri" w:hint="cs"/>
          <w:b/>
          <w:bCs/>
          <w:rtl/>
          <w:lang w:eastAsia="he-IL"/>
        </w:rPr>
        <w:t>בט"ל</w:t>
      </w:r>
      <w:r w:rsidRPr="00861D72">
        <w:rPr>
          <w:rFonts w:eastAsia="Calibri" w:hint="cs"/>
          <w:b/>
          <w:bCs/>
          <w:rtl/>
          <w:lang w:eastAsia="he-IL"/>
        </w:rPr>
        <w:t xml:space="preserve"> (צוין 8 פעמים) ומשרד הרווחה (צוין 6 פעמים) הם השותפים המרכזיים בנושא ההזדקנות; וכי המשרד לשוויון חברתי, האמור </w:t>
      </w:r>
      <w:r w:rsidRPr="00861D72">
        <w:rPr>
          <w:rFonts w:eastAsia="Calibri" w:hint="cs"/>
          <w:b/>
          <w:bCs/>
          <w:rtl/>
          <w:lang w:eastAsia="he-IL"/>
        </w:rPr>
        <w:t>לתכלל</w:t>
      </w:r>
      <w:r w:rsidRPr="00861D72">
        <w:rPr>
          <w:rFonts w:eastAsia="Calibri" w:hint="cs"/>
          <w:b/>
          <w:bCs/>
          <w:rtl/>
          <w:lang w:eastAsia="he-IL"/>
        </w:rPr>
        <w:t xml:space="preserve"> את נושא ההזדקנות, אינו נתפס על ידי הגופים האחרים כשותף מרכזי (צוין פעם אחת). </w:t>
      </w:r>
    </w:p>
    <w:p w:rsidR="00861D72" w:rsidRPr="00861D72" w:rsidP="00F90255">
      <w:pPr>
        <w:spacing w:line="269" w:lineRule="auto"/>
        <w:rPr>
          <w:rFonts w:eastAsia="Calibri"/>
          <w:b/>
          <w:bCs/>
          <w:rtl/>
          <w:lang w:eastAsia="he-IL"/>
        </w:rPr>
      </w:pPr>
      <w:r w:rsidRPr="00861D72">
        <w:rPr>
          <w:rFonts w:eastAsia="Calibri" w:hint="cs"/>
          <w:b/>
          <w:bCs/>
          <w:rtl/>
          <w:lang w:eastAsia="he-IL"/>
        </w:rPr>
        <w:t>ב</w:t>
      </w:r>
      <w:r w:rsidRPr="00861D72">
        <w:rPr>
          <w:rFonts w:eastAsia="Calibri"/>
          <w:b/>
          <w:bCs/>
          <w:rtl/>
          <w:lang w:eastAsia="he-IL"/>
        </w:rPr>
        <w:t>הליך המיפוי המובנה</w:t>
      </w:r>
      <w:r w:rsidRPr="00861D72">
        <w:rPr>
          <w:rFonts w:eastAsia="Calibri" w:hint="cs"/>
          <w:b/>
          <w:bCs/>
          <w:rtl/>
          <w:lang w:eastAsia="he-IL"/>
        </w:rPr>
        <w:t xml:space="preserve"> נשאלו הגופים על החסמים לשיתופי פעולה. החסמים המרכזיים שעלו הם אינטרסים שונים של הגופים ורצון לשליטה של כל משרד, קושי בשיתוף מידע ונתונים, חסרונו של גורם </w:t>
      </w:r>
      <w:r w:rsidRPr="00861D72">
        <w:rPr>
          <w:rFonts w:eastAsia="Calibri" w:hint="cs"/>
          <w:b/>
          <w:bCs/>
          <w:rtl/>
          <w:lang w:eastAsia="he-IL"/>
        </w:rPr>
        <w:t>מתכלל</w:t>
      </w:r>
      <w:r w:rsidRPr="00861D72">
        <w:rPr>
          <w:rFonts w:eastAsia="Calibri" w:hint="cs"/>
          <w:b/>
          <w:bCs/>
          <w:rtl/>
          <w:lang w:eastAsia="he-IL"/>
        </w:rPr>
        <w:t xml:space="preserve"> ושל תקציב מוגדר. חסמים אלו מתכתבים עם המודל לשיתופי פעולה של מדריך השיתוף הממשלתי, שעבודה על פיו אמורה לצמצמם. </w:t>
      </w:r>
    </w:p>
    <w:p w:rsidR="00861D72" w:rsidRPr="00861D72" w:rsidP="00F90255">
      <w:pPr>
        <w:spacing w:line="269" w:lineRule="auto"/>
        <w:rPr>
          <w:rFonts w:eastAsia="Calibri"/>
          <w:b/>
          <w:bCs/>
          <w:rtl/>
          <w:lang w:eastAsia="he-IL"/>
        </w:rPr>
      </w:pPr>
    </w:p>
    <w:bookmarkEnd w:id="58"/>
    <w:p w:rsidR="00861D72" w:rsidRPr="00861D72" w:rsidP="00F90255">
      <w:pPr>
        <w:keepNext/>
        <w:keepLines/>
        <w:spacing w:line="269" w:lineRule="auto"/>
        <w:outlineLvl w:val="4"/>
        <w:rPr>
          <w:rFonts w:eastAsia="Times New Roman"/>
          <w:bCs/>
          <w:spacing w:val="40"/>
          <w:rtl/>
          <w:lang w:eastAsia="he-IL"/>
        </w:rPr>
      </w:pPr>
      <w:r w:rsidRPr="00861D72">
        <w:rPr>
          <w:rFonts w:eastAsia="Times New Roman" w:hint="cs"/>
          <w:bCs/>
          <w:spacing w:val="40"/>
          <w:rtl/>
          <w:lang w:eastAsia="he-IL"/>
        </w:rPr>
        <w:t>תקציב ייעודי לסוגיית הזדקנות האוכלוסייה</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ascii="David" w:eastAsia="Times New Roman" w:hAnsi="David"/>
          <w:b/>
          <w:bCs/>
          <w:sz w:val="24"/>
          <w:rtl/>
          <w:lang w:eastAsia="he-IL"/>
        </w:rPr>
      </w:pPr>
      <w:bookmarkStart w:id="59" w:name="_Hlk222219608"/>
      <w:r w:rsidRPr="00861D72">
        <w:rPr>
          <w:rFonts w:ascii="David" w:eastAsia="Times New Roman" w:hAnsi="David" w:hint="cs"/>
          <w:b/>
          <w:bCs/>
          <w:sz w:val="24"/>
          <w:rtl/>
          <w:lang w:eastAsia="he-IL"/>
        </w:rPr>
        <w:t xml:space="preserve">בביקורת עלה כי בתקציבי המשרדים השונים קיימים תקציבים המוקצים לטיפול בזקנים באותם התחומים. </w:t>
      </w:r>
      <w:r w:rsidRPr="00861D72">
        <w:rPr>
          <w:rFonts w:ascii="David" w:eastAsia="Times New Roman" w:hAnsi="David" w:hint="eastAsia"/>
          <w:b/>
          <w:bCs/>
          <w:sz w:val="24"/>
          <w:rtl/>
          <w:lang w:eastAsia="he-IL"/>
        </w:rPr>
        <w:t>כך</w:t>
      </w:r>
      <w:r w:rsidRPr="00861D72">
        <w:rPr>
          <w:rFonts w:ascii="David" w:eastAsia="Times New Roman" w:hAnsi="David"/>
          <w:b/>
          <w:bCs/>
          <w:sz w:val="24"/>
          <w:rtl/>
          <w:lang w:eastAsia="he-IL"/>
        </w:rPr>
        <w:t xml:space="preserve"> </w:t>
      </w:r>
      <w:r w:rsidRPr="00861D72">
        <w:rPr>
          <w:rFonts w:ascii="David" w:eastAsia="Times New Roman" w:hAnsi="David" w:hint="eastAsia"/>
          <w:b/>
          <w:bCs/>
          <w:sz w:val="24"/>
          <w:rtl/>
          <w:lang w:eastAsia="he-IL"/>
        </w:rPr>
        <w:t>לדוגמה</w:t>
      </w:r>
      <w:r w:rsidRPr="00861D72">
        <w:rPr>
          <w:rFonts w:ascii="David" w:eastAsia="Times New Roman" w:hAnsi="David"/>
          <w:b/>
          <w:bCs/>
          <w:sz w:val="24"/>
          <w:rtl/>
          <w:lang w:eastAsia="he-IL"/>
        </w:rPr>
        <w:t xml:space="preserve"> משרד הרווחה</w:t>
      </w:r>
      <w:r w:rsidRPr="00861D72">
        <w:rPr>
          <w:rFonts w:ascii="David" w:eastAsia="Times New Roman" w:hAnsi="David" w:hint="cs"/>
          <w:b/>
          <w:bCs/>
          <w:sz w:val="24"/>
          <w:rtl/>
          <w:lang w:eastAsia="he-IL"/>
        </w:rPr>
        <w:t xml:space="preserve"> הקצה בשנת 2023, כ-250,000 ש"ח לתוכנית שמטרתה הפגת בדידות בקרב ניצולי שואה</w:t>
      </w:r>
      <w:r>
        <w:rPr>
          <w:rFonts w:ascii="David" w:eastAsia="Times New Roman" w:hAnsi="David"/>
          <w:b/>
          <w:bCs/>
          <w:sz w:val="24"/>
          <w:vertAlign w:val="superscript"/>
          <w:rtl/>
          <w:lang w:eastAsia="he-IL"/>
        </w:rPr>
        <w:footnoteReference w:id="126"/>
      </w:r>
      <w:r w:rsidRPr="00861D72">
        <w:rPr>
          <w:rFonts w:ascii="David" w:eastAsia="Times New Roman" w:hAnsi="David"/>
          <w:b/>
          <w:bCs/>
          <w:sz w:val="24"/>
          <w:rtl/>
          <w:lang w:eastAsia="he-IL"/>
        </w:rPr>
        <w:t xml:space="preserve"> ו</w:t>
      </w:r>
      <w:r w:rsidRPr="00861D72">
        <w:rPr>
          <w:rFonts w:ascii="David" w:eastAsia="Times New Roman" w:hAnsi="David" w:hint="cs"/>
          <w:b/>
          <w:bCs/>
          <w:sz w:val="24"/>
          <w:rtl/>
          <w:lang w:eastAsia="he-IL"/>
        </w:rPr>
        <w:t>ה</w:t>
      </w:r>
      <w:r w:rsidRPr="00861D72">
        <w:rPr>
          <w:rFonts w:ascii="David" w:eastAsia="Times New Roman" w:hAnsi="David"/>
          <w:b/>
          <w:bCs/>
          <w:sz w:val="24"/>
          <w:rtl/>
          <w:lang w:eastAsia="he-IL"/>
        </w:rPr>
        <w:t>משרד לשוויון חברתי</w:t>
      </w:r>
      <w:r>
        <w:rPr>
          <w:rFonts w:ascii="David" w:eastAsia="Times New Roman" w:hAnsi="David"/>
          <w:b/>
          <w:bCs/>
          <w:sz w:val="24"/>
          <w:vertAlign w:val="superscript"/>
          <w:rtl/>
          <w:lang w:eastAsia="he-IL"/>
        </w:rPr>
        <w:footnoteReference w:id="127"/>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הקצה</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 xml:space="preserve">בשנת 2024 סכום שנע בין 60,000 </w:t>
      </w:r>
      <w:r w:rsidRPr="00861D72">
        <w:rPr>
          <w:rFonts w:ascii="David" w:eastAsia="Times New Roman" w:hAnsi="David" w:hint="eastAsia"/>
          <w:b/>
          <w:bCs/>
          <w:sz w:val="24"/>
          <w:rtl/>
          <w:lang w:eastAsia="he-IL"/>
        </w:rPr>
        <w:t>ש</w:t>
      </w:r>
      <w:r w:rsidRPr="00861D72">
        <w:rPr>
          <w:rFonts w:ascii="David" w:eastAsia="Times New Roman" w:hAnsi="David"/>
          <w:b/>
          <w:bCs/>
          <w:sz w:val="24"/>
          <w:rtl/>
          <w:lang w:eastAsia="he-IL"/>
        </w:rPr>
        <w:t>"ח</w:t>
      </w:r>
      <w:r w:rsidRPr="00861D72">
        <w:rPr>
          <w:rFonts w:ascii="David" w:eastAsia="Times New Roman" w:hAnsi="David" w:hint="cs"/>
          <w:b/>
          <w:bCs/>
          <w:sz w:val="24"/>
          <w:rtl/>
          <w:lang w:eastAsia="he-IL"/>
        </w:rPr>
        <w:t xml:space="preserve"> ל-180,000 </w:t>
      </w:r>
      <w:r w:rsidRPr="00861D72">
        <w:rPr>
          <w:rFonts w:ascii="David" w:eastAsia="Times New Roman" w:hAnsi="David" w:hint="eastAsia"/>
          <w:b/>
          <w:bCs/>
          <w:sz w:val="24"/>
          <w:rtl/>
          <w:lang w:eastAsia="he-IL"/>
        </w:rPr>
        <w:t>ש</w:t>
      </w:r>
      <w:r w:rsidRPr="00861D72">
        <w:rPr>
          <w:rFonts w:ascii="David" w:eastAsia="Times New Roman" w:hAnsi="David"/>
          <w:b/>
          <w:bCs/>
          <w:sz w:val="24"/>
          <w:rtl/>
          <w:lang w:eastAsia="he-IL"/>
        </w:rPr>
        <w:t>"ח</w:t>
      </w:r>
      <w:r w:rsidRPr="00861D72">
        <w:rPr>
          <w:rFonts w:ascii="David" w:eastAsia="Times New Roman" w:hAnsi="David" w:hint="cs"/>
          <w:b/>
          <w:bCs/>
          <w:sz w:val="24"/>
          <w:rtl/>
          <w:lang w:eastAsia="he-IL"/>
        </w:rPr>
        <w:t xml:space="preserve"> לכל רשות מקומית שהשתתפה בתוכניות שמטרתה</w:t>
      </w:r>
      <w:r w:rsidRPr="00861D72">
        <w:rPr>
          <w:rFonts w:ascii="David" w:eastAsia="Times New Roman" w:hAnsi="David"/>
          <w:b/>
          <w:bCs/>
          <w:sz w:val="24"/>
          <w:rtl/>
          <w:lang w:eastAsia="he-IL"/>
        </w:rPr>
        <w:t xml:space="preserve"> הפגת בדידות וחיזוק החוסן של אוכלוסיית האזרחים הוותיקים</w:t>
      </w:r>
      <w:r w:rsidRPr="00861D72">
        <w:rPr>
          <w:rFonts w:ascii="David" w:eastAsia="Times New Roman" w:hAnsi="David" w:hint="cs"/>
          <w:b/>
          <w:bCs/>
          <w:sz w:val="24"/>
          <w:rtl/>
          <w:lang w:eastAsia="he-IL"/>
        </w:rPr>
        <w:t xml:space="preserve"> (ל</w:t>
      </w:r>
      <w:r w:rsidRPr="00861D72">
        <w:rPr>
          <w:rFonts w:ascii="David" w:eastAsia="Times New Roman" w:hAnsi="David"/>
          <w:b/>
          <w:bCs/>
          <w:sz w:val="24"/>
          <w:rtl/>
          <w:lang w:eastAsia="he-IL"/>
        </w:rPr>
        <w:t>איגוד ערים אשכול רשויות גליל והע</w:t>
      </w:r>
      <w:r w:rsidRPr="00861D72">
        <w:rPr>
          <w:rFonts w:ascii="David" w:eastAsia="Times New Roman" w:hAnsi="David" w:hint="cs"/>
          <w:b/>
          <w:bCs/>
          <w:sz w:val="24"/>
          <w:rtl/>
          <w:lang w:eastAsia="he-IL"/>
        </w:rPr>
        <w:t xml:space="preserve">מקים הקצה המשרד יותר מ-340,000 ש"ח). </w:t>
      </w:r>
      <w:bookmarkStart w:id="60" w:name="_Hlk220502326"/>
      <w:r w:rsidRPr="00861D72">
        <w:rPr>
          <w:rFonts w:ascii="David" w:eastAsia="Times New Roman" w:hAnsi="David"/>
          <w:b/>
          <w:bCs/>
          <w:sz w:val="24"/>
          <w:rtl/>
          <w:lang w:eastAsia="he-IL"/>
        </w:rPr>
        <w:t xml:space="preserve">ואולם </w:t>
      </w:r>
      <w:r w:rsidRPr="00861D72">
        <w:rPr>
          <w:rFonts w:ascii="David" w:eastAsia="Times New Roman" w:hAnsi="David" w:hint="eastAsia"/>
          <w:b/>
          <w:bCs/>
          <w:sz w:val="24"/>
          <w:rtl/>
          <w:lang w:eastAsia="he-IL"/>
        </w:rPr>
        <w:t>אין</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w:t>
      </w:r>
      <w:r w:rsidRPr="00861D72">
        <w:rPr>
          <w:rFonts w:ascii="David" w:eastAsia="Times New Roman" w:hAnsi="David"/>
          <w:b/>
          <w:bCs/>
          <w:sz w:val="24"/>
          <w:rtl/>
          <w:lang w:eastAsia="he-IL"/>
        </w:rPr>
        <w:t xml:space="preserve">יום </w:t>
      </w:r>
      <w:r w:rsidRPr="00861D72">
        <w:rPr>
          <w:rFonts w:ascii="David" w:eastAsia="Times New Roman" w:hAnsi="David" w:hint="eastAsia"/>
          <w:b/>
          <w:bCs/>
          <w:sz w:val="24"/>
          <w:rtl/>
          <w:lang w:eastAsia="he-IL"/>
        </w:rPr>
        <w:t>תקציב</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מאוחד של כל המשרדים הרלוונטיים המיועד</w:t>
      </w:r>
      <w:r w:rsidRPr="00861D72">
        <w:rPr>
          <w:rFonts w:ascii="David" w:eastAsia="Times New Roman" w:hAnsi="David"/>
          <w:b/>
          <w:bCs/>
          <w:sz w:val="24"/>
          <w:rtl/>
          <w:lang w:eastAsia="he-IL"/>
        </w:rPr>
        <w:t xml:space="preserve"> </w:t>
      </w:r>
      <w:r w:rsidRPr="00861D72">
        <w:rPr>
          <w:rFonts w:ascii="David" w:eastAsia="Times New Roman" w:hAnsi="David" w:hint="eastAsia"/>
          <w:b/>
          <w:bCs/>
          <w:sz w:val="24"/>
          <w:rtl/>
          <w:lang w:eastAsia="he-IL"/>
        </w:rPr>
        <w:t>לטיפול</w:t>
      </w:r>
      <w:r w:rsidRPr="00861D72">
        <w:rPr>
          <w:rFonts w:ascii="David" w:eastAsia="Times New Roman" w:hAnsi="David"/>
          <w:b/>
          <w:bCs/>
          <w:sz w:val="24"/>
          <w:rtl/>
          <w:lang w:eastAsia="he-IL"/>
        </w:rPr>
        <w:t xml:space="preserve"> </w:t>
      </w:r>
      <w:r w:rsidRPr="00861D72">
        <w:rPr>
          <w:rFonts w:ascii="David" w:eastAsia="Times New Roman" w:hAnsi="David" w:hint="eastAsia"/>
          <w:b/>
          <w:bCs/>
          <w:sz w:val="24"/>
          <w:rtl/>
          <w:lang w:eastAsia="he-IL"/>
        </w:rPr>
        <w:t>בסוגיית</w:t>
      </w:r>
      <w:r w:rsidRPr="00861D72">
        <w:rPr>
          <w:rFonts w:ascii="David" w:eastAsia="Times New Roman" w:hAnsi="David"/>
          <w:b/>
          <w:bCs/>
          <w:sz w:val="24"/>
          <w:rtl/>
          <w:lang w:eastAsia="he-IL"/>
        </w:rPr>
        <w:t xml:space="preserve"> </w:t>
      </w:r>
      <w:r w:rsidRPr="00861D72">
        <w:rPr>
          <w:rFonts w:ascii="David" w:eastAsia="Times New Roman" w:hAnsi="David" w:hint="eastAsia"/>
          <w:b/>
          <w:bCs/>
          <w:sz w:val="24"/>
          <w:rtl/>
          <w:lang w:eastAsia="he-IL"/>
        </w:rPr>
        <w:t>ההזדקנות</w:t>
      </w:r>
      <w:bookmarkEnd w:id="60"/>
      <w:r w:rsidRPr="00861D72">
        <w:rPr>
          <w:rFonts w:ascii="David" w:eastAsia="Times New Roman" w:hAnsi="David" w:hint="cs"/>
          <w:b/>
          <w:bCs/>
          <w:sz w:val="24"/>
          <w:rtl/>
          <w:lang w:eastAsia="he-IL"/>
        </w:rPr>
        <w:t xml:space="preserve">, </w:t>
      </w:r>
      <w:r w:rsidRPr="00861D72">
        <w:rPr>
          <w:rFonts w:ascii="David" w:eastAsia="Times New Roman" w:hAnsi="David"/>
          <w:b/>
          <w:bCs/>
          <w:sz w:val="24"/>
          <w:rtl/>
          <w:lang w:eastAsia="he-IL"/>
        </w:rPr>
        <w:t>דבר המקשה על טיפול מערכתי ומקיף</w:t>
      </w:r>
      <w:r w:rsidRPr="00861D72">
        <w:rPr>
          <w:rFonts w:ascii="David" w:eastAsia="Times New Roman" w:hAnsi="David" w:hint="cs"/>
          <w:b/>
          <w:bCs/>
          <w:sz w:val="24"/>
          <w:rtl/>
          <w:lang w:eastAsia="he-IL"/>
        </w:rPr>
        <w:t>.</w:t>
      </w:r>
    </w:p>
    <w:bookmarkEnd w:id="59"/>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ascii="David" w:eastAsia="Times New Roman" w:hAnsi="David"/>
          <w:b/>
          <w:bCs/>
          <w:sz w:val="24"/>
          <w:rtl/>
          <w:lang w:eastAsia="he-IL"/>
        </w:rPr>
      </w:pPr>
      <w:r w:rsidRPr="00861D72">
        <w:rPr>
          <w:rFonts w:ascii="David" w:eastAsia="Times New Roman" w:hAnsi="David" w:hint="cs"/>
          <w:b/>
          <w:bCs/>
          <w:sz w:val="24"/>
          <w:rtl/>
          <w:lang w:eastAsia="he-IL"/>
        </w:rPr>
        <w:t>היעדר תקציב מאוחד וייעודי של גופי הממשל להיערכות להזדקנות האוכלוסייה מקשה על</w:t>
      </w:r>
      <w:r w:rsidRPr="00861D72">
        <w:rPr>
          <w:rFonts w:ascii="David" w:eastAsia="Times New Roman" w:hAnsi="David"/>
          <w:b/>
          <w:bCs/>
          <w:sz w:val="24"/>
          <w:rtl/>
          <w:lang w:eastAsia="he-IL"/>
        </w:rPr>
        <w:t xml:space="preserve"> טיפול מערכתי ומקיף</w:t>
      </w:r>
      <w:r w:rsidRPr="00861D72">
        <w:rPr>
          <w:rFonts w:ascii="David" w:eastAsia="Times New Roman" w:hAnsi="David" w:hint="cs"/>
          <w:b/>
          <w:bCs/>
          <w:sz w:val="24"/>
          <w:rtl/>
          <w:lang w:eastAsia="he-IL"/>
        </w:rPr>
        <w:t xml:space="preserve">, במיוחד </w:t>
      </w:r>
      <w:r w:rsidRPr="00861D72">
        <w:rPr>
          <w:rFonts w:ascii="David" w:eastAsia="Times New Roman" w:hAnsi="David"/>
          <w:b/>
          <w:bCs/>
          <w:sz w:val="24"/>
          <w:rtl/>
          <w:lang w:eastAsia="he-IL"/>
        </w:rPr>
        <w:t>בסוגיות חוצות</w:t>
      </w:r>
      <w:r w:rsidRPr="00861D72">
        <w:rPr>
          <w:rFonts w:ascii="David" w:eastAsia="Times New Roman" w:hAnsi="David" w:hint="cs"/>
          <w:b/>
          <w:bCs/>
          <w:sz w:val="24"/>
          <w:rtl/>
          <w:lang w:eastAsia="he-IL"/>
        </w:rPr>
        <w:t xml:space="preserve"> </w:t>
      </w:r>
      <w:r w:rsidRPr="00861D72">
        <w:rPr>
          <w:rFonts w:ascii="David" w:eastAsia="Times New Roman" w:hAnsi="David"/>
          <w:b/>
          <w:bCs/>
          <w:sz w:val="24"/>
          <w:rtl/>
          <w:lang w:eastAsia="he-IL"/>
        </w:rPr>
        <w:t xml:space="preserve">תחום, כדוגמת בדידות בקרב </w:t>
      </w:r>
      <w:r w:rsidRPr="00861D72">
        <w:rPr>
          <w:rFonts w:ascii="David" w:eastAsia="Times New Roman" w:hAnsi="David" w:hint="cs"/>
          <w:b/>
          <w:bCs/>
          <w:sz w:val="24"/>
          <w:rtl/>
          <w:lang w:eastAsia="he-IL"/>
        </w:rPr>
        <w:t>זקנים</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w:t>
      </w:r>
      <w:r w:rsidRPr="00861D72">
        <w:rPr>
          <w:rFonts w:ascii="David" w:eastAsia="Times New Roman" w:hAnsi="David"/>
          <w:b/>
          <w:bCs/>
          <w:sz w:val="24"/>
          <w:rtl/>
          <w:lang w:eastAsia="he-IL"/>
        </w:rPr>
        <w:t xml:space="preserve">נוגעת בו זמנית לרווחה ולבריאות.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eastAsia="Calibri"/>
          <w:rtl/>
          <w:lang w:eastAsia="he-IL"/>
        </w:rPr>
      </w:pPr>
      <w:r w:rsidRPr="00861D72">
        <w:rPr>
          <w:rFonts w:eastAsia="Calibri" w:hint="cs"/>
          <w:rtl/>
          <w:lang w:eastAsia="he-IL"/>
        </w:rPr>
        <w:t xml:space="preserve">אגף התקציבים במשרד האוצר ציין בתשובתו כי </w:t>
      </w:r>
      <w:r w:rsidRPr="00861D72">
        <w:rPr>
          <w:rFonts w:eastAsia="Calibri"/>
          <w:rtl/>
          <w:lang w:eastAsia="he-IL"/>
        </w:rPr>
        <w:t>כיום מוקצים תקציבים רבים עבור משרדי</w:t>
      </w:r>
      <w:r w:rsidRPr="00861D72">
        <w:rPr>
          <w:rFonts w:eastAsia="Calibri" w:hint="cs"/>
          <w:rtl/>
          <w:lang w:eastAsia="he-IL"/>
        </w:rPr>
        <w:t xml:space="preserve"> </w:t>
      </w:r>
      <w:r w:rsidRPr="00861D72">
        <w:rPr>
          <w:rFonts w:eastAsia="Calibri"/>
          <w:rtl/>
          <w:lang w:eastAsia="he-IL"/>
        </w:rPr>
        <w:t xml:space="preserve">הממשלה הרלוונטיים </w:t>
      </w:r>
      <w:r w:rsidRPr="00861D72">
        <w:rPr>
          <w:rFonts w:eastAsia="Calibri" w:hint="cs"/>
          <w:rtl/>
          <w:lang w:eastAsia="he-IL"/>
        </w:rPr>
        <w:t>לטיפול</w:t>
      </w:r>
      <w:r w:rsidRPr="00861D72">
        <w:rPr>
          <w:rFonts w:eastAsia="Calibri"/>
          <w:rtl/>
          <w:lang w:eastAsia="he-IL"/>
        </w:rPr>
        <w:t xml:space="preserve"> בנושא</w:t>
      </w:r>
      <w:r w:rsidRPr="00861D72">
        <w:rPr>
          <w:rFonts w:eastAsia="Calibri" w:hint="cs"/>
          <w:rtl/>
          <w:lang w:eastAsia="he-IL"/>
        </w:rPr>
        <w:t xml:space="preserve"> הזדקנות האוכלוסייה, וכי </w:t>
      </w:r>
      <w:r w:rsidRPr="00861D72">
        <w:rPr>
          <w:rFonts w:eastAsia="Calibri"/>
          <w:rtl/>
          <w:lang w:eastAsia="he-IL"/>
        </w:rPr>
        <w:t>נדרשת הקצאה נכונה של</w:t>
      </w:r>
      <w:r w:rsidRPr="00861D72">
        <w:rPr>
          <w:rFonts w:eastAsia="Calibri" w:hint="cs"/>
          <w:rtl/>
          <w:lang w:eastAsia="he-IL"/>
        </w:rPr>
        <w:t xml:space="preserve"> </w:t>
      </w:r>
      <w:r w:rsidRPr="00861D72">
        <w:rPr>
          <w:rFonts w:eastAsia="Calibri"/>
          <w:rtl/>
          <w:lang w:eastAsia="he-IL"/>
        </w:rPr>
        <w:t xml:space="preserve">המשאבים הקיימים </w:t>
      </w:r>
      <w:r w:rsidRPr="00861D72">
        <w:rPr>
          <w:rFonts w:eastAsia="Calibri" w:hint="cs"/>
          <w:rtl/>
          <w:lang w:eastAsia="he-IL"/>
        </w:rPr>
        <w:t>כדי</w:t>
      </w:r>
      <w:r w:rsidRPr="00861D72">
        <w:rPr>
          <w:rFonts w:eastAsia="Calibri"/>
          <w:rtl/>
          <w:lang w:eastAsia="he-IL"/>
        </w:rPr>
        <w:t xml:space="preserve"> להגיע להישגים הנדרשים. התנהלות נכונה בהקצאת המשאבים</w:t>
      </w:r>
      <w:r w:rsidRPr="00861D72">
        <w:rPr>
          <w:rFonts w:eastAsia="Calibri" w:hint="cs"/>
          <w:rtl/>
          <w:lang w:eastAsia="he-IL"/>
        </w:rPr>
        <w:t xml:space="preserve"> </w:t>
      </w:r>
      <w:r w:rsidRPr="00861D72">
        <w:rPr>
          <w:rFonts w:ascii="David" w:eastAsia="Times New Roman" w:hAnsi="David"/>
          <w:sz w:val="24"/>
          <w:rtl/>
          <w:lang w:eastAsia="he-IL"/>
        </w:rPr>
        <w:t>הקיימים</w:t>
      </w:r>
      <w:r w:rsidRPr="00861D72">
        <w:rPr>
          <w:rFonts w:eastAsia="Calibri"/>
          <w:rtl/>
          <w:lang w:eastAsia="he-IL"/>
        </w:rPr>
        <w:t xml:space="preserve"> יכולה להביא לתוצאות הנדרשות עבור המוכנות של המדינה לשינוי הדמוגרפי הצפוי.</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eastAsia="Calibri"/>
          <w:b/>
          <w:bCs/>
          <w:rtl/>
          <w:lang w:eastAsia="he-IL"/>
        </w:rPr>
      </w:pPr>
      <w:r w:rsidRPr="00861D72">
        <w:rPr>
          <w:rFonts w:eastAsia="Calibri" w:hint="cs"/>
          <w:b/>
          <w:bCs/>
          <w:rtl/>
          <w:lang w:eastAsia="he-IL"/>
        </w:rPr>
        <w:t xml:space="preserve">משרד מבקר המדינה מציין כי אחד הפתרונות לסוגיה זו, כפי שיורחב בהמשך, הינו </w:t>
      </w:r>
      <w:r w:rsidRPr="00861D72">
        <w:rPr>
          <w:rFonts w:eastAsia="Calibri" w:hint="cs"/>
          <w:b/>
          <w:bCs/>
          <w:rtl/>
          <w:lang w:eastAsia="he-IL"/>
        </w:rPr>
        <w:t>תוכנית</w:t>
      </w:r>
      <w:r w:rsidRPr="00861D72">
        <w:rPr>
          <w:rFonts w:eastAsia="Calibri" w:hint="cs"/>
          <w:b/>
          <w:bCs/>
          <w:rtl/>
          <w:lang w:eastAsia="he-IL"/>
        </w:rPr>
        <w:t xml:space="preserve"> רב שנתית להיערכות להזדקנות האוכלוסייה שבמסגרתה ייקבע תקציב ייעודי לנושא וחלקו של כל משרד בתקציב.</w:t>
      </w:r>
    </w:p>
    <w:p w:rsidR="00861D72" w:rsidRPr="00861D72" w:rsidP="00F90255">
      <w:pPr>
        <w:widowControl w:val="0"/>
        <w:spacing w:line="269" w:lineRule="auto"/>
        <w:jc w:val="center"/>
        <w:rPr>
          <w:rFonts w:ascii="Arial" w:eastAsia="Calibri" w:hAnsi="Arial" w:cs="Arial"/>
          <w:b/>
          <w:bCs/>
          <w:sz w:val="36"/>
          <w:rtl/>
          <w:lang w:eastAsia="he-IL"/>
        </w:rPr>
      </w:pPr>
      <w:r w:rsidRPr="00861D72">
        <w:rPr>
          <w:rFonts w:ascii="Segoe UI Symbol" w:eastAsia="Calibri" w:hAnsi="Segoe UI Symbol" w:cs="Segoe UI Symbol" w:hint="cs"/>
          <w:b/>
          <w:bCs/>
          <w:sz w:val="36"/>
          <w:rtl/>
          <w:lang w:eastAsia="he-I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szCs w:val="20"/>
          <w:rtl/>
        </w:rPr>
      </w:pPr>
      <w:r w:rsidRPr="00861D72">
        <w:rPr>
          <w:rFonts w:eastAsia="Calibri" w:hint="cs"/>
          <w:b/>
          <w:bCs/>
          <w:rtl/>
          <w:lang w:eastAsia="he-IL"/>
        </w:rPr>
        <w:t xml:space="preserve">שיתופי פעולה בין משרדים ממשלתיים הנעשים כראוי מייצרים ערך ציבורי וניצול יעיל יותר של משאבים. </w:t>
      </w:r>
      <w:r w:rsidRPr="00861D72">
        <w:rPr>
          <w:rFonts w:eastAsia="Calibri"/>
          <w:b/>
          <w:bCs/>
          <w:rtl/>
          <w:lang w:eastAsia="he-IL"/>
        </w:rPr>
        <w:t xml:space="preserve">שיעור </w:t>
      </w:r>
      <w:r w:rsidRPr="00861D72">
        <w:rPr>
          <w:rFonts w:eastAsia="Calibri" w:hint="cs"/>
          <w:b/>
          <w:bCs/>
          <w:rtl/>
          <w:lang w:eastAsia="he-IL"/>
        </w:rPr>
        <w:t>גדול</w:t>
      </w:r>
      <w:r w:rsidRPr="00861D72">
        <w:rPr>
          <w:rFonts w:eastAsia="Calibri"/>
          <w:b/>
          <w:bCs/>
          <w:rtl/>
          <w:lang w:eastAsia="he-IL"/>
        </w:rPr>
        <w:t xml:space="preserve"> מהחסמים ביישום החלטות ממשלה נובע ממחלוקות בין משרדים, ובפועל רבות מההחלטות מטילות אחריות ביצועית על יותר ממשרד אחד, ולכן ללא שיתוף פעולה אפקטיבי קשה להגיע לתוצאות. </w:t>
      </w:r>
      <w:r w:rsidRPr="00861D72">
        <w:rPr>
          <w:rFonts w:eastAsia="Calibri" w:hint="cs"/>
          <w:b/>
          <w:bCs/>
          <w:rtl/>
          <w:lang w:eastAsia="he-IL"/>
        </w:rPr>
        <w:t>בתחום ההזדקנות נעשו כמה פעולות לטובת</w:t>
      </w:r>
      <w:r w:rsidRPr="00861D72">
        <w:rPr>
          <w:rFonts w:eastAsia="Calibri"/>
          <w:b/>
          <w:bCs/>
          <w:rtl/>
          <w:lang w:eastAsia="he-IL"/>
        </w:rPr>
        <w:t xml:space="preserve"> שיתוף פעולה</w:t>
      </w:r>
      <w:r w:rsidRPr="00861D72">
        <w:rPr>
          <w:rFonts w:eastAsia="Calibri" w:hint="cs"/>
          <w:b/>
          <w:bCs/>
          <w:rtl/>
          <w:lang w:eastAsia="he-IL"/>
        </w:rPr>
        <w:t xml:space="preserve"> בין הגורמים האמונים על הטיפול בהזדקנות האוכלוסייה</w:t>
      </w:r>
      <w:r w:rsidRPr="00861D72">
        <w:rPr>
          <w:rFonts w:eastAsia="Calibri"/>
          <w:b/>
          <w:bCs/>
          <w:rtl/>
          <w:lang w:eastAsia="he-IL"/>
        </w:rPr>
        <w:t xml:space="preserve">, </w:t>
      </w:r>
      <w:r w:rsidRPr="00861D72">
        <w:rPr>
          <w:rFonts w:eastAsia="Calibri" w:hint="eastAsia"/>
          <w:b/>
          <w:bCs/>
          <w:rtl/>
          <w:lang w:eastAsia="he-IL"/>
        </w:rPr>
        <w:t>עם</w:t>
      </w:r>
      <w:r w:rsidRPr="00861D72">
        <w:rPr>
          <w:rFonts w:eastAsia="Calibri"/>
          <w:b/>
          <w:bCs/>
          <w:rtl/>
          <w:lang w:eastAsia="he-IL"/>
        </w:rPr>
        <w:t xml:space="preserve"> </w:t>
      </w:r>
      <w:r w:rsidRPr="00861D72">
        <w:rPr>
          <w:rFonts w:eastAsia="Calibri" w:hint="eastAsia"/>
          <w:b/>
          <w:bCs/>
          <w:rtl/>
          <w:lang w:eastAsia="he-IL"/>
        </w:rPr>
        <w:t>זאת</w:t>
      </w:r>
      <w:r w:rsidRPr="00861D72">
        <w:rPr>
          <w:rFonts w:eastAsia="Calibri"/>
          <w:b/>
          <w:bCs/>
          <w:rtl/>
          <w:lang w:eastAsia="he-IL"/>
        </w:rPr>
        <w:t xml:space="preserve"> </w:t>
      </w:r>
      <w:r w:rsidRPr="00861D72">
        <w:rPr>
          <w:rFonts w:eastAsia="Calibri" w:hint="eastAsia"/>
          <w:b/>
          <w:bCs/>
          <w:rtl/>
          <w:lang w:eastAsia="he-IL"/>
        </w:rPr>
        <w:t>המהלכים</w:t>
      </w:r>
      <w:r w:rsidRPr="00861D72">
        <w:rPr>
          <w:rFonts w:eastAsia="Calibri"/>
          <w:b/>
          <w:bCs/>
          <w:rtl/>
          <w:lang w:eastAsia="he-IL"/>
        </w:rPr>
        <w:t xml:space="preserve"> </w:t>
      </w:r>
      <w:r w:rsidRPr="00861D72">
        <w:rPr>
          <w:rFonts w:eastAsia="Calibri" w:hint="cs"/>
          <w:b/>
          <w:bCs/>
          <w:rtl/>
          <w:lang w:eastAsia="he-IL"/>
        </w:rPr>
        <w:t>אינם</w:t>
      </w:r>
      <w:r w:rsidRPr="00861D72">
        <w:rPr>
          <w:rFonts w:eastAsia="Calibri"/>
          <w:b/>
          <w:bCs/>
          <w:rtl/>
          <w:lang w:eastAsia="he-IL"/>
        </w:rPr>
        <w:t xml:space="preserve"> </w:t>
      </w:r>
      <w:r w:rsidRPr="00861D72">
        <w:rPr>
          <w:rFonts w:eastAsia="Calibri" w:hint="eastAsia"/>
          <w:b/>
          <w:bCs/>
          <w:rtl/>
          <w:lang w:eastAsia="he-IL"/>
        </w:rPr>
        <w:t>מחייבים</w:t>
      </w:r>
      <w:r w:rsidRPr="00861D72">
        <w:rPr>
          <w:rFonts w:eastAsia="Calibri"/>
          <w:b/>
          <w:bCs/>
          <w:rtl/>
          <w:lang w:eastAsia="he-IL"/>
        </w:rPr>
        <w:t xml:space="preserve"> את כל המשרדים </w:t>
      </w:r>
      <w:r w:rsidRPr="00861D72">
        <w:rPr>
          <w:rFonts w:eastAsia="Calibri" w:hint="cs"/>
          <w:b/>
          <w:bCs/>
          <w:rtl/>
          <w:lang w:eastAsia="he-IL"/>
        </w:rPr>
        <w:t>ו</w:t>
      </w:r>
      <w:r w:rsidRPr="00861D72">
        <w:rPr>
          <w:rFonts w:eastAsia="Calibri"/>
          <w:b/>
          <w:bCs/>
          <w:rtl/>
          <w:lang w:eastAsia="he-IL"/>
        </w:rPr>
        <w:t xml:space="preserve">לא כולם </w:t>
      </w:r>
      <w:r w:rsidRPr="00861D72">
        <w:rPr>
          <w:rFonts w:eastAsia="Calibri" w:hint="eastAsia"/>
          <w:b/>
          <w:bCs/>
          <w:rtl/>
          <w:lang w:eastAsia="he-IL"/>
        </w:rPr>
        <w:t>לוקחים</w:t>
      </w:r>
      <w:r w:rsidRPr="00861D72">
        <w:rPr>
          <w:rFonts w:eastAsia="Calibri"/>
          <w:b/>
          <w:bCs/>
          <w:rtl/>
          <w:lang w:eastAsia="he-IL"/>
        </w:rPr>
        <w:t xml:space="preserve"> </w:t>
      </w:r>
      <w:r w:rsidRPr="00861D72">
        <w:rPr>
          <w:rFonts w:eastAsia="Calibri" w:hint="eastAsia"/>
          <w:b/>
          <w:bCs/>
          <w:rtl/>
          <w:lang w:eastAsia="he-IL"/>
        </w:rPr>
        <w:t>בהם</w:t>
      </w:r>
      <w:r w:rsidRPr="00861D72">
        <w:rPr>
          <w:rFonts w:eastAsia="Calibri"/>
          <w:b/>
          <w:bCs/>
          <w:rtl/>
          <w:lang w:eastAsia="he-IL"/>
        </w:rPr>
        <w:t xml:space="preserve"> </w:t>
      </w:r>
      <w:r w:rsidRPr="00861D72">
        <w:rPr>
          <w:rFonts w:eastAsia="Calibri" w:hint="eastAsia"/>
          <w:b/>
          <w:bCs/>
          <w:rtl/>
          <w:lang w:eastAsia="he-IL"/>
        </w:rPr>
        <w:t>חלק</w:t>
      </w:r>
      <w:r w:rsidRPr="00861D72">
        <w:rPr>
          <w:rFonts w:eastAsia="Calibri" w:hint="cs"/>
          <w:szCs w:val="20"/>
          <w:rt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lang w:eastAsia="he-IL"/>
        </w:rPr>
      </w:pPr>
      <w:r w:rsidRPr="00861D72">
        <w:rPr>
          <w:rFonts w:eastAsia="Calibri"/>
          <w:b/>
          <w:bCs/>
          <w:rtl/>
        </w:rPr>
        <w:t xml:space="preserve">בתחום הזקנה </w:t>
      </w:r>
      <w:r w:rsidRPr="00861D72">
        <w:rPr>
          <w:rFonts w:eastAsia="Calibri" w:hint="eastAsia"/>
          <w:b/>
          <w:bCs/>
          <w:rtl/>
        </w:rPr>
        <w:t>פועלים</w:t>
      </w:r>
      <w:r w:rsidRPr="00861D72">
        <w:rPr>
          <w:rFonts w:ascii="David" w:eastAsia="Times New Roman" w:hAnsi="David"/>
          <w:b/>
          <w:bCs/>
          <w:sz w:val="24"/>
          <w:rtl/>
          <w:lang w:eastAsia="he-IL"/>
        </w:rPr>
        <w:t xml:space="preserve"> גופים רבים, לעיתים </w:t>
      </w:r>
      <w:r w:rsidRPr="00861D72">
        <w:rPr>
          <w:rFonts w:ascii="David" w:eastAsia="Times New Roman" w:hAnsi="David" w:hint="cs"/>
          <w:b/>
          <w:bCs/>
          <w:sz w:val="24"/>
          <w:rtl/>
          <w:lang w:eastAsia="he-IL"/>
        </w:rPr>
        <w:t>בו זמנית</w:t>
      </w:r>
      <w:r w:rsidRPr="00861D72">
        <w:rPr>
          <w:rFonts w:ascii="David" w:eastAsia="Times New Roman" w:hAnsi="David"/>
          <w:b/>
          <w:bCs/>
          <w:sz w:val="24"/>
          <w:rtl/>
          <w:lang w:eastAsia="he-IL"/>
        </w:rPr>
        <w:t xml:space="preserve"> או בחפיפה, ללא תיאום מערכתי כולל; </w:t>
      </w:r>
      <w:r w:rsidRPr="00861D72">
        <w:rPr>
          <w:rFonts w:ascii="David" w:eastAsia="Times New Roman" w:hAnsi="David" w:hint="eastAsia"/>
          <w:b/>
          <w:bCs/>
          <w:sz w:val="24"/>
          <w:rtl/>
          <w:lang w:eastAsia="he-IL"/>
        </w:rPr>
        <w:t>דבר</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w:t>
      </w:r>
      <w:r w:rsidRPr="00861D72">
        <w:rPr>
          <w:rFonts w:ascii="David" w:eastAsia="Times New Roman" w:hAnsi="David"/>
          <w:b/>
          <w:bCs/>
          <w:sz w:val="24"/>
          <w:rtl/>
          <w:lang w:eastAsia="he-IL"/>
        </w:rPr>
        <w:t xml:space="preserve">מוביל לריבוי יוזמות בלתי מתואמות </w:t>
      </w:r>
      <w:r w:rsidRPr="00861D72">
        <w:rPr>
          <w:rFonts w:ascii="David" w:eastAsia="Times New Roman" w:hAnsi="David" w:hint="cs"/>
          <w:b/>
          <w:bCs/>
          <w:sz w:val="24"/>
          <w:rtl/>
          <w:lang w:eastAsia="he-IL"/>
        </w:rPr>
        <w:t>ול</w:t>
      </w:r>
      <w:r w:rsidRPr="00861D72">
        <w:rPr>
          <w:rFonts w:ascii="David" w:eastAsia="Times New Roman" w:hAnsi="David"/>
          <w:b/>
          <w:bCs/>
          <w:sz w:val="24"/>
          <w:rtl/>
          <w:lang w:eastAsia="he-IL"/>
        </w:rPr>
        <w:t>פיצול משאבים.</w:t>
      </w:r>
      <w:r w:rsidRPr="00861D72">
        <w:rPr>
          <w:rFonts w:ascii="David" w:eastAsia="Times New Roman" w:hAnsi="David" w:hint="cs"/>
          <w:sz w:val="24"/>
          <w:rtl/>
          <w:lang w:eastAsia="he-IL"/>
        </w:rPr>
        <w:t xml:space="preserve"> </w:t>
      </w:r>
      <w:r w:rsidRPr="00861D72">
        <w:rPr>
          <w:rFonts w:eastAsia="Calibri" w:hint="cs"/>
          <w:b/>
          <w:bCs/>
          <w:rtl/>
        </w:rPr>
        <w:t xml:space="preserve">לדוגמה, </w:t>
      </w:r>
      <w:r w:rsidRPr="00861D72">
        <w:rPr>
          <w:rFonts w:eastAsia="Calibri" w:hint="cs"/>
          <w:b/>
          <w:bCs/>
          <w:rtl/>
        </w:rPr>
        <w:t>בט"ל</w:t>
      </w:r>
      <w:r w:rsidRPr="00861D72">
        <w:rPr>
          <w:rFonts w:eastAsia="Calibri" w:hint="cs"/>
          <w:b/>
          <w:bCs/>
          <w:rtl/>
        </w:rPr>
        <w:t xml:space="preserve">, משרד הרווחה וקופות החולים עוסקים במניעת הדרדרות תפקודית. </w:t>
      </w:r>
      <w:r w:rsidRPr="00861D72">
        <w:rPr>
          <w:rFonts w:eastAsia="Calibri"/>
          <w:b/>
          <w:bCs/>
          <w:rtl/>
        </w:rPr>
        <w:t xml:space="preserve">חפיפה זו מייצרת שימוש לא מיטבי במשאבים, כפילות באיסוף נתונים, יוצרת קושי בתיאום בין הגופים </w:t>
      </w:r>
      <w:r w:rsidRPr="00861D72">
        <w:rPr>
          <w:rFonts w:eastAsia="Calibri" w:hint="cs"/>
          <w:b/>
          <w:bCs/>
          <w:rtl/>
        </w:rPr>
        <w:t>ומבלבלת</w:t>
      </w:r>
      <w:r w:rsidRPr="00861D72">
        <w:rPr>
          <w:rFonts w:eastAsia="Calibri"/>
          <w:b/>
          <w:bCs/>
          <w:rtl/>
        </w:rPr>
        <w:t xml:space="preserve"> </w:t>
      </w:r>
      <w:r w:rsidRPr="00861D72">
        <w:rPr>
          <w:rFonts w:eastAsia="Calibri" w:hint="cs"/>
          <w:b/>
          <w:bCs/>
          <w:rtl/>
        </w:rPr>
        <w:t>את הזקנים ואת בני משפחותיהם</w:t>
      </w:r>
      <w:r w:rsidRPr="00861D72">
        <w:rPr>
          <w:rFonts w:eastAsia="Calibri"/>
          <w:b/>
          <w:bCs/>
          <w:rtl/>
        </w:rPr>
        <w:t xml:space="preserve"> </w:t>
      </w:r>
      <w:r w:rsidRPr="00861D72">
        <w:rPr>
          <w:rFonts w:eastAsia="Calibri" w:hint="cs"/>
          <w:b/>
          <w:bCs/>
          <w:rtl/>
        </w:rPr>
        <w:t>שאינם יודעים למי לפנות</w:t>
      </w:r>
      <w:r w:rsidRPr="00861D72">
        <w:rPr>
          <w:rFonts w:eastAsia="Calibri"/>
          <w:b/>
          <w:bCs/>
        </w:rPr>
        <w:t>.</w:t>
      </w:r>
      <w:r w:rsidRPr="00861D72">
        <w:rPr>
          <w:rFonts w:eastAsia="Calibri" w:hint="cs"/>
          <w:b/>
          <w:bCs/>
          <w:rtl/>
          <w:lang w:eastAsia="he-IL"/>
        </w:rPr>
        <w:t xml:space="preserve">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eastAsia="Calibri"/>
          <w:b/>
          <w:bCs/>
          <w:rtl/>
          <w:lang w:eastAsia="he-IL"/>
        </w:rPr>
      </w:pPr>
      <w:r w:rsidRPr="00861D72">
        <w:rPr>
          <w:rFonts w:eastAsia="Calibri" w:hint="cs"/>
          <w:rtl/>
          <w:lang w:eastAsia="he-IL"/>
        </w:rPr>
        <w:t xml:space="preserve">משרד הרווחה ציין בתשובתו כי </w:t>
      </w:r>
      <w:r w:rsidRPr="00861D72">
        <w:rPr>
          <w:rFonts w:eastAsia="Calibri" w:hint="cs"/>
          <w:rtl/>
        </w:rPr>
        <w:t>הוא מסכים ש</w:t>
      </w:r>
      <w:r w:rsidRPr="00861D72">
        <w:rPr>
          <w:rFonts w:eastAsia="Calibri"/>
          <w:rtl/>
        </w:rPr>
        <w:t>יש ל</w:t>
      </w:r>
      <w:r w:rsidRPr="00861D72">
        <w:rPr>
          <w:rFonts w:eastAsia="Calibri" w:hint="cs"/>
          <w:rtl/>
        </w:rPr>
        <w:t>בחון הסדרה ממשלתית מחודשת</w:t>
      </w:r>
      <w:r w:rsidRPr="00861D72">
        <w:rPr>
          <w:rFonts w:eastAsia="Calibri"/>
          <w:rtl/>
        </w:rPr>
        <w:t xml:space="preserve"> </w:t>
      </w:r>
      <w:r w:rsidRPr="00861D72">
        <w:rPr>
          <w:rFonts w:eastAsia="Calibri" w:hint="cs"/>
          <w:rtl/>
        </w:rPr>
        <w:t>של</w:t>
      </w:r>
      <w:r w:rsidRPr="00861D72">
        <w:rPr>
          <w:rFonts w:eastAsia="Calibri"/>
          <w:rtl/>
        </w:rPr>
        <w:t xml:space="preserve"> תחום ההזדקנות באופן שיבטיח תכלול ממשלתי אפקטיבי, צמצום כפילויות וחיזוק הרצף בין המדיניות ליישומה בשטח</w:t>
      </w:r>
      <w:r w:rsidRPr="00861D72">
        <w:rPr>
          <w:rFonts w:eastAsia="Calibri"/>
        </w:rPr>
        <w:t>.</w:t>
      </w:r>
    </w:p>
    <w:p w:rsidR="00861D72" w:rsidRPr="00861D72" w:rsidP="00F90255">
      <w:pPr>
        <w:spacing w:line="269" w:lineRule="auto"/>
        <w:rPr>
          <w:rFonts w:eastAsia="Calibri"/>
          <w:b/>
          <w:bCs/>
          <w:rtl/>
          <w:lang w:eastAsia="he-IL"/>
        </w:rPr>
      </w:pPr>
      <w:r w:rsidRPr="00861D72">
        <w:rPr>
          <w:rFonts w:eastAsia="Calibri" w:hint="cs"/>
          <w:rtl/>
          <w:lang w:eastAsia="he-IL"/>
        </w:rPr>
        <w:t>משרד הבינוי והשיכון מסר בתשובתו למשרד מבקר המדינה ממאי 2026 כי הוא מסכים עם החשיבות הרבה של שיתופי פעולה, ואף פועל בשיתוף פעולה עם משרדים שונים עבור אוכלוסיית האזרחים הוותיקים המתגוררים בבתי גיל הזהב.</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cs"/>
          <w:rtl/>
        </w:rPr>
        <w:t xml:space="preserve">משרד הבריאות מסר בתשובתו כי הוא שותף לכמה מהלכים של שיתופי פעולה בין גורמים שונים בתחום ההזדקנות, ובין היתר פורום השותפים, פורום </w:t>
      </w:r>
      <w:r w:rsidRPr="00861D72">
        <w:rPr>
          <w:rFonts w:eastAsia="Calibri" w:hint="cs"/>
          <w:rtl/>
        </w:rPr>
        <w:t>בר"ק</w:t>
      </w:r>
      <w:r w:rsidRPr="00861D72">
        <w:rPr>
          <w:rFonts w:eastAsia="Calibri" w:hint="cs"/>
          <w:rtl/>
        </w:rPr>
        <w:t xml:space="preserve"> וועדה בין-משרדית של משרד הבריאות ומשרד הרווחה. כמו כן הוא מקיים בשגרה עבודה בין-משרדית בהתאם לצורך. המשרד הוסיף כי הוא ישמח להשתתף בכל יוזמה לשיפור </w:t>
      </w:r>
      <w:r w:rsidRPr="00861D72">
        <w:rPr>
          <w:rFonts w:ascii="David" w:eastAsia="Times New Roman" w:hAnsi="David"/>
          <w:sz w:val="24"/>
          <w:rtl/>
        </w:rPr>
        <w:t>התיאום והעבודה הבין-משרדית ולשתף פעולה עם כלל הגורמים המעורבים ככל שיידרש, במטרה להבטיח מענים מיטביים לאוכלוסייה המבוגרת</w:t>
      </w:r>
      <w:r w:rsidRPr="00861D72">
        <w:rPr>
          <w:rFonts w:ascii="David" w:eastAsia="Times New Roman" w:hAnsi="David"/>
          <w:sz w:val="24"/>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lang w:eastAsia="he-IL"/>
        </w:rPr>
      </w:pPr>
      <w:r w:rsidRPr="00861D72">
        <w:rPr>
          <w:rFonts w:eastAsia="Calibri" w:hint="cs"/>
          <w:b/>
          <w:bCs/>
          <w:rtl/>
          <w:lang w:eastAsia="he-IL"/>
        </w:rPr>
        <w:t xml:space="preserve">מתשובותיהם של משרד הרווחה, משרד הבינוי והשיכון ומשרד הבריאות </w:t>
      </w:r>
      <w:r w:rsidRPr="00861D72">
        <w:rPr>
          <w:rFonts w:eastAsia="Calibri"/>
          <w:b/>
          <w:bCs/>
          <w:rtl/>
          <w:lang w:eastAsia="he-IL"/>
        </w:rPr>
        <w:t>עולה כי קיימת הסכמה רחבה בדבר הצורך בחיזוק שיתופי הפעולה הבין</w:t>
      </w:r>
      <w:r w:rsidRPr="00861D72">
        <w:rPr>
          <w:rFonts w:eastAsia="Calibri" w:hint="cs"/>
          <w:b/>
          <w:bCs/>
          <w:rtl/>
          <w:lang w:eastAsia="he-IL"/>
        </w:rPr>
        <w:t>-</w:t>
      </w:r>
      <w:r w:rsidRPr="00861D72">
        <w:rPr>
          <w:rFonts w:eastAsia="Calibri"/>
          <w:b/>
          <w:bCs/>
          <w:rtl/>
          <w:lang w:eastAsia="he-IL"/>
        </w:rPr>
        <w:t>משרדיים בתחום ההזדקנות, ובהסדרת מנגנון ממשלתי קבוע שיאפשר תיאום, מעקב ושיתוף מידע בין כלל הגופים הפועלים בתחום.</w:t>
      </w:r>
      <w:r w:rsidRPr="00861D72">
        <w:rPr>
          <w:rFonts w:eastAsia="Calibri" w:hint="cs"/>
          <w:b/>
          <w:bCs/>
          <w:rtl/>
          <w:lang w:eastAsia="he-IL"/>
        </w:rPr>
        <w:t xml:space="preserve"> ואולם אף</w:t>
      </w:r>
      <w:r w:rsidRPr="00861D72">
        <w:rPr>
          <w:rFonts w:eastAsia="Calibri"/>
          <w:b/>
          <w:bCs/>
          <w:rtl/>
          <w:lang w:eastAsia="he-IL"/>
        </w:rPr>
        <w:t xml:space="preserve"> שהמשרדים מכירים בחשיבות התיאום הממשלתי ופועלים במידה זו או אחרת בשיתופי פעולה, עדיין נדרשת הסדרה מערכתית שתצמצם כפילויות, תמנע פיצול משאבים ותחזק את הרצף בין גיבוש המדיניות לבין יישומה בפועל.</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rPr>
      </w:pPr>
      <w:r w:rsidRPr="00861D72">
        <w:rPr>
          <w:rFonts w:eastAsia="Calibri"/>
          <w:b/>
          <w:bCs/>
          <w:rtl/>
        </w:rPr>
        <w:t xml:space="preserve">אגף ממשל וחברה </w:t>
      </w:r>
      <w:r w:rsidRPr="00861D72">
        <w:rPr>
          <w:rFonts w:eastAsia="Calibri" w:hint="cs"/>
          <w:b/>
          <w:bCs/>
          <w:rtl/>
        </w:rPr>
        <w:t xml:space="preserve">במשרד </w:t>
      </w:r>
      <w:r w:rsidRPr="00861D72">
        <w:rPr>
          <w:rFonts w:eastAsia="Calibri" w:hint="cs"/>
          <w:b/>
          <w:bCs/>
          <w:rtl/>
        </w:rPr>
        <w:t>רה"ם</w:t>
      </w:r>
      <w:r w:rsidRPr="00861D72">
        <w:rPr>
          <w:rFonts w:eastAsia="Calibri" w:hint="cs"/>
          <w:b/>
          <w:bCs/>
          <w:rtl/>
        </w:rPr>
        <w:t xml:space="preserve"> החל ב-2025 בפיילוט של </w:t>
      </w:r>
      <w:r w:rsidRPr="00861D72">
        <w:rPr>
          <w:rFonts w:eastAsia="Calibri"/>
          <w:b/>
          <w:bCs/>
          <w:rtl/>
        </w:rPr>
        <w:t xml:space="preserve">תכנון משותף סביב סוגיית </w:t>
      </w:r>
      <w:r w:rsidRPr="00861D72">
        <w:rPr>
          <w:rFonts w:eastAsia="Calibri" w:hint="cs"/>
          <w:b/>
          <w:bCs/>
          <w:rtl/>
        </w:rPr>
        <w:t>ה</w:t>
      </w:r>
      <w:r w:rsidRPr="00861D72">
        <w:rPr>
          <w:rFonts w:eastAsia="Calibri"/>
          <w:b/>
          <w:bCs/>
          <w:rtl/>
        </w:rPr>
        <w:t xml:space="preserve">ליבה </w:t>
      </w:r>
      <w:r w:rsidRPr="00861D72">
        <w:rPr>
          <w:rFonts w:eastAsia="Calibri" w:hint="cs"/>
          <w:b/>
          <w:bCs/>
          <w:rtl/>
        </w:rPr>
        <w:t>של</w:t>
      </w:r>
      <w:r w:rsidRPr="00861D72">
        <w:rPr>
          <w:rFonts w:eastAsia="Calibri"/>
          <w:b/>
          <w:bCs/>
          <w:rtl/>
        </w:rPr>
        <w:t xml:space="preserve"> הזדקנות מיטבית בישראל</w:t>
      </w:r>
      <w:r w:rsidRPr="00861D72">
        <w:rPr>
          <w:rFonts w:eastAsia="Calibri" w:hint="cs"/>
          <w:b/>
          <w:bCs/>
          <w:rtl/>
        </w:rPr>
        <w:t xml:space="preserve"> במטרה </w:t>
      </w:r>
      <w:r w:rsidRPr="00861D72">
        <w:rPr>
          <w:rFonts w:eastAsia="Calibri"/>
          <w:b/>
          <w:bCs/>
          <w:sz w:val="24"/>
          <w:rtl/>
        </w:rPr>
        <w:t>להעמיק את שיתוף הפעולה</w:t>
      </w:r>
      <w:r w:rsidRPr="00861D72">
        <w:rPr>
          <w:rFonts w:eastAsia="Calibri" w:hint="cs"/>
          <w:b/>
          <w:bCs/>
          <w:sz w:val="24"/>
          <w:rtl/>
        </w:rPr>
        <w:t xml:space="preserve"> בין גופי הממשל העוסקים בהזדקנות. </w:t>
      </w:r>
      <w:r w:rsidRPr="00861D72">
        <w:rPr>
          <w:rFonts w:eastAsia="Calibri" w:hint="cs"/>
          <w:b/>
          <w:bCs/>
          <w:sz w:val="40"/>
          <w:rtl/>
        </w:rPr>
        <w:t>מ</w:t>
      </w:r>
      <w:r w:rsidRPr="00861D72">
        <w:rPr>
          <w:rFonts w:eastAsia="Calibri" w:hint="eastAsia"/>
          <w:b/>
          <w:bCs/>
          <w:sz w:val="40"/>
          <w:rtl/>
        </w:rPr>
        <w:t>עמדות</w:t>
      </w:r>
      <w:r w:rsidRPr="00861D72">
        <w:rPr>
          <w:rFonts w:eastAsia="Calibri"/>
          <w:b/>
          <w:bCs/>
          <w:sz w:val="40"/>
          <w:rtl/>
        </w:rPr>
        <w:t xml:space="preserve"> </w:t>
      </w:r>
      <w:r w:rsidRPr="00861D72">
        <w:rPr>
          <w:rFonts w:eastAsia="Calibri" w:hint="eastAsia"/>
          <w:b/>
          <w:bCs/>
          <w:sz w:val="40"/>
          <w:rtl/>
        </w:rPr>
        <w:t>הגופים</w:t>
      </w:r>
      <w:r w:rsidRPr="00861D72">
        <w:rPr>
          <w:rFonts w:eastAsia="Calibri"/>
          <w:b/>
          <w:bCs/>
          <w:sz w:val="40"/>
          <w:rtl/>
        </w:rPr>
        <w:t xml:space="preserve"> </w:t>
      </w:r>
      <w:r w:rsidRPr="00861D72">
        <w:rPr>
          <w:rFonts w:eastAsia="Calibri" w:hint="eastAsia"/>
          <w:b/>
          <w:bCs/>
          <w:sz w:val="40"/>
          <w:rtl/>
        </w:rPr>
        <w:t>העוסקים</w:t>
      </w:r>
      <w:r w:rsidRPr="00861D72">
        <w:rPr>
          <w:rFonts w:eastAsia="Calibri"/>
          <w:b/>
          <w:bCs/>
          <w:sz w:val="40"/>
          <w:rtl/>
        </w:rPr>
        <w:t xml:space="preserve"> </w:t>
      </w:r>
      <w:r w:rsidRPr="00861D72">
        <w:rPr>
          <w:rFonts w:eastAsia="Calibri" w:hint="eastAsia"/>
          <w:b/>
          <w:bCs/>
          <w:sz w:val="40"/>
          <w:rtl/>
        </w:rPr>
        <w:t>בהזדקנות</w:t>
      </w:r>
      <w:r w:rsidRPr="00861D72">
        <w:rPr>
          <w:rFonts w:eastAsia="Calibri" w:hint="cs"/>
          <w:b/>
          <w:bCs/>
          <w:sz w:val="40"/>
          <w:rtl/>
        </w:rPr>
        <w:t xml:space="preserve"> </w:t>
      </w:r>
      <w:r w:rsidRPr="00861D72">
        <w:rPr>
          <w:rFonts w:eastAsia="Calibri"/>
          <w:b/>
          <w:bCs/>
          <w:sz w:val="40"/>
          <w:rtl/>
        </w:rPr>
        <w:t>עולה כי רבים מהמשיבים</w:t>
      </w:r>
      <w:r w:rsidRPr="00861D72">
        <w:rPr>
          <w:rFonts w:eastAsia="Calibri" w:hint="cs"/>
          <w:b/>
          <w:bCs/>
          <w:sz w:val="40"/>
          <w:rtl/>
        </w:rPr>
        <w:t xml:space="preserve"> (המשרד לשוויון חברתי, משרד הרווחה, </w:t>
      </w:r>
      <w:r w:rsidRPr="00861D72">
        <w:rPr>
          <w:rFonts w:eastAsia="Calibri" w:hint="cs"/>
          <w:b/>
          <w:bCs/>
          <w:sz w:val="40"/>
          <w:rtl/>
        </w:rPr>
        <w:t>בט"ל</w:t>
      </w:r>
      <w:r w:rsidRPr="00861D72">
        <w:rPr>
          <w:rFonts w:eastAsia="Calibri" w:hint="cs"/>
          <w:b/>
          <w:bCs/>
          <w:sz w:val="40"/>
          <w:rtl/>
        </w:rPr>
        <w:t>, משרד הבריאות וקופות החולים)</w:t>
      </w:r>
      <w:r w:rsidRPr="00861D72">
        <w:rPr>
          <w:rFonts w:eastAsia="Calibri"/>
          <w:b/>
          <w:bCs/>
          <w:sz w:val="40"/>
          <w:rtl/>
        </w:rPr>
        <w:t xml:space="preserve"> כלל אינם מכירים את הפיילוט</w:t>
      </w:r>
      <w:r w:rsidRPr="00861D72">
        <w:rPr>
          <w:rFonts w:eastAsia="Calibri" w:hint="cs"/>
          <w:b/>
          <w:bCs/>
          <w:sz w:val="40"/>
          <w:rtl/>
        </w:rPr>
        <w:t>.</w:t>
      </w:r>
      <w:r w:rsidRPr="00861D72">
        <w:rPr>
          <w:rFonts w:eastAsia="Calibri"/>
          <w:b/>
          <w:bCs/>
          <w:sz w:val="40"/>
          <w:rtl/>
        </w:rPr>
        <w:t xml:space="preserve"> מבין אלו </w:t>
      </w:r>
      <w:r w:rsidRPr="00861D72">
        <w:rPr>
          <w:rFonts w:eastAsia="Calibri" w:hint="cs"/>
          <w:b/>
          <w:bCs/>
          <w:sz w:val="40"/>
          <w:rtl/>
        </w:rPr>
        <w:t>ה</w:t>
      </w:r>
      <w:r w:rsidRPr="00861D72">
        <w:rPr>
          <w:rFonts w:eastAsia="Calibri"/>
          <w:b/>
          <w:bCs/>
          <w:sz w:val="40"/>
          <w:rtl/>
        </w:rPr>
        <w:t xml:space="preserve">מכירים </w:t>
      </w:r>
      <w:r w:rsidRPr="00861D72">
        <w:rPr>
          <w:rFonts w:eastAsia="Calibri" w:hint="cs"/>
          <w:b/>
          <w:bCs/>
          <w:sz w:val="40"/>
          <w:rtl/>
        </w:rPr>
        <w:t>את הפיילוט -</w:t>
      </w:r>
      <w:r w:rsidRPr="00861D72">
        <w:rPr>
          <w:rFonts w:eastAsia="Calibri"/>
          <w:b/>
          <w:bCs/>
          <w:sz w:val="40"/>
          <w:rtl/>
        </w:rPr>
        <w:t xml:space="preserve"> רובם סבורים כי תרומתו לשיתוף פעולה ולתכנון משותף היא מצומצמת מאוד, </w:t>
      </w:r>
      <w:r w:rsidRPr="00861D72">
        <w:rPr>
          <w:rFonts w:eastAsia="Calibri" w:hint="cs"/>
          <w:b/>
          <w:bCs/>
          <w:sz w:val="40"/>
          <w:rtl/>
        </w:rPr>
        <w:t xml:space="preserve">ואילו </w:t>
      </w:r>
      <w:r w:rsidRPr="00861D72">
        <w:rPr>
          <w:rFonts w:eastAsia="Calibri"/>
          <w:b/>
          <w:bCs/>
          <w:sz w:val="40"/>
          <w:rtl/>
        </w:rPr>
        <w:t>מיעוט בלבד מעריך כי יש לו</w:t>
      </w:r>
      <w:r w:rsidRPr="00861D72">
        <w:rPr>
          <w:rFonts w:eastAsia="Calibri" w:hint="cs"/>
          <w:b/>
          <w:bCs/>
          <w:sz w:val="40"/>
          <w:rtl/>
        </w:rPr>
        <w:t xml:space="preserve"> ה</w:t>
      </w:r>
      <w:r w:rsidRPr="00861D72">
        <w:rPr>
          <w:rFonts w:eastAsia="Calibri"/>
          <w:b/>
          <w:bCs/>
          <w:sz w:val="40"/>
          <w:rtl/>
        </w:rPr>
        <w:t xml:space="preserve">שפעה </w:t>
      </w:r>
      <w:r w:rsidRPr="00861D72">
        <w:rPr>
          <w:rFonts w:eastAsia="Calibri" w:hint="cs"/>
          <w:b/>
          <w:bCs/>
          <w:sz w:val="40"/>
          <w:rtl/>
        </w:rPr>
        <w:t>של ממש</w:t>
      </w:r>
      <w:r w:rsidRPr="00861D72">
        <w:rPr>
          <w:rFonts w:eastAsia="Calibri"/>
          <w:b/>
          <w:bCs/>
          <w:sz w:val="40"/>
          <w:rtl/>
        </w:rPr>
        <w:t>.</w:t>
      </w:r>
      <w:r w:rsidRPr="00861D72">
        <w:rPr>
          <w:rFonts w:eastAsia="Calibri" w:hint="cs"/>
          <w:b/>
          <w:bCs/>
          <w:rtl/>
        </w:rPr>
        <w:t xml:space="preserve"> </w:t>
      </w:r>
      <w:r w:rsidRPr="00861D72">
        <w:rPr>
          <w:rFonts w:ascii="David" w:eastAsia="Times New Roman" w:hAnsi="David" w:hint="cs"/>
          <w:b/>
          <w:bCs/>
          <w:sz w:val="24"/>
          <w:rtl/>
          <w:lang w:eastAsia="he-IL"/>
        </w:rPr>
        <w:t>עוד נמצא כי במסגרת מיפוי המידע המובנה כ-70% מהמשיבים דיווחו כי שיתוף הפעולה בין הגורמים השונים העוסקים בהזדקנות האוכלוסייה מתקיים במידה בינונית ואף פחות מכך.</w:t>
      </w:r>
      <w:r w:rsidRPr="00861D72">
        <w:rPr>
          <w:rFonts w:eastAsia="Calibri" w:hint="cs"/>
          <w:b/>
          <w:bCs/>
          <w:rtl/>
        </w:rPr>
        <w:t xml:space="preserve">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lang w:eastAsia="he-IL"/>
        </w:rPr>
      </w:pPr>
      <w:r w:rsidRPr="00861D72">
        <w:rPr>
          <w:rFonts w:eastAsia="Calibri"/>
          <w:b/>
          <w:bCs/>
          <w:rtl/>
        </w:rPr>
        <w:t xml:space="preserve">מומלץ </w:t>
      </w:r>
      <w:r w:rsidRPr="00861D72">
        <w:rPr>
          <w:rFonts w:eastAsia="Calibri" w:hint="cs"/>
          <w:b/>
          <w:bCs/>
          <w:rtl/>
        </w:rPr>
        <w:t xml:space="preserve">כי </w:t>
      </w:r>
      <w:r w:rsidRPr="00861D72">
        <w:rPr>
          <w:rFonts w:eastAsia="Calibri"/>
          <w:b/>
          <w:bCs/>
          <w:rtl/>
        </w:rPr>
        <w:t xml:space="preserve">אגף ממשל וחברה </w:t>
      </w:r>
      <w:r w:rsidRPr="00861D72">
        <w:rPr>
          <w:rFonts w:eastAsia="Calibri" w:hint="eastAsia"/>
          <w:b/>
          <w:bCs/>
          <w:rtl/>
        </w:rPr>
        <w:t>במשרד</w:t>
      </w:r>
      <w:r w:rsidRPr="00861D72">
        <w:rPr>
          <w:rFonts w:eastAsia="Calibri"/>
          <w:b/>
          <w:bCs/>
          <w:rtl/>
        </w:rPr>
        <w:t xml:space="preserve"> </w:t>
      </w:r>
      <w:r w:rsidRPr="00861D72">
        <w:rPr>
          <w:rFonts w:eastAsia="Calibri" w:hint="cs"/>
          <w:b/>
          <w:bCs/>
          <w:rtl/>
        </w:rPr>
        <w:t>רה"ם</w:t>
      </w:r>
      <w:r w:rsidRPr="00861D72">
        <w:rPr>
          <w:rFonts w:eastAsia="Calibri" w:hint="cs"/>
          <w:b/>
          <w:bCs/>
          <w:rtl/>
        </w:rPr>
        <w:t xml:space="preserve"> יבח</w:t>
      </w:r>
      <w:r w:rsidRPr="00861D72">
        <w:rPr>
          <w:rFonts w:eastAsia="Calibri"/>
          <w:b/>
          <w:bCs/>
          <w:rtl/>
        </w:rPr>
        <w:t>ן מחדש את מתכונת הפיילוט</w:t>
      </w:r>
      <w:r w:rsidRPr="00861D72">
        <w:rPr>
          <w:rFonts w:eastAsia="Calibri" w:hint="cs"/>
          <w:b/>
          <w:bCs/>
          <w:rtl/>
        </w:rPr>
        <w:t>,</w:t>
      </w:r>
      <w:r w:rsidRPr="00861D72">
        <w:rPr>
          <w:rFonts w:eastAsia="Calibri"/>
          <w:b/>
          <w:bCs/>
          <w:rtl/>
        </w:rPr>
        <w:t xml:space="preserve"> כך שיכלול מטרות ומשימות חדשות ומשותפות </w:t>
      </w:r>
      <w:r w:rsidRPr="00861D72">
        <w:rPr>
          <w:rFonts w:eastAsia="Calibri" w:hint="cs"/>
          <w:b/>
          <w:bCs/>
          <w:rtl/>
        </w:rPr>
        <w:t xml:space="preserve">ויגדיל </w:t>
      </w:r>
      <w:r w:rsidRPr="00861D72">
        <w:rPr>
          <w:rFonts w:eastAsia="Calibri"/>
          <w:b/>
          <w:bCs/>
          <w:rtl/>
        </w:rPr>
        <w:t xml:space="preserve">את החשיפה לפיילוט </w:t>
      </w:r>
      <w:r w:rsidRPr="00861D72">
        <w:rPr>
          <w:rFonts w:eastAsia="Calibri" w:hint="cs"/>
          <w:b/>
          <w:bCs/>
          <w:rtl/>
        </w:rPr>
        <w:t xml:space="preserve">ויפעל להבטיח </w:t>
      </w:r>
      <w:r w:rsidRPr="00861D72">
        <w:rPr>
          <w:rFonts w:eastAsia="Calibri"/>
          <w:b/>
          <w:bCs/>
          <w:rtl/>
        </w:rPr>
        <w:t>כי כלל הגורמים הרלוונטיים יכירו אותו</w:t>
      </w:r>
      <w:r w:rsidRPr="00861D72">
        <w:rPr>
          <w:rFonts w:ascii="David" w:eastAsia="Times New Roman" w:hAnsi="David" w:hint="cs"/>
          <w:b/>
          <w:bCs/>
          <w:sz w:val="24"/>
          <w:rtl/>
          <w:lang w:eastAsia="he-IL"/>
        </w:rPr>
        <w:t xml:space="preserve">. </w:t>
      </w:r>
      <w:r w:rsidRPr="00861D72">
        <w:rPr>
          <w:rFonts w:eastAsia="Calibri" w:hint="cs"/>
          <w:b/>
          <w:bCs/>
          <w:rtl/>
          <w:lang w:eastAsia="he-IL"/>
        </w:rPr>
        <w:t>באופן זה ניתן יהיה לשפר את השירותים לזקנים ולהביא ליישום המדיניות ולקידום הזדקנות מיטבית.</w:t>
      </w:r>
    </w:p>
    <w:p w:rsidR="00861D72" w:rsidRPr="00861D72" w:rsidP="00F90255">
      <w:pPr>
        <w:spacing w:line="269" w:lineRule="auto"/>
        <w:rPr>
          <w:rFonts w:eastAsia="Calibri"/>
          <w:rtl/>
          <w:lang w:eastAsia="he-IL"/>
        </w:rPr>
      </w:pPr>
    </w:p>
    <w:p w:rsidR="00861D72" w:rsidRPr="00861D72" w:rsidP="00F90255">
      <w:pPr>
        <w:keepNext/>
        <w:keepLines/>
        <w:spacing w:line="269" w:lineRule="auto"/>
        <w:outlineLvl w:val="3"/>
        <w:rPr>
          <w:rFonts w:eastAsia="Times New Roman"/>
          <w:bCs/>
          <w:szCs w:val="26"/>
          <w:rtl/>
        </w:rPr>
      </w:pPr>
      <w:r w:rsidRPr="00861D72">
        <w:rPr>
          <w:rFonts w:eastAsia="Times New Roman"/>
          <w:bCs/>
          <w:szCs w:val="26"/>
          <w:rtl/>
        </w:rPr>
        <w:t xml:space="preserve">העברת </w:t>
      </w:r>
      <w:r w:rsidRPr="00861D72">
        <w:rPr>
          <w:rFonts w:eastAsia="Times New Roman" w:hint="eastAsia"/>
          <w:bCs/>
          <w:szCs w:val="26"/>
          <w:rtl/>
        </w:rPr>
        <w:t>מידע</w:t>
      </w:r>
      <w:r w:rsidRPr="00861D72">
        <w:rPr>
          <w:rFonts w:eastAsia="Times New Roman"/>
          <w:bCs/>
          <w:szCs w:val="26"/>
          <w:rtl/>
        </w:rPr>
        <w:t xml:space="preserve"> </w:t>
      </w:r>
      <w:r w:rsidRPr="00861D72">
        <w:rPr>
          <w:rFonts w:eastAsia="Times New Roman" w:hint="eastAsia"/>
          <w:bCs/>
          <w:szCs w:val="26"/>
          <w:rtl/>
        </w:rPr>
        <w:t>בין</w:t>
      </w:r>
      <w:r w:rsidRPr="00861D72">
        <w:rPr>
          <w:rFonts w:eastAsia="Times New Roman"/>
          <w:bCs/>
          <w:szCs w:val="26"/>
          <w:rtl/>
        </w:rPr>
        <w:t xml:space="preserve"> </w:t>
      </w:r>
      <w:r w:rsidRPr="00861D72">
        <w:rPr>
          <w:rFonts w:eastAsia="Times New Roman" w:hint="eastAsia"/>
          <w:bCs/>
          <w:szCs w:val="26"/>
          <w:rtl/>
        </w:rPr>
        <w:t>הגופים</w:t>
      </w:r>
      <w:r w:rsidRPr="00861D72">
        <w:rPr>
          <w:rFonts w:eastAsia="Times New Roman"/>
          <w:bCs/>
          <w:szCs w:val="26"/>
          <w:rtl/>
        </w:rPr>
        <w:t xml:space="preserve"> </w:t>
      </w:r>
      <w:r w:rsidRPr="00861D72">
        <w:rPr>
          <w:rFonts w:eastAsia="Times New Roman" w:hint="eastAsia"/>
          <w:bCs/>
          <w:szCs w:val="26"/>
          <w:rtl/>
        </w:rPr>
        <w:t>לצורך</w:t>
      </w:r>
      <w:r w:rsidRPr="00861D72">
        <w:rPr>
          <w:rFonts w:eastAsia="Times New Roman"/>
          <w:bCs/>
          <w:szCs w:val="26"/>
          <w:rtl/>
        </w:rPr>
        <w:t xml:space="preserve"> </w:t>
      </w:r>
      <w:r w:rsidRPr="00861D72">
        <w:rPr>
          <w:rFonts w:eastAsia="Times New Roman" w:hint="eastAsia"/>
          <w:bCs/>
          <w:szCs w:val="26"/>
          <w:rtl/>
        </w:rPr>
        <w:t>קבלת</w:t>
      </w:r>
      <w:r w:rsidRPr="00861D72">
        <w:rPr>
          <w:rFonts w:eastAsia="Times New Roman"/>
          <w:bCs/>
          <w:szCs w:val="26"/>
          <w:rtl/>
        </w:rPr>
        <w:t xml:space="preserve"> </w:t>
      </w:r>
      <w:r w:rsidRPr="00861D72">
        <w:rPr>
          <w:rFonts w:eastAsia="Times New Roman" w:hint="eastAsia"/>
          <w:bCs/>
          <w:szCs w:val="26"/>
          <w:rtl/>
        </w:rPr>
        <w:t>החלטות</w:t>
      </w:r>
      <w:r w:rsidRPr="00861D72">
        <w:rPr>
          <w:rFonts w:eastAsia="Times New Roman"/>
          <w:bCs/>
          <w:szCs w:val="26"/>
          <w:rtl/>
        </w:rPr>
        <w:t xml:space="preserve">, </w:t>
      </w:r>
      <w:r w:rsidRPr="00861D72">
        <w:rPr>
          <w:rFonts w:eastAsia="Times New Roman" w:hint="eastAsia"/>
          <w:bCs/>
          <w:szCs w:val="26"/>
          <w:rtl/>
        </w:rPr>
        <w:t>מתן</w:t>
      </w:r>
      <w:r w:rsidRPr="00861D72">
        <w:rPr>
          <w:rFonts w:eastAsia="Times New Roman"/>
          <w:bCs/>
          <w:szCs w:val="26"/>
          <w:rtl/>
        </w:rPr>
        <w:t xml:space="preserve"> </w:t>
      </w:r>
      <w:r w:rsidRPr="00861D72">
        <w:rPr>
          <w:rFonts w:eastAsia="Times New Roman" w:hint="eastAsia"/>
          <w:bCs/>
          <w:szCs w:val="26"/>
          <w:rtl/>
        </w:rPr>
        <w:t>שירותים</w:t>
      </w:r>
      <w:r w:rsidRPr="00861D72">
        <w:rPr>
          <w:rFonts w:eastAsia="Times New Roman"/>
          <w:bCs/>
          <w:szCs w:val="26"/>
          <w:rtl/>
        </w:rPr>
        <w:t xml:space="preserve"> </w:t>
      </w:r>
      <w:r w:rsidRPr="00861D72">
        <w:rPr>
          <w:rFonts w:eastAsia="Times New Roman" w:hint="eastAsia"/>
          <w:bCs/>
          <w:szCs w:val="26"/>
          <w:rtl/>
        </w:rPr>
        <w:t>ותכנון</w:t>
      </w:r>
      <w:r w:rsidRPr="00861D72">
        <w:rPr>
          <w:rFonts w:eastAsia="Times New Roman" w:hint="cs"/>
          <w:bCs/>
          <w:szCs w:val="26"/>
          <w:rtl/>
        </w:rPr>
        <w:t xml:space="preserve"> וכן לצורך מיצוי זכויות הזקנים</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ascii="David" w:eastAsia="Calibri" w:hAnsi="David"/>
          <w:rtl/>
        </w:rPr>
      </w:pPr>
      <w:r w:rsidRPr="00861D72">
        <w:rPr>
          <w:rFonts w:ascii="David" w:eastAsia="Calibri" w:hAnsi="David"/>
          <w:rtl/>
        </w:rPr>
        <w:t xml:space="preserve">העברת מידע בין גופים ציבוריים </w:t>
      </w:r>
      <w:r w:rsidRPr="00861D72">
        <w:rPr>
          <w:rFonts w:ascii="David" w:eastAsia="Calibri" w:hAnsi="David" w:hint="cs"/>
          <w:rtl/>
        </w:rPr>
        <w:t>הוא</w:t>
      </w:r>
      <w:r w:rsidRPr="00861D72">
        <w:rPr>
          <w:rFonts w:ascii="David" w:eastAsia="Calibri" w:hAnsi="David"/>
          <w:rtl/>
        </w:rPr>
        <w:t xml:space="preserve"> מרכיב מרכזי בפיתוח ו</w:t>
      </w:r>
      <w:r w:rsidRPr="00861D72">
        <w:rPr>
          <w:rFonts w:ascii="David" w:eastAsia="Calibri" w:hAnsi="David" w:hint="cs"/>
          <w:rtl/>
        </w:rPr>
        <w:t>ב</w:t>
      </w:r>
      <w:r w:rsidRPr="00861D72">
        <w:rPr>
          <w:rFonts w:ascii="David" w:eastAsia="Calibri" w:hAnsi="David"/>
          <w:rtl/>
        </w:rPr>
        <w:t>יישום של מדיניות ציבורית אפקטיבית, במיוחד בהקשרים של שיפור השירותים לאזרח. החלטות ממשלה</w:t>
      </w:r>
      <w:r>
        <w:rPr>
          <w:rFonts w:ascii="David" w:eastAsia="Calibri" w:hAnsi="David"/>
          <w:vertAlign w:val="superscript"/>
          <w:rtl/>
        </w:rPr>
        <w:footnoteReference w:id="128"/>
      </w:r>
      <w:r w:rsidRPr="00861D72">
        <w:rPr>
          <w:rFonts w:ascii="David" w:eastAsia="Calibri" w:hAnsi="David"/>
          <w:rtl/>
        </w:rPr>
        <w:t xml:space="preserve">, </w:t>
      </w:r>
      <w:r w:rsidRPr="00861D72">
        <w:rPr>
          <w:rFonts w:ascii="David" w:eastAsia="Calibri" w:hAnsi="David" w:hint="cs"/>
          <w:rtl/>
        </w:rPr>
        <w:t>חוק הגנת הפרטיות</w:t>
      </w:r>
      <w:r>
        <w:rPr>
          <w:rFonts w:ascii="David" w:eastAsia="Calibri" w:hAnsi="David"/>
          <w:vertAlign w:val="superscript"/>
          <w:rtl/>
        </w:rPr>
        <w:footnoteReference w:id="129"/>
      </w:r>
      <w:r w:rsidRPr="00861D72">
        <w:rPr>
          <w:rFonts w:ascii="David" w:eastAsia="Calibri" w:hAnsi="David" w:hint="cs"/>
          <w:rtl/>
        </w:rPr>
        <w:t xml:space="preserve">, </w:t>
      </w:r>
      <w:r w:rsidRPr="00861D72">
        <w:rPr>
          <w:rFonts w:ascii="David" w:eastAsia="Calibri" w:hAnsi="David"/>
          <w:rtl/>
        </w:rPr>
        <w:t>דוחות הרשות להגנת הפרטיות</w:t>
      </w:r>
      <w:r>
        <w:rPr>
          <w:rFonts w:ascii="David" w:eastAsia="Calibri" w:hAnsi="David"/>
          <w:vertAlign w:val="superscript"/>
          <w:rtl/>
        </w:rPr>
        <w:footnoteReference w:id="130"/>
      </w:r>
      <w:r w:rsidRPr="00861D72">
        <w:rPr>
          <w:rFonts w:ascii="David" w:eastAsia="Calibri" w:hAnsi="David"/>
          <w:rtl/>
        </w:rPr>
        <w:t xml:space="preserve"> והנחיות המשנה ליועץ המשפטי לממשלה</w:t>
      </w:r>
      <w:r>
        <w:rPr>
          <w:rFonts w:ascii="David" w:eastAsia="Calibri" w:hAnsi="David"/>
          <w:vertAlign w:val="superscript"/>
          <w:rtl/>
        </w:rPr>
        <w:footnoteReference w:id="131"/>
      </w:r>
      <w:r w:rsidRPr="00861D72">
        <w:rPr>
          <w:rFonts w:ascii="David" w:eastAsia="Calibri" w:hAnsi="David" w:hint="cs"/>
          <w:rtl/>
        </w:rPr>
        <w:t xml:space="preserve"> </w:t>
      </w:r>
      <w:r w:rsidRPr="00861D72">
        <w:rPr>
          <w:rFonts w:ascii="David" w:eastAsia="Calibri" w:hAnsi="David"/>
          <w:rtl/>
        </w:rPr>
        <w:t>מדגישות את הצורך בהסדר</w:t>
      </w:r>
      <w:r w:rsidRPr="00861D72">
        <w:rPr>
          <w:rFonts w:ascii="David" w:eastAsia="Calibri" w:hAnsi="David" w:hint="cs"/>
          <w:rtl/>
        </w:rPr>
        <w:t>ה של</w:t>
      </w:r>
      <w:r w:rsidRPr="00861D72">
        <w:rPr>
          <w:rFonts w:ascii="David" w:eastAsia="Calibri" w:hAnsi="David"/>
          <w:rtl/>
        </w:rPr>
        <w:t xml:space="preserve"> העברת מידע בצורה מסודרת ובטוחה</w:t>
      </w:r>
      <w:r w:rsidRPr="00861D72">
        <w:rPr>
          <w:rFonts w:ascii="David" w:eastAsia="Calibri" w:hAnsi="David" w:hint="cs"/>
          <w:rtl/>
        </w:rPr>
        <w:t>, ומסדירות את סדרי העברת המידע בין גופים ציבוריים</w:t>
      </w:r>
      <w:r w:rsidRPr="00861D72">
        <w:rPr>
          <w:rFonts w:ascii="David" w:eastAsia="Calibri" w:hAnsi="David"/>
          <w:rtl/>
        </w:rPr>
        <w:t xml:space="preserve">. </w:t>
      </w:r>
    </w:p>
    <w:p w:rsidR="00861D72" w:rsidRPr="00861D72" w:rsidP="00F90255">
      <w:pPr>
        <w:spacing w:line="269" w:lineRule="auto"/>
        <w:rPr>
          <w:rFonts w:ascii="David" w:eastAsia="Calibri" w:hAnsi="David"/>
          <w:rtl/>
        </w:rPr>
      </w:pPr>
    </w:p>
    <w:p w:rsidR="00861D72" w:rsidRPr="00861D72" w:rsidP="00F90255">
      <w:pPr>
        <w:keepNext/>
        <w:keepLines/>
        <w:spacing w:line="269" w:lineRule="auto"/>
        <w:outlineLvl w:val="4"/>
        <w:rPr>
          <w:rFonts w:eastAsia="Times New Roman"/>
          <w:bCs/>
          <w:spacing w:val="40"/>
          <w:rtl/>
        </w:rPr>
      </w:pPr>
      <w:r w:rsidRPr="00861D72">
        <w:rPr>
          <w:rFonts w:eastAsia="Times New Roman" w:hint="cs"/>
          <w:bCs/>
          <w:spacing w:val="40"/>
          <w:rtl/>
        </w:rPr>
        <w:t xml:space="preserve">היעדר העברת המידע פוגע ביכולת לגבש מדיניות ולפתח שירותים לזקנים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ascii="David" w:eastAsia="Calibri" w:hAnsi="David"/>
          <w:rtl/>
        </w:rPr>
        <w:t>המידע, אשר ברוב המקרים מצוי במאגרים של גופים ציבוריים שונים, יכול לשמש בסיס לפיתוח שירותים חדשים ו</w:t>
      </w:r>
      <w:r w:rsidRPr="00861D72">
        <w:rPr>
          <w:rFonts w:ascii="David" w:eastAsia="Calibri" w:hAnsi="David" w:hint="cs"/>
          <w:rtl/>
        </w:rPr>
        <w:t>ל</w:t>
      </w:r>
      <w:r w:rsidRPr="00861D72">
        <w:rPr>
          <w:rFonts w:ascii="David" w:eastAsia="Calibri" w:hAnsi="David"/>
          <w:rtl/>
        </w:rPr>
        <w:t xml:space="preserve">ייעול השירותים הקיימים. </w:t>
      </w:r>
      <w:r w:rsidRPr="00861D72">
        <w:rPr>
          <w:rFonts w:ascii="David" w:eastAsia="Calibri" w:hAnsi="David" w:hint="cs"/>
          <w:rtl/>
        </w:rPr>
        <w:t>כמו כן הוא מאפשר</w:t>
      </w:r>
      <w:r w:rsidRPr="00861D72">
        <w:rPr>
          <w:rFonts w:ascii="David" w:eastAsia="Calibri" w:hAnsi="David"/>
          <w:rtl/>
        </w:rPr>
        <w:t xml:space="preserve"> למשרדים השונים לפתח מדיניות מותאמת המבוססת על נתונים עדכניים ואמינים</w:t>
      </w:r>
      <w:r w:rsidRPr="00861D72">
        <w:rPr>
          <w:rFonts w:ascii="David" w:eastAsia="Calibri" w:hAnsi="David" w:hint="cs"/>
          <w:rtl/>
        </w:rPr>
        <w:t xml:space="preserve"> ולתאם</w:t>
      </w:r>
      <w:r w:rsidRPr="00861D72">
        <w:rPr>
          <w:rFonts w:ascii="David" w:eastAsia="Calibri" w:hAnsi="David"/>
          <w:rtl/>
        </w:rPr>
        <w:t xml:space="preserve"> בין כל הגורמים הרלוונטיים</w:t>
      </w:r>
      <w:r w:rsidRPr="00861D72">
        <w:rPr>
          <w:rFonts w:ascii="David" w:eastAsia="Calibri" w:hAnsi="David" w:hint="cs"/>
          <w:rtl/>
        </w:rPr>
        <w:t>.</w:t>
      </w:r>
      <w:r w:rsidRPr="00861D72">
        <w:rPr>
          <w:rFonts w:ascii="David" w:eastAsia="Calibri" w:hAnsi="David"/>
          <w:rtl/>
        </w:rPr>
        <w:t xml:space="preserve"> </w:t>
      </w:r>
      <w:r w:rsidRPr="00861D72">
        <w:rPr>
          <w:rFonts w:ascii="David" w:eastAsia="Calibri" w:hAnsi="David" w:hint="cs"/>
          <w:rtl/>
        </w:rPr>
        <w:t xml:space="preserve">תיאום זה </w:t>
      </w:r>
      <w:r w:rsidRPr="00861D72">
        <w:rPr>
          <w:rFonts w:ascii="David" w:eastAsia="Calibri" w:hAnsi="David"/>
          <w:rtl/>
        </w:rPr>
        <w:t xml:space="preserve">מוביל לשיפור בתהליכי קבלת החלטות, </w:t>
      </w:r>
      <w:r w:rsidRPr="00861D72">
        <w:rPr>
          <w:rFonts w:ascii="David" w:eastAsia="Calibri" w:hAnsi="David" w:hint="cs"/>
          <w:rtl/>
        </w:rPr>
        <w:t>ל</w:t>
      </w:r>
      <w:r w:rsidRPr="00861D72">
        <w:rPr>
          <w:rFonts w:ascii="David" w:eastAsia="Calibri" w:hAnsi="David"/>
          <w:rtl/>
        </w:rPr>
        <w:t>תיאום ו</w:t>
      </w:r>
      <w:r w:rsidRPr="00861D72">
        <w:rPr>
          <w:rFonts w:ascii="David" w:eastAsia="Calibri" w:hAnsi="David" w:hint="cs"/>
          <w:rtl/>
        </w:rPr>
        <w:t>ל</w:t>
      </w:r>
      <w:r w:rsidRPr="00861D72">
        <w:rPr>
          <w:rFonts w:ascii="David" w:eastAsia="Calibri" w:hAnsi="David"/>
          <w:rtl/>
        </w:rPr>
        <w:t>שיתוף פעולה בין גופים ציבוריים</w:t>
      </w:r>
      <w:r>
        <w:rPr>
          <w:rFonts w:ascii="David" w:eastAsia="Calibri" w:hAnsi="David"/>
          <w:vertAlign w:val="superscript"/>
          <w:rtl/>
        </w:rPr>
        <w:footnoteReference w:id="132"/>
      </w:r>
      <w:r w:rsidRPr="00861D72">
        <w:rPr>
          <w:rFonts w:ascii="David" w:eastAsia="Calibri" w:hAnsi="David"/>
          <w:rtl/>
        </w:rPr>
        <w:t xml:space="preserve">. </w:t>
      </w:r>
      <w:r w:rsidRPr="00861D72">
        <w:rPr>
          <w:rFonts w:ascii="David" w:eastAsia="Calibri" w:hAnsi="David" w:hint="cs"/>
          <w:rtl/>
        </w:rPr>
        <w:t>בכך משמשת העברת המידע</w:t>
      </w:r>
      <w:r w:rsidRPr="00861D72">
        <w:rPr>
          <w:rFonts w:ascii="David" w:eastAsia="Calibri" w:hAnsi="David"/>
          <w:rtl/>
        </w:rPr>
        <w:t xml:space="preserve"> אמצעי מרכזי בשיפור היעילות הציבורית ו</w:t>
      </w:r>
      <w:r w:rsidRPr="00861D72">
        <w:rPr>
          <w:rFonts w:ascii="David" w:eastAsia="Calibri" w:hAnsi="David" w:hint="cs"/>
          <w:rtl/>
        </w:rPr>
        <w:t>ב</w:t>
      </w:r>
      <w:r w:rsidRPr="00861D72">
        <w:rPr>
          <w:rFonts w:ascii="David" w:eastAsia="Calibri" w:hAnsi="David"/>
          <w:rtl/>
        </w:rPr>
        <w:t>הגברת השירות לאזרח</w:t>
      </w:r>
      <w:r w:rsidRPr="00861D72">
        <w:rPr>
          <w:rFonts w:eastAsia="Calibri" w:hint="cs"/>
          <w:rt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eastAsia"/>
          <w:sz w:val="24"/>
          <w:rtl/>
        </w:rPr>
        <w:t>החשיבות</w:t>
      </w:r>
      <w:r w:rsidRPr="00861D72">
        <w:rPr>
          <w:rFonts w:eastAsia="Calibri"/>
          <w:sz w:val="24"/>
          <w:rtl/>
        </w:rPr>
        <w:t xml:space="preserve"> </w:t>
      </w:r>
      <w:r w:rsidRPr="00861D72">
        <w:rPr>
          <w:rFonts w:eastAsia="Calibri" w:hint="eastAsia"/>
          <w:sz w:val="24"/>
          <w:rtl/>
        </w:rPr>
        <w:t>של</w:t>
      </w:r>
      <w:r w:rsidRPr="00861D72">
        <w:rPr>
          <w:rFonts w:eastAsia="Calibri"/>
          <w:sz w:val="24"/>
          <w:rtl/>
        </w:rPr>
        <w:t xml:space="preserve"> </w:t>
      </w:r>
      <w:r w:rsidRPr="00861D72">
        <w:rPr>
          <w:rFonts w:eastAsia="Calibri" w:hint="eastAsia"/>
          <w:sz w:val="24"/>
          <w:rtl/>
        </w:rPr>
        <w:t>העברת</w:t>
      </w:r>
      <w:r w:rsidRPr="00861D72">
        <w:rPr>
          <w:rFonts w:eastAsia="Calibri"/>
          <w:sz w:val="24"/>
          <w:rtl/>
        </w:rPr>
        <w:t xml:space="preserve"> </w:t>
      </w:r>
      <w:r w:rsidRPr="00861D72">
        <w:rPr>
          <w:rFonts w:eastAsia="Calibri" w:hint="eastAsia"/>
          <w:sz w:val="24"/>
          <w:rtl/>
        </w:rPr>
        <w:t>נתונים</w:t>
      </w:r>
      <w:r w:rsidRPr="00861D72">
        <w:rPr>
          <w:rFonts w:eastAsia="Calibri"/>
          <w:sz w:val="24"/>
          <w:rtl/>
        </w:rPr>
        <w:t xml:space="preserve"> </w:t>
      </w:r>
      <w:r w:rsidRPr="00861D72">
        <w:rPr>
          <w:rFonts w:eastAsia="Calibri" w:hint="eastAsia"/>
          <w:sz w:val="24"/>
          <w:rtl/>
        </w:rPr>
        <w:t>בהקשר</w:t>
      </w:r>
      <w:r w:rsidRPr="00861D72">
        <w:rPr>
          <w:rFonts w:eastAsia="Calibri"/>
          <w:sz w:val="24"/>
          <w:rtl/>
        </w:rPr>
        <w:t xml:space="preserve"> </w:t>
      </w:r>
      <w:r w:rsidRPr="00861D72">
        <w:rPr>
          <w:rFonts w:eastAsia="Calibri" w:hint="eastAsia"/>
          <w:sz w:val="24"/>
          <w:rtl/>
        </w:rPr>
        <w:t>של</w:t>
      </w:r>
      <w:r w:rsidRPr="00861D72">
        <w:rPr>
          <w:rFonts w:eastAsia="Calibri"/>
          <w:sz w:val="24"/>
          <w:rtl/>
        </w:rPr>
        <w:t xml:space="preserve"> </w:t>
      </w:r>
      <w:r w:rsidRPr="00861D72">
        <w:rPr>
          <w:rFonts w:eastAsia="Calibri" w:hint="eastAsia"/>
          <w:sz w:val="24"/>
          <w:rtl/>
        </w:rPr>
        <w:t>ה</w:t>
      </w:r>
      <w:r w:rsidRPr="00861D72">
        <w:rPr>
          <w:rFonts w:eastAsia="Calibri" w:hint="cs"/>
          <w:sz w:val="24"/>
          <w:rtl/>
        </w:rPr>
        <w:t>י</w:t>
      </w:r>
      <w:r w:rsidRPr="00861D72">
        <w:rPr>
          <w:rFonts w:eastAsia="Calibri" w:hint="eastAsia"/>
          <w:sz w:val="24"/>
          <w:rtl/>
        </w:rPr>
        <w:t>ערכות</w:t>
      </w:r>
      <w:r w:rsidRPr="00861D72">
        <w:rPr>
          <w:rFonts w:eastAsia="Calibri"/>
          <w:sz w:val="24"/>
          <w:rtl/>
        </w:rPr>
        <w:t xml:space="preserve"> </w:t>
      </w:r>
      <w:r w:rsidRPr="00861D72">
        <w:rPr>
          <w:rFonts w:eastAsia="Calibri" w:hint="eastAsia"/>
          <w:sz w:val="24"/>
          <w:rtl/>
        </w:rPr>
        <w:t>להזדקנות</w:t>
      </w:r>
      <w:r w:rsidRPr="00861D72">
        <w:rPr>
          <w:rFonts w:eastAsia="Calibri"/>
          <w:sz w:val="24"/>
          <w:rtl/>
        </w:rPr>
        <w:t xml:space="preserve"> </w:t>
      </w:r>
      <w:r w:rsidRPr="00861D72">
        <w:rPr>
          <w:rFonts w:eastAsia="Calibri" w:hint="eastAsia"/>
          <w:sz w:val="24"/>
          <w:rtl/>
        </w:rPr>
        <w:t>האוכלוסייה</w:t>
      </w:r>
      <w:r w:rsidRPr="00861D72">
        <w:rPr>
          <w:rFonts w:eastAsia="Calibri"/>
          <w:sz w:val="24"/>
          <w:rtl/>
        </w:rPr>
        <w:t xml:space="preserve"> ומתן שירות לאזרחים ותיקים </w:t>
      </w:r>
      <w:r w:rsidRPr="00861D72">
        <w:rPr>
          <w:rFonts w:eastAsia="Calibri" w:hint="eastAsia"/>
          <w:sz w:val="24"/>
          <w:rtl/>
        </w:rPr>
        <w:t>הוזכרה</w:t>
      </w:r>
      <w:r w:rsidRPr="00861D72">
        <w:rPr>
          <w:rFonts w:eastAsia="Calibri"/>
          <w:sz w:val="24"/>
          <w:rtl/>
        </w:rPr>
        <w:t xml:space="preserve"> </w:t>
      </w:r>
      <w:r w:rsidRPr="00861D72">
        <w:rPr>
          <w:rFonts w:eastAsia="Calibri" w:hint="eastAsia"/>
          <w:sz w:val="24"/>
          <w:rtl/>
        </w:rPr>
        <w:t>לא</w:t>
      </w:r>
      <w:r w:rsidRPr="00861D72">
        <w:rPr>
          <w:rFonts w:eastAsia="Calibri"/>
          <w:sz w:val="24"/>
          <w:rtl/>
        </w:rPr>
        <w:t xml:space="preserve"> </w:t>
      </w:r>
      <w:r w:rsidRPr="00861D72">
        <w:rPr>
          <w:rFonts w:eastAsia="Calibri" w:hint="eastAsia"/>
          <w:sz w:val="24"/>
          <w:rtl/>
        </w:rPr>
        <w:t>אחת</w:t>
      </w:r>
      <w:r w:rsidRPr="00861D72">
        <w:rPr>
          <w:rFonts w:eastAsia="Calibri"/>
          <w:sz w:val="24"/>
          <w:rtl/>
        </w:rPr>
        <w:t xml:space="preserve">. </w:t>
      </w:r>
      <w:r w:rsidRPr="00861D72">
        <w:rPr>
          <w:rFonts w:eastAsia="Calibri" w:hint="eastAsia"/>
          <w:sz w:val="24"/>
          <w:rtl/>
        </w:rPr>
        <w:t>בדוח</w:t>
      </w:r>
      <w:r w:rsidRPr="00861D72">
        <w:rPr>
          <w:rFonts w:eastAsia="Calibri"/>
          <w:sz w:val="24"/>
          <w:rtl/>
        </w:rPr>
        <w:t xml:space="preserve"> </w:t>
      </w:r>
      <w:r w:rsidRPr="00861D72">
        <w:rPr>
          <w:rFonts w:eastAsia="Calibri" w:hint="eastAsia"/>
          <w:sz w:val="24"/>
          <w:rtl/>
        </w:rPr>
        <w:t>הביניים</w:t>
      </w:r>
      <w:r w:rsidRPr="00861D72">
        <w:rPr>
          <w:rFonts w:eastAsia="Calibri"/>
          <w:sz w:val="24"/>
          <w:rtl/>
        </w:rPr>
        <w:t xml:space="preserve"> </w:t>
      </w:r>
      <w:r w:rsidRPr="00861D72">
        <w:rPr>
          <w:rFonts w:eastAsia="Calibri" w:hint="eastAsia"/>
          <w:sz w:val="24"/>
          <w:rtl/>
        </w:rPr>
        <w:t>של</w:t>
      </w:r>
      <w:r w:rsidRPr="00861D72">
        <w:rPr>
          <w:rFonts w:eastAsia="Calibri"/>
          <w:sz w:val="24"/>
          <w:rtl/>
        </w:rPr>
        <w:t xml:space="preserve"> </w:t>
      </w:r>
      <w:r w:rsidRPr="00861D72">
        <w:rPr>
          <w:rFonts w:eastAsia="Calibri" w:hint="eastAsia"/>
          <w:sz w:val="24"/>
          <w:rtl/>
        </w:rPr>
        <w:t>הוועדה</w:t>
      </w:r>
      <w:r w:rsidRPr="00861D72">
        <w:rPr>
          <w:rFonts w:eastAsia="Calibri"/>
          <w:sz w:val="24"/>
          <w:rtl/>
        </w:rPr>
        <w:t xml:space="preserve"> </w:t>
      </w:r>
      <w:r w:rsidRPr="00861D72">
        <w:rPr>
          <w:rFonts w:eastAsia="Calibri" w:hint="eastAsia"/>
          <w:sz w:val="24"/>
          <w:rtl/>
        </w:rPr>
        <w:t>המשותפת</w:t>
      </w:r>
      <w:r w:rsidRPr="00861D72">
        <w:rPr>
          <w:rFonts w:eastAsia="Calibri"/>
          <w:sz w:val="24"/>
          <w:rtl/>
        </w:rPr>
        <w:t xml:space="preserve"> </w:t>
      </w:r>
      <w:r w:rsidRPr="00861D72">
        <w:rPr>
          <w:rFonts w:eastAsia="Calibri" w:hint="cs"/>
          <w:sz w:val="24"/>
          <w:rtl/>
        </w:rPr>
        <w:t xml:space="preserve">של </w:t>
      </w:r>
      <w:r w:rsidRPr="00861D72">
        <w:rPr>
          <w:rFonts w:eastAsia="Calibri" w:hint="eastAsia"/>
          <w:sz w:val="24"/>
          <w:rtl/>
        </w:rPr>
        <w:t>ועדת</w:t>
      </w:r>
      <w:r w:rsidRPr="00861D72">
        <w:rPr>
          <w:rFonts w:eastAsia="Calibri"/>
          <w:sz w:val="24"/>
          <w:rtl/>
        </w:rPr>
        <w:t xml:space="preserve"> העבודה, הרווחה והבריאות </w:t>
      </w:r>
      <w:r w:rsidRPr="00861D72">
        <w:rPr>
          <w:rFonts w:eastAsia="Calibri" w:hint="eastAsia"/>
          <w:sz w:val="24"/>
          <w:rtl/>
        </w:rPr>
        <w:t>ו</w:t>
      </w:r>
      <w:r w:rsidRPr="00861D72">
        <w:rPr>
          <w:rFonts w:eastAsia="Calibri" w:hint="cs"/>
          <w:sz w:val="24"/>
          <w:rtl/>
        </w:rPr>
        <w:t xml:space="preserve">של </w:t>
      </w:r>
      <w:r w:rsidRPr="00861D72">
        <w:rPr>
          <w:rFonts w:eastAsia="Calibri" w:hint="eastAsia"/>
          <w:sz w:val="24"/>
          <w:rtl/>
        </w:rPr>
        <w:t>ועדת</w:t>
      </w:r>
      <w:r w:rsidRPr="00861D72">
        <w:rPr>
          <w:rFonts w:eastAsia="Calibri"/>
          <w:sz w:val="24"/>
          <w:rtl/>
        </w:rPr>
        <w:t xml:space="preserve"> הכלכלה לדיון בהצעה ל</w:t>
      </w:r>
      <w:r w:rsidRPr="00861D72">
        <w:rPr>
          <w:rFonts w:eastAsia="Calibri" w:hint="cs"/>
          <w:sz w:val="24"/>
          <w:rtl/>
        </w:rPr>
        <w:t>ס</w:t>
      </w:r>
      <w:r w:rsidRPr="00861D72">
        <w:rPr>
          <w:rFonts w:eastAsia="Calibri"/>
          <w:sz w:val="24"/>
          <w:rtl/>
        </w:rPr>
        <w:t xml:space="preserve">דר היום בנושא בניית </w:t>
      </w:r>
      <w:r w:rsidRPr="00861D72">
        <w:rPr>
          <w:rFonts w:eastAsia="Calibri" w:hint="eastAsia"/>
          <w:sz w:val="24"/>
          <w:rtl/>
        </w:rPr>
        <w:t>תוכנית</w:t>
      </w:r>
      <w:r w:rsidRPr="00861D72">
        <w:rPr>
          <w:rFonts w:eastAsia="Calibri"/>
          <w:sz w:val="24"/>
          <w:rtl/>
        </w:rPr>
        <w:t xml:space="preserve"> אב-לאומית בתחום הזקנה משנת 2018 </w:t>
      </w:r>
      <w:r w:rsidRPr="00861D72">
        <w:rPr>
          <w:rFonts w:eastAsia="Calibri" w:hint="eastAsia"/>
          <w:sz w:val="24"/>
          <w:rtl/>
        </w:rPr>
        <w:t>הומלץ</w:t>
      </w:r>
      <w:r w:rsidRPr="00861D72">
        <w:rPr>
          <w:rFonts w:eastAsia="Calibri"/>
          <w:sz w:val="24"/>
          <w:rtl/>
        </w:rPr>
        <w:t xml:space="preserve"> </w:t>
      </w:r>
      <w:r w:rsidRPr="00861D72">
        <w:rPr>
          <w:rFonts w:eastAsia="Calibri" w:hint="eastAsia"/>
          <w:sz w:val="24"/>
          <w:rtl/>
        </w:rPr>
        <w:t>ליצור</w:t>
      </w:r>
      <w:r w:rsidRPr="00861D72">
        <w:rPr>
          <w:rFonts w:eastAsia="Calibri"/>
          <w:sz w:val="24"/>
          <w:rtl/>
        </w:rPr>
        <w:t xml:space="preserve"> </w:t>
      </w:r>
      <w:r w:rsidRPr="00861D72">
        <w:rPr>
          <w:rFonts w:eastAsia="Calibri" w:hint="eastAsia"/>
          <w:sz w:val="24"/>
          <w:rtl/>
        </w:rPr>
        <w:t>אינטגרציה</w:t>
      </w:r>
      <w:r w:rsidRPr="00861D72">
        <w:rPr>
          <w:rFonts w:eastAsia="Calibri"/>
          <w:sz w:val="24"/>
          <w:rtl/>
        </w:rPr>
        <w:t xml:space="preserve"> </w:t>
      </w:r>
      <w:r w:rsidRPr="00861D72">
        <w:rPr>
          <w:rFonts w:eastAsia="Calibri" w:hint="eastAsia"/>
          <w:sz w:val="24"/>
          <w:rtl/>
        </w:rPr>
        <w:t>של</w:t>
      </w:r>
      <w:r w:rsidRPr="00861D72">
        <w:rPr>
          <w:rFonts w:eastAsia="Calibri"/>
          <w:sz w:val="24"/>
          <w:rtl/>
        </w:rPr>
        <w:t xml:space="preserve"> </w:t>
      </w:r>
      <w:r w:rsidRPr="00861D72">
        <w:rPr>
          <w:rFonts w:eastAsia="Calibri" w:hint="eastAsia"/>
          <w:sz w:val="24"/>
          <w:rtl/>
        </w:rPr>
        <w:t>מערכות</w:t>
      </w:r>
      <w:r w:rsidRPr="00861D72">
        <w:rPr>
          <w:rFonts w:eastAsia="Calibri"/>
          <w:sz w:val="24"/>
          <w:rtl/>
        </w:rPr>
        <w:t xml:space="preserve"> </w:t>
      </w:r>
      <w:r w:rsidRPr="00861D72">
        <w:rPr>
          <w:rFonts w:eastAsia="Calibri" w:hint="eastAsia"/>
          <w:sz w:val="24"/>
          <w:rtl/>
        </w:rPr>
        <w:t>המידע</w:t>
      </w:r>
      <w:r w:rsidRPr="00861D72">
        <w:rPr>
          <w:rFonts w:eastAsia="Calibri"/>
          <w:sz w:val="24"/>
          <w:rtl/>
        </w:rPr>
        <w:t xml:space="preserve"> </w:t>
      </w:r>
      <w:r w:rsidRPr="00861D72">
        <w:rPr>
          <w:rFonts w:eastAsia="Calibri" w:hint="eastAsia"/>
          <w:sz w:val="24"/>
          <w:rtl/>
        </w:rPr>
        <w:t>בדבר</w:t>
      </w:r>
      <w:r w:rsidRPr="00861D72">
        <w:rPr>
          <w:rFonts w:eastAsia="Calibri"/>
          <w:sz w:val="24"/>
          <w:rtl/>
        </w:rPr>
        <w:t xml:space="preserve"> </w:t>
      </w:r>
      <w:r w:rsidRPr="00861D72">
        <w:rPr>
          <w:rFonts w:eastAsia="Calibri" w:hint="eastAsia"/>
          <w:sz w:val="24"/>
          <w:rtl/>
        </w:rPr>
        <w:t>זכויות</w:t>
      </w:r>
      <w:r w:rsidRPr="00861D72">
        <w:rPr>
          <w:rFonts w:eastAsia="Calibri"/>
          <w:sz w:val="24"/>
          <w:rtl/>
        </w:rPr>
        <w:t xml:space="preserve"> </w:t>
      </w:r>
      <w:r w:rsidRPr="00861D72">
        <w:rPr>
          <w:rFonts w:eastAsia="Calibri" w:hint="eastAsia"/>
          <w:sz w:val="24"/>
          <w:rtl/>
        </w:rPr>
        <w:t>ושירותים</w:t>
      </w:r>
      <w:r w:rsidRPr="00861D72">
        <w:rPr>
          <w:rFonts w:eastAsia="Calibri"/>
          <w:sz w:val="24"/>
          <w:rtl/>
        </w:rPr>
        <w:t xml:space="preserve"> </w:t>
      </w:r>
      <w:r w:rsidRPr="00861D72">
        <w:rPr>
          <w:rFonts w:eastAsia="Calibri" w:hint="eastAsia"/>
          <w:sz w:val="24"/>
          <w:rtl/>
        </w:rPr>
        <w:t>לאזרחים</w:t>
      </w:r>
      <w:r w:rsidRPr="00861D72">
        <w:rPr>
          <w:rFonts w:eastAsia="Calibri"/>
          <w:sz w:val="24"/>
          <w:rtl/>
        </w:rPr>
        <w:t xml:space="preserve"> </w:t>
      </w:r>
      <w:r w:rsidRPr="00861D72">
        <w:rPr>
          <w:rFonts w:eastAsia="Calibri" w:hint="eastAsia"/>
          <w:sz w:val="24"/>
          <w:rtl/>
        </w:rPr>
        <w:t>ותיקים</w:t>
      </w:r>
      <w:r>
        <w:rPr>
          <w:rFonts w:eastAsia="Calibri"/>
          <w:vertAlign w:val="superscript"/>
          <w:rtl/>
        </w:rPr>
        <w:footnoteReference w:id="133"/>
      </w:r>
      <w:r w:rsidRPr="00861D72">
        <w:rPr>
          <w:rFonts w:eastAsia="Calibri" w:hint="cs"/>
          <w:rtl/>
        </w:rPr>
        <w:t xml:space="preserve">. </w:t>
      </w:r>
      <w:r w:rsidRPr="00861D72">
        <w:rPr>
          <w:rFonts w:eastAsia="Calibri" w:hint="eastAsia"/>
          <w:sz w:val="24"/>
          <w:rtl/>
        </w:rPr>
        <w:t>גם</w:t>
      </w:r>
      <w:r w:rsidRPr="00861D72">
        <w:rPr>
          <w:rFonts w:eastAsia="Calibri"/>
          <w:sz w:val="24"/>
          <w:rtl/>
        </w:rPr>
        <w:t xml:space="preserve"> פורום </w:t>
      </w:r>
      <w:r w:rsidRPr="00861D72">
        <w:rPr>
          <w:rFonts w:eastAsia="Calibri" w:hint="eastAsia"/>
          <w:sz w:val="24"/>
          <w:rtl/>
        </w:rPr>
        <w:t>בר</w:t>
      </w:r>
      <w:r w:rsidRPr="00861D72">
        <w:rPr>
          <w:rFonts w:eastAsia="Calibri"/>
          <w:sz w:val="24"/>
          <w:rtl/>
        </w:rPr>
        <w:t>"ק</w:t>
      </w:r>
      <w:r w:rsidRPr="00861D72">
        <w:rPr>
          <w:rFonts w:eastAsia="Calibri"/>
          <w:sz w:val="24"/>
          <w:rtl/>
        </w:rPr>
        <w:t xml:space="preserve"> </w:t>
      </w:r>
      <w:r w:rsidRPr="00861D72">
        <w:rPr>
          <w:rFonts w:eastAsia="Calibri" w:hint="eastAsia"/>
          <w:sz w:val="24"/>
          <w:rtl/>
        </w:rPr>
        <w:t>ציין</w:t>
      </w:r>
      <w:r w:rsidRPr="00861D72">
        <w:rPr>
          <w:rFonts w:eastAsia="Calibri"/>
          <w:sz w:val="24"/>
          <w:rtl/>
        </w:rPr>
        <w:t xml:space="preserve"> </w:t>
      </w:r>
      <w:r w:rsidRPr="00861D72">
        <w:rPr>
          <w:rFonts w:eastAsia="Calibri" w:hint="eastAsia"/>
          <w:sz w:val="24"/>
          <w:rtl/>
        </w:rPr>
        <w:t>את</w:t>
      </w:r>
      <w:r w:rsidRPr="00861D72">
        <w:rPr>
          <w:rFonts w:eastAsia="Calibri"/>
          <w:sz w:val="24"/>
          <w:rtl/>
        </w:rPr>
        <w:t xml:space="preserve"> </w:t>
      </w:r>
      <w:r w:rsidRPr="00861D72">
        <w:rPr>
          <w:rFonts w:eastAsia="Calibri" w:hint="cs"/>
          <w:sz w:val="24"/>
          <w:rtl/>
        </w:rPr>
        <w:t>ה</w:t>
      </w:r>
      <w:r w:rsidRPr="00861D72">
        <w:rPr>
          <w:rFonts w:eastAsia="Calibri" w:hint="eastAsia"/>
          <w:sz w:val="24"/>
          <w:rtl/>
        </w:rPr>
        <w:t>חשיבות</w:t>
      </w:r>
      <w:r w:rsidRPr="00861D72">
        <w:rPr>
          <w:rFonts w:eastAsia="Calibri"/>
          <w:sz w:val="24"/>
          <w:rtl/>
        </w:rPr>
        <w:t xml:space="preserve"> </w:t>
      </w:r>
      <w:r w:rsidRPr="00861D72">
        <w:rPr>
          <w:rFonts w:eastAsia="Calibri" w:hint="cs"/>
          <w:sz w:val="24"/>
          <w:rtl/>
        </w:rPr>
        <w:t>ב</w:t>
      </w:r>
      <w:r w:rsidRPr="00861D72">
        <w:rPr>
          <w:rFonts w:eastAsia="Calibri" w:hint="eastAsia"/>
          <w:sz w:val="24"/>
          <w:rtl/>
        </w:rPr>
        <w:t>העברת</w:t>
      </w:r>
      <w:r w:rsidRPr="00861D72">
        <w:rPr>
          <w:rFonts w:eastAsia="Calibri"/>
          <w:sz w:val="24"/>
          <w:rtl/>
        </w:rPr>
        <w:t xml:space="preserve"> </w:t>
      </w:r>
      <w:r w:rsidRPr="00861D72">
        <w:rPr>
          <w:rFonts w:eastAsia="Calibri" w:hint="eastAsia"/>
          <w:sz w:val="24"/>
          <w:rtl/>
        </w:rPr>
        <w:t>המידע</w:t>
      </w:r>
      <w:r w:rsidRPr="00861D72">
        <w:rPr>
          <w:rFonts w:eastAsia="Calibri"/>
          <w:sz w:val="24"/>
          <w:rtl/>
        </w:rPr>
        <w:t xml:space="preserve"> </w:t>
      </w:r>
      <w:r w:rsidRPr="00861D72">
        <w:rPr>
          <w:rFonts w:eastAsia="Calibri" w:hint="eastAsia"/>
          <w:sz w:val="24"/>
          <w:rtl/>
        </w:rPr>
        <w:t>בין</w:t>
      </w:r>
      <w:r w:rsidRPr="00861D72">
        <w:rPr>
          <w:rFonts w:eastAsia="Calibri"/>
          <w:sz w:val="24"/>
          <w:rtl/>
        </w:rPr>
        <w:t xml:space="preserve"> </w:t>
      </w:r>
      <w:r w:rsidRPr="00861D72">
        <w:rPr>
          <w:rFonts w:eastAsia="Calibri" w:hint="eastAsia"/>
          <w:sz w:val="24"/>
          <w:rtl/>
        </w:rPr>
        <w:t>הגופים</w:t>
      </w:r>
      <w:r w:rsidRPr="00861D72">
        <w:rPr>
          <w:rFonts w:eastAsia="Calibri"/>
          <w:sz w:val="24"/>
          <w:rtl/>
        </w:rPr>
        <w:t xml:space="preserve"> </w:t>
      </w:r>
      <w:r w:rsidRPr="00861D72">
        <w:rPr>
          <w:rFonts w:eastAsia="Calibri" w:hint="eastAsia"/>
          <w:sz w:val="24"/>
          <w:rtl/>
        </w:rPr>
        <w:t>לשם</w:t>
      </w:r>
      <w:r w:rsidRPr="00861D72">
        <w:rPr>
          <w:rFonts w:eastAsia="Calibri"/>
          <w:sz w:val="24"/>
          <w:rtl/>
        </w:rPr>
        <w:t xml:space="preserve"> </w:t>
      </w:r>
      <w:r w:rsidRPr="00861D72">
        <w:rPr>
          <w:rFonts w:eastAsia="Calibri" w:hint="eastAsia"/>
          <w:sz w:val="24"/>
          <w:rtl/>
        </w:rPr>
        <w:t>שיפור</w:t>
      </w:r>
      <w:r w:rsidRPr="00861D72">
        <w:rPr>
          <w:rFonts w:eastAsia="Calibri"/>
          <w:sz w:val="24"/>
          <w:rtl/>
        </w:rPr>
        <w:t xml:space="preserve"> </w:t>
      </w:r>
      <w:r w:rsidRPr="00861D72">
        <w:rPr>
          <w:rFonts w:eastAsia="Calibri" w:hint="eastAsia"/>
          <w:sz w:val="24"/>
          <w:rtl/>
        </w:rPr>
        <w:t>השירות</w:t>
      </w:r>
      <w:r w:rsidRPr="00861D72">
        <w:rPr>
          <w:rFonts w:eastAsia="Calibri"/>
          <w:sz w:val="24"/>
          <w:rtl/>
        </w:rPr>
        <w:t xml:space="preserve">, ויש לו </w:t>
      </w:r>
      <w:r w:rsidRPr="00861D72">
        <w:rPr>
          <w:rFonts w:eastAsia="Calibri" w:hint="cs"/>
          <w:sz w:val="24"/>
          <w:rtl/>
        </w:rPr>
        <w:t xml:space="preserve">אף </w:t>
      </w:r>
      <w:r w:rsidRPr="00861D72">
        <w:rPr>
          <w:rFonts w:eastAsia="Calibri"/>
          <w:sz w:val="24"/>
          <w:rtl/>
        </w:rPr>
        <w:t xml:space="preserve">צוות </w:t>
      </w:r>
      <w:r w:rsidRPr="00861D72">
        <w:rPr>
          <w:rFonts w:eastAsia="Calibri" w:hint="cs"/>
          <w:sz w:val="24"/>
          <w:rtl/>
        </w:rPr>
        <w:t>ה</w:t>
      </w:r>
      <w:r w:rsidRPr="00861D72">
        <w:rPr>
          <w:rFonts w:eastAsia="Calibri"/>
          <w:sz w:val="24"/>
          <w:rtl/>
        </w:rPr>
        <w:t xml:space="preserve">עוסק בנושא - צוות </w:t>
      </w:r>
      <w:r w:rsidRPr="00861D72">
        <w:rPr>
          <w:rFonts w:eastAsia="Calibri" w:hint="eastAsia"/>
          <w:sz w:val="24"/>
          <w:rtl/>
        </w:rPr>
        <w:t>דיגיטל</w:t>
      </w:r>
      <w:r w:rsidRPr="00861D72">
        <w:rPr>
          <w:rFonts w:eastAsia="Calibri"/>
          <w:sz w:val="24"/>
          <w:rtl/>
        </w:rPr>
        <w:t xml:space="preserve"> וד</w:t>
      </w:r>
      <w:r w:rsidRPr="00861D72">
        <w:rPr>
          <w:rFonts w:eastAsia="Calibri" w:hint="eastAsia"/>
          <w:sz w:val="24"/>
          <w:rtl/>
        </w:rPr>
        <w:t>אטה</w:t>
      </w:r>
      <w:r w:rsidRPr="00861D72">
        <w:rPr>
          <w:rFonts w:eastAsia="Calibri" w:hint="cs"/>
          <w:rt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cs"/>
          <w:rtl/>
        </w:rPr>
        <w:t>צוות הביקורת ביקש לבחון במסגרת מיפוי המידע המובנה מהגופים העוסקים בהזדקנות האוכלוסייה את מידת העברת המידע בין הגורמים האחראים על פיתוח או על מתן שירותים לאזרחים ותיקים. בתרשים שלהלן מוצגות תשובותיהם של גורמים אלה.</w:t>
      </w:r>
    </w:p>
    <w:p w:rsidR="00861D72" w:rsidRPr="00861D72" w:rsidP="00F90255">
      <w:pPr>
        <w:widowControl w:val="0"/>
        <w:spacing w:line="269" w:lineRule="auto"/>
        <w:rPr>
          <w:rFonts w:eastAsia="Calibri"/>
          <w:rtl/>
        </w:rPr>
      </w:pPr>
    </w:p>
    <w:p w:rsidR="00861D72" w:rsidRPr="00861D72" w:rsidP="00F90255">
      <w:pPr>
        <w:widowControl w:val="0"/>
        <w:spacing w:line="269" w:lineRule="auto"/>
        <w:jc w:val="center"/>
        <w:rPr>
          <w:rFonts w:eastAsia="Calibri"/>
          <w:b/>
          <w:bCs/>
          <w:rtl/>
        </w:rPr>
      </w:pPr>
      <w:r w:rsidRPr="00861D72">
        <w:rPr>
          <w:rFonts w:eastAsia="Calibri" w:hint="cs"/>
          <w:rtl/>
        </w:rPr>
        <w:t xml:space="preserve">תרשים 19: </w:t>
      </w:r>
      <w:r w:rsidRPr="00861D72">
        <w:rPr>
          <w:rFonts w:eastAsia="Calibri" w:hint="cs"/>
          <w:b/>
          <w:bCs/>
          <w:rtl/>
        </w:rPr>
        <w:t xml:space="preserve">תשובות הגופים לשאלה "באיזו מידה מתקיים שיתוף </w:t>
      </w:r>
      <w:r w:rsidRPr="00861D72">
        <w:rPr>
          <w:rFonts w:eastAsia="Calibri"/>
          <w:b/>
          <w:bCs/>
          <w:rtl/>
        </w:rPr>
        <w:t xml:space="preserve">מידע ונתונים </w:t>
      </w:r>
      <w:r w:rsidRPr="00861D72">
        <w:rPr>
          <w:rFonts w:eastAsia="Calibri" w:hint="cs"/>
          <w:b/>
          <w:bCs/>
          <w:rtl/>
        </w:rPr>
        <w:t xml:space="preserve">והעברתם </w:t>
      </w:r>
      <w:r w:rsidRPr="00861D72">
        <w:rPr>
          <w:rFonts w:eastAsia="Calibri"/>
          <w:b/>
          <w:bCs/>
          <w:rtl/>
        </w:rPr>
        <w:t>בין כלל הגורמים האחראים על פיתוח שירותים לאזרחים ותיקים</w:t>
      </w:r>
      <w:r w:rsidRPr="00861D72">
        <w:rPr>
          <w:rFonts w:eastAsia="Calibri" w:hint="cs"/>
          <w:b/>
          <w:bCs/>
          <w:rtl/>
        </w:rPr>
        <w:t xml:space="preserve"> או על מתן שירותים אלה?"</w:t>
      </w:r>
    </w:p>
    <w:p w:rsidR="00861D72" w:rsidRPr="00861D72" w:rsidP="00F90255">
      <w:pPr>
        <w:widowControl w:val="0"/>
        <w:spacing w:line="269" w:lineRule="auto"/>
        <w:jc w:val="center"/>
        <w:rPr>
          <w:rFonts w:eastAsia="Calibri"/>
          <w:b/>
          <w:bCs/>
          <w:rtl/>
        </w:rPr>
      </w:pPr>
      <w:r w:rsidRPr="00861D72">
        <w:rPr>
          <w:rFonts w:eastAsia="Calibri"/>
          <w:b/>
          <w:bCs/>
          <w:noProof/>
        </w:rPr>
        <w:drawing>
          <wp:inline distT="0" distB="0" distL="0" distR="0">
            <wp:extent cx="5231130" cy="2755900"/>
            <wp:effectExtent l="0" t="0" r="7620" b="6350"/>
            <wp:docPr id="27" name="תמונה 27" descr="במידה רבה או רבה מאוד&#10;10%&#10;במידה מועטה או מועטה מאוד&#10;55%&#10;במידה בינונית&#10;35%&#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755900"/>
                    </a:xfrm>
                    <a:prstGeom prst="rect">
                      <a:avLst/>
                    </a:prstGeom>
                    <a:noFill/>
                  </pic:spPr>
                </pic:pic>
              </a:graphicData>
            </a:graphic>
          </wp:inline>
        </w:drawing>
      </w:r>
    </w:p>
    <w:p w:rsidR="00861D72" w:rsidRPr="00861D72" w:rsidP="00F90255">
      <w:pPr>
        <w:widowControl w:val="0"/>
        <w:spacing w:line="269" w:lineRule="auto"/>
        <w:rPr>
          <w:rFonts w:eastAsia="Calibri"/>
          <w:szCs w:val="20"/>
          <w:rtl/>
        </w:rPr>
      </w:pPr>
      <w:r w:rsidRPr="00861D72">
        <w:rPr>
          <w:rFonts w:eastAsia="Calibri" w:hint="cs"/>
          <w:szCs w:val="20"/>
          <w:rtl/>
        </w:rPr>
        <w:t>על פי נתונים של מיפוי המידע המובנה.</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ascii="David" w:eastAsia="Times New Roman" w:hAnsi="David"/>
          <w:b/>
          <w:bCs/>
          <w:sz w:val="24"/>
          <w:rtl/>
          <w:lang w:eastAsia="he-IL"/>
        </w:rPr>
      </w:pPr>
      <w:r w:rsidRPr="00861D72">
        <w:rPr>
          <w:rFonts w:eastAsia="Calibri" w:hint="cs"/>
          <w:b/>
          <w:bCs/>
          <w:rtl/>
        </w:rPr>
        <w:t xml:space="preserve">מהתרשים עולה </w:t>
      </w:r>
      <w:r w:rsidRPr="00861D72">
        <w:rPr>
          <w:rFonts w:ascii="David" w:eastAsia="Times New Roman" w:hAnsi="David" w:hint="eastAsia"/>
          <w:b/>
          <w:bCs/>
          <w:sz w:val="24"/>
          <w:rtl/>
          <w:lang w:eastAsia="he-IL"/>
        </w:rPr>
        <w:t>כי</w:t>
      </w:r>
      <w:r w:rsidRPr="00861D72">
        <w:rPr>
          <w:rFonts w:ascii="David" w:eastAsia="Times New Roman" w:hAnsi="David"/>
          <w:b/>
          <w:bCs/>
          <w:sz w:val="24"/>
          <w:rtl/>
          <w:lang w:eastAsia="he-IL"/>
        </w:rPr>
        <w:t xml:space="preserve"> </w:t>
      </w:r>
      <w:bookmarkStart w:id="61" w:name="_Hlk222743595"/>
      <w:r w:rsidRPr="00861D72">
        <w:rPr>
          <w:rFonts w:ascii="David" w:eastAsia="Times New Roman" w:hAnsi="David" w:hint="cs"/>
          <w:b/>
          <w:bCs/>
          <w:sz w:val="24"/>
          <w:rtl/>
          <w:lang w:eastAsia="he-IL"/>
        </w:rPr>
        <w:t>90% מ</w:t>
      </w:r>
      <w:r w:rsidRPr="00861D72">
        <w:rPr>
          <w:rFonts w:ascii="David" w:eastAsia="Times New Roman" w:hAnsi="David" w:hint="eastAsia"/>
          <w:b/>
          <w:bCs/>
          <w:sz w:val="24"/>
          <w:rtl/>
          <w:lang w:eastAsia="he-IL"/>
        </w:rPr>
        <w:t>ה</w:t>
      </w:r>
      <w:r w:rsidRPr="00861D72">
        <w:rPr>
          <w:rFonts w:ascii="David" w:eastAsia="Times New Roman" w:hAnsi="David" w:hint="cs"/>
          <w:b/>
          <w:bCs/>
          <w:sz w:val="24"/>
          <w:rtl/>
          <w:lang w:eastAsia="he-IL"/>
        </w:rPr>
        <w:t xml:space="preserve">משיבים (ובהם המשרד לשוויון חברתי, משרד הרווחה, משרד הבריאות, </w:t>
      </w:r>
      <w:r w:rsidRPr="00861D72">
        <w:rPr>
          <w:rFonts w:ascii="David" w:eastAsia="Times New Roman" w:hAnsi="David" w:hint="cs"/>
          <w:b/>
          <w:bCs/>
          <w:sz w:val="24"/>
          <w:rtl/>
          <w:lang w:eastAsia="he-IL"/>
        </w:rPr>
        <w:t>בט"ל</w:t>
      </w:r>
      <w:r w:rsidRPr="00861D72">
        <w:rPr>
          <w:rFonts w:ascii="David" w:eastAsia="Times New Roman" w:hAnsi="David" w:hint="cs"/>
          <w:b/>
          <w:bCs/>
          <w:sz w:val="24"/>
          <w:rtl/>
          <w:lang w:eastAsia="he-IL"/>
        </w:rPr>
        <w:t xml:space="preserve">, משרד </w:t>
      </w:r>
      <w:r w:rsidRPr="00861D72">
        <w:rPr>
          <w:rFonts w:ascii="David" w:eastAsia="Times New Roman" w:hAnsi="David" w:hint="cs"/>
          <w:b/>
          <w:bCs/>
          <w:sz w:val="24"/>
          <w:rtl/>
          <w:lang w:eastAsia="he-IL"/>
        </w:rPr>
        <w:t>רה"ם</w:t>
      </w:r>
      <w:r w:rsidRPr="00861D72">
        <w:rPr>
          <w:rFonts w:ascii="David" w:eastAsia="Times New Roman" w:hAnsi="David" w:hint="cs"/>
          <w:b/>
          <w:bCs/>
          <w:sz w:val="24"/>
          <w:rtl/>
          <w:lang w:eastAsia="he-IL"/>
        </w:rPr>
        <w:t xml:space="preserve"> וקופות החולים) סבורים כי העברת מידע ונתונים אינה מתקיימת במידה מספקת; 55% השיבו כי היא מתקיימת במידה מועטה או מועטה מאוד,</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 xml:space="preserve">ו-35% נוספים השיבו כי היא מתקיימת במידה בינונית. </w:t>
      </w:r>
    </w:p>
    <w:bookmarkEnd w:id="61"/>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lang w:eastAsia="he-IL"/>
        </w:rPr>
      </w:pPr>
      <w:r w:rsidRPr="00861D72">
        <w:rPr>
          <w:rFonts w:eastAsia="Times New Roman" w:hint="cs"/>
          <w:bCs/>
          <w:spacing w:val="40"/>
          <w:rtl/>
        </w:rPr>
        <w:t>חסמים להעברת מידע:</w:t>
      </w:r>
      <w:r w:rsidRPr="00861D72">
        <w:rPr>
          <w:rFonts w:eastAsia="Calibri" w:hint="cs"/>
          <w:rtl/>
          <w:lang w:eastAsia="he-IL"/>
        </w:rPr>
        <w:t xml:space="preserve"> </w:t>
      </w:r>
      <w:r w:rsidRPr="00861D72">
        <w:rPr>
          <w:rFonts w:eastAsia="Calibri"/>
          <w:b/>
          <w:bCs/>
          <w:rtl/>
        </w:rPr>
        <w:t>דוח הצוות הבין-משרדי לבחינת ההסדר להעברת מידע אישי בין גופים ציבוריים</w:t>
      </w:r>
      <w:r>
        <w:rPr>
          <w:rFonts w:eastAsia="Calibri"/>
          <w:b/>
          <w:bCs/>
          <w:vertAlign w:val="superscript"/>
          <w:rtl/>
        </w:rPr>
        <w:footnoteReference w:id="134"/>
      </w:r>
      <w:r w:rsidRPr="00861D72">
        <w:rPr>
          <w:rFonts w:eastAsia="Calibri"/>
          <w:b/>
          <w:bCs/>
          <w:rtl/>
        </w:rPr>
        <w:t xml:space="preserve"> מצביע על חסמים מרכזיים להעברת מידע, ובהם קושי באיתור נתונים ובזיהוי בעלי תפקידים מוסמכים, הליכי אישור מורכבים ורבי-משתתפים, חוסר אחידות בהגדרות ובממשקים טכנולוגיים וכן עלויות כספיות המגבילות את השימוש במידע</w:t>
      </w:r>
      <w:r>
        <w:rPr>
          <w:rFonts w:ascii="David" w:eastAsia="Calibri" w:hAnsi="David"/>
          <w:b/>
          <w:bCs/>
          <w:sz w:val="24"/>
          <w:vertAlign w:val="superscript"/>
          <w:rtl/>
        </w:rPr>
        <w:footnoteReference w:id="135"/>
      </w:r>
      <w:r w:rsidRPr="00861D72">
        <w:rPr>
          <w:rFonts w:ascii="David" w:eastAsia="Calibri" w:hAnsi="David"/>
          <w:b/>
          <w:bCs/>
          <w:sz w:val="24"/>
          <w:rtl/>
        </w:rPr>
        <w:t>.</w:t>
      </w:r>
      <w:r w:rsidRPr="00861D72">
        <w:rPr>
          <w:rFonts w:eastAsia="Calibri"/>
          <w:b/>
          <w:bCs/>
          <w:rtl/>
        </w:rPr>
        <w:t xml:space="preserve"> בהתאם לכך נמצא כי משך הטיפול הממוצע בבקשות להעברת מידע בשנים </w:t>
      </w:r>
      <w:r w:rsidRPr="00861D72">
        <w:rPr>
          <w:rFonts w:ascii="David" w:eastAsia="Calibri" w:hAnsi="David"/>
          <w:b/>
          <w:bCs/>
          <w:sz w:val="24"/>
          <w:rtl/>
        </w:rPr>
        <w:t xml:space="preserve">2019 - 2023 </w:t>
      </w:r>
      <w:r w:rsidRPr="00861D72">
        <w:rPr>
          <w:rFonts w:eastAsia="Calibri"/>
          <w:b/>
          <w:bCs/>
          <w:rtl/>
        </w:rPr>
        <w:t>עומד על כ-240 ימים ואף למעלה מ-500 ימים במקרים מסוימים</w:t>
      </w:r>
      <w:r w:rsidRPr="00861D72">
        <w:rPr>
          <w:rFonts w:eastAsia="Calibri"/>
          <w:b/>
          <w:bCs/>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widowControl w:val="0"/>
        <w:spacing w:line="269" w:lineRule="auto"/>
        <w:rPr>
          <w:rFonts w:ascii="David" w:eastAsia="Calibri" w:hAnsi="David"/>
          <w:sz w:val="24"/>
          <w:rtl/>
        </w:rPr>
      </w:pPr>
      <w:r w:rsidRPr="00861D72">
        <w:rPr>
          <w:rFonts w:eastAsia="Calibri" w:hint="eastAsia"/>
          <w:b/>
          <w:bCs/>
          <w:rtl/>
          <w:lang w:eastAsia="he-IL"/>
        </w:rPr>
        <w:t>כך</w:t>
      </w:r>
      <w:r w:rsidRPr="00861D72">
        <w:rPr>
          <w:rFonts w:eastAsia="Calibri"/>
          <w:b/>
          <w:bCs/>
          <w:rtl/>
          <w:lang w:eastAsia="he-IL"/>
        </w:rPr>
        <w:t xml:space="preserve">, אף </w:t>
      </w:r>
      <w:r w:rsidRPr="00861D72">
        <w:rPr>
          <w:rFonts w:eastAsia="Calibri" w:hint="cs"/>
          <w:b/>
          <w:bCs/>
          <w:rtl/>
          <w:lang w:eastAsia="he-IL"/>
        </w:rPr>
        <w:t xml:space="preserve">שחשיבות העברת מידע על אזרחים ידועה ומוכרת, ההעברה </w:t>
      </w:r>
      <w:r w:rsidRPr="00861D72">
        <w:rPr>
          <w:rFonts w:eastAsia="Calibri"/>
          <w:b/>
          <w:bCs/>
          <w:rtl/>
        </w:rPr>
        <w:t>הבין</w:t>
      </w:r>
      <w:r w:rsidRPr="00861D72">
        <w:rPr>
          <w:rFonts w:eastAsia="Calibri" w:hint="cs"/>
          <w:b/>
          <w:bCs/>
          <w:rtl/>
        </w:rPr>
        <w:t>-</w:t>
      </w:r>
      <w:r w:rsidRPr="00861D72">
        <w:rPr>
          <w:rFonts w:eastAsia="Calibri"/>
          <w:b/>
          <w:bCs/>
          <w:rtl/>
        </w:rPr>
        <w:t>משרד</w:t>
      </w:r>
      <w:r w:rsidRPr="00861D72">
        <w:rPr>
          <w:rFonts w:eastAsia="Calibri"/>
          <w:rtl/>
        </w:rPr>
        <w:t>י</w:t>
      </w:r>
      <w:r w:rsidRPr="00861D72">
        <w:rPr>
          <w:rFonts w:eastAsia="Calibri" w:hint="cs"/>
          <w:b/>
          <w:bCs/>
          <w:rtl/>
          <w:lang w:eastAsia="he-IL"/>
        </w:rPr>
        <w:t>ת אינה מתבצעת במידה המאפשרת לנצל את היתרונות של שיתוף מידע, ונפגעת יכולת התכנון ואספקת השירותים.</w:t>
      </w:r>
      <w:r w:rsidRPr="00861D72">
        <w:rPr>
          <w:rFonts w:ascii="David" w:eastAsia="Calibri" w:hAnsi="David" w:hint="cs"/>
          <w:sz w:val="24"/>
          <w:rtl/>
        </w:rPr>
        <w:t xml:space="preserve">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ascii="David" w:eastAsia="Times New Roman" w:hAnsi="David"/>
          <w:b/>
          <w:bCs/>
          <w:sz w:val="24"/>
          <w:rtl/>
          <w:lang w:eastAsia="he-IL"/>
        </w:rPr>
      </w:pPr>
      <w:r w:rsidRPr="00861D72">
        <w:rPr>
          <w:rFonts w:eastAsia="Calibri" w:hint="cs"/>
          <w:rtl/>
        </w:rPr>
        <w:t xml:space="preserve">להלן </w:t>
      </w:r>
      <w:r w:rsidRPr="00861D72">
        <w:rPr>
          <w:rFonts w:eastAsia="Calibri" w:hint="cs"/>
          <w:rtl/>
          <w:lang w:eastAsia="he-IL"/>
        </w:rPr>
        <w:t>בתרשים הנזקים העיקריים של היעדר העברת המידע, כפי שנתפסים ע"י גופי הממשל העוסקים בהזדקנות האוכלוסייה וכפי שעולה מתשובותיהם לשאלות משרד מבקר המדינה.</w:t>
      </w:r>
    </w:p>
    <w:p w:rsidR="00861D72" w:rsidRPr="00861D72" w:rsidP="00F90255">
      <w:pPr>
        <w:spacing w:line="269" w:lineRule="auto"/>
        <w:rPr>
          <w:rFonts w:ascii="David" w:eastAsia="Times New Roman" w:hAnsi="David"/>
          <w:b/>
          <w:bCs/>
          <w:sz w:val="24"/>
          <w:rtl/>
          <w:lang w:eastAsia="he-IL"/>
        </w:rPr>
      </w:pPr>
    </w:p>
    <w:p w:rsidR="00861D72" w:rsidRPr="00861D72" w:rsidP="00F90255">
      <w:pPr>
        <w:spacing w:line="269" w:lineRule="auto"/>
        <w:jc w:val="center"/>
        <w:rPr>
          <w:rFonts w:ascii="David" w:eastAsia="Calibri" w:hAnsi="David"/>
          <w:b/>
          <w:bCs/>
          <w:sz w:val="24"/>
          <w:rtl/>
          <w:lang w:eastAsia="he-IL"/>
        </w:rPr>
      </w:pPr>
      <w:bookmarkStart w:id="62" w:name="_Hlk212454920"/>
      <w:r w:rsidRPr="00861D72">
        <w:rPr>
          <w:rFonts w:ascii="David" w:eastAsia="Calibri" w:hAnsi="David" w:hint="cs"/>
          <w:sz w:val="24"/>
          <w:rtl/>
          <w:lang w:eastAsia="he-IL"/>
        </w:rPr>
        <w:t xml:space="preserve">תרשים 20: </w:t>
      </w:r>
      <w:r w:rsidRPr="00861D72">
        <w:rPr>
          <w:rFonts w:ascii="David" w:eastAsia="Calibri" w:hAnsi="David" w:hint="eastAsia"/>
          <w:b/>
          <w:bCs/>
          <w:sz w:val="24"/>
          <w:rtl/>
          <w:lang w:eastAsia="he-IL"/>
        </w:rPr>
        <w:t>נזקים</w:t>
      </w:r>
      <w:r w:rsidRPr="00861D72">
        <w:rPr>
          <w:rFonts w:ascii="David" w:eastAsia="Calibri" w:hAnsi="David"/>
          <w:b/>
          <w:bCs/>
          <w:sz w:val="24"/>
          <w:rtl/>
          <w:lang w:eastAsia="he-IL"/>
        </w:rPr>
        <w:t xml:space="preserve"> </w:t>
      </w:r>
      <w:r w:rsidRPr="00861D72">
        <w:rPr>
          <w:rFonts w:ascii="David" w:eastAsia="Calibri" w:hAnsi="David" w:hint="eastAsia"/>
          <w:b/>
          <w:bCs/>
          <w:sz w:val="24"/>
          <w:rtl/>
          <w:lang w:eastAsia="he-IL"/>
        </w:rPr>
        <w:t>של</w:t>
      </w:r>
      <w:r w:rsidRPr="00861D72">
        <w:rPr>
          <w:rFonts w:ascii="David" w:eastAsia="Calibri" w:hAnsi="David"/>
          <w:b/>
          <w:bCs/>
          <w:sz w:val="24"/>
          <w:rtl/>
          <w:lang w:eastAsia="he-IL"/>
        </w:rPr>
        <w:t xml:space="preserve"> </w:t>
      </w:r>
      <w:r w:rsidRPr="00861D72">
        <w:rPr>
          <w:rFonts w:ascii="David" w:eastAsia="Calibri" w:hAnsi="David" w:hint="eastAsia"/>
          <w:b/>
          <w:bCs/>
          <w:sz w:val="24"/>
          <w:rtl/>
          <w:lang w:eastAsia="he-IL"/>
        </w:rPr>
        <w:t>היעדר</w:t>
      </w:r>
      <w:r w:rsidRPr="00861D72">
        <w:rPr>
          <w:rFonts w:ascii="David" w:eastAsia="Calibri" w:hAnsi="David"/>
          <w:b/>
          <w:bCs/>
          <w:sz w:val="24"/>
          <w:rtl/>
          <w:lang w:eastAsia="he-IL"/>
        </w:rPr>
        <w:t xml:space="preserve"> </w:t>
      </w:r>
      <w:r w:rsidRPr="00861D72">
        <w:rPr>
          <w:rFonts w:ascii="David" w:eastAsia="Calibri" w:hAnsi="David" w:hint="eastAsia"/>
          <w:b/>
          <w:bCs/>
          <w:sz w:val="24"/>
          <w:rtl/>
          <w:lang w:eastAsia="he-IL"/>
        </w:rPr>
        <w:t>העברת</w:t>
      </w:r>
      <w:r w:rsidRPr="00861D72">
        <w:rPr>
          <w:rFonts w:ascii="David" w:eastAsia="Calibri" w:hAnsi="David"/>
          <w:b/>
          <w:bCs/>
          <w:sz w:val="24"/>
          <w:rtl/>
          <w:lang w:eastAsia="he-IL"/>
        </w:rPr>
        <w:t xml:space="preserve"> </w:t>
      </w:r>
      <w:r w:rsidRPr="00861D72">
        <w:rPr>
          <w:rFonts w:ascii="David" w:eastAsia="Calibri" w:hAnsi="David" w:hint="eastAsia"/>
          <w:b/>
          <w:bCs/>
          <w:sz w:val="24"/>
          <w:rtl/>
          <w:lang w:eastAsia="he-IL"/>
        </w:rPr>
        <w:t>מידע</w:t>
      </w:r>
    </w:p>
    <w:p w:rsidR="00861D72" w:rsidRPr="00861D72" w:rsidP="00F90255">
      <w:pPr>
        <w:spacing w:line="269" w:lineRule="auto"/>
        <w:jc w:val="center"/>
        <w:rPr>
          <w:rFonts w:ascii="David" w:eastAsia="Calibri" w:hAnsi="David"/>
          <w:b/>
          <w:bCs/>
          <w:sz w:val="24"/>
          <w:rtl/>
          <w:lang w:eastAsia="he-IL"/>
        </w:rPr>
      </w:pPr>
      <w:r w:rsidRPr="00861D72">
        <w:rPr>
          <w:rFonts w:ascii="David" w:eastAsia="Calibri" w:hAnsi="David"/>
          <w:b/>
          <w:bCs/>
          <w:noProof/>
          <w:sz w:val="24"/>
          <w:lang w:eastAsia="he-IL"/>
        </w:rPr>
        <w:drawing>
          <wp:inline distT="0" distB="0" distL="0" distR="0">
            <wp:extent cx="4450413" cy="3061504"/>
            <wp:effectExtent l="0" t="0" r="7620" b="5715"/>
            <wp:docPr id="127" name="תמונה 127" descr="מימין למעלה:&#10;קושי במדידת&#10;אימפקט&#10;ואפקטיביות של&#10;תוכניות&#10;&#10;באמצע למעלה:&#10;קושי ביכולת&#10;לפתח שירותים&#10;משום שלא ברור&#10;מהם הצרכים&#10;&#10;משמאל למעלה:&#10;קושי בהגעה&#10;ללקוחות הקצה&#10;וביצוע איתור יזום&#10;&#10;מימין למטה:&#10;חלק מקופות החולים&#10;דיווחו כי אין להן מידע&#10;על מבוטחים שלהם&#10;המאושפזים במחלקות&#10;אשפוז גריאטרי סיעודי&#10;או תשושי נפש באופן&#10;פרטני ללא קוד סיעוד&#10;&#10;משמאל למטה:&#10;אין העברת מידע&#10;מוסדרת בין המחלקות&#10;לשירותים חברתיים&#10;ולקופות החולים בנוגע&#10;לטיפול באוכלוסיות יעד&#10;כמו עריריים ומרותקי ב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9173" cy="3067530"/>
                    </a:xfrm>
                    <a:prstGeom prst="rect">
                      <a:avLst/>
                    </a:prstGeom>
                    <a:noFill/>
                  </pic:spPr>
                </pic:pic>
              </a:graphicData>
            </a:graphic>
          </wp:inline>
        </w:drawing>
      </w:r>
    </w:p>
    <w:bookmarkEnd w:id="62"/>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ascii="David" w:eastAsia="Calibri" w:hAnsi="David"/>
          <w:b/>
          <w:bCs/>
          <w:rtl/>
          <w:lang w:eastAsia="he-IL"/>
        </w:rPr>
      </w:pPr>
      <w:r w:rsidRPr="00861D72">
        <w:rPr>
          <w:rFonts w:ascii="David" w:eastAsia="Calibri" w:hAnsi="David"/>
          <w:b/>
          <w:bCs/>
          <w:rtl/>
          <w:lang w:eastAsia="he-IL"/>
        </w:rPr>
        <w:t>עוד עלה כי אי</w:t>
      </w:r>
      <w:r w:rsidRPr="00861D72">
        <w:rPr>
          <w:rFonts w:ascii="David" w:eastAsia="Calibri" w:hAnsi="David" w:hint="cs"/>
          <w:b/>
          <w:bCs/>
          <w:rtl/>
          <w:lang w:eastAsia="he-IL"/>
        </w:rPr>
        <w:t>-</w:t>
      </w:r>
      <w:r w:rsidRPr="00861D72">
        <w:rPr>
          <w:rFonts w:ascii="David" w:eastAsia="Calibri" w:hAnsi="David"/>
          <w:b/>
          <w:bCs/>
          <w:rtl/>
          <w:lang w:eastAsia="he-IL"/>
        </w:rPr>
        <w:t xml:space="preserve">העברת מידע </w:t>
      </w:r>
      <w:r w:rsidRPr="00861D72">
        <w:rPr>
          <w:rFonts w:ascii="David" w:eastAsia="Calibri" w:hAnsi="David" w:hint="eastAsia"/>
          <w:b/>
          <w:bCs/>
          <w:rtl/>
          <w:lang w:eastAsia="he-IL"/>
        </w:rPr>
        <w:t>אינה</w:t>
      </w:r>
      <w:r w:rsidRPr="00861D72">
        <w:rPr>
          <w:rFonts w:ascii="David" w:eastAsia="Calibri" w:hAnsi="David"/>
          <w:b/>
          <w:bCs/>
          <w:rtl/>
          <w:lang w:eastAsia="he-IL"/>
        </w:rPr>
        <w:t xml:space="preserve"> פוגעת רק בימים של שגרה, אלא היא אף קשה יותר בשעת חירום, כפי שציין מבקר המדינה בדוחות על הטיפול </w:t>
      </w:r>
      <w:r w:rsidRPr="00861D72">
        <w:rPr>
          <w:rFonts w:ascii="David" w:eastAsia="Calibri" w:hAnsi="David"/>
          <w:b/>
          <w:bCs/>
          <w:rtl/>
        </w:rPr>
        <w:t>באזרחים</w:t>
      </w:r>
      <w:r w:rsidRPr="00861D72">
        <w:rPr>
          <w:rFonts w:ascii="David" w:eastAsia="Calibri" w:hAnsi="David"/>
          <w:b/>
          <w:bCs/>
          <w:rtl/>
          <w:lang w:eastAsia="he-IL"/>
        </w:rPr>
        <w:t xml:space="preserve"> ותיקים ב</w:t>
      </w:r>
      <w:r w:rsidRPr="00861D72">
        <w:rPr>
          <w:rFonts w:ascii="David" w:eastAsia="Calibri" w:hAnsi="David" w:hint="eastAsia"/>
          <w:b/>
          <w:bCs/>
          <w:rtl/>
          <w:lang w:eastAsia="he-IL"/>
        </w:rPr>
        <w:t>תקופת</w:t>
      </w:r>
      <w:r w:rsidRPr="00861D72">
        <w:rPr>
          <w:rFonts w:ascii="David" w:eastAsia="Calibri" w:hAnsi="David"/>
          <w:b/>
          <w:bCs/>
          <w:rtl/>
          <w:lang w:eastAsia="he-IL"/>
        </w:rPr>
        <w:t xml:space="preserve"> </w:t>
      </w:r>
      <w:r w:rsidRPr="00861D72">
        <w:rPr>
          <w:rFonts w:ascii="David" w:eastAsia="Calibri" w:hAnsi="David" w:hint="eastAsia"/>
          <w:b/>
          <w:bCs/>
          <w:rtl/>
          <w:lang w:eastAsia="he-IL"/>
        </w:rPr>
        <w:t>ה</w:t>
      </w:r>
      <w:r w:rsidRPr="00861D72">
        <w:rPr>
          <w:rFonts w:ascii="David" w:eastAsia="Calibri" w:hAnsi="David"/>
          <w:b/>
          <w:bCs/>
          <w:rtl/>
          <w:lang w:eastAsia="he-IL"/>
        </w:rPr>
        <w:t>קורונה ובמלחמת חרבות ברזל - היא גורמת ל</w:t>
      </w:r>
      <w:r w:rsidRPr="00861D72">
        <w:rPr>
          <w:rFonts w:ascii="David" w:eastAsia="Calibri" w:hAnsi="David"/>
          <w:b/>
          <w:bCs/>
          <w:rtl/>
        </w:rPr>
        <w:t xml:space="preserve">כשל באיתור אוכלוסיות בסיכון (לדוגמה אוכלוסיית הזקנים), </w:t>
      </w:r>
      <w:r w:rsidRPr="00861D72">
        <w:rPr>
          <w:rFonts w:ascii="David" w:eastAsia="Calibri" w:hAnsi="David" w:hint="eastAsia"/>
          <w:b/>
          <w:bCs/>
          <w:rtl/>
        </w:rPr>
        <w:t>ל</w:t>
      </w:r>
      <w:r w:rsidRPr="00861D72">
        <w:rPr>
          <w:rFonts w:ascii="David" w:eastAsia="Calibri" w:hAnsi="David"/>
          <w:b/>
          <w:bCs/>
          <w:rtl/>
        </w:rPr>
        <w:t>האט</w:t>
      </w:r>
      <w:r w:rsidRPr="00861D72">
        <w:rPr>
          <w:rFonts w:ascii="David" w:eastAsia="Calibri" w:hAnsi="David" w:hint="eastAsia"/>
          <w:b/>
          <w:bCs/>
          <w:rtl/>
        </w:rPr>
        <w:t>ה</w:t>
      </w:r>
      <w:r w:rsidRPr="00861D72">
        <w:rPr>
          <w:rFonts w:ascii="David" w:eastAsia="Calibri" w:hAnsi="David"/>
          <w:b/>
          <w:bCs/>
          <w:rtl/>
        </w:rPr>
        <w:t xml:space="preserve"> </w:t>
      </w:r>
      <w:r w:rsidRPr="00861D72">
        <w:rPr>
          <w:rFonts w:ascii="David" w:eastAsia="Calibri" w:hAnsi="David" w:hint="eastAsia"/>
          <w:b/>
          <w:bCs/>
          <w:rtl/>
        </w:rPr>
        <w:t>ב</w:t>
      </w:r>
      <w:r w:rsidRPr="00861D72">
        <w:rPr>
          <w:rFonts w:ascii="David" w:eastAsia="Calibri" w:hAnsi="David"/>
          <w:b/>
          <w:bCs/>
          <w:rtl/>
        </w:rPr>
        <w:t xml:space="preserve">הגעת סיוע חיוני, </w:t>
      </w:r>
      <w:r w:rsidRPr="00861D72">
        <w:rPr>
          <w:rFonts w:ascii="David" w:eastAsia="Calibri" w:hAnsi="David" w:hint="eastAsia"/>
          <w:b/>
          <w:bCs/>
          <w:rtl/>
        </w:rPr>
        <w:t>ל</w:t>
      </w:r>
      <w:r w:rsidRPr="00861D72">
        <w:rPr>
          <w:rFonts w:ascii="David" w:eastAsia="Calibri" w:hAnsi="David"/>
          <w:b/>
          <w:bCs/>
          <w:rtl/>
        </w:rPr>
        <w:t>פגיעה באמון הציבור ו</w:t>
      </w:r>
      <w:r w:rsidRPr="00861D72">
        <w:rPr>
          <w:rFonts w:ascii="David" w:eastAsia="Calibri" w:hAnsi="David" w:hint="eastAsia"/>
          <w:b/>
          <w:bCs/>
          <w:rtl/>
        </w:rPr>
        <w:t>ל</w:t>
      </w:r>
      <w:r w:rsidRPr="00861D72">
        <w:rPr>
          <w:rFonts w:ascii="David" w:eastAsia="Calibri" w:hAnsi="David"/>
          <w:b/>
          <w:bCs/>
          <w:rtl/>
        </w:rPr>
        <w:t>החמצ</w:t>
      </w:r>
      <w:r w:rsidRPr="00861D72">
        <w:rPr>
          <w:rFonts w:ascii="David" w:eastAsia="Calibri" w:hAnsi="David" w:hint="eastAsia"/>
          <w:b/>
          <w:bCs/>
          <w:rtl/>
        </w:rPr>
        <w:t>ה</w:t>
      </w:r>
      <w:r w:rsidRPr="00861D72">
        <w:rPr>
          <w:rFonts w:ascii="David" w:eastAsia="Calibri" w:hAnsi="David"/>
          <w:b/>
          <w:bCs/>
          <w:rtl/>
        </w:rPr>
        <w:t xml:space="preserve"> </w:t>
      </w:r>
      <w:r w:rsidRPr="00861D72">
        <w:rPr>
          <w:rFonts w:ascii="David" w:eastAsia="Calibri" w:hAnsi="David" w:hint="eastAsia"/>
          <w:b/>
          <w:bCs/>
          <w:rtl/>
        </w:rPr>
        <w:t>של</w:t>
      </w:r>
      <w:r w:rsidRPr="00861D72">
        <w:rPr>
          <w:rFonts w:ascii="David" w:eastAsia="Calibri" w:hAnsi="David"/>
          <w:b/>
          <w:bCs/>
          <w:rtl/>
        </w:rPr>
        <w:t xml:space="preserve"> תובנות לקבלת החלטות בזמן אמת</w:t>
      </w:r>
      <w:r w:rsidRPr="00861D72">
        <w:rPr>
          <w:rFonts w:ascii="David" w:eastAsia="Calibri" w:hAnsi="David"/>
          <w:b/>
          <w:bCs/>
          <w:rtl/>
          <w:lang w:eastAsia="he-IL"/>
        </w:rPr>
        <w:t>:</w:t>
      </w:r>
    </w:p>
    <w:p w:rsidR="00861D72" w:rsidRPr="00861D72" w:rsidP="00F90255">
      <w:pPr>
        <w:spacing w:line="269" w:lineRule="auto"/>
        <w:rPr>
          <w:rFonts w:ascii="David" w:eastAsia="Calibri" w:hAnsi="David"/>
          <w:b/>
          <w:bCs/>
          <w:rtl/>
          <w:lang w:eastAsia="he-IL"/>
        </w:rPr>
      </w:pPr>
    </w:p>
    <w:p w:rsidR="00861D72" w:rsidRPr="00861D72" w:rsidP="00F90255">
      <w:pPr>
        <w:numPr>
          <w:ilvl w:val="0"/>
          <w:numId w:val="17"/>
        </w:numPr>
        <w:spacing w:line="269" w:lineRule="auto"/>
        <w:rPr>
          <w:rFonts w:ascii="David" w:eastAsia="Calibri" w:hAnsi="David"/>
          <w:b/>
          <w:bCs/>
          <w:sz w:val="24"/>
        </w:rPr>
      </w:pPr>
      <w:r w:rsidRPr="00861D72">
        <w:rPr>
          <w:rFonts w:ascii="David" w:eastAsia="Calibri" w:hAnsi="David"/>
          <w:b/>
          <w:bCs/>
          <w:sz w:val="24"/>
          <w:rtl/>
          <w:lang w:eastAsia="he-IL"/>
        </w:rPr>
        <w:t>ב</w:t>
      </w:r>
      <w:r w:rsidRPr="00861D72">
        <w:rPr>
          <w:rFonts w:ascii="David" w:eastAsia="Calibri" w:hAnsi="David" w:hint="eastAsia"/>
          <w:b/>
          <w:bCs/>
          <w:sz w:val="24"/>
          <w:rtl/>
          <w:lang w:eastAsia="he-IL"/>
        </w:rPr>
        <w:t>תקופת</w:t>
      </w:r>
      <w:r w:rsidRPr="00861D72">
        <w:rPr>
          <w:rFonts w:ascii="David" w:eastAsia="Calibri" w:hAnsi="David"/>
          <w:b/>
          <w:bCs/>
          <w:sz w:val="24"/>
          <w:rtl/>
          <w:lang w:eastAsia="he-IL"/>
        </w:rPr>
        <w:t xml:space="preserve"> </w:t>
      </w:r>
      <w:r w:rsidRPr="00861D72">
        <w:rPr>
          <w:rFonts w:ascii="David" w:eastAsia="Calibri" w:hAnsi="David" w:hint="eastAsia"/>
          <w:b/>
          <w:bCs/>
          <w:sz w:val="24"/>
          <w:rtl/>
          <w:lang w:eastAsia="he-IL"/>
        </w:rPr>
        <w:t>ה</w:t>
      </w:r>
      <w:r w:rsidRPr="00861D72">
        <w:rPr>
          <w:rFonts w:ascii="David" w:eastAsia="Calibri" w:hAnsi="David"/>
          <w:b/>
          <w:bCs/>
          <w:sz w:val="24"/>
          <w:rtl/>
          <w:lang w:eastAsia="he-IL"/>
        </w:rPr>
        <w:t>קורונה</w:t>
      </w:r>
      <w:r w:rsidRPr="00861D72">
        <w:rPr>
          <w:rFonts w:ascii="David" w:eastAsia="Calibri" w:hAnsi="David"/>
          <w:b/>
          <w:bCs/>
          <w:sz w:val="24"/>
          <w:rtl/>
        </w:rPr>
        <w:t xml:space="preserve"> נמצא שאין גוף אחד </w:t>
      </w:r>
      <w:r w:rsidRPr="00861D72">
        <w:rPr>
          <w:rFonts w:ascii="David" w:eastAsia="Calibri" w:hAnsi="David" w:hint="eastAsia"/>
          <w:b/>
          <w:bCs/>
          <w:sz w:val="24"/>
          <w:rtl/>
        </w:rPr>
        <w:t>ה</w:t>
      </w:r>
      <w:r w:rsidRPr="00861D72">
        <w:rPr>
          <w:rFonts w:ascii="David" w:eastAsia="Calibri" w:hAnsi="David"/>
          <w:b/>
          <w:bCs/>
          <w:sz w:val="24"/>
          <w:rtl/>
        </w:rPr>
        <w:t xml:space="preserve">מרכז מידע בסיסי על האוכלוסייה הוותיקה, ושגופים ממלכתיים נמנעו מהעברת נתונים זה לזה; כתוצאה מכך נפגעה היכולת למפות צרכים, ליצור קשר </w:t>
      </w:r>
      <w:r w:rsidRPr="00861D72">
        <w:rPr>
          <w:rFonts w:ascii="David" w:eastAsia="Calibri" w:hAnsi="David" w:hint="eastAsia"/>
          <w:b/>
          <w:bCs/>
          <w:sz w:val="24"/>
          <w:rtl/>
        </w:rPr>
        <w:t>ה</w:t>
      </w:r>
      <w:r w:rsidRPr="00861D72">
        <w:rPr>
          <w:rFonts w:ascii="David" w:eastAsia="Calibri" w:hAnsi="David"/>
          <w:b/>
          <w:bCs/>
          <w:sz w:val="24"/>
          <w:rtl/>
        </w:rPr>
        <w:t>זקוקים לסיוע ולהעמיד מאגר לשעת חירום, ועזרה הגיעה מאוחר ו</w:t>
      </w:r>
      <w:r w:rsidRPr="00861D72">
        <w:rPr>
          <w:rFonts w:ascii="David" w:eastAsia="Calibri" w:hAnsi="David" w:hint="eastAsia"/>
          <w:b/>
          <w:bCs/>
          <w:sz w:val="24"/>
          <w:rtl/>
        </w:rPr>
        <w:t>היא</w:t>
      </w:r>
      <w:r w:rsidRPr="00861D72">
        <w:rPr>
          <w:rFonts w:ascii="David" w:eastAsia="Calibri" w:hAnsi="David"/>
          <w:b/>
          <w:bCs/>
          <w:sz w:val="24"/>
          <w:rtl/>
        </w:rPr>
        <w:t xml:space="preserve"> הייתה חלקית</w:t>
      </w:r>
      <w:r>
        <w:rPr>
          <w:rFonts w:ascii="David" w:eastAsia="Calibri" w:hAnsi="David"/>
          <w:b/>
          <w:bCs/>
          <w:sz w:val="24"/>
          <w:vertAlign w:val="superscript"/>
          <w:rtl/>
        </w:rPr>
        <w:footnoteReference w:id="136"/>
      </w:r>
      <w:r w:rsidRPr="00861D72">
        <w:rPr>
          <w:rFonts w:ascii="David" w:eastAsia="Calibri" w:hAnsi="David"/>
          <w:b/>
          <w:bCs/>
          <w:sz w:val="24"/>
          <w:rtl/>
        </w:rPr>
        <w:t xml:space="preserve">. </w:t>
      </w:r>
    </w:p>
    <w:p w:rsidR="00861D72" w:rsidRPr="00861D72" w:rsidP="00F90255">
      <w:pPr>
        <w:numPr>
          <w:ilvl w:val="0"/>
          <w:numId w:val="17"/>
        </w:numPr>
        <w:spacing w:line="269" w:lineRule="auto"/>
        <w:rPr>
          <w:rFonts w:ascii="David" w:eastAsia="Calibri" w:hAnsi="David"/>
          <w:b/>
          <w:bCs/>
          <w:sz w:val="24"/>
          <w:szCs w:val="22"/>
        </w:rPr>
      </w:pPr>
      <w:r w:rsidRPr="00861D72">
        <w:rPr>
          <w:rFonts w:ascii="David" w:eastAsia="Calibri" w:hAnsi="David"/>
          <w:b/>
          <w:bCs/>
          <w:sz w:val="24"/>
          <w:rtl/>
        </w:rPr>
        <w:t xml:space="preserve">במלחמת חרבות ברזל הבעיה הוחרפה - לא הייתה "תמונת מצב לאומית" </w:t>
      </w:r>
      <w:r w:rsidRPr="00861D72">
        <w:rPr>
          <w:rFonts w:ascii="David" w:eastAsia="Calibri" w:hAnsi="David"/>
          <w:b/>
          <w:bCs/>
          <w:sz w:val="24"/>
          <w:rtl/>
        </w:rPr>
        <w:t>מתכללת</w:t>
      </w:r>
      <w:r w:rsidRPr="00861D72">
        <w:rPr>
          <w:rFonts w:ascii="David" w:eastAsia="Calibri" w:hAnsi="David"/>
          <w:b/>
          <w:bCs/>
          <w:sz w:val="24"/>
          <w:rtl/>
        </w:rPr>
        <w:t xml:space="preserve">, הציבור נתקל במערך שירות מפוצל, וברשויות </w:t>
      </w:r>
      <w:r w:rsidRPr="00861D72">
        <w:rPr>
          <w:rFonts w:ascii="David" w:eastAsia="Calibri" w:hAnsi="David" w:hint="cs"/>
          <w:b/>
          <w:bCs/>
          <w:sz w:val="24"/>
          <w:rtl/>
        </w:rPr>
        <w:t>המקומיות</w:t>
      </w:r>
      <w:r w:rsidRPr="00861D72">
        <w:rPr>
          <w:rFonts w:ascii="David" w:eastAsia="Calibri" w:hAnsi="David"/>
          <w:b/>
          <w:bCs/>
          <w:sz w:val="24"/>
          <w:rtl/>
        </w:rPr>
        <w:t xml:space="preserve"> נמצאו פערים גדולים בין מאגרי מידע והיעדר מאגר עדכני של זקנים, מה שחייב עבודת איחוד נתונים ידנית בשיא </w:t>
      </w:r>
      <w:r w:rsidRPr="00861D72">
        <w:rPr>
          <w:rFonts w:ascii="David" w:eastAsia="Calibri" w:hAnsi="David" w:hint="eastAsia"/>
          <w:b/>
          <w:bCs/>
          <w:sz w:val="24"/>
          <w:rtl/>
        </w:rPr>
        <w:t>תקופת</w:t>
      </w:r>
      <w:r w:rsidRPr="00861D72">
        <w:rPr>
          <w:rFonts w:ascii="David" w:eastAsia="Calibri" w:hAnsi="David"/>
          <w:b/>
          <w:bCs/>
          <w:sz w:val="24"/>
          <w:rtl/>
        </w:rPr>
        <w:t xml:space="preserve"> החירום ופגע במהירות המענים ובדיוקם</w:t>
      </w:r>
      <w:r>
        <w:rPr>
          <w:rFonts w:ascii="David" w:eastAsia="Calibri" w:hAnsi="David"/>
          <w:b/>
          <w:bCs/>
          <w:sz w:val="24"/>
          <w:vertAlign w:val="superscript"/>
          <w:rtl/>
        </w:rPr>
        <w:footnoteReference w:id="137"/>
      </w:r>
      <w:r w:rsidRPr="00861D72">
        <w:rPr>
          <w:rFonts w:ascii="David" w:eastAsia="Calibri" w:hAnsi="David"/>
          <w:b/>
          <w:bCs/>
          <w:sz w:val="24"/>
          <w:rt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rPr>
      </w:pPr>
      <w:r w:rsidRPr="00861D72">
        <w:rPr>
          <w:rFonts w:eastAsia="Calibri" w:hint="cs"/>
          <w:b/>
          <w:bCs/>
          <w:rtl/>
        </w:rPr>
        <w:t xml:space="preserve">מן האמור עולה כי </w:t>
      </w:r>
      <w:r w:rsidRPr="00861D72">
        <w:rPr>
          <w:rFonts w:eastAsia="Calibri"/>
          <w:b/>
          <w:bCs/>
          <w:rtl/>
        </w:rPr>
        <w:t xml:space="preserve">היעדר העברת המידע בין הגופים הציבוריים גורם לפגיעה מהותית ביכולת של המדינה לגבש מדיניות מושכלת, לתכנן שירותים ולהעניק מענה אפקטיבי לאוכלוסיית </w:t>
      </w:r>
      <w:r w:rsidRPr="00861D72">
        <w:rPr>
          <w:rFonts w:eastAsia="Calibri" w:hint="cs"/>
          <w:b/>
          <w:bCs/>
          <w:rtl/>
        </w:rPr>
        <w:t>הזקנים</w:t>
      </w:r>
      <w:r w:rsidRPr="00861D72">
        <w:rPr>
          <w:rFonts w:eastAsia="Calibri"/>
          <w:b/>
          <w:bCs/>
          <w:rtl/>
        </w:rPr>
        <w:t>. כאשר נתונים המצויים בידי משרדי ממשלה, רשויות מקומיות וקופות חולים אינם משותפים באופן שיטתי, נפגעת האפשרות להבין את צורכי הזקנים, למדוד את השפעת הת</w:t>
      </w:r>
      <w:r w:rsidRPr="00861D72">
        <w:rPr>
          <w:rFonts w:eastAsia="Calibri" w:hint="cs"/>
          <w:b/>
          <w:bCs/>
          <w:rtl/>
        </w:rPr>
        <w:t>ו</w:t>
      </w:r>
      <w:r w:rsidRPr="00861D72">
        <w:rPr>
          <w:rFonts w:eastAsia="Calibri"/>
          <w:b/>
          <w:bCs/>
          <w:rtl/>
        </w:rPr>
        <w:t xml:space="preserve">כניות הקיימות ולזהות אוכלוסיות בסיכון או כאלה הזקוקות להתערבות. </w:t>
      </w:r>
      <w:r w:rsidRPr="00861D72">
        <w:rPr>
          <w:rFonts w:eastAsia="Calibri"/>
          <w:b/>
          <w:bCs/>
          <w:rtl/>
        </w:rPr>
        <w:t>בע</w:t>
      </w:r>
      <w:r w:rsidRPr="00861D72">
        <w:rPr>
          <w:rFonts w:eastAsia="Calibri" w:hint="cs"/>
          <w:b/>
          <w:bCs/>
          <w:rtl/>
        </w:rPr>
        <w:t>י</w:t>
      </w:r>
      <w:r w:rsidRPr="00861D72">
        <w:rPr>
          <w:rFonts w:eastAsia="Calibri"/>
          <w:b/>
          <w:bCs/>
          <w:rtl/>
        </w:rPr>
        <w:t>תות</w:t>
      </w:r>
      <w:r w:rsidRPr="00861D72">
        <w:rPr>
          <w:rFonts w:eastAsia="Calibri"/>
          <w:b/>
          <w:bCs/>
          <w:rtl/>
        </w:rPr>
        <w:t xml:space="preserve"> חירום</w:t>
      </w:r>
      <w:r w:rsidRPr="00861D72">
        <w:rPr>
          <w:rFonts w:eastAsia="Calibri" w:hint="cs"/>
          <w:b/>
          <w:bCs/>
          <w:rtl/>
        </w:rPr>
        <w:t xml:space="preserve">, התברר </w:t>
      </w:r>
      <w:r w:rsidRPr="00861D72">
        <w:rPr>
          <w:rFonts w:eastAsia="Calibri"/>
          <w:b/>
          <w:bCs/>
          <w:rtl/>
        </w:rPr>
        <w:t>המחיר של אי</w:t>
      </w:r>
      <w:r w:rsidRPr="00861D72">
        <w:rPr>
          <w:rFonts w:eastAsia="Calibri" w:hint="cs"/>
          <w:b/>
          <w:bCs/>
          <w:rtl/>
        </w:rPr>
        <w:t>-</w:t>
      </w:r>
      <w:r w:rsidRPr="00861D72">
        <w:rPr>
          <w:rFonts w:eastAsia="Calibri"/>
          <w:b/>
          <w:bCs/>
          <w:rtl/>
        </w:rPr>
        <w:t xml:space="preserve">שיתוף הנתונים: קושי באיתור מהיר של אזרחים ותיקים הנזקקים לסיוע, עיכוב בהעברת סיוע חיוני והיעדר תמונת מצב לאומית עדכנית.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ascii="David" w:eastAsia="Calibri" w:hAnsi="David"/>
          <w:sz w:val="24"/>
          <w:rtl/>
          <w:lang w:eastAsia="he-IL"/>
        </w:rPr>
      </w:pPr>
      <w:r w:rsidRPr="00861D72">
        <w:rPr>
          <w:rFonts w:eastAsia="Times New Roman" w:hint="cs"/>
          <w:bCs/>
          <w:spacing w:val="40"/>
          <w:rtl/>
        </w:rPr>
        <w:t>העברת חלקית של מידע באמצעות לוח מחוונים של נתונים על אזרחים ותיקים</w:t>
      </w:r>
      <w:r w:rsidRPr="00861D72">
        <w:rPr>
          <w:rFonts w:eastAsia="Times New Roman"/>
          <w:bCs/>
          <w:spacing w:val="40"/>
          <w:rtl/>
        </w:rPr>
        <w:t>:</w:t>
      </w:r>
      <w:r w:rsidRPr="00861D72">
        <w:rPr>
          <w:rFonts w:ascii="David" w:eastAsia="Calibri" w:hAnsi="David"/>
          <w:sz w:val="24"/>
          <w:rtl/>
          <w:lang w:eastAsia="he-IL"/>
        </w:rPr>
        <w:t xml:space="preserve"> בשנת</w:t>
      </w:r>
      <w:r w:rsidRPr="00861D72">
        <w:rPr>
          <w:rFonts w:ascii="David" w:eastAsia="Calibri" w:hAnsi="David" w:hint="cs"/>
          <w:sz w:val="24"/>
          <w:rtl/>
          <w:lang w:eastAsia="he-IL"/>
        </w:rPr>
        <w:t xml:space="preserve"> 2022</w:t>
      </w:r>
      <w:r w:rsidRPr="00861D72">
        <w:rPr>
          <w:rFonts w:ascii="David" w:eastAsia="Calibri" w:hAnsi="David"/>
          <w:sz w:val="24"/>
          <w:rtl/>
          <w:lang w:eastAsia="he-IL"/>
        </w:rPr>
        <w:t xml:space="preserve"> </w:t>
      </w:r>
      <w:r w:rsidRPr="00861D72">
        <w:rPr>
          <w:rFonts w:ascii="David" w:eastAsia="Calibri" w:hAnsi="David" w:hint="cs"/>
          <w:sz w:val="24"/>
          <w:rtl/>
          <w:lang w:eastAsia="he-IL"/>
        </w:rPr>
        <w:t xml:space="preserve">פיתח </w:t>
      </w:r>
      <w:r w:rsidRPr="00861D72">
        <w:rPr>
          <w:rFonts w:ascii="David" w:eastAsia="Calibri" w:hAnsi="David"/>
          <w:sz w:val="24"/>
          <w:rtl/>
          <w:lang w:eastAsia="he-IL"/>
        </w:rPr>
        <w:t xml:space="preserve">משרד הרווחה </w:t>
      </w:r>
      <w:r w:rsidRPr="00861D72">
        <w:rPr>
          <w:rFonts w:ascii="David" w:eastAsia="Calibri" w:hAnsi="David" w:hint="cs"/>
          <w:sz w:val="24"/>
          <w:rtl/>
          <w:lang w:eastAsia="he-IL"/>
        </w:rPr>
        <w:t xml:space="preserve">בשיתוף </w:t>
      </w:r>
      <w:r w:rsidRPr="00861D72">
        <w:rPr>
          <w:rFonts w:ascii="David" w:eastAsia="Calibri" w:hAnsi="David" w:hint="cs"/>
          <w:sz w:val="24"/>
          <w:rtl/>
          <w:lang w:eastAsia="he-IL"/>
        </w:rPr>
        <w:t>בט"ל</w:t>
      </w:r>
      <w:r w:rsidRPr="00861D72">
        <w:rPr>
          <w:rFonts w:ascii="David" w:eastAsia="Calibri" w:hAnsi="David" w:hint="cs"/>
          <w:sz w:val="24"/>
          <w:rtl/>
          <w:lang w:eastAsia="he-IL"/>
        </w:rPr>
        <w:t xml:space="preserve"> לוח מחוונים</w:t>
      </w:r>
      <w:r w:rsidRPr="00861D72">
        <w:rPr>
          <w:rFonts w:ascii="David" w:eastAsia="Calibri" w:hAnsi="David"/>
          <w:sz w:val="24"/>
          <w:rtl/>
          <w:lang w:eastAsia="he-IL"/>
        </w:rPr>
        <w:t xml:space="preserve"> עבור הרשויות המקומיות</w:t>
      </w:r>
      <w:r w:rsidRPr="00861D72">
        <w:rPr>
          <w:rFonts w:ascii="David" w:eastAsia="Calibri" w:hAnsi="David" w:hint="cs"/>
          <w:sz w:val="24"/>
          <w:rtl/>
          <w:lang w:eastAsia="he-IL"/>
        </w:rPr>
        <w:t xml:space="preserve">. </w:t>
      </w:r>
      <w:r w:rsidRPr="00861D72">
        <w:rPr>
          <w:rFonts w:ascii="David" w:eastAsia="Calibri" w:hAnsi="David"/>
          <w:sz w:val="24"/>
          <w:rtl/>
          <w:lang w:eastAsia="he-IL"/>
        </w:rPr>
        <w:t>כל רשות</w:t>
      </w:r>
      <w:r w:rsidRPr="00861D72">
        <w:rPr>
          <w:rFonts w:ascii="David" w:eastAsia="Calibri" w:hAnsi="David" w:hint="cs"/>
          <w:sz w:val="24"/>
          <w:rtl/>
          <w:lang w:eastAsia="he-IL"/>
        </w:rPr>
        <w:t xml:space="preserve"> מקומית חשופה ללוח המתעדכן אחת לחודש, ובו</w:t>
      </w:r>
      <w:r w:rsidRPr="00861D72">
        <w:rPr>
          <w:rFonts w:ascii="David" w:eastAsia="Calibri" w:hAnsi="David"/>
          <w:sz w:val="24"/>
          <w:rtl/>
          <w:lang w:eastAsia="he-IL"/>
        </w:rPr>
        <w:t xml:space="preserve"> נתונים עדכניים </w:t>
      </w:r>
      <w:r w:rsidRPr="00861D72">
        <w:rPr>
          <w:rFonts w:ascii="David" w:eastAsia="Calibri" w:hAnsi="David" w:hint="cs"/>
          <w:sz w:val="24"/>
          <w:rtl/>
          <w:lang w:eastAsia="he-IL"/>
        </w:rPr>
        <w:t xml:space="preserve">על </w:t>
      </w:r>
      <w:r w:rsidRPr="00861D72">
        <w:rPr>
          <w:rFonts w:ascii="David" w:eastAsia="Calibri" w:hAnsi="David"/>
          <w:sz w:val="24"/>
          <w:rtl/>
          <w:lang w:eastAsia="he-IL"/>
        </w:rPr>
        <w:t>אודות אוכלוסיית</w:t>
      </w:r>
      <w:r w:rsidRPr="00861D72">
        <w:rPr>
          <w:rFonts w:ascii="David" w:eastAsia="Calibri" w:hAnsi="David" w:hint="cs"/>
          <w:sz w:val="24"/>
          <w:rtl/>
          <w:lang w:eastAsia="he-IL"/>
        </w:rPr>
        <w:t xml:space="preserve"> האזרחים</w:t>
      </w:r>
      <w:r w:rsidRPr="00861D72">
        <w:rPr>
          <w:rFonts w:ascii="David" w:eastAsia="Calibri" w:hAnsi="David"/>
          <w:sz w:val="24"/>
          <w:rtl/>
          <w:lang w:eastAsia="he-IL"/>
        </w:rPr>
        <w:t xml:space="preserve"> הוותיקים שבתחום שיפוטה,</w:t>
      </w:r>
      <w:r w:rsidRPr="00861D72">
        <w:rPr>
          <w:rFonts w:ascii="David" w:eastAsia="Calibri" w:hAnsi="David" w:hint="cs"/>
          <w:sz w:val="24"/>
          <w:rtl/>
          <w:lang w:eastAsia="he-IL"/>
        </w:rPr>
        <w:t xml:space="preserve"> כגון מספר הזקנים, מספר זכאי חוק סיעוד, השתתפות בשירותים ובמסגרות בקהילה </w:t>
      </w:r>
      <w:bookmarkStart w:id="63" w:name="_Hlk221790637"/>
      <w:r w:rsidRPr="00861D72">
        <w:rPr>
          <w:rFonts w:ascii="David" w:eastAsia="Calibri" w:hAnsi="David"/>
          <w:sz w:val="24"/>
          <w:rtl/>
          <w:lang w:eastAsia="he-IL"/>
        </w:rPr>
        <w:t>וכן נתוני ביצוע של ניצול תקציב הרווחה</w:t>
      </w:r>
      <w:bookmarkEnd w:id="63"/>
      <w:r w:rsidRPr="00861D72">
        <w:rPr>
          <w:rFonts w:ascii="David" w:eastAsia="Calibri" w:hAnsi="David"/>
          <w:sz w:val="24"/>
          <w:rtl/>
          <w:lang w:eastAsia="he-IL"/>
        </w:rPr>
        <w:t>. נתונים</w:t>
      </w:r>
      <w:r w:rsidRPr="00861D72">
        <w:rPr>
          <w:rFonts w:ascii="David" w:eastAsia="Calibri" w:hAnsi="David" w:hint="cs"/>
          <w:sz w:val="24"/>
          <w:rtl/>
          <w:lang w:eastAsia="he-IL"/>
        </w:rPr>
        <w:t xml:space="preserve"> אלו מאפשרים </w:t>
      </w:r>
      <w:r w:rsidRPr="00861D72">
        <w:rPr>
          <w:rFonts w:eastAsia="Calibri"/>
          <w:rtl/>
        </w:rPr>
        <w:t>לרשויות</w:t>
      </w:r>
      <w:r w:rsidRPr="00861D72">
        <w:rPr>
          <w:rFonts w:ascii="David" w:eastAsia="Calibri" w:hAnsi="David"/>
          <w:sz w:val="24"/>
          <w:rtl/>
          <w:lang w:eastAsia="he-IL"/>
        </w:rPr>
        <w:t xml:space="preserve"> המקומיות לתכנן שירותים ומדיניות מבוססת </w:t>
      </w:r>
      <w:r w:rsidRPr="00861D72">
        <w:rPr>
          <w:rFonts w:ascii="David" w:eastAsia="Calibri" w:hAnsi="David" w:hint="cs"/>
          <w:sz w:val="24"/>
          <w:rtl/>
          <w:lang w:eastAsia="he-IL"/>
        </w:rPr>
        <w:t xml:space="preserve">נתונים </w:t>
      </w:r>
      <w:r w:rsidRPr="00861D72">
        <w:rPr>
          <w:rFonts w:ascii="David" w:eastAsia="Calibri" w:hAnsi="David"/>
          <w:sz w:val="24"/>
          <w:rtl/>
          <w:lang w:eastAsia="he-IL"/>
        </w:rPr>
        <w:t>וכן לתת מענה לטיפול מיטבי באנשים הנמצאים בתחום שיפוטה בהתאם לצ</w:t>
      </w:r>
      <w:r w:rsidRPr="00861D72">
        <w:rPr>
          <w:rFonts w:ascii="David" w:eastAsia="Calibri" w:hAnsi="David" w:hint="cs"/>
          <w:sz w:val="24"/>
          <w:rtl/>
          <w:lang w:eastAsia="he-IL"/>
        </w:rPr>
        <w:t>ו</w:t>
      </w:r>
      <w:r w:rsidRPr="00861D72">
        <w:rPr>
          <w:rFonts w:ascii="David" w:eastAsia="Calibri" w:hAnsi="David"/>
          <w:sz w:val="24"/>
          <w:rtl/>
          <w:lang w:eastAsia="he-IL"/>
        </w:rPr>
        <w:t>רכיהם ו</w:t>
      </w:r>
      <w:r w:rsidRPr="00861D72">
        <w:rPr>
          <w:rFonts w:ascii="David" w:eastAsia="Calibri" w:hAnsi="David" w:hint="cs"/>
          <w:sz w:val="24"/>
          <w:rtl/>
          <w:lang w:eastAsia="he-IL"/>
        </w:rPr>
        <w:t>ל</w:t>
      </w:r>
      <w:r w:rsidRPr="00861D72">
        <w:rPr>
          <w:rFonts w:ascii="David" w:eastAsia="Calibri" w:hAnsi="David"/>
          <w:sz w:val="24"/>
          <w:rtl/>
          <w:lang w:eastAsia="he-IL"/>
        </w:rPr>
        <w:t>מצבם.</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rPr>
      </w:pPr>
      <w:r w:rsidRPr="00861D72">
        <w:rPr>
          <w:rFonts w:ascii="David" w:eastAsia="Calibri" w:hAnsi="David" w:hint="eastAsia"/>
          <w:b/>
          <w:bCs/>
          <w:sz w:val="24"/>
          <w:rtl/>
          <w:lang w:eastAsia="he-IL"/>
        </w:rPr>
        <w:t>עם</w:t>
      </w:r>
      <w:r w:rsidRPr="00861D72">
        <w:rPr>
          <w:rFonts w:ascii="David" w:eastAsia="Calibri" w:hAnsi="David"/>
          <w:b/>
          <w:bCs/>
          <w:sz w:val="24"/>
          <w:rtl/>
          <w:lang w:eastAsia="he-IL"/>
        </w:rPr>
        <w:t xml:space="preserve"> זאת </w:t>
      </w:r>
      <w:r w:rsidRPr="00861D72">
        <w:rPr>
          <w:rFonts w:eastAsia="Calibri"/>
          <w:b/>
          <w:bCs/>
          <w:rtl/>
        </w:rPr>
        <w:t xml:space="preserve">לוח </w:t>
      </w:r>
      <w:bookmarkStart w:id="64" w:name="_Hlk222226909"/>
      <w:r w:rsidRPr="00861D72">
        <w:rPr>
          <w:rFonts w:eastAsia="Calibri"/>
          <w:b/>
          <w:bCs/>
          <w:rtl/>
        </w:rPr>
        <w:t>המחוונים</w:t>
      </w:r>
      <w:r w:rsidRPr="00861D72">
        <w:rPr>
          <w:rFonts w:eastAsia="Calibri" w:hint="cs"/>
          <w:b/>
          <w:bCs/>
          <w:rtl/>
        </w:rPr>
        <w:t xml:space="preserve"> </w:t>
      </w:r>
      <w:bookmarkEnd w:id="64"/>
      <w:r w:rsidRPr="00861D72">
        <w:rPr>
          <w:rFonts w:eastAsia="Calibri"/>
          <w:b/>
          <w:bCs/>
          <w:rtl/>
        </w:rPr>
        <w:t xml:space="preserve">הקיים כולל </w:t>
      </w:r>
      <w:r w:rsidRPr="00861D72">
        <w:rPr>
          <w:rFonts w:eastAsia="Calibri" w:hint="cs"/>
          <w:b/>
          <w:bCs/>
          <w:rtl/>
        </w:rPr>
        <w:t>כמה</w:t>
      </w:r>
      <w:r w:rsidRPr="00861D72">
        <w:rPr>
          <w:rFonts w:eastAsia="Calibri"/>
          <w:b/>
          <w:bCs/>
          <w:rtl/>
        </w:rPr>
        <w:t xml:space="preserve"> ליקויים הפוגעים ביכולתו לשמש כלי ניהולי ותכנוני יעיל</w:t>
      </w:r>
      <w:r w:rsidRPr="00861D72">
        <w:rPr>
          <w:rFonts w:eastAsia="Calibri" w:hint="cs"/>
          <w:b/>
          <w:bCs/>
          <w:rtl/>
        </w:rPr>
        <w:t>:</w:t>
      </w:r>
    </w:p>
    <w:p w:rsidR="00861D72" w:rsidRPr="00861D72" w:rsidP="00F90255">
      <w:pPr>
        <w:spacing w:line="269" w:lineRule="auto"/>
        <w:rPr>
          <w:rFonts w:eastAsia="Calibri"/>
          <w:b/>
          <w:bCs/>
          <w:rtl/>
        </w:rPr>
      </w:pPr>
    </w:p>
    <w:p w:rsidR="00861D72" w:rsidRPr="00861D72" w:rsidP="00F90255">
      <w:pPr>
        <w:numPr>
          <w:ilvl w:val="0"/>
          <w:numId w:val="18"/>
        </w:numPr>
        <w:spacing w:line="269" w:lineRule="auto"/>
        <w:rPr>
          <w:rFonts w:ascii="David" w:eastAsia="Calibri" w:hAnsi="David"/>
          <w:b/>
          <w:bCs/>
          <w:sz w:val="24"/>
          <w:lang w:eastAsia="he-IL"/>
        </w:rPr>
      </w:pPr>
      <w:r w:rsidRPr="00861D72">
        <w:rPr>
          <w:rFonts w:ascii="David" w:eastAsia="Calibri" w:hAnsi="David" w:hint="cs"/>
          <w:b/>
          <w:bCs/>
          <w:sz w:val="24"/>
          <w:rtl/>
        </w:rPr>
        <w:t xml:space="preserve">הלוח </w:t>
      </w:r>
      <w:r w:rsidRPr="00861D72">
        <w:rPr>
          <w:rFonts w:ascii="David" w:eastAsia="Calibri" w:hAnsi="David"/>
          <w:b/>
          <w:bCs/>
          <w:sz w:val="24"/>
          <w:rtl/>
        </w:rPr>
        <w:t xml:space="preserve">מציג נתונים שמקורם </w:t>
      </w:r>
      <w:r w:rsidRPr="00861D72">
        <w:rPr>
          <w:rFonts w:ascii="David" w:eastAsia="Calibri" w:hAnsi="David" w:hint="cs"/>
          <w:b/>
          <w:bCs/>
          <w:sz w:val="24"/>
          <w:rtl/>
        </w:rPr>
        <w:t xml:space="preserve">מכמה גורמים, ובהם </w:t>
      </w:r>
      <w:r w:rsidRPr="00861D72">
        <w:rPr>
          <w:rFonts w:ascii="David" w:eastAsia="Calibri" w:hAnsi="David"/>
          <w:b/>
          <w:bCs/>
          <w:sz w:val="24"/>
          <w:rtl/>
        </w:rPr>
        <w:t xml:space="preserve">משרד הרווחה </w:t>
      </w:r>
      <w:r w:rsidRPr="00861D72">
        <w:rPr>
          <w:rFonts w:ascii="David" w:eastAsia="Calibri" w:hAnsi="David" w:hint="cs"/>
          <w:b/>
          <w:bCs/>
          <w:sz w:val="24"/>
          <w:rtl/>
        </w:rPr>
        <w:t>ובט"ל</w:t>
      </w:r>
      <w:r w:rsidRPr="00861D72">
        <w:rPr>
          <w:rFonts w:ascii="David" w:eastAsia="Calibri" w:hAnsi="David" w:hint="cs"/>
          <w:b/>
          <w:bCs/>
          <w:sz w:val="24"/>
          <w:rtl/>
        </w:rPr>
        <w:t>,</w:t>
      </w:r>
      <w:r w:rsidRPr="00861D72">
        <w:rPr>
          <w:rFonts w:ascii="David" w:eastAsia="Calibri" w:hAnsi="David"/>
          <w:b/>
          <w:bCs/>
          <w:sz w:val="24"/>
          <w:rtl/>
        </w:rPr>
        <w:t xml:space="preserve"> </w:t>
      </w:r>
      <w:r w:rsidRPr="00861D72">
        <w:rPr>
          <w:rFonts w:ascii="David" w:eastAsia="Calibri" w:hAnsi="David" w:hint="cs"/>
          <w:b/>
          <w:bCs/>
          <w:sz w:val="24"/>
          <w:rtl/>
        </w:rPr>
        <w:t xml:space="preserve">אך </w:t>
      </w:r>
      <w:r w:rsidRPr="00861D72">
        <w:rPr>
          <w:rFonts w:ascii="David" w:eastAsia="Calibri" w:hAnsi="David"/>
          <w:b/>
          <w:bCs/>
          <w:sz w:val="24"/>
          <w:rtl/>
        </w:rPr>
        <w:t>אינו כולל מידע מ</w:t>
      </w:r>
      <w:r w:rsidRPr="00861D72">
        <w:rPr>
          <w:rFonts w:ascii="David" w:eastAsia="Calibri" w:hAnsi="David" w:hint="cs"/>
          <w:b/>
          <w:bCs/>
          <w:sz w:val="24"/>
          <w:rtl/>
        </w:rPr>
        <w:t>כלל ה</w:t>
      </w:r>
      <w:r w:rsidRPr="00861D72">
        <w:rPr>
          <w:rFonts w:ascii="David" w:eastAsia="Calibri" w:hAnsi="David"/>
          <w:b/>
          <w:bCs/>
          <w:sz w:val="24"/>
          <w:rtl/>
        </w:rPr>
        <w:t xml:space="preserve">גופים </w:t>
      </w:r>
      <w:r w:rsidRPr="00861D72">
        <w:rPr>
          <w:rFonts w:ascii="David" w:eastAsia="Calibri" w:hAnsi="David" w:hint="cs"/>
          <w:b/>
          <w:bCs/>
          <w:sz w:val="24"/>
          <w:rtl/>
        </w:rPr>
        <w:t>ה</w:t>
      </w:r>
      <w:r w:rsidRPr="00861D72">
        <w:rPr>
          <w:rFonts w:ascii="David" w:eastAsia="Calibri" w:hAnsi="David"/>
          <w:b/>
          <w:bCs/>
          <w:sz w:val="24"/>
          <w:rtl/>
        </w:rPr>
        <w:t>ציבוריים הרלוונטיים לטיפול באוכלוסיית הזקנים, לדוגמ</w:t>
      </w:r>
      <w:r w:rsidRPr="00861D72">
        <w:rPr>
          <w:rFonts w:ascii="David" w:eastAsia="Calibri" w:hAnsi="David" w:hint="cs"/>
          <w:b/>
          <w:bCs/>
          <w:sz w:val="24"/>
          <w:rtl/>
        </w:rPr>
        <w:t>ה</w:t>
      </w:r>
      <w:r w:rsidRPr="00861D72">
        <w:rPr>
          <w:rFonts w:ascii="David" w:eastAsia="Calibri" w:hAnsi="David"/>
          <w:b/>
          <w:bCs/>
          <w:sz w:val="24"/>
          <w:rtl/>
        </w:rPr>
        <w:t xml:space="preserve"> המשרד לשוויון חברתי, </w:t>
      </w:r>
      <w:r w:rsidRPr="00861D72">
        <w:rPr>
          <w:rFonts w:ascii="David" w:eastAsia="Calibri" w:hAnsi="David" w:hint="cs"/>
          <w:b/>
          <w:bCs/>
          <w:sz w:val="24"/>
          <w:rtl/>
        </w:rPr>
        <w:t>וכך נוצרת</w:t>
      </w:r>
      <w:r w:rsidRPr="00861D72">
        <w:rPr>
          <w:rFonts w:ascii="David" w:eastAsia="Calibri" w:hAnsi="David"/>
          <w:b/>
          <w:bCs/>
          <w:sz w:val="24"/>
          <w:rtl/>
        </w:rPr>
        <w:t xml:space="preserve"> תמונה </w:t>
      </w:r>
      <w:r w:rsidRPr="00861D72">
        <w:rPr>
          <w:rFonts w:ascii="David" w:eastAsia="Calibri" w:hAnsi="David" w:hint="cs"/>
          <w:b/>
          <w:bCs/>
          <w:sz w:val="24"/>
          <w:rtl/>
        </w:rPr>
        <w:t>חסרה</w:t>
      </w:r>
      <w:r w:rsidRPr="00861D72">
        <w:rPr>
          <w:rFonts w:ascii="David" w:eastAsia="Calibri" w:hAnsi="David"/>
          <w:b/>
          <w:bCs/>
          <w:sz w:val="24"/>
          <w:rtl/>
        </w:rPr>
        <w:t xml:space="preserve"> של המציאות.</w:t>
      </w:r>
    </w:p>
    <w:p w:rsidR="00861D72" w:rsidRPr="00861D72" w:rsidP="00F90255">
      <w:pPr>
        <w:spacing w:line="269" w:lineRule="auto"/>
        <w:ind w:left="340"/>
        <w:rPr>
          <w:rFonts w:ascii="David" w:eastAsia="Calibri" w:hAnsi="David"/>
          <w:b/>
          <w:bCs/>
          <w:sz w:val="24"/>
          <w:lang w:eastAsia="he-IL"/>
        </w:rPr>
      </w:pPr>
    </w:p>
    <w:p w:rsidR="00861D72" w:rsidRPr="00861D72" w:rsidP="00F90255">
      <w:pPr>
        <w:numPr>
          <w:ilvl w:val="0"/>
          <w:numId w:val="18"/>
        </w:numPr>
        <w:spacing w:line="269" w:lineRule="auto"/>
        <w:rPr>
          <w:rFonts w:ascii="David" w:eastAsia="Calibri" w:hAnsi="David"/>
          <w:b/>
          <w:bCs/>
          <w:sz w:val="24"/>
          <w:lang w:eastAsia="he-IL"/>
        </w:rPr>
      </w:pPr>
      <w:r w:rsidRPr="00861D72">
        <w:rPr>
          <w:rFonts w:ascii="David" w:eastAsia="Calibri" w:hAnsi="David"/>
          <w:b/>
          <w:bCs/>
          <w:sz w:val="24"/>
          <w:rtl/>
        </w:rPr>
        <w:t xml:space="preserve">הגישה ללוח מוגבלת למשרד הרווחה, </w:t>
      </w:r>
      <w:r w:rsidRPr="00861D72">
        <w:rPr>
          <w:rFonts w:ascii="David" w:eastAsia="Calibri" w:hAnsi="David" w:hint="cs"/>
          <w:b/>
          <w:bCs/>
          <w:sz w:val="24"/>
          <w:rtl/>
        </w:rPr>
        <w:t>לבט"ל</w:t>
      </w:r>
      <w:r w:rsidRPr="00861D72">
        <w:rPr>
          <w:rFonts w:ascii="David" w:eastAsia="Calibri" w:hAnsi="David"/>
          <w:b/>
          <w:bCs/>
          <w:sz w:val="24"/>
          <w:rtl/>
        </w:rPr>
        <w:t xml:space="preserve"> ולמחלקות לשירותים חברתיים ברשויות המקומיות בלבד, ואינה פתוחה לשאר הגופים הפועלים בתחום. </w:t>
      </w:r>
    </w:p>
    <w:p w:rsidR="00861D72" w:rsidRPr="00861D72" w:rsidP="00F90255">
      <w:pPr>
        <w:spacing w:line="269" w:lineRule="auto"/>
        <w:rPr>
          <w:rFonts w:ascii="David" w:eastAsia="Calibri" w:hAnsi="David"/>
          <w:b/>
          <w:bCs/>
          <w:sz w:val="24"/>
          <w:lang w:eastAsia="he-IL"/>
        </w:rPr>
      </w:pPr>
    </w:p>
    <w:p w:rsidR="00861D72" w:rsidRPr="00861D72" w:rsidP="00F90255">
      <w:pPr>
        <w:spacing w:line="269" w:lineRule="auto"/>
        <w:rPr>
          <w:rFonts w:ascii="David" w:eastAsia="Calibri" w:hAnsi="David"/>
          <w:b/>
          <w:bCs/>
          <w:sz w:val="24"/>
          <w:rtl/>
          <w:lang w:eastAsia="he-IL"/>
        </w:rPr>
      </w:pPr>
      <w:r w:rsidRPr="00861D72">
        <w:rPr>
          <w:rFonts w:ascii="David" w:eastAsia="Calibri" w:hAnsi="David"/>
          <w:b/>
          <w:bCs/>
          <w:sz w:val="24"/>
          <w:rtl/>
        </w:rPr>
        <w:t xml:space="preserve">שילוב ליקויים אלה </w:t>
      </w:r>
      <w:r w:rsidRPr="00861D72">
        <w:rPr>
          <w:rFonts w:ascii="David" w:eastAsia="Calibri" w:hAnsi="David" w:hint="cs"/>
          <w:b/>
          <w:bCs/>
          <w:sz w:val="24"/>
          <w:rtl/>
        </w:rPr>
        <w:t>מביא להגבלת ה</w:t>
      </w:r>
      <w:r w:rsidRPr="00861D72">
        <w:rPr>
          <w:rFonts w:ascii="David" w:eastAsia="Calibri" w:hAnsi="David"/>
          <w:b/>
          <w:bCs/>
          <w:sz w:val="24"/>
          <w:rtl/>
        </w:rPr>
        <w:t>מידע ב</w:t>
      </w:r>
      <w:r w:rsidRPr="00861D72">
        <w:rPr>
          <w:rFonts w:ascii="David" w:eastAsia="Calibri" w:hAnsi="David" w:hint="cs"/>
          <w:b/>
          <w:bCs/>
          <w:sz w:val="24"/>
          <w:rtl/>
        </w:rPr>
        <w:t>לוח</w:t>
      </w:r>
      <w:r w:rsidRPr="00861D72">
        <w:rPr>
          <w:rFonts w:ascii="David" w:eastAsia="Calibri" w:hAnsi="David"/>
          <w:b/>
          <w:bCs/>
          <w:sz w:val="24"/>
          <w:rtl/>
        </w:rPr>
        <w:t xml:space="preserve"> בזמן, בתוכן ובנגישות, ובכך מצמצם </w:t>
      </w:r>
      <w:r w:rsidRPr="00861D72">
        <w:rPr>
          <w:rFonts w:ascii="David" w:eastAsia="Calibri" w:hAnsi="David" w:hint="cs"/>
          <w:b/>
          <w:bCs/>
          <w:sz w:val="24"/>
          <w:rtl/>
        </w:rPr>
        <w:t>מאוד</w:t>
      </w:r>
      <w:r w:rsidRPr="00861D72">
        <w:rPr>
          <w:rFonts w:ascii="David" w:eastAsia="Calibri" w:hAnsi="David"/>
          <w:b/>
          <w:bCs/>
          <w:sz w:val="24"/>
          <w:rtl/>
        </w:rPr>
        <w:t xml:space="preserve"> את תרומתו לשיפור </w:t>
      </w:r>
      <w:r w:rsidRPr="00861D72">
        <w:rPr>
          <w:rFonts w:ascii="David" w:eastAsia="Calibri" w:hAnsi="David" w:hint="cs"/>
          <w:b/>
          <w:bCs/>
          <w:sz w:val="24"/>
          <w:rtl/>
        </w:rPr>
        <w:t xml:space="preserve">של </w:t>
      </w:r>
      <w:r w:rsidRPr="00861D72">
        <w:rPr>
          <w:rFonts w:ascii="David" w:eastAsia="Calibri" w:hAnsi="David"/>
          <w:b/>
          <w:bCs/>
          <w:sz w:val="24"/>
          <w:rtl/>
        </w:rPr>
        <w:t>תהליכי קבלת ההחלטות ולפיתוח מדיניות מבוססת נתונים</w:t>
      </w:r>
      <w:r w:rsidRPr="00861D72">
        <w:rPr>
          <w:rFonts w:ascii="David" w:eastAsia="Calibri" w:hAnsi="David"/>
          <w:b/>
          <w:bCs/>
          <w:sz w:val="24"/>
        </w:rPr>
        <w:t>.</w:t>
      </w:r>
    </w:p>
    <w:p w:rsidR="00861D72" w:rsidRPr="00861D72" w:rsidP="00F90255">
      <w:pPr>
        <w:widowControl w:val="0"/>
        <w:spacing w:line="269" w:lineRule="auto"/>
        <w:rPr>
          <w:rFonts w:ascii="David" w:eastAsia="Times New Roman" w:hAnsi="David"/>
          <w:sz w:val="24"/>
          <w:lang w:eastAsia="he-IL"/>
        </w:rPr>
      </w:pPr>
    </w:p>
    <w:p w:rsidR="00861D72" w:rsidRPr="00861D72" w:rsidP="00F90255">
      <w:pPr>
        <w:spacing w:line="269" w:lineRule="auto"/>
        <w:rPr>
          <w:rFonts w:ascii="David" w:eastAsia="Calibri" w:hAnsi="David"/>
          <w:sz w:val="24"/>
          <w:rtl/>
        </w:rPr>
      </w:pPr>
      <w:bookmarkStart w:id="65" w:name="_Hlk222225056"/>
      <w:r w:rsidRPr="00861D72">
        <w:rPr>
          <w:rFonts w:eastAsia="Calibri" w:hint="cs"/>
          <w:b/>
          <w:bCs/>
          <w:rtl/>
          <w:lang w:eastAsia="he-IL"/>
        </w:rPr>
        <w:t xml:space="preserve">משרד מבקר המדינה מציין לחיוב את משרד הרווחה </w:t>
      </w:r>
      <w:r w:rsidRPr="00861D72">
        <w:rPr>
          <w:rFonts w:eastAsia="Calibri" w:hint="cs"/>
          <w:b/>
          <w:bCs/>
          <w:rtl/>
          <w:lang w:eastAsia="he-IL"/>
        </w:rPr>
        <w:t>ובט"ל</w:t>
      </w:r>
      <w:r w:rsidRPr="00861D72">
        <w:rPr>
          <w:rFonts w:eastAsia="Calibri" w:hint="cs"/>
          <w:b/>
          <w:bCs/>
          <w:rtl/>
          <w:lang w:eastAsia="he-IL"/>
        </w:rPr>
        <w:t xml:space="preserve"> על פיתוח </w:t>
      </w:r>
      <w:r w:rsidRPr="00861D72">
        <w:rPr>
          <w:rFonts w:eastAsia="Calibri"/>
          <w:b/>
          <w:bCs/>
          <w:rtl/>
          <w:lang w:eastAsia="he-IL"/>
        </w:rPr>
        <w:t xml:space="preserve">לוח המחוונים </w:t>
      </w:r>
      <w:r w:rsidRPr="00861D72">
        <w:rPr>
          <w:rFonts w:eastAsia="Calibri" w:hint="cs"/>
          <w:b/>
          <w:bCs/>
          <w:rtl/>
          <w:lang w:eastAsia="he-IL"/>
        </w:rPr>
        <w:t>כ</w:t>
      </w:r>
      <w:r w:rsidRPr="00861D72">
        <w:rPr>
          <w:rFonts w:eastAsia="Calibri"/>
          <w:b/>
          <w:bCs/>
          <w:rtl/>
          <w:lang w:eastAsia="he-IL"/>
        </w:rPr>
        <w:t xml:space="preserve">צעד חשוב ומבורך לקידום </w:t>
      </w:r>
      <w:r w:rsidRPr="00861D72">
        <w:rPr>
          <w:rFonts w:eastAsia="Calibri" w:hint="cs"/>
          <w:b/>
          <w:bCs/>
          <w:rtl/>
          <w:lang w:eastAsia="he-IL"/>
        </w:rPr>
        <w:t xml:space="preserve">של </w:t>
      </w:r>
      <w:r w:rsidRPr="00861D72">
        <w:rPr>
          <w:rFonts w:eastAsia="Calibri"/>
          <w:b/>
          <w:bCs/>
          <w:rtl/>
          <w:lang w:eastAsia="he-IL"/>
        </w:rPr>
        <w:t>ניהול מבוסס נתונים בתחום השירותים החברתיים</w:t>
      </w:r>
      <w:r w:rsidRPr="00861D72">
        <w:rPr>
          <w:rFonts w:eastAsia="Calibri" w:hint="cs"/>
          <w:b/>
          <w:bCs/>
          <w:rtl/>
          <w:lang w:eastAsia="he-IL"/>
        </w:rPr>
        <w:t xml:space="preserve"> לזקנים</w:t>
      </w:r>
      <w:bookmarkEnd w:id="65"/>
      <w:r w:rsidRPr="00861D72">
        <w:rPr>
          <w:rFonts w:eastAsia="Calibri"/>
          <w:b/>
          <w:bCs/>
          <w:rtl/>
          <w:lang w:eastAsia="he-IL"/>
        </w:rPr>
        <w:t xml:space="preserve">, אולם כדי לממש את מלוא הפוטנציאל שלו מומלץ להרחיבו ולשכללו. </w:t>
      </w:r>
      <w:r w:rsidRPr="00861D72">
        <w:rPr>
          <w:rFonts w:eastAsia="Calibri" w:hint="cs"/>
          <w:b/>
          <w:bCs/>
          <w:rtl/>
          <w:lang w:eastAsia="he-IL"/>
        </w:rPr>
        <w:t>בין היתר, מומלץ</w:t>
      </w:r>
      <w:r w:rsidRPr="00861D72">
        <w:rPr>
          <w:rFonts w:eastAsia="Calibri"/>
          <w:b/>
          <w:bCs/>
          <w:rtl/>
          <w:lang w:eastAsia="he-IL"/>
        </w:rPr>
        <w:t xml:space="preserve"> לשלב בו נתונים ממגוון גופים ציבוריים רלוונטיים ולהרחיב את נגישותו לגורמים נוספים המעורבים בקבלת החלטות ובתכנון שירותים. צעדים אלו יהפכו את הלוח לכלי מרכזי ויעיל לתיאום, </w:t>
      </w:r>
      <w:r w:rsidRPr="00861D72">
        <w:rPr>
          <w:rFonts w:eastAsia="Calibri" w:hint="cs"/>
          <w:b/>
          <w:bCs/>
          <w:rtl/>
          <w:lang w:eastAsia="he-IL"/>
        </w:rPr>
        <w:t>ל</w:t>
      </w:r>
      <w:r w:rsidRPr="00861D72">
        <w:rPr>
          <w:rFonts w:eastAsia="Calibri"/>
          <w:b/>
          <w:bCs/>
          <w:rtl/>
          <w:lang w:eastAsia="he-IL"/>
        </w:rPr>
        <w:t>תכנון ו</w:t>
      </w:r>
      <w:r w:rsidRPr="00861D72">
        <w:rPr>
          <w:rFonts w:eastAsia="Calibri" w:hint="cs"/>
          <w:b/>
          <w:bCs/>
          <w:rtl/>
          <w:lang w:eastAsia="he-IL"/>
        </w:rPr>
        <w:t>ל</w:t>
      </w:r>
      <w:r w:rsidRPr="00861D72">
        <w:rPr>
          <w:rFonts w:eastAsia="Calibri"/>
          <w:b/>
          <w:bCs/>
          <w:rtl/>
          <w:lang w:eastAsia="he-IL"/>
        </w:rPr>
        <w:t>מעקב אחר מדיניות ושירותים לאוכלוסיי</w:t>
      </w:r>
      <w:r w:rsidRPr="00861D72">
        <w:rPr>
          <w:rFonts w:eastAsia="Calibri" w:hint="cs"/>
          <w:b/>
          <w:bCs/>
          <w:rtl/>
          <w:lang w:eastAsia="he-IL"/>
        </w:rPr>
        <w:t>ת הזקנים</w:t>
      </w:r>
      <w:r w:rsidRPr="00861D72">
        <w:rPr>
          <w:rFonts w:eastAsia="Calibri"/>
          <w:b/>
          <w:bCs/>
          <w:rtl/>
          <w:lang w:eastAsia="he-I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cs"/>
          <w:rtl/>
        </w:rPr>
        <w:t>בט"ל</w:t>
      </w:r>
      <w:r w:rsidRPr="00861D72">
        <w:rPr>
          <w:rFonts w:eastAsia="Calibri" w:hint="cs"/>
          <w:rtl/>
        </w:rPr>
        <w:t xml:space="preserve"> ציין בתשובתו כי הוא מקבל את ההמלצה של משרד מבקר המדינה להרחיב ולשכלל את לוח המחוונים, וכי מתן סמכות וכלים יאפשרו להאיץ תהליכים של שיתוף מידע; משרד הרווחה ציין בתשובתו כי תהליך איסוף המידע </w:t>
      </w:r>
      <w:r w:rsidRPr="00861D72">
        <w:rPr>
          <w:rFonts w:eastAsia="Calibri" w:hint="cs"/>
          <w:rtl/>
        </w:rPr>
        <w:t>וטיובו</w:t>
      </w:r>
      <w:r w:rsidRPr="00861D72">
        <w:rPr>
          <w:rFonts w:eastAsia="Calibri" w:hint="cs"/>
          <w:rtl/>
        </w:rPr>
        <w:t xml:space="preserve"> מורכב ויש לאזן בין זמינות ואמינות המידע למגבלות המשאבים.</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cs"/>
          <w:rtl/>
        </w:rPr>
        <w:t xml:space="preserve">מלבד לוח המחוונים, ציינה מכבי שירותי בריאות בתשובתה למשרד מבקר המדינה ממאי 2026, כי היא משתתפת בבניית תיק תיאום עם משרד הבריאות, קופות החולים ומערך </w:t>
      </w:r>
      <w:r w:rsidRPr="00861D72">
        <w:rPr>
          <w:rFonts w:eastAsia="Calibri" w:hint="cs"/>
          <w:rtl/>
        </w:rPr>
        <w:t>הדיגיטל</w:t>
      </w:r>
      <w:r w:rsidRPr="00861D72">
        <w:rPr>
          <w:rFonts w:eastAsia="Calibri" w:hint="cs"/>
          <w:rtl/>
        </w:rPr>
        <w:t>, וזאת כדי לייצר ממשק מחשובי.</w:t>
      </w:r>
    </w:p>
    <w:p w:rsidR="00861D72" w:rsidRPr="00861D72" w:rsidP="00F90255">
      <w:pPr>
        <w:keepNext/>
        <w:keepLines/>
        <w:spacing w:line="269" w:lineRule="auto"/>
        <w:outlineLvl w:val="4"/>
        <w:rPr>
          <w:rFonts w:ascii="David" w:eastAsia="Times New Roman" w:hAnsi="David"/>
          <w:bCs/>
          <w:spacing w:val="40"/>
          <w:rtl/>
        </w:rPr>
      </w:pPr>
      <w:r w:rsidRPr="00861D72">
        <w:rPr>
          <w:rFonts w:eastAsia="Times New Roman" w:hint="cs"/>
          <w:bCs/>
          <w:spacing w:val="40"/>
          <w:rtl/>
        </w:rPr>
        <w:t xml:space="preserve">העברת המידע </w:t>
      </w:r>
      <w:r w:rsidRPr="00861D72">
        <w:rPr>
          <w:rFonts w:eastAsia="Times New Roman" w:hint="cs"/>
          <w:bCs/>
          <w:spacing w:val="40"/>
          <w:rtl/>
        </w:rPr>
        <w:t>והנגשת</w:t>
      </w:r>
      <w:r w:rsidRPr="00861D72">
        <w:rPr>
          <w:rFonts w:eastAsia="Times New Roman" w:hint="cs"/>
          <w:bCs/>
          <w:spacing w:val="40"/>
          <w:rtl/>
        </w:rPr>
        <w:t xml:space="preserve"> זכויות לטובת מיצוי זכויות זקנים</w:t>
      </w:r>
      <w:r w:rsidRPr="00861D72">
        <w:rPr>
          <w:rFonts w:ascii="David" w:eastAsia="Times New Roman" w:hAnsi="David" w:hint="cs"/>
          <w:bCs/>
          <w:spacing w:val="40"/>
          <w:rtl/>
        </w:rPr>
        <w:t xml:space="preserve"> </w:t>
      </w:r>
    </w:p>
    <w:p w:rsidR="00861D72" w:rsidRPr="00861D72" w:rsidP="00F90255">
      <w:pPr>
        <w:widowControl w:val="0"/>
        <w:spacing w:line="269" w:lineRule="auto"/>
        <w:rPr>
          <w:rFonts w:eastAsia="Calibri"/>
          <w:rtl/>
        </w:rPr>
      </w:pPr>
    </w:p>
    <w:p w:rsidR="00861D72" w:rsidRPr="00861D72" w:rsidP="00F90255">
      <w:pPr>
        <w:spacing w:line="269" w:lineRule="auto"/>
        <w:rPr>
          <w:rFonts w:eastAsia="Calibri"/>
          <w:rtl/>
        </w:rPr>
      </w:pPr>
      <w:r w:rsidRPr="00861D72">
        <w:rPr>
          <w:rFonts w:eastAsia="Calibri" w:hint="cs"/>
          <w:rtl/>
        </w:rPr>
        <w:t xml:space="preserve">החשיבות של </w:t>
      </w:r>
      <w:r w:rsidRPr="00861D72">
        <w:rPr>
          <w:rFonts w:eastAsia="Calibri" w:hint="cs"/>
          <w:rtl/>
        </w:rPr>
        <w:t>הנגשת</w:t>
      </w:r>
      <w:r w:rsidRPr="00861D72">
        <w:rPr>
          <w:rFonts w:eastAsia="Calibri" w:hint="cs"/>
          <w:rtl/>
        </w:rPr>
        <w:t xml:space="preserve"> הזכויות ומימושן באמצעות פעולות אקטיביות מצד משרדי הממשלה מקבל משנה תוקף שעה שמדובר בזכויות שאינן מוקנות לאזרח אוטומטית ודורשות ביצוע פעולה אקטיבית כדי לממשן (כגון הגשת טופס או תביעה והגשת מסמכים)</w:t>
      </w:r>
      <w:r>
        <w:rPr>
          <w:rFonts w:eastAsia="Calibri"/>
          <w:vertAlign w:val="superscript"/>
          <w:rtl/>
        </w:rPr>
        <w:footnoteReference w:id="138"/>
      </w:r>
      <w:r w:rsidRPr="00861D72">
        <w:rPr>
          <w:rFonts w:eastAsia="Calibri" w:hint="cs"/>
          <w:rtl/>
        </w:rPr>
        <w:t>. דוחות מבקר המדינה הקודמים</w:t>
      </w:r>
      <w:r>
        <w:rPr>
          <w:rFonts w:eastAsia="Calibri"/>
          <w:vertAlign w:val="superscript"/>
          <w:rtl/>
        </w:rPr>
        <w:footnoteReference w:id="139"/>
      </w:r>
      <w:r w:rsidRPr="00861D72">
        <w:rPr>
          <w:rFonts w:eastAsia="Calibri" w:hint="cs"/>
          <w:rtl/>
        </w:rPr>
        <w:t xml:space="preserve"> הצביעו על בעיה במימוש זכויות אלה בקרב זקנים - כך לדוגמה בנוגע למימוש הזכאות לפטור מתשלום דמי ביטוח לאומי מהכנסה מעבודה עבור מי שזכאים לקצבת זקנה</w:t>
      </w:r>
      <w:r>
        <w:rPr>
          <w:rFonts w:eastAsia="Calibri"/>
          <w:vertAlign w:val="superscript"/>
          <w:rtl/>
        </w:rPr>
        <w:footnoteReference w:id="140"/>
      </w:r>
      <w:r w:rsidRPr="00861D72">
        <w:rPr>
          <w:rFonts w:eastAsia="Calibri" w:hint="cs"/>
          <w:rtl/>
        </w:rPr>
        <w:t xml:space="preserve"> או מימוש הנחות בארנונה לאזרחים ותיקים</w:t>
      </w:r>
      <w:r w:rsidRPr="00861D72">
        <w:rPr>
          <w:rFonts w:eastAsia="Calibri"/>
          <w:rtl/>
        </w:rPr>
        <w:t xml:space="preserve">. </w:t>
      </w:r>
      <w:r w:rsidRPr="00861D72">
        <w:rPr>
          <w:rFonts w:eastAsia="Calibri" w:hint="cs"/>
          <w:rtl/>
        </w:rPr>
        <w:t>מבקר המדינה גם ציין בדוחות קודמים כי אזרחים ותיקים זקוקים לסיוע במיצוי זכויות, והמליץ לנקוט בפעולות פרואקטיביות לשם הגברה של מימוש זכויותיהם</w:t>
      </w:r>
      <w:r>
        <w:rPr>
          <w:rFonts w:eastAsia="Calibri"/>
          <w:vertAlign w:val="superscript"/>
          <w:rtl/>
        </w:rPr>
        <w:footnoteReference w:id="141"/>
      </w:r>
      <w:r w:rsidRPr="00861D72">
        <w:rPr>
          <w:rFonts w:eastAsia="Calibri" w:hint="cs"/>
          <w:rtl/>
        </w:rPr>
        <w:t>.</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cs"/>
          <w:rtl/>
        </w:rPr>
        <w:t>הזכויות החברתיות המעוגנות בחוק מאפשרות לכלל האזרחים ליהנות ממגוון שירותים בתחומים חברתיים ונועדו להבטיח רמת חיים נאותה</w:t>
      </w:r>
      <w:r>
        <w:rPr>
          <w:rFonts w:eastAsia="Calibri"/>
          <w:vertAlign w:val="superscript"/>
          <w:rtl/>
        </w:rPr>
        <w:footnoteReference w:id="142"/>
      </w:r>
      <w:r w:rsidRPr="00861D72">
        <w:rPr>
          <w:rFonts w:eastAsia="Calibri" w:hint="cs"/>
          <w:rtl/>
        </w:rPr>
        <w:t xml:space="preserve">. הזקנים זכאים למגוון זכויות והטבות מגופים שונים, ובהן: קצבת אזרח ותיק </w:t>
      </w:r>
      <w:r w:rsidRPr="00861D72">
        <w:rPr>
          <w:rFonts w:eastAsia="Calibri" w:hint="cs"/>
          <w:rtl/>
        </w:rPr>
        <w:t>מבט"ל</w:t>
      </w:r>
      <w:r w:rsidRPr="00861D72">
        <w:rPr>
          <w:rFonts w:eastAsia="Calibri" w:hint="cs"/>
          <w:rtl/>
        </w:rPr>
        <w:t>, תגמולים מכוח חוק ביטוח סיעוד</w:t>
      </w:r>
      <w:r>
        <w:rPr>
          <w:rFonts w:eastAsia="Calibri"/>
          <w:vertAlign w:val="superscript"/>
          <w:rtl/>
        </w:rPr>
        <w:footnoteReference w:id="143"/>
      </w:r>
      <w:r w:rsidRPr="00861D72">
        <w:rPr>
          <w:rFonts w:eastAsia="Calibri" w:hint="cs"/>
          <w:rtl/>
        </w:rPr>
        <w:t>, זכאויות והטבות מכוח חוק האזרחים הוותיקים, כגון הנחות בדמי כניסה למופעים ופטור מהמתנה בתור</w:t>
      </w:r>
      <w:r>
        <w:rPr>
          <w:rFonts w:eastAsia="Calibri"/>
          <w:vertAlign w:val="superscript"/>
          <w:rtl/>
        </w:rPr>
        <w:footnoteReference w:id="144"/>
      </w:r>
      <w:r w:rsidRPr="00861D72">
        <w:rPr>
          <w:rFonts w:eastAsia="Calibri" w:hint="cs"/>
          <w:rtl/>
        </w:rPr>
        <w:t>; הנחות בטיפולי שיניים במסגרת סל הבריאות, הנחות בחשבון חשמל והנחות בארנונה</w:t>
      </w:r>
      <w:r>
        <w:rPr>
          <w:rFonts w:eastAsia="Calibri"/>
          <w:vertAlign w:val="superscript"/>
          <w:rtl/>
        </w:rPr>
        <w:footnoteReference w:id="145"/>
      </w:r>
      <w:r w:rsidRPr="00861D72">
        <w:rPr>
          <w:rFonts w:eastAsia="Calibri" w:hint="cs"/>
          <w:rtl/>
        </w:rPr>
        <w:t xml:space="preserve">.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rtl/>
        </w:rPr>
      </w:pPr>
      <w:r w:rsidRPr="00861D72">
        <w:rPr>
          <w:rFonts w:eastAsia="Calibri" w:hint="cs"/>
          <w:rtl/>
        </w:rPr>
        <w:t>עם השנים התגבשה ההכרה כי עצם העיגון בחוק אינו מספיק כדי להבטיח את מימושן של הזכויות מצד האוכלוסייה הזכאית ומיצוי שלהן</w:t>
      </w:r>
      <w:r>
        <w:rPr>
          <w:rFonts w:eastAsia="Calibri"/>
          <w:vertAlign w:val="superscript"/>
          <w:rtl/>
        </w:rPr>
        <w:footnoteReference w:id="146"/>
      </w:r>
      <w:r w:rsidRPr="00861D72">
        <w:rPr>
          <w:rFonts w:eastAsia="Calibri" w:hint="cs"/>
          <w:rtl/>
        </w:rPr>
        <w:t xml:space="preserve">, ויש חשיבות, ולעתים אף חובה חוקית, </w:t>
      </w:r>
      <w:r w:rsidRPr="00861D72">
        <w:rPr>
          <w:rFonts w:eastAsia="Calibri" w:hint="cs"/>
          <w:rtl/>
        </w:rPr>
        <w:t>להנגיש</w:t>
      </w:r>
      <w:r w:rsidRPr="00861D72">
        <w:rPr>
          <w:rFonts w:eastAsia="Calibri" w:hint="cs"/>
          <w:rtl/>
        </w:rPr>
        <w:t xml:space="preserve"> אותן ואף לפעול בפעולות אקטיביות לשם </w:t>
      </w:r>
      <w:r w:rsidRPr="00861D72">
        <w:rPr>
          <w:rFonts w:eastAsia="Calibri" w:hint="cs"/>
          <w:rtl/>
        </w:rPr>
        <w:t>הנגשתן</w:t>
      </w:r>
      <w:r w:rsidRPr="00861D72">
        <w:rPr>
          <w:rFonts w:eastAsia="Calibri" w:hint="cs"/>
          <w:rtl/>
        </w:rPr>
        <w:t xml:space="preserve"> ומימושן</w:t>
      </w:r>
      <w:r>
        <w:rPr>
          <w:rFonts w:eastAsia="Calibri"/>
          <w:vertAlign w:val="superscript"/>
          <w:rtl/>
        </w:rPr>
        <w:footnoteReference w:id="147"/>
      </w:r>
      <w:r w:rsidRPr="00861D72">
        <w:rPr>
          <w:rFonts w:eastAsia="Calibri" w:hint="cs"/>
          <w:rtl/>
        </w:rPr>
        <w:t xml:space="preserve">. </w:t>
      </w:r>
    </w:p>
    <w:p w:rsidR="00861D72" w:rsidRPr="00861D72" w:rsidP="00F90255">
      <w:pPr>
        <w:widowControl w:val="0"/>
        <w:spacing w:line="269" w:lineRule="auto"/>
        <w:rPr>
          <w:rFonts w:ascii="David" w:eastAsia="Times New Roman" w:hAnsi="David"/>
          <w:sz w:val="24"/>
          <w:rtl/>
          <w:lang w:eastAsia="he-IL"/>
        </w:rPr>
      </w:pPr>
    </w:p>
    <w:p w:rsidR="00861D72" w:rsidRPr="00861D72" w:rsidP="00F90255">
      <w:pPr>
        <w:spacing w:line="269" w:lineRule="auto"/>
        <w:rPr>
          <w:rFonts w:eastAsia="Calibri"/>
          <w:b/>
          <w:bCs/>
          <w:rtl/>
        </w:rPr>
      </w:pPr>
      <w:r w:rsidRPr="00861D72">
        <w:rPr>
          <w:rFonts w:eastAsia="Calibri" w:hint="eastAsia"/>
          <w:b/>
          <w:bCs/>
          <w:rtl/>
        </w:rPr>
        <w:t>תופעת</w:t>
      </w:r>
      <w:r w:rsidRPr="00861D72">
        <w:rPr>
          <w:rFonts w:eastAsia="Calibri"/>
          <w:b/>
          <w:bCs/>
          <w:rtl/>
        </w:rPr>
        <w:t xml:space="preserve"> </w:t>
      </w:r>
      <w:r w:rsidRPr="00861D72">
        <w:rPr>
          <w:rFonts w:eastAsia="Calibri" w:hint="eastAsia"/>
          <w:b/>
          <w:bCs/>
          <w:rtl/>
        </w:rPr>
        <w:t>אי</w:t>
      </w:r>
      <w:r w:rsidRPr="00861D72">
        <w:rPr>
          <w:rFonts w:eastAsia="Calibri" w:hint="cs"/>
          <w:b/>
          <w:bCs/>
          <w:rtl/>
        </w:rPr>
        <w:t>-</w:t>
      </w:r>
      <w:r w:rsidRPr="00861D72">
        <w:rPr>
          <w:rFonts w:eastAsia="Calibri" w:hint="eastAsia"/>
          <w:b/>
          <w:bCs/>
          <w:rtl/>
        </w:rPr>
        <w:t>מיצוי</w:t>
      </w:r>
      <w:r w:rsidRPr="00861D72">
        <w:rPr>
          <w:rFonts w:eastAsia="Calibri"/>
          <w:b/>
          <w:bCs/>
          <w:rtl/>
        </w:rPr>
        <w:t xml:space="preserve"> </w:t>
      </w:r>
      <w:r w:rsidRPr="00861D72">
        <w:rPr>
          <w:rFonts w:eastAsia="Calibri" w:hint="eastAsia"/>
          <w:b/>
          <w:bCs/>
          <w:rtl/>
        </w:rPr>
        <w:t>הזכויות</w:t>
      </w:r>
      <w:r w:rsidRPr="00861D72">
        <w:rPr>
          <w:rFonts w:eastAsia="Calibri"/>
          <w:b/>
          <w:bCs/>
          <w:rtl/>
        </w:rPr>
        <w:t xml:space="preserve"> </w:t>
      </w:r>
      <w:r w:rsidRPr="00861D72">
        <w:rPr>
          <w:rFonts w:eastAsia="Calibri" w:hint="eastAsia"/>
          <w:b/>
          <w:bCs/>
          <w:rtl/>
        </w:rPr>
        <w:t>בקרב</w:t>
      </w:r>
      <w:r w:rsidRPr="00861D72">
        <w:rPr>
          <w:rFonts w:eastAsia="Calibri"/>
          <w:b/>
          <w:bCs/>
          <w:rtl/>
        </w:rPr>
        <w:t xml:space="preserve"> </w:t>
      </w:r>
      <w:r w:rsidRPr="00861D72">
        <w:rPr>
          <w:rFonts w:eastAsia="Calibri" w:hint="eastAsia"/>
          <w:b/>
          <w:bCs/>
          <w:rtl/>
        </w:rPr>
        <w:t>זקנים</w:t>
      </w:r>
      <w:r w:rsidRPr="00861D72">
        <w:rPr>
          <w:rFonts w:eastAsia="Calibri"/>
          <w:b/>
          <w:bCs/>
          <w:rtl/>
        </w:rPr>
        <w:t xml:space="preserve"> </w:t>
      </w:r>
      <w:r w:rsidRPr="00861D72">
        <w:rPr>
          <w:rFonts w:eastAsia="Calibri" w:hint="eastAsia"/>
          <w:b/>
          <w:bCs/>
          <w:rtl/>
        </w:rPr>
        <w:t>נובעת</w:t>
      </w:r>
      <w:r w:rsidRPr="00861D72">
        <w:rPr>
          <w:rFonts w:eastAsia="Calibri"/>
          <w:b/>
          <w:bCs/>
          <w:rtl/>
        </w:rPr>
        <w:t xml:space="preserve"> </w:t>
      </w:r>
      <w:r w:rsidRPr="00861D72">
        <w:rPr>
          <w:rFonts w:eastAsia="Calibri" w:hint="eastAsia"/>
          <w:b/>
          <w:bCs/>
          <w:rtl/>
        </w:rPr>
        <w:t>ממכלול</w:t>
      </w:r>
      <w:r w:rsidRPr="00861D72">
        <w:rPr>
          <w:rFonts w:eastAsia="Calibri"/>
          <w:b/>
          <w:bCs/>
          <w:rtl/>
        </w:rPr>
        <w:t xml:space="preserve"> </w:t>
      </w:r>
      <w:r w:rsidRPr="00861D72">
        <w:rPr>
          <w:rFonts w:eastAsia="Calibri" w:hint="eastAsia"/>
          <w:b/>
          <w:bCs/>
          <w:rtl/>
        </w:rPr>
        <w:t>חסמים</w:t>
      </w:r>
      <w:r w:rsidRPr="00861D72">
        <w:rPr>
          <w:rFonts w:eastAsia="Calibri"/>
          <w:b/>
          <w:bCs/>
          <w:rtl/>
        </w:rPr>
        <w:t xml:space="preserve">, </w:t>
      </w:r>
      <w:r w:rsidRPr="00861D72">
        <w:rPr>
          <w:rFonts w:eastAsia="Calibri" w:hint="eastAsia"/>
          <w:b/>
          <w:bCs/>
          <w:rtl/>
        </w:rPr>
        <w:t>ובין</w:t>
      </w:r>
      <w:r w:rsidRPr="00861D72">
        <w:rPr>
          <w:rFonts w:eastAsia="Calibri"/>
          <w:b/>
          <w:bCs/>
          <w:rtl/>
        </w:rPr>
        <w:t xml:space="preserve"> </w:t>
      </w:r>
      <w:r w:rsidRPr="00861D72">
        <w:rPr>
          <w:rFonts w:eastAsia="Calibri" w:hint="eastAsia"/>
          <w:b/>
          <w:bCs/>
          <w:rtl/>
        </w:rPr>
        <w:t>היתר</w:t>
      </w:r>
      <w:r w:rsidRPr="00861D72">
        <w:rPr>
          <w:rFonts w:eastAsia="Calibri"/>
          <w:b/>
          <w:bCs/>
          <w:rtl/>
        </w:rPr>
        <w:t xml:space="preserve"> </w:t>
      </w:r>
      <w:r w:rsidRPr="00861D72">
        <w:rPr>
          <w:rFonts w:eastAsia="Calibri" w:hint="eastAsia"/>
          <w:b/>
          <w:bCs/>
          <w:rtl/>
        </w:rPr>
        <w:t>ממאפייניהם</w:t>
      </w:r>
      <w:r w:rsidRPr="00861D72">
        <w:rPr>
          <w:rFonts w:eastAsia="Calibri"/>
          <w:b/>
          <w:bCs/>
          <w:rtl/>
        </w:rPr>
        <w:t xml:space="preserve"> </w:t>
      </w:r>
      <w:r w:rsidRPr="00861D72">
        <w:rPr>
          <w:rFonts w:eastAsia="Calibri" w:hint="eastAsia"/>
          <w:b/>
          <w:bCs/>
          <w:rtl/>
        </w:rPr>
        <w:t>הייחודיים</w:t>
      </w:r>
      <w:r w:rsidRPr="00861D72">
        <w:rPr>
          <w:rFonts w:eastAsia="Calibri"/>
          <w:b/>
          <w:bCs/>
          <w:rtl/>
        </w:rPr>
        <w:t xml:space="preserve"> המקשים על יכולתם למצות את זכויותיהם הלכה למעשה, כמפורט בתרשים שלהלן. </w:t>
      </w: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jc w:val="center"/>
        <w:rPr>
          <w:rFonts w:eastAsia="Calibri"/>
          <w:rtl/>
        </w:rPr>
      </w:pPr>
      <w:r w:rsidRPr="00861D72">
        <w:rPr>
          <w:rFonts w:eastAsia="Calibri" w:hint="cs"/>
          <w:rtl/>
        </w:rPr>
        <w:t xml:space="preserve">תרשים 21: </w:t>
      </w:r>
      <w:r w:rsidRPr="00861D72">
        <w:rPr>
          <w:rFonts w:eastAsia="Calibri" w:hint="cs"/>
          <w:b/>
          <w:bCs/>
          <w:rtl/>
        </w:rPr>
        <w:t>חסמים למיצוי זכויות בקרב זקנים</w:t>
      </w:r>
      <w:r>
        <w:rPr>
          <w:rFonts w:eastAsia="Calibri"/>
          <w:b/>
          <w:bCs/>
          <w:vertAlign w:val="superscript"/>
          <w:rtl/>
        </w:rPr>
        <w:footnoteReference w:id="148"/>
      </w:r>
    </w:p>
    <w:p w:rsidR="00861D72" w:rsidRPr="00861D72" w:rsidP="00F90255">
      <w:pPr>
        <w:spacing w:line="269" w:lineRule="auto"/>
        <w:jc w:val="center"/>
        <w:rPr>
          <w:rFonts w:eastAsia="Calibri"/>
          <w:rtl/>
        </w:rPr>
      </w:pPr>
      <w:r w:rsidRPr="00861D72">
        <w:rPr>
          <w:rFonts w:eastAsia="Calibri"/>
          <w:noProof/>
        </w:rPr>
        <w:drawing>
          <wp:inline distT="0" distB="0" distL="0" distR="0">
            <wp:extent cx="5162550" cy="1694815"/>
            <wp:effectExtent l="0" t="0" r="0" b="0"/>
            <wp:docPr id="113" name="תמונה 113" descr="מימין:&#10;חוסר&#10;מודעות וידע&#10;בנוגע&#10;לזכויות&#10;&#10;מימין:&#10;חסם&#10;בירוקרטי&#10;המתגבר&#10;נוכח ריבוי&#10;הגופים&#10;המעניקים&#10;זכויות&#10;והטבות&#10;&#10;באמצע:&#10;חסמים&#10;פסיכולוגיים,&#10;וחברתיים,&#10;תרבותיים&#10;ושפתיים&#10;&#10;משמאל:&#10;אוריינות&#10;דיגיטלית&#10;נמוכה&#10;&#10;משמאל:&#10;מוגבלות&#10;פיזית,&#10;נפשית או&#10;שכלית&#10;(לרבות&#10;קוגניטיב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2550" cy="1694815"/>
                    </a:xfrm>
                    <a:prstGeom prst="rect">
                      <a:avLst/>
                    </a:prstGeom>
                    <a:noFill/>
                  </pic:spPr>
                </pic:pic>
              </a:graphicData>
            </a:graphic>
          </wp:inline>
        </w:drawing>
      </w:r>
    </w:p>
    <w:p w:rsidR="00861D72" w:rsidRPr="00861D72" w:rsidP="00F90255">
      <w:pPr>
        <w:spacing w:line="269" w:lineRule="auto"/>
        <w:rPr>
          <w:rFonts w:eastAsia="Calibri"/>
          <w:sz w:val="18"/>
          <w:szCs w:val="22"/>
          <w:rtl/>
        </w:rPr>
      </w:pPr>
      <w:r w:rsidRPr="00861D72">
        <w:rPr>
          <w:rFonts w:eastAsia="Calibri" w:hint="cs"/>
          <w:sz w:val="18"/>
          <w:szCs w:val="22"/>
          <w:rtl/>
        </w:rPr>
        <w:t xml:space="preserve">* לפי נתוני </w:t>
      </w:r>
      <w:r w:rsidRPr="00861D72">
        <w:rPr>
          <w:rFonts w:eastAsia="Calibri" w:hint="cs"/>
          <w:sz w:val="18"/>
          <w:szCs w:val="22"/>
          <w:rtl/>
        </w:rPr>
        <w:t>הלמ"ס</w:t>
      </w:r>
      <w:r>
        <w:rPr>
          <w:rFonts w:eastAsia="Calibri"/>
          <w:sz w:val="18"/>
          <w:szCs w:val="22"/>
          <w:vertAlign w:val="superscript"/>
          <w:rtl/>
        </w:rPr>
        <w:footnoteReference w:id="149"/>
      </w:r>
      <w:r w:rsidRPr="00861D72">
        <w:rPr>
          <w:rFonts w:eastAsia="Calibri" w:hint="cs"/>
          <w:sz w:val="18"/>
          <w:szCs w:val="22"/>
          <w:rtl/>
        </w:rPr>
        <w:t>, יותר משליש מאוכלוסיית בני 65 ומעלה בישראל הם אנשים עם מוגבלות ברמות שונות.</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eastAsia"/>
          <w:b/>
          <w:bCs/>
          <w:rtl/>
        </w:rPr>
        <w:t>החסמים</w:t>
      </w:r>
      <w:r w:rsidRPr="00861D72">
        <w:rPr>
          <w:rFonts w:eastAsia="Calibri"/>
          <w:b/>
          <w:bCs/>
          <w:rtl/>
        </w:rPr>
        <w:t xml:space="preserve"> </w:t>
      </w:r>
      <w:r w:rsidRPr="00861D72">
        <w:rPr>
          <w:rFonts w:eastAsia="Calibri" w:hint="eastAsia"/>
          <w:b/>
          <w:bCs/>
          <w:rtl/>
        </w:rPr>
        <w:t>האמורים</w:t>
      </w:r>
      <w:r w:rsidRPr="00861D72">
        <w:rPr>
          <w:rFonts w:eastAsia="Calibri"/>
          <w:b/>
          <w:bCs/>
          <w:rtl/>
        </w:rPr>
        <w:t xml:space="preserve"> </w:t>
      </w:r>
      <w:r w:rsidRPr="00861D72">
        <w:rPr>
          <w:rFonts w:eastAsia="Calibri" w:hint="eastAsia"/>
          <w:b/>
          <w:bCs/>
          <w:rtl/>
        </w:rPr>
        <w:t>באו</w:t>
      </w:r>
      <w:r w:rsidRPr="00861D72">
        <w:rPr>
          <w:rFonts w:eastAsia="Calibri"/>
          <w:b/>
          <w:bCs/>
          <w:rtl/>
        </w:rPr>
        <w:t xml:space="preserve"> </w:t>
      </w:r>
      <w:r w:rsidRPr="00861D72">
        <w:rPr>
          <w:rFonts w:eastAsia="Calibri" w:hint="eastAsia"/>
          <w:b/>
          <w:bCs/>
          <w:rtl/>
        </w:rPr>
        <w:t>לידי</w:t>
      </w:r>
      <w:r w:rsidRPr="00861D72">
        <w:rPr>
          <w:rFonts w:eastAsia="Calibri"/>
          <w:b/>
          <w:bCs/>
          <w:rtl/>
        </w:rPr>
        <w:t xml:space="preserve"> </w:t>
      </w:r>
      <w:r w:rsidRPr="00861D72">
        <w:rPr>
          <w:rFonts w:eastAsia="Calibri" w:hint="eastAsia"/>
          <w:b/>
          <w:bCs/>
          <w:rtl/>
        </w:rPr>
        <w:t>ביטוי</w:t>
      </w:r>
      <w:r w:rsidRPr="00861D72">
        <w:rPr>
          <w:rFonts w:eastAsia="Calibri"/>
          <w:b/>
          <w:bCs/>
          <w:rtl/>
        </w:rPr>
        <w:t xml:space="preserve"> </w:t>
      </w:r>
      <w:r w:rsidRPr="00861D72">
        <w:rPr>
          <w:rFonts w:eastAsia="Calibri" w:hint="eastAsia"/>
          <w:b/>
          <w:bCs/>
          <w:rtl/>
        </w:rPr>
        <w:t>גם</w:t>
      </w:r>
      <w:r w:rsidRPr="00861D72">
        <w:rPr>
          <w:rFonts w:eastAsia="Calibri"/>
          <w:b/>
          <w:bCs/>
          <w:rtl/>
        </w:rPr>
        <w:t xml:space="preserve"> </w:t>
      </w:r>
      <w:r w:rsidRPr="00861D72">
        <w:rPr>
          <w:rFonts w:eastAsia="Calibri" w:hint="eastAsia"/>
          <w:b/>
          <w:bCs/>
          <w:rtl/>
        </w:rPr>
        <w:t>במסגרת</w:t>
      </w:r>
      <w:r w:rsidRPr="00861D72">
        <w:rPr>
          <w:rFonts w:eastAsia="Calibri"/>
          <w:b/>
          <w:bCs/>
          <w:rtl/>
        </w:rPr>
        <w:t xml:space="preserve"> </w:t>
      </w:r>
      <w:r w:rsidRPr="00861D72">
        <w:rPr>
          <w:rFonts w:eastAsia="Calibri" w:hint="eastAsia"/>
          <w:b/>
          <w:bCs/>
          <w:rtl/>
        </w:rPr>
        <w:t>הליך</w:t>
      </w:r>
      <w:r w:rsidRPr="00861D72">
        <w:rPr>
          <w:rFonts w:eastAsia="Calibri"/>
          <w:b/>
          <w:bCs/>
          <w:rtl/>
        </w:rPr>
        <w:t xml:space="preserve"> </w:t>
      </w:r>
      <w:r w:rsidRPr="00861D72">
        <w:rPr>
          <w:rFonts w:eastAsia="Calibri" w:hint="eastAsia"/>
          <w:b/>
          <w:bCs/>
          <w:rtl/>
        </w:rPr>
        <w:t>שיתוף</w:t>
      </w:r>
      <w:r w:rsidRPr="00861D72">
        <w:rPr>
          <w:rFonts w:eastAsia="Calibri"/>
          <w:b/>
          <w:bCs/>
          <w:rtl/>
        </w:rPr>
        <w:t xml:space="preserve"> </w:t>
      </w:r>
      <w:r w:rsidRPr="00861D72">
        <w:rPr>
          <w:rFonts w:eastAsia="Calibri" w:hint="eastAsia"/>
          <w:b/>
          <w:bCs/>
          <w:rtl/>
        </w:rPr>
        <w:t>הציבור</w:t>
      </w:r>
      <w:r w:rsidRPr="00861D72">
        <w:rPr>
          <w:rFonts w:eastAsia="Calibri"/>
          <w:b/>
          <w:bCs/>
          <w:rtl/>
        </w:rPr>
        <w:t xml:space="preserve"> </w:t>
      </w:r>
      <w:r w:rsidRPr="00861D72">
        <w:rPr>
          <w:rFonts w:eastAsia="Calibri" w:hint="eastAsia"/>
          <w:b/>
          <w:bCs/>
          <w:rtl/>
        </w:rPr>
        <w:t>שקיים</w:t>
      </w:r>
      <w:r w:rsidRPr="00861D72">
        <w:rPr>
          <w:rFonts w:eastAsia="Calibri"/>
          <w:b/>
          <w:bCs/>
          <w:rtl/>
        </w:rPr>
        <w:t xml:space="preserve"> </w:t>
      </w:r>
      <w:r w:rsidRPr="00861D72">
        <w:rPr>
          <w:rFonts w:eastAsia="Calibri" w:hint="eastAsia"/>
          <w:b/>
          <w:bCs/>
          <w:rtl/>
        </w:rPr>
        <w:t>צוות</w:t>
      </w:r>
      <w:r w:rsidRPr="00861D72">
        <w:rPr>
          <w:rFonts w:eastAsia="Calibri"/>
          <w:b/>
          <w:bCs/>
          <w:rtl/>
        </w:rPr>
        <w:t xml:space="preserve"> </w:t>
      </w:r>
      <w:r w:rsidRPr="00861D72">
        <w:rPr>
          <w:rFonts w:eastAsia="Calibri" w:hint="eastAsia"/>
          <w:b/>
          <w:bCs/>
          <w:rtl/>
        </w:rPr>
        <w:t>הביקורת</w:t>
      </w:r>
      <w:r w:rsidRPr="00861D72">
        <w:rPr>
          <w:rFonts w:eastAsia="Calibri" w:hint="cs"/>
          <w:rtl/>
        </w:rPr>
        <w:t xml:space="preserve">. כך לדוגמה ציינה אחת מהמשיבות בסקר אוכלוסיית האזרחים הוותיקים: </w:t>
      </w:r>
    </w:p>
    <w:p w:rsidR="00861D72" w:rsidRPr="00861D72" w:rsidP="00F90255">
      <w:pPr>
        <w:spacing w:line="269" w:lineRule="auto"/>
        <w:rPr>
          <w:rFonts w:eastAsia="Calibri"/>
          <w:rtl/>
        </w:rPr>
      </w:pPr>
      <w:r w:rsidRPr="00861D72">
        <w:rPr>
          <w:rFonts w:eastAsia="Calibri"/>
          <w:noProof/>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ragraph">
                  <wp:posOffset>12700</wp:posOffset>
                </wp:positionV>
                <wp:extent cx="332443" cy="332443"/>
                <wp:effectExtent l="0" t="0" r="0" b="0"/>
                <wp:wrapTight wrapText="bothSides">
                  <wp:wrapPolygon>
                    <wp:start x="3717" y="0"/>
                    <wp:lineTo x="0" y="3717"/>
                    <wp:lineTo x="0" y="16107"/>
                    <wp:lineTo x="3717" y="19824"/>
                    <wp:lineTo x="16107" y="19824"/>
                    <wp:lineTo x="19824" y="16107"/>
                    <wp:lineTo x="19824" y="3717"/>
                    <wp:lineTo x="16107" y="0"/>
                    <wp:lineTo x="3717" y="0"/>
                  </wp:wrapPolygon>
                </wp:wrapTight>
                <wp:docPr id="1743882370" name="קבוצה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32443" cy="332443"/>
                          <a:chOff x="1619833" y="0"/>
                          <a:chExt cx="1781175" cy="1781175"/>
                        </a:xfrm>
                      </wpg:grpSpPr>
                      <pic:pic xmlns:pic="http://schemas.openxmlformats.org/drawingml/2006/picture">
                        <pic:nvPicPr>
                          <pic:cNvPr id="1743882371" name="תמונה 1743882371"/>
                          <pic:cNvPicPr>
                            <a:picLocks noChangeAspect="1"/>
                          </pic:cNvPicPr>
                        </pic:nvPicPr>
                        <pic:blipFill>
                          <a:blip xmlns:r="http://schemas.openxmlformats.org/officeDocument/2006/relationships" r:embed="rId42">
                            <a:clrChange>
                              <a:clrFrom>
                                <a:srgbClr val="FFFFFF"/>
                              </a:clrFrom>
                              <a:clrTo>
                                <a:srgbClr val="FFFFFF">
                                  <a:alpha val="0"/>
                                </a:srgbClr>
                              </a:clrTo>
                            </a:clrChange>
                          </a:blip>
                          <a:stretch>
                            <a:fillRect/>
                          </a:stretch>
                        </pic:blipFill>
                        <pic:spPr>
                          <a:xfrm>
                            <a:off x="1619833" y="0"/>
                            <a:ext cx="1781175" cy="1781175"/>
                          </a:xfrm>
                          <a:prstGeom prst="rect">
                            <a:avLst/>
                          </a:prstGeom>
                        </pic:spPr>
                      </pic:pic>
                      <pic:pic xmlns:pic="http://schemas.openxmlformats.org/drawingml/2006/picture">
                        <pic:nvPicPr>
                          <pic:cNvPr id="1743882372" name="תמונה 1743882372"/>
                          <pic:cNvPicPr>
                            <a:picLocks noChangeAspect="1"/>
                          </pic:cNvPicPr>
                        </pic:nvPicPr>
                        <pic:blipFill>
                          <a:blip xmlns:r="http://schemas.openxmlformats.org/officeDocument/2006/relationships" r:embed="rId43"/>
                          <a:srcRect l="16969" t="20795" r="16969" b="20795"/>
                          <a:stretch>
                            <a:fillRect/>
                          </a:stretch>
                        </pic:blipFill>
                        <pic:spPr>
                          <a:xfrm>
                            <a:off x="1922082" y="371444"/>
                            <a:ext cx="1176676" cy="1040392"/>
                          </a:xfrm>
                          <a:prstGeom prst="rect">
                            <a:avLst/>
                          </a:prstGeom>
                        </pic:spPr>
                      </pic:pic>
                    </wpg:wgp>
                  </a:graphicData>
                </a:graphic>
              </wp:anchor>
            </w:drawing>
          </mc:Choice>
          <mc:Fallback>
            <w:pict>
              <v:group id="קבוצה 14" o:spid="_x0000_s1025" style="width:26.2pt;height:26.2pt;margin-top:1pt;margin-left:0;mso-position-horizontal:center;mso-position-horizontal-relative:page;position:absolute;z-index:-251655168" coordorigin="16198,0" coordsize="17811,17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743882371" o:spid="_x0000_s1026" type="#_x0000_t75" style="width:17812;height:17811;left:16198;mso-wrap-style:square;position:absolute;visibility:visible">
                  <v:imagedata r:id="rId42" o:title="" chromakey="white"/>
                </v:shape>
                <v:shape id="תמונה 1743882372" o:spid="_x0000_s1027" type="#_x0000_t75" style="width:11767;height:10404;left:19220;mso-wrap-style:square;position:absolute;top:3714;visibility:visible">
                  <v:imagedata r:id="rId43" o:title="" croptop="13628f" cropbottom="13628f" cropleft="11121f" cropright="11121f"/>
                </v:shape>
                <w10:wrap type="tight"/>
              </v:group>
            </w:pict>
          </mc:Fallback>
        </mc:AlternateContent>
      </w:r>
    </w:p>
    <w:p w:rsidR="00861D72" w:rsidRPr="00861D72" w:rsidP="00F90255">
      <w:pPr>
        <w:spacing w:line="269" w:lineRule="auto"/>
        <w:rPr>
          <w:rFonts w:eastAsia="Calibri"/>
          <w:rtl/>
        </w:rPr>
      </w:pPr>
      <w:r w:rsidRPr="00861D72">
        <w:rPr>
          <w:rFonts w:eastAsia="Calibri"/>
          <w:noProof/>
        </w:rPr>
        <w:drawing>
          <wp:anchor distT="0" distB="0" distL="114300" distR="114300" simplePos="0" relativeHeight="251659264" behindDoc="0" locked="0" layoutInCell="1" allowOverlap="1">
            <wp:simplePos x="0" y="0"/>
            <wp:positionH relativeFrom="column">
              <wp:posOffset>895985</wp:posOffset>
            </wp:positionH>
            <wp:positionV relativeFrom="paragraph">
              <wp:posOffset>40640</wp:posOffset>
            </wp:positionV>
            <wp:extent cx="3572110" cy="488841"/>
            <wp:effectExtent l="0" t="0" r="0" b="6985"/>
            <wp:wrapNone/>
            <wp:docPr id="1743882373" name="table" descr="&quot;אני לא מכירה את כל הזכויות שלי כך שאינני יודעת אם יש לי קושי במיצוי&quot;&#10;">
              <a:extLst xmlns:a="http://schemas.openxmlformats.org/drawingml/2006/main">
                <a:ext xmlns:a="http://schemas.openxmlformats.org/drawingml/2006/main" uri="{FF2B5EF4-FFF2-40B4-BE49-F238E27FC236}">
                  <a16:creationId xmlns:a16="http://schemas.microsoft.com/office/drawing/2014/main" id="{F99B5181-D042-434C-8F75-BD36F18E1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3" name="table">
                      <a:extLst>
                        <a:ext xmlns:a="http://schemas.openxmlformats.org/drawingml/2006/main" uri="{FF2B5EF4-FFF2-40B4-BE49-F238E27FC236}">
                          <a16:creationId xmlns:a16="http://schemas.microsoft.com/office/drawing/2014/main" id="{F99B5181-D042-434C-8F75-BD36F18E1822}"/>
                        </a:ext>
                      </a:extLst>
                    </pic:cNvPr>
                    <pic:cNvPicPr>
                      <a:picLocks noChangeAspect="1"/>
                    </pic:cNvPicPr>
                  </pic:nvPicPr>
                  <pic:blipFill>
                    <a:blip xmlns:r="http://schemas.openxmlformats.org/officeDocument/2006/relationships" r:embed="rId44"/>
                    <a:stretch>
                      <a:fillRect/>
                    </a:stretch>
                  </pic:blipFill>
                  <pic:spPr>
                    <a:xfrm>
                      <a:off x="0" y="0"/>
                      <a:ext cx="3572110" cy="488841"/>
                    </a:xfrm>
                    <a:prstGeom prst="rect">
                      <a:avLst/>
                    </a:prstGeom>
                  </pic:spPr>
                </pic:pic>
              </a:graphicData>
            </a:graphic>
          </wp:anchor>
        </w:drawing>
      </w:r>
    </w:p>
    <w:p w:rsidR="00861D72" w:rsidRPr="00861D72" w:rsidP="00F90255">
      <w:pPr>
        <w:spacing w:line="269" w:lineRule="auto"/>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eastAsia"/>
          <w:b/>
          <w:bCs/>
          <w:rtl/>
        </w:rPr>
        <w:t>החסמים</w:t>
      </w:r>
      <w:r w:rsidRPr="00861D72">
        <w:rPr>
          <w:rFonts w:eastAsia="Calibri"/>
          <w:b/>
          <w:bCs/>
          <w:rtl/>
        </w:rPr>
        <w:t xml:space="preserve"> </w:t>
      </w:r>
      <w:r w:rsidRPr="00861D72">
        <w:rPr>
          <w:rFonts w:eastAsia="Calibri" w:hint="eastAsia"/>
          <w:b/>
          <w:bCs/>
          <w:rtl/>
        </w:rPr>
        <w:t>עלו</w:t>
      </w:r>
      <w:r w:rsidRPr="00861D72">
        <w:rPr>
          <w:rFonts w:eastAsia="Calibri"/>
          <w:b/>
          <w:bCs/>
          <w:rtl/>
        </w:rPr>
        <w:t xml:space="preserve"> </w:t>
      </w:r>
      <w:r w:rsidRPr="00861D72">
        <w:rPr>
          <w:rFonts w:eastAsia="Calibri" w:hint="eastAsia"/>
          <w:b/>
          <w:bCs/>
          <w:rtl/>
        </w:rPr>
        <w:t>גם</w:t>
      </w:r>
      <w:r w:rsidRPr="00861D72">
        <w:rPr>
          <w:rFonts w:eastAsia="Calibri"/>
          <w:b/>
          <w:bCs/>
          <w:rtl/>
        </w:rPr>
        <w:t xml:space="preserve"> </w:t>
      </w:r>
      <w:r w:rsidRPr="00861D72">
        <w:rPr>
          <w:rFonts w:eastAsia="Calibri" w:hint="eastAsia"/>
          <w:b/>
          <w:bCs/>
          <w:rtl/>
        </w:rPr>
        <w:t>במסגרת</w:t>
      </w:r>
      <w:r w:rsidRPr="00861D72">
        <w:rPr>
          <w:rFonts w:eastAsia="Calibri"/>
          <w:b/>
          <w:bCs/>
          <w:rtl/>
        </w:rPr>
        <w:t xml:space="preserve"> </w:t>
      </w:r>
      <w:r w:rsidRPr="00861D72">
        <w:rPr>
          <w:rFonts w:eastAsia="Calibri" w:hint="eastAsia"/>
          <w:b/>
          <w:bCs/>
          <w:rtl/>
        </w:rPr>
        <w:t>סקר</w:t>
      </w:r>
      <w:r w:rsidRPr="00861D72">
        <w:rPr>
          <w:rFonts w:eastAsia="Calibri"/>
          <w:b/>
          <w:bCs/>
          <w:rtl/>
        </w:rPr>
        <w:t xml:space="preserve"> </w:t>
      </w:r>
      <w:r w:rsidRPr="00861D72">
        <w:rPr>
          <w:rFonts w:eastAsia="Calibri" w:hint="eastAsia"/>
          <w:b/>
          <w:bCs/>
          <w:rtl/>
        </w:rPr>
        <w:t>אנשי</w:t>
      </w:r>
      <w:r w:rsidRPr="00861D72">
        <w:rPr>
          <w:rFonts w:eastAsia="Calibri"/>
          <w:b/>
          <w:bCs/>
          <w:rtl/>
        </w:rPr>
        <w:t xml:space="preserve"> </w:t>
      </w:r>
      <w:r w:rsidRPr="00861D72">
        <w:rPr>
          <w:rFonts w:eastAsia="Calibri" w:hint="eastAsia"/>
          <w:b/>
          <w:bCs/>
          <w:rtl/>
        </w:rPr>
        <w:t>המקצוע</w:t>
      </w:r>
      <w:r w:rsidRPr="00861D72">
        <w:rPr>
          <w:rFonts w:eastAsia="Calibri"/>
          <w:b/>
          <w:bCs/>
          <w:rtl/>
        </w:rPr>
        <w:t xml:space="preserve"> </w:t>
      </w:r>
      <w:r w:rsidRPr="00861D72">
        <w:rPr>
          <w:rFonts w:eastAsia="Calibri" w:hint="eastAsia"/>
          <w:b/>
          <w:bCs/>
          <w:rtl/>
        </w:rPr>
        <w:t>שבמסגרתו</w:t>
      </w:r>
      <w:r w:rsidRPr="00861D72">
        <w:rPr>
          <w:rFonts w:eastAsia="Calibri"/>
          <w:b/>
          <w:bCs/>
          <w:rtl/>
        </w:rPr>
        <w:t xml:space="preserve"> </w:t>
      </w:r>
      <w:r w:rsidRPr="00861D72">
        <w:rPr>
          <w:rFonts w:eastAsia="Calibri" w:hint="eastAsia"/>
          <w:b/>
          <w:bCs/>
          <w:rtl/>
        </w:rPr>
        <w:t>ציינו</w:t>
      </w:r>
      <w:r w:rsidRPr="00861D72">
        <w:rPr>
          <w:rFonts w:eastAsia="Calibri"/>
          <w:b/>
          <w:bCs/>
          <w:rtl/>
        </w:rPr>
        <w:t xml:space="preserve"> </w:t>
      </w:r>
      <w:r w:rsidRPr="00861D72">
        <w:rPr>
          <w:rFonts w:eastAsia="Calibri" w:hint="eastAsia"/>
          <w:b/>
          <w:bCs/>
          <w:rtl/>
        </w:rPr>
        <w:t>המשיבים</w:t>
      </w:r>
      <w:r w:rsidRPr="00861D72">
        <w:rPr>
          <w:rFonts w:eastAsia="Calibri" w:hint="cs"/>
          <w:rtl/>
        </w:rPr>
        <w:t>:</w:t>
      </w:r>
    </w:p>
    <w:p w:rsidR="00861D72" w:rsidRPr="00861D72" w:rsidP="00F90255">
      <w:pPr>
        <w:spacing w:line="269" w:lineRule="auto"/>
        <w:rPr>
          <w:rFonts w:eastAsia="Calibri"/>
        </w:rPr>
      </w:pPr>
      <w:r w:rsidRPr="00861D72">
        <w:rPr>
          <w:rFonts w:eastAsia="Calibri"/>
          <w:noProof/>
        </w:rPr>
        <mc:AlternateContent>
          <mc:Choice Requires="wpg">
            <w:drawing>
              <wp:anchor distT="0" distB="0" distL="114300" distR="114300" simplePos="0" relativeHeight="251663360" behindDoc="0" locked="0" layoutInCell="1" allowOverlap="1">
                <wp:simplePos x="0" y="0"/>
                <wp:positionH relativeFrom="page">
                  <wp:align>center</wp:align>
                </wp:positionH>
                <wp:positionV relativeFrom="paragraph">
                  <wp:posOffset>10160</wp:posOffset>
                </wp:positionV>
                <wp:extent cx="332443" cy="332443"/>
                <wp:effectExtent l="0" t="0" r="0" b="0"/>
                <wp:wrapNone/>
                <wp:docPr id="1743882374" name="קבוצה 12"/>
                <wp:cNvGraphicFramePr/>
                <a:graphic xmlns:a="http://schemas.openxmlformats.org/drawingml/2006/main">
                  <a:graphicData uri="http://schemas.microsoft.com/office/word/2010/wordprocessingGroup">
                    <wpg:wgp xmlns:wpg="http://schemas.microsoft.com/office/word/2010/wordprocessingGroup">
                      <wpg:cNvGrpSpPr/>
                      <wpg:grpSpPr>
                        <a:xfrm>
                          <a:off x="0" y="0"/>
                          <a:ext cx="332443" cy="332443"/>
                          <a:chOff x="1619833" y="0"/>
                          <a:chExt cx="1781175" cy="1781175"/>
                        </a:xfrm>
                      </wpg:grpSpPr>
                      <pic:pic xmlns:pic="http://schemas.openxmlformats.org/drawingml/2006/picture">
                        <pic:nvPicPr>
                          <pic:cNvPr id="1743882375" name="תמונה 1743882375"/>
                          <pic:cNvPicPr>
                            <a:picLocks noChangeAspect="1"/>
                          </pic:cNvPicPr>
                        </pic:nvPicPr>
                        <pic:blipFill>
                          <a:blip xmlns:r="http://schemas.openxmlformats.org/officeDocument/2006/relationships" r:embed="rId42">
                            <a:clrChange>
                              <a:clrFrom>
                                <a:srgbClr val="FFFFFF"/>
                              </a:clrFrom>
                              <a:clrTo>
                                <a:srgbClr val="FFFFFF">
                                  <a:alpha val="0"/>
                                </a:srgbClr>
                              </a:clrTo>
                            </a:clrChange>
                          </a:blip>
                          <a:stretch>
                            <a:fillRect/>
                          </a:stretch>
                        </pic:blipFill>
                        <pic:spPr>
                          <a:xfrm>
                            <a:off x="1619833" y="0"/>
                            <a:ext cx="1781175" cy="1781175"/>
                          </a:xfrm>
                          <a:prstGeom prst="rect">
                            <a:avLst/>
                          </a:prstGeom>
                        </pic:spPr>
                      </pic:pic>
                      <pic:pic xmlns:pic="http://schemas.openxmlformats.org/drawingml/2006/picture">
                        <pic:nvPicPr>
                          <pic:cNvPr id="1743882376" name="תמונה 1743882376"/>
                          <pic:cNvPicPr>
                            <a:picLocks noChangeAspect="1"/>
                          </pic:cNvPicPr>
                        </pic:nvPicPr>
                        <pic:blipFill>
                          <a:blip xmlns:r="http://schemas.openxmlformats.org/officeDocument/2006/relationships" r:embed="rId43"/>
                          <a:srcRect l="16969" t="20795" r="16969" b="20795"/>
                          <a:stretch>
                            <a:fillRect/>
                          </a:stretch>
                        </pic:blipFill>
                        <pic:spPr>
                          <a:xfrm>
                            <a:off x="1922082" y="371444"/>
                            <a:ext cx="1176676" cy="1040392"/>
                          </a:xfrm>
                          <a:prstGeom prst="rect">
                            <a:avLst/>
                          </a:prstGeom>
                        </pic:spPr>
                      </pic:pic>
                    </wpg:wgp>
                  </a:graphicData>
                </a:graphic>
              </wp:anchor>
            </w:drawing>
          </mc:Choice>
          <mc:Fallback>
            <w:pict>
              <v:group id="קבוצה 12" o:spid="_x0000_s1028" style="width:26.2pt;height:26.2pt;margin-top:0.8pt;margin-left:0;mso-position-horizontal:center;mso-position-horizontal-relative:page;position:absolute;z-index:251664384" coordorigin="16198,0" coordsize="17811,17811">
                <v:shape id="תמונה 1743882375" o:spid="_x0000_s1029" type="#_x0000_t75" style="width:17812;height:17811;left:16198;mso-wrap-style:square;position:absolute;visibility:visible">
                  <v:imagedata r:id="rId42" o:title="" chromakey="white"/>
                </v:shape>
                <v:shape id="תמונה 1743882376" o:spid="_x0000_s1030" type="#_x0000_t75" style="width:11767;height:10404;left:19220;mso-wrap-style:square;position:absolute;top:3714;visibility:visible">
                  <v:imagedata r:id="rId43" o:title="" croptop="13628f" cropbottom="13628f" cropleft="11121f" cropright="11121f"/>
                </v:shape>
              </v:group>
            </w:pict>
          </mc:Fallback>
        </mc:AlternateContent>
      </w:r>
    </w:p>
    <w:p w:rsidR="00861D72" w:rsidRPr="00861D72" w:rsidP="00F90255">
      <w:pPr>
        <w:spacing w:line="269" w:lineRule="auto"/>
        <w:rPr>
          <w:rFonts w:eastAsia="Calibri"/>
        </w:rPr>
      </w:pPr>
      <w:r w:rsidRPr="00861D72">
        <w:rPr>
          <w:rFonts w:eastAsia="Calibri"/>
          <w:noProof/>
        </w:rPr>
        <w:drawing>
          <wp:anchor distT="0" distB="0" distL="114300" distR="114300" simplePos="0" relativeHeight="251662336" behindDoc="0" locked="0" layoutInCell="1" allowOverlap="1">
            <wp:simplePos x="0" y="0"/>
            <wp:positionH relativeFrom="page">
              <wp:align>center</wp:align>
            </wp:positionH>
            <wp:positionV relativeFrom="paragraph">
              <wp:posOffset>15240</wp:posOffset>
            </wp:positionV>
            <wp:extent cx="3572110" cy="1403241"/>
            <wp:effectExtent l="0" t="0" r="0" b="6985"/>
            <wp:wrapNone/>
            <wp:docPr id="1743882377" name="table" descr="&quot;קיים תסכול רב בקרב האזרחים הוותיקים... ההתנהלות הבירוקרטית מאוד מסורבלת ומורכבת לכל אדם, במיוחד לאזרח הוותיק&quot;&#10;&#10;&quot;[זקנים מתלוננים בפניהם על] בלבול מול ריבוי גופים וכל גוף מפנה לאחר, והאחריות אינה ברורה&quot;">
              <a:extLst xmlns:a="http://schemas.openxmlformats.org/drawingml/2006/main">
                <a:ext xmlns:a="http://schemas.openxmlformats.org/drawingml/2006/main" uri="{FF2B5EF4-FFF2-40B4-BE49-F238E27FC236}">
                  <a16:creationId xmlns:a16="http://schemas.microsoft.com/office/drawing/2014/main" id="{041A62D5-44F2-4BAA-908F-ACEE98695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7" name="table">
                      <a:extLst>
                        <a:ext xmlns:a="http://schemas.openxmlformats.org/drawingml/2006/main" uri="{FF2B5EF4-FFF2-40B4-BE49-F238E27FC236}">
                          <a16:creationId xmlns:a16="http://schemas.microsoft.com/office/drawing/2014/main" id="{041A62D5-44F2-4BAA-908F-ACEE9869571A}"/>
                        </a:ext>
                      </a:extLst>
                    </pic:cNvPr>
                    <pic:cNvPicPr>
                      <a:picLocks noChangeAspect="1"/>
                    </pic:cNvPicPr>
                  </pic:nvPicPr>
                  <pic:blipFill>
                    <a:blip xmlns:r="http://schemas.openxmlformats.org/officeDocument/2006/relationships" r:embed="rId45"/>
                    <a:stretch>
                      <a:fillRect/>
                    </a:stretch>
                  </pic:blipFill>
                  <pic:spPr>
                    <a:xfrm>
                      <a:off x="0" y="0"/>
                      <a:ext cx="3572110" cy="1403241"/>
                    </a:xfrm>
                    <a:prstGeom prst="rect">
                      <a:avLst/>
                    </a:prstGeom>
                  </pic:spPr>
                </pic:pic>
              </a:graphicData>
            </a:graphic>
          </wp:anchor>
        </w:drawing>
      </w:r>
    </w:p>
    <w:p w:rsidR="00861D72" w:rsidRPr="00861D72" w:rsidP="00F90255">
      <w:pPr>
        <w:spacing w:line="269" w:lineRule="auto"/>
        <w:rPr>
          <w:rFonts w:eastAsia="Calibri"/>
        </w:rPr>
      </w:pPr>
    </w:p>
    <w:p w:rsidR="00861D72" w:rsidRPr="00861D72" w:rsidP="00F90255">
      <w:pPr>
        <w:spacing w:line="269" w:lineRule="auto"/>
        <w:rPr>
          <w:rFonts w:eastAsia="Calibri"/>
        </w:rPr>
      </w:pPr>
    </w:p>
    <w:p w:rsidR="00861D72" w:rsidRPr="00861D72" w:rsidP="00F90255">
      <w:pPr>
        <w:spacing w:line="269" w:lineRule="auto"/>
        <w:rPr>
          <w:rFonts w:eastAsia="Calibri"/>
        </w:rPr>
      </w:pPr>
    </w:p>
    <w:p w:rsidR="00861D72" w:rsidRPr="00861D72" w:rsidP="00F90255">
      <w:pPr>
        <w:spacing w:line="269" w:lineRule="auto"/>
        <w:rPr>
          <w:rFonts w:eastAsia="Calibri"/>
          <w:rtl/>
        </w:rPr>
      </w:pPr>
    </w:p>
    <w:p w:rsidR="00861D72" w:rsidRPr="00861D72" w:rsidP="00F90255">
      <w:pPr>
        <w:spacing w:line="269" w:lineRule="auto"/>
        <w:rPr>
          <w:rFonts w:eastAsia="Calibri"/>
          <w:rtl/>
        </w:rPr>
      </w:pPr>
    </w:p>
    <w:p w:rsidR="00861D72" w:rsidRPr="00861D72" w:rsidP="00F90255">
      <w:pPr>
        <w:spacing w:line="269" w:lineRule="auto"/>
        <w:ind w:left="424"/>
        <w:rPr>
          <w:rFonts w:eastAsia="Calibri"/>
          <w:rtl/>
        </w:rPr>
      </w:pPr>
    </w:p>
    <w:p w:rsidR="00861D72" w:rsidRPr="00861D72" w:rsidP="00F90255">
      <w:pPr>
        <w:spacing w:line="269" w:lineRule="auto"/>
        <w:rPr>
          <w:rFonts w:eastAsia="Calibri"/>
          <w:b/>
          <w:bCs/>
          <w:rtl/>
        </w:rPr>
      </w:pPr>
    </w:p>
    <w:p w:rsidR="00861D72" w:rsidRPr="00861D72" w:rsidP="00F90255">
      <w:pPr>
        <w:spacing w:line="269" w:lineRule="auto"/>
        <w:rPr>
          <w:rFonts w:eastAsia="Calibri"/>
          <w:b/>
          <w:bCs/>
          <w:rtl/>
        </w:rPr>
      </w:pPr>
      <w:r w:rsidRPr="00861D72">
        <w:rPr>
          <w:rFonts w:eastAsia="Calibri" w:hint="cs"/>
          <w:b/>
          <w:bCs/>
          <w:rtl/>
        </w:rPr>
        <w:t>יצוין עוד כי חסמי הזקנים למימוש זכויותיהם מתחזקים ומלווים בבירוקרטי</w:t>
      </w:r>
      <w:r w:rsidRPr="00861D72">
        <w:rPr>
          <w:rFonts w:eastAsia="Calibri" w:hint="eastAsia"/>
          <w:b/>
          <w:bCs/>
          <w:rtl/>
        </w:rPr>
        <w:t>ה</w:t>
      </w:r>
      <w:r w:rsidRPr="00861D72">
        <w:rPr>
          <w:rFonts w:eastAsia="Calibri" w:hint="cs"/>
          <w:b/>
          <w:bCs/>
          <w:rtl/>
        </w:rPr>
        <w:t xml:space="preserve"> סבוכה גם נוכח העובדה שמערך השירותים והזכויות לאוכלוסייה הוותיקה בישראל מפוזר, כאמור, בין משרדי ממשלה שונים, בין רשויות מקומיות ובין גופים ציבוריים נוספים, וכל גוף מחזיק במידע חלקי, ולעיתים חופף, על אודות האזרח הוותיק, ושיתופי הפעולה בין המשרדים בכלל, ובהעברת מידע בפרט, כפי שתואר לעיל, אינם יעילים</w:t>
      </w:r>
      <w:r>
        <w:rPr>
          <w:rFonts w:eastAsia="Calibri"/>
          <w:b/>
          <w:bCs/>
          <w:vertAlign w:val="superscript"/>
          <w:rtl/>
        </w:rPr>
        <w:footnoteReference w:id="150"/>
      </w:r>
      <w:r w:rsidRPr="00861D72">
        <w:rPr>
          <w:rFonts w:eastAsia="Calibri" w:hint="cs"/>
          <w:b/>
          <w:bCs/>
          <w:rtl/>
        </w:rPr>
        <w:t xml:space="preserve">. </w:t>
      </w:r>
    </w:p>
    <w:p w:rsidR="00861D72" w:rsidRPr="00861D72" w:rsidP="00F90255">
      <w:pPr>
        <w:spacing w:line="269" w:lineRule="auto"/>
        <w:ind w:left="424"/>
        <w:rPr>
          <w:rFonts w:eastAsia="Calibri"/>
          <w:rtl/>
        </w:rPr>
      </w:pPr>
    </w:p>
    <w:p w:rsidR="00861D72" w:rsidRPr="00861D72" w:rsidP="00F90255">
      <w:pPr>
        <w:spacing w:line="269" w:lineRule="auto"/>
        <w:rPr>
          <w:rFonts w:eastAsia="Calibri"/>
          <w:b/>
          <w:bCs/>
          <w:rtl/>
        </w:rPr>
      </w:pPr>
      <w:r w:rsidRPr="00861D72">
        <w:rPr>
          <w:rFonts w:eastAsia="Calibri"/>
          <w:rtl/>
        </w:rPr>
        <w:t xml:space="preserve">מערך </w:t>
      </w:r>
      <w:r w:rsidRPr="00861D72">
        <w:rPr>
          <w:rFonts w:eastAsia="Calibri"/>
          <w:rtl/>
        </w:rPr>
        <w:t>הדיגיטל</w:t>
      </w:r>
      <w:r w:rsidRPr="00861D72">
        <w:rPr>
          <w:rFonts w:eastAsia="Calibri"/>
          <w:rtl/>
        </w:rPr>
        <w:t xml:space="preserve"> פועל </w:t>
      </w:r>
      <w:r w:rsidRPr="00861D72">
        <w:rPr>
          <w:rFonts w:eastAsia="Calibri"/>
          <w:rtl/>
        </w:rPr>
        <w:t>להנגשת</w:t>
      </w:r>
      <w:r w:rsidRPr="00861D72">
        <w:rPr>
          <w:rFonts w:eastAsia="Calibri"/>
          <w:rtl/>
        </w:rPr>
        <w:t xml:space="preserve"> זכויות ו</w:t>
      </w:r>
      <w:r w:rsidRPr="00861D72">
        <w:rPr>
          <w:rFonts w:eastAsia="Calibri" w:hint="cs"/>
          <w:rtl/>
        </w:rPr>
        <w:t xml:space="preserve">למתן </w:t>
      </w:r>
      <w:r w:rsidRPr="00861D72">
        <w:rPr>
          <w:rFonts w:eastAsia="Calibri"/>
          <w:rtl/>
        </w:rPr>
        <w:t>שירותים דיגיטליים לאזרחים ותיקים: במסגרת מיזם</w:t>
      </w:r>
      <w:r w:rsidRPr="00861D72">
        <w:rPr>
          <w:rFonts w:eastAsia="Calibri" w:hint="cs"/>
          <w:rtl/>
        </w:rPr>
        <w:t xml:space="preserve"> "</w:t>
      </w:r>
      <w:r w:rsidRPr="00861D72">
        <w:rPr>
          <w:rFonts w:eastAsia="Calibri"/>
          <w:rtl/>
        </w:rPr>
        <w:t>100 באוריינות דיגיטלית</w:t>
      </w:r>
      <w:r w:rsidRPr="00861D72">
        <w:rPr>
          <w:rFonts w:eastAsia="Calibri" w:hint="cs"/>
          <w:rtl/>
        </w:rPr>
        <w:t>"</w:t>
      </w:r>
      <w:r>
        <w:rPr>
          <w:rFonts w:eastAsia="Calibri"/>
          <w:vertAlign w:val="superscript"/>
          <w:rtl/>
        </w:rPr>
        <w:footnoteReference w:id="151"/>
      </w:r>
      <w:r w:rsidRPr="00861D72">
        <w:rPr>
          <w:rFonts w:eastAsia="Calibri"/>
          <w:rtl/>
        </w:rPr>
        <w:t xml:space="preserve"> הוכשרו כ</w:t>
      </w:r>
      <w:r w:rsidRPr="00861D72">
        <w:rPr>
          <w:rFonts w:eastAsia="Calibri" w:hint="cs"/>
          <w:rtl/>
        </w:rPr>
        <w:t>-</w:t>
      </w:r>
      <w:r w:rsidRPr="00861D72">
        <w:rPr>
          <w:rFonts w:eastAsia="Calibri"/>
          <w:rtl/>
        </w:rPr>
        <w:t xml:space="preserve">35,050 אזרחים ותיקים (כ-25% מהמשתתפים), בין היתר גם בקורס למיצוי זכויות. נוסף </w:t>
      </w:r>
      <w:r w:rsidRPr="00861D72">
        <w:rPr>
          <w:rFonts w:eastAsia="Calibri" w:hint="cs"/>
          <w:rtl/>
        </w:rPr>
        <w:t xml:space="preserve">על כך, </w:t>
      </w:r>
      <w:r w:rsidRPr="00861D72">
        <w:rPr>
          <w:rFonts w:eastAsia="Calibri"/>
          <w:rtl/>
        </w:rPr>
        <w:t xml:space="preserve">פותחו עבורם בקמפוס </w:t>
      </w:r>
      <w:r w:rsidRPr="00861D72">
        <w:rPr>
          <w:rFonts w:eastAsia="Calibri"/>
        </w:rPr>
        <w:t>IL</w:t>
      </w:r>
      <w:r>
        <w:rPr>
          <w:rFonts w:eastAsia="Calibri"/>
          <w:vertAlign w:val="superscript"/>
          <w:rtl/>
        </w:rPr>
        <w:footnoteReference w:id="152"/>
      </w:r>
      <w:r w:rsidRPr="00861D72">
        <w:rPr>
          <w:rFonts w:eastAsia="Calibri"/>
          <w:rtl/>
        </w:rPr>
        <w:t xml:space="preserve"> קורסים ייעודיים, הכוללים סרטוני הדרכה לביצוע פעולות דיגיטליות בשירותים מרכזיים</w:t>
      </w:r>
      <w:r w:rsidRPr="00861D72">
        <w:rPr>
          <w:rFonts w:eastAsia="Calibri" w:hint="cs"/>
          <w:rtl/>
        </w:rPr>
        <w:t>,</w:t>
      </w:r>
      <w:r w:rsidRPr="00861D72">
        <w:rPr>
          <w:rFonts w:eastAsia="Calibri"/>
          <w:rtl/>
        </w:rPr>
        <w:t xml:space="preserve"> כגון </w:t>
      </w:r>
      <w:r w:rsidRPr="00861D72">
        <w:rPr>
          <w:rFonts w:eastAsia="Calibri" w:hint="cs"/>
          <w:rtl/>
        </w:rPr>
        <w:t>בט״ל</w:t>
      </w:r>
      <w:r w:rsidRPr="00861D72">
        <w:rPr>
          <w:rFonts w:eastAsia="Calibri"/>
          <w:rtl/>
        </w:rPr>
        <w:t>, בנקאות, בריאות, תחבורה ציבורית ומגוון שירותים ממשלתיים.</w:t>
      </w:r>
    </w:p>
    <w:p w:rsidR="00861D72" w:rsidRPr="00861D72" w:rsidP="00F90255">
      <w:pPr>
        <w:spacing w:line="269" w:lineRule="auto"/>
        <w:rPr>
          <w:rFonts w:eastAsia="Calibri"/>
          <w:rtl/>
        </w:rPr>
      </w:pPr>
      <w:r w:rsidRPr="00861D72">
        <w:rPr>
          <w:rFonts w:eastAsia="Calibri" w:hint="cs"/>
          <w:rtl/>
        </w:rPr>
        <w:t xml:space="preserve">כחלק </w:t>
      </w:r>
      <w:r w:rsidRPr="00861D72">
        <w:rPr>
          <w:rFonts w:eastAsia="Calibri" w:hint="cs"/>
          <w:rtl/>
        </w:rPr>
        <w:t>מהנגשת</w:t>
      </w:r>
      <w:r w:rsidRPr="00861D72">
        <w:rPr>
          <w:rFonts w:eastAsia="Calibri" w:hint="cs"/>
          <w:rtl/>
        </w:rPr>
        <w:t xml:space="preserve"> זכויות לאזרח, בנה מערך </w:t>
      </w:r>
      <w:r w:rsidRPr="00861D72">
        <w:rPr>
          <w:rFonts w:eastAsia="Calibri" w:hint="cs"/>
          <w:rtl/>
        </w:rPr>
        <w:t>הדיגיטל</w:t>
      </w:r>
      <w:r w:rsidRPr="00861D72">
        <w:rPr>
          <w:rFonts w:eastAsia="Calibri" w:hint="cs"/>
          <w:rtl/>
        </w:rPr>
        <w:t xml:space="preserve"> מנוע זכויות לאומי, שמטרתו איתור זכויות מתוך מגוון הזכויות הקיימות במדינת ישראל</w:t>
      </w:r>
      <w:r>
        <w:rPr>
          <w:rFonts w:eastAsia="Calibri"/>
          <w:vertAlign w:val="superscript"/>
          <w:rtl/>
        </w:rPr>
        <w:footnoteReference w:id="153"/>
      </w:r>
      <w:r w:rsidRPr="00861D72">
        <w:rPr>
          <w:rFonts w:eastAsia="Calibri" w:hint="cs"/>
          <w:rtl/>
        </w:rPr>
        <w:t xml:space="preserve">. במנוע זה האזרח נדרש להשיב על שאלות בנוגע למאפייניו האישיים - כגון נתונים דמוגרפיים, משכורת, תנאי העסקה, נכויות, מצב משפחתי, מצב בריאותי ומצב רווחתי. בסוף התהליך מוצגות בפני המשיב הזכויות שלהן הוא עשוי להיות זכאי ברמת ודאות גבוהה ונמוכה, וכן זכויות שלגביהן חסר מידע. עוד מוצג בפני המשיב פירוט מלא על כל זכות, על המשרד האחראי למימושה ועל אופן מימוש הזכות. יצוין עוד כי במסגרת פעולות </w:t>
      </w:r>
      <w:r w:rsidRPr="00861D72">
        <w:rPr>
          <w:rFonts w:eastAsia="Calibri" w:hint="cs"/>
          <w:rtl/>
        </w:rPr>
        <w:t>הנגשת</w:t>
      </w:r>
      <w:r w:rsidRPr="00861D72">
        <w:rPr>
          <w:rFonts w:eastAsia="Calibri" w:hint="cs"/>
          <w:rtl/>
        </w:rPr>
        <w:t xml:space="preserve"> המידע שמבצע מערך </w:t>
      </w:r>
      <w:r w:rsidRPr="00861D72">
        <w:rPr>
          <w:rFonts w:eastAsia="Calibri" w:hint="cs"/>
          <w:rtl/>
        </w:rPr>
        <w:t>הדיגיטל</w:t>
      </w:r>
      <w:r w:rsidRPr="00861D72">
        <w:rPr>
          <w:rFonts w:eastAsia="Calibri" w:hint="cs"/>
          <w:rtl/>
        </w:rPr>
        <w:t xml:space="preserve">, כפי שפורטו לעיל, הוא כולל גם סרטוני הסבר להפעלת מנוע הזכויות הלאומי. </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cs"/>
          <w:b/>
          <w:bCs/>
          <w:rtl/>
        </w:rPr>
        <w:t xml:space="preserve">משרד מבקר המדינה מציין לחיוב את מנוע הזכויות של מערך </w:t>
      </w:r>
      <w:r w:rsidRPr="00861D72">
        <w:rPr>
          <w:rFonts w:eastAsia="Calibri" w:hint="cs"/>
          <w:b/>
          <w:bCs/>
          <w:rtl/>
        </w:rPr>
        <w:t>הדיגיטל</w:t>
      </w:r>
      <w:r w:rsidRPr="00861D72">
        <w:rPr>
          <w:rFonts w:eastAsia="Calibri" w:hint="cs"/>
          <w:b/>
          <w:bCs/>
          <w:rtl/>
        </w:rPr>
        <w:t xml:space="preserve">. הוא צעד חשוב </w:t>
      </w:r>
      <w:r w:rsidRPr="00861D72">
        <w:rPr>
          <w:rFonts w:eastAsia="Calibri" w:hint="cs"/>
          <w:b/>
          <w:bCs/>
          <w:rtl/>
        </w:rPr>
        <w:t>בהנגשת</w:t>
      </w:r>
      <w:r w:rsidRPr="00861D72">
        <w:rPr>
          <w:rFonts w:eastAsia="Calibri" w:hint="cs"/>
          <w:b/>
          <w:bCs/>
          <w:rtl/>
        </w:rPr>
        <w:t xml:space="preserve"> הזכויות לאזרחים בכלל ולזקנים בפרט. השאלות הנשאלות ברורות ומובנות </w:t>
      </w:r>
      <w:r w:rsidRPr="00861D72">
        <w:rPr>
          <w:rFonts w:eastAsia="Calibri" w:hint="cs"/>
          <w:b/>
          <w:bCs/>
          <w:rtl/>
        </w:rPr>
        <w:t>ולצידן</w:t>
      </w:r>
      <w:r w:rsidRPr="00861D72">
        <w:rPr>
          <w:rFonts w:eastAsia="Calibri" w:hint="cs"/>
          <w:b/>
          <w:bCs/>
          <w:rtl/>
        </w:rPr>
        <w:t xml:space="preserve"> הסברים, והמנוע מספק בצורה ברורה את הזכויות שלהן הזקן זכאי על בסיס מאפיינים אישיים.</w:t>
      </w:r>
      <w:r w:rsidRPr="00861D72">
        <w:rPr>
          <w:rFonts w:eastAsia="Calibri" w:hint="cs"/>
          <w:rtl/>
        </w:rPr>
        <w:t xml:space="preserve"> </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cs"/>
          <w:rtl/>
        </w:rPr>
        <w:t xml:space="preserve">מערך </w:t>
      </w:r>
      <w:r w:rsidRPr="00861D72">
        <w:rPr>
          <w:rFonts w:eastAsia="Calibri" w:hint="cs"/>
          <w:rtl/>
        </w:rPr>
        <w:t>הדיגיטל</w:t>
      </w:r>
      <w:r w:rsidRPr="00861D72">
        <w:rPr>
          <w:rFonts w:eastAsia="Calibri" w:hint="cs"/>
          <w:rtl/>
        </w:rPr>
        <w:t xml:space="preserve"> הלאומי ציין בתשובתו ממאי 2026 כי הוא פועל לשיפור השירות לכלל האזרחים, ולאזרחים הוותיקים בפרט באמצעות עבודת מטה משותפת עם כמה משרדים ובשיח שהוא מקיים עימם, במטרה לבחון אילו התאמות נדרשות במנוע הזכויות הלאומי ולהבנות מנגנוני סנכרון בין מוקדי השירות לאזרחים ותיקים בחירום ובשגרה. כמו כן ציין המערך כי הוא פועל לפיתוחם של כלים שונים (לרבות </w:t>
      </w:r>
      <w:r w:rsidRPr="00861D72">
        <w:rPr>
          <w:rFonts w:eastAsia="Calibri" w:hint="cs"/>
        </w:rPr>
        <w:t>AI</w:t>
      </w:r>
      <w:r w:rsidRPr="00861D72">
        <w:rPr>
          <w:rFonts w:eastAsia="Calibri" w:hint="cs"/>
          <w:rtl/>
        </w:rPr>
        <w:t xml:space="preserve">) </w:t>
      </w:r>
      <w:r w:rsidRPr="00861D72">
        <w:rPr>
          <w:rFonts w:eastAsia="Calibri" w:hint="cs"/>
          <w:rtl/>
        </w:rPr>
        <w:t>שינגישו</w:t>
      </w:r>
      <w:r w:rsidRPr="00861D72">
        <w:rPr>
          <w:rFonts w:eastAsia="Calibri" w:hint="cs"/>
          <w:rtl/>
        </w:rPr>
        <w:t xml:space="preserve"> את המידע על השירותים הרלוונטיים.</w:t>
      </w:r>
    </w:p>
    <w:p w:rsidR="00861D72" w:rsidRPr="00861D72" w:rsidP="00F90255">
      <w:pPr>
        <w:spacing w:line="269" w:lineRule="auto"/>
        <w:ind w:left="424"/>
        <w:rPr>
          <w:rFonts w:eastAsia="Calibri"/>
          <w:rtl/>
        </w:rPr>
      </w:pPr>
    </w:p>
    <w:p w:rsidR="00861D72" w:rsidRPr="00861D72" w:rsidP="00F90255">
      <w:pPr>
        <w:spacing w:line="269" w:lineRule="auto"/>
        <w:rPr>
          <w:rFonts w:eastAsia="Calibri"/>
          <w:b/>
          <w:bCs/>
          <w:rtl/>
        </w:rPr>
      </w:pPr>
      <w:r w:rsidRPr="00861D72">
        <w:rPr>
          <w:rFonts w:eastAsia="Calibri" w:hint="cs"/>
          <w:b/>
          <w:bCs/>
          <w:rtl/>
        </w:rPr>
        <w:t xml:space="preserve">מומלץ כי מערך </w:t>
      </w:r>
      <w:r w:rsidRPr="00861D72">
        <w:rPr>
          <w:rFonts w:eastAsia="Calibri" w:hint="cs"/>
          <w:b/>
          <w:bCs/>
          <w:rtl/>
        </w:rPr>
        <w:t>הדיגיטל</w:t>
      </w:r>
      <w:r w:rsidRPr="00861D72">
        <w:rPr>
          <w:rFonts w:eastAsia="Calibri" w:hint="cs"/>
          <w:b/>
          <w:bCs/>
          <w:rtl/>
        </w:rPr>
        <w:t xml:space="preserve"> הלאומי, בשיתוף הגופים המחזיקים במידע על הזקנים, ובהם </w:t>
      </w:r>
      <w:r w:rsidRPr="00861D72">
        <w:rPr>
          <w:rFonts w:eastAsia="Calibri" w:hint="cs"/>
          <w:b/>
          <w:bCs/>
          <w:rtl/>
        </w:rPr>
        <w:t>בט"ל</w:t>
      </w:r>
      <w:r w:rsidRPr="00861D72">
        <w:rPr>
          <w:rFonts w:eastAsia="Calibri" w:hint="cs"/>
          <w:b/>
          <w:bCs/>
          <w:rtl/>
        </w:rPr>
        <w:t xml:space="preserve">, משרד הבריאות, משרד הרווחה והמשרד לשוויון חברתי, ישלימו את עבודת המטה המתבצעת בתחום וישכללו את המנוע, כך שיוכל לתת מענה פרטני המבוסס על נתונים המצויים בידי משרדי הממשלה ובידי הגופים השונים במערכות (באישור האזרח) ויצמצמו את הנטל הבירוקרטי המושת על הזקן. עוד מומלץ כי מערך </w:t>
      </w:r>
      <w:r w:rsidRPr="00861D72">
        <w:rPr>
          <w:rFonts w:eastAsia="Calibri" w:hint="cs"/>
          <w:b/>
          <w:bCs/>
          <w:rtl/>
        </w:rPr>
        <w:t>הדיגיטל</w:t>
      </w:r>
      <w:r w:rsidRPr="00861D72">
        <w:rPr>
          <w:rFonts w:eastAsia="Calibri" w:hint="cs"/>
          <w:b/>
          <w:bCs/>
          <w:rtl/>
        </w:rPr>
        <w:t xml:space="preserve"> הלאומי יפעל בדרכים נוספות לפרסומו </w:t>
      </w:r>
      <w:r w:rsidRPr="00861D72">
        <w:rPr>
          <w:rFonts w:eastAsia="Calibri" w:hint="cs"/>
          <w:b/>
          <w:bCs/>
          <w:rtl/>
        </w:rPr>
        <w:t>ולהנגשתו</w:t>
      </w:r>
      <w:r w:rsidRPr="00861D72">
        <w:rPr>
          <w:rFonts w:eastAsia="Calibri" w:hint="cs"/>
          <w:b/>
          <w:bCs/>
          <w:rtl/>
        </w:rPr>
        <w:t xml:space="preserve">, למשל באמצעות פרסום של המנוע בקרב גורמים המסייעים לזקנים במיצוי זכויות, כדוגמת עו"ס במחלקות לשירותים חברתיים ושירות הייעוץ לאזרח הוותיק ומשפחתו </w:t>
      </w:r>
      <w:r w:rsidRPr="00861D72">
        <w:rPr>
          <w:rFonts w:eastAsia="Calibri" w:hint="cs"/>
          <w:b/>
          <w:bCs/>
          <w:rtl/>
        </w:rPr>
        <w:t>בבט"ל</w:t>
      </w:r>
      <w:r w:rsidRPr="00861D72">
        <w:rPr>
          <w:rFonts w:eastAsia="Calibri" w:hint="cs"/>
          <w:b/>
          <w:bCs/>
          <w:rtl/>
        </w:rPr>
        <w:t>.</w:t>
      </w:r>
    </w:p>
    <w:p w:rsidR="00861D72" w:rsidRPr="00861D72" w:rsidP="00F90255">
      <w:pPr>
        <w:spacing w:line="269" w:lineRule="auto"/>
        <w:rPr>
          <w:rFonts w:eastAsia="Calibri"/>
          <w:b/>
          <w:bCs/>
          <w:rtl/>
        </w:rPr>
      </w:pPr>
    </w:p>
    <w:p w:rsidR="00861D72" w:rsidRPr="00861D72" w:rsidP="00F90255">
      <w:pPr>
        <w:keepNext/>
        <w:keepLines/>
        <w:spacing w:line="269" w:lineRule="auto"/>
        <w:outlineLvl w:val="2"/>
        <w:rPr>
          <w:rFonts w:eastAsia="Times New Roman"/>
          <w:bCs/>
          <w:szCs w:val="28"/>
          <w:u w:val="single"/>
          <w:rtl/>
        </w:rPr>
      </w:pPr>
      <w:r w:rsidRPr="00861D72">
        <w:rPr>
          <w:rFonts w:eastAsia="Times New Roman" w:hint="cs"/>
          <w:bCs/>
          <w:szCs w:val="28"/>
          <w:u w:val="single"/>
          <w:rtl/>
        </w:rPr>
        <w:t xml:space="preserve">הצורך בקביעת </w:t>
      </w:r>
      <w:r w:rsidRPr="00861D72">
        <w:rPr>
          <w:rFonts w:eastAsia="Times New Roman"/>
          <w:bCs/>
          <w:szCs w:val="28"/>
          <w:u w:val="single"/>
          <w:rtl/>
        </w:rPr>
        <w:t>ת</w:t>
      </w:r>
      <w:r w:rsidRPr="00861D72">
        <w:rPr>
          <w:rFonts w:eastAsia="Times New Roman" w:hint="cs"/>
          <w:bCs/>
          <w:szCs w:val="28"/>
          <w:u w:val="single"/>
          <w:rtl/>
        </w:rPr>
        <w:t>ו</w:t>
      </w:r>
      <w:r w:rsidRPr="00861D72">
        <w:rPr>
          <w:rFonts w:eastAsia="Times New Roman"/>
          <w:bCs/>
          <w:szCs w:val="28"/>
          <w:u w:val="single"/>
          <w:rtl/>
        </w:rPr>
        <w:t>כניות</w:t>
      </w:r>
      <w:r w:rsidRPr="00861D72">
        <w:rPr>
          <w:rFonts w:eastAsia="Times New Roman"/>
          <w:bCs/>
          <w:szCs w:val="28"/>
          <w:u w:val="single"/>
          <w:rtl/>
        </w:rPr>
        <w:t xml:space="preserve"> </w:t>
      </w:r>
      <w:r w:rsidRPr="00861D72">
        <w:rPr>
          <w:rFonts w:eastAsia="Times New Roman" w:hint="cs"/>
          <w:bCs/>
          <w:szCs w:val="28"/>
          <w:u w:val="single"/>
          <w:rtl/>
        </w:rPr>
        <w:t>רב-שנתיות להיערכות להזדקנות האוכלוסייה</w:t>
      </w:r>
    </w:p>
    <w:p w:rsidR="00861D72" w:rsidRPr="00861D72" w:rsidP="00F90255">
      <w:pPr>
        <w:spacing w:line="269" w:lineRule="auto"/>
        <w:ind w:left="424"/>
        <w:rPr>
          <w:rFonts w:eastAsia="Calibri"/>
          <w:rtl/>
        </w:rPr>
      </w:pPr>
    </w:p>
    <w:p w:rsidR="00861D72" w:rsidRPr="00861D72" w:rsidP="00F90255">
      <w:pPr>
        <w:spacing w:line="269" w:lineRule="auto"/>
        <w:rPr>
          <w:rFonts w:ascii="David" w:eastAsia="Calibri" w:hAnsi="David"/>
          <w:color w:val="0A0A0A"/>
          <w:shd w:val="clear" w:color="auto" w:fill="FFFFFF"/>
          <w:rtl/>
        </w:rPr>
      </w:pPr>
      <w:r w:rsidRPr="00861D72">
        <w:rPr>
          <w:rFonts w:eastAsia="Calibri" w:hint="cs"/>
          <w:rtl/>
        </w:rPr>
        <w:t>תוכניות</w:t>
      </w:r>
      <w:r w:rsidRPr="00861D72">
        <w:rPr>
          <w:rFonts w:eastAsia="Calibri" w:hint="cs"/>
          <w:rtl/>
        </w:rPr>
        <w:t xml:space="preserve"> רב-שנתיות הן </w:t>
      </w:r>
      <w:r w:rsidRPr="00861D72">
        <w:rPr>
          <w:rFonts w:eastAsia="Calibri" w:hint="cs"/>
          <w:rtl/>
        </w:rPr>
        <w:t>תוכניות</w:t>
      </w:r>
      <w:r w:rsidRPr="00861D72">
        <w:rPr>
          <w:rFonts w:eastAsia="Calibri" w:hint="cs"/>
          <w:rtl/>
        </w:rPr>
        <w:t xml:space="preserve"> ממשלתיות ארוכות טווח, המשמשות ככלי שבעזרתו ממשלות ישראל פועלות כדי להגשים מטרות חברתיות מורכבות ולממש מדיניות ממשלתי</w:t>
      </w:r>
      <w:r w:rsidRPr="00861D72">
        <w:rPr>
          <w:rFonts w:eastAsia="Calibri" w:hint="eastAsia"/>
          <w:rtl/>
        </w:rPr>
        <w:t>ת</w:t>
      </w:r>
      <w:r w:rsidRPr="00861D72">
        <w:rPr>
          <w:rFonts w:eastAsia="Calibri" w:hint="cs"/>
          <w:rtl/>
        </w:rPr>
        <w:t xml:space="preserve"> בין-משרדית. </w:t>
      </w:r>
      <w:r w:rsidRPr="00861D72">
        <w:rPr>
          <w:rFonts w:ascii="David" w:eastAsia="Calibri" w:hAnsi="David" w:hint="cs"/>
          <w:rtl/>
        </w:rPr>
        <w:t>תוכניות</w:t>
      </w:r>
      <w:r w:rsidRPr="00861D72">
        <w:rPr>
          <w:rFonts w:ascii="David" w:eastAsia="Calibri" w:hAnsi="David" w:hint="cs"/>
          <w:rtl/>
        </w:rPr>
        <w:t xml:space="preserve"> אלה נועדו </w:t>
      </w:r>
      <w:r w:rsidRPr="00861D72">
        <w:rPr>
          <w:rFonts w:ascii="David" w:eastAsia="Calibri" w:hAnsi="David"/>
          <w:rtl/>
        </w:rPr>
        <w:t>בעיקר לפיתוח כלכלי</w:t>
      </w:r>
      <w:r w:rsidRPr="00861D72">
        <w:rPr>
          <w:rFonts w:ascii="David" w:eastAsia="Calibri" w:hAnsi="David"/>
          <w:color w:val="0A0A0A"/>
          <w:shd w:val="clear" w:color="auto" w:fill="FFFFFF"/>
        </w:rPr>
        <w:t>-</w:t>
      </w:r>
      <w:r w:rsidRPr="00861D72">
        <w:rPr>
          <w:rFonts w:ascii="David" w:eastAsia="Calibri" w:hAnsi="David"/>
          <w:color w:val="0A0A0A"/>
          <w:shd w:val="clear" w:color="auto" w:fill="FFFFFF"/>
          <w:rtl/>
        </w:rPr>
        <w:t xml:space="preserve">חברתי של </w:t>
      </w:r>
      <w:r w:rsidRPr="00861D72">
        <w:rPr>
          <w:rFonts w:ascii="David" w:eastAsia="Calibri" w:hAnsi="David" w:hint="cs"/>
          <w:color w:val="0A0A0A"/>
          <w:shd w:val="clear" w:color="auto" w:fill="FFFFFF"/>
          <w:rtl/>
        </w:rPr>
        <w:t>אוכלוסיות ייעודיות,</w:t>
      </w:r>
      <w:r w:rsidRPr="00861D72">
        <w:rPr>
          <w:rFonts w:ascii="David" w:eastAsia="Calibri" w:hAnsi="David"/>
          <w:color w:val="0A0A0A"/>
          <w:shd w:val="clear" w:color="auto" w:fill="FFFFFF"/>
          <w:rtl/>
        </w:rPr>
        <w:t xml:space="preserve"> כמו החברה הערבית, הדרוזית והבדואית, </w:t>
      </w:r>
      <w:r w:rsidRPr="00861D72">
        <w:rPr>
          <w:rFonts w:ascii="David" w:eastAsia="Calibri" w:hAnsi="David" w:hint="cs"/>
          <w:color w:val="0A0A0A"/>
          <w:shd w:val="clear" w:color="auto" w:fill="FFFFFF"/>
          <w:rtl/>
        </w:rPr>
        <w:t xml:space="preserve">או אזורים גיאוגרפים מסוימים, </w:t>
      </w:r>
      <w:r w:rsidRPr="00861D72">
        <w:rPr>
          <w:rFonts w:ascii="David" w:eastAsia="Calibri" w:hAnsi="David"/>
          <w:color w:val="0A0A0A"/>
          <w:shd w:val="clear" w:color="auto" w:fill="FFFFFF"/>
          <w:rtl/>
        </w:rPr>
        <w:t xml:space="preserve">תוך צמצום פערים באמצעות השקעות בתשתיות, </w:t>
      </w:r>
      <w:r w:rsidRPr="00861D72">
        <w:rPr>
          <w:rFonts w:ascii="David" w:eastAsia="Calibri" w:hAnsi="David" w:hint="cs"/>
          <w:color w:val="0A0A0A"/>
          <w:shd w:val="clear" w:color="auto" w:fill="FFFFFF"/>
          <w:rtl/>
        </w:rPr>
        <w:t>ב</w:t>
      </w:r>
      <w:r w:rsidRPr="00861D72">
        <w:rPr>
          <w:rFonts w:ascii="David" w:eastAsia="Calibri" w:hAnsi="David"/>
          <w:color w:val="0A0A0A"/>
          <w:shd w:val="clear" w:color="auto" w:fill="FFFFFF"/>
          <w:rtl/>
        </w:rPr>
        <w:t xml:space="preserve">חינוך, </w:t>
      </w:r>
      <w:r w:rsidRPr="00861D72">
        <w:rPr>
          <w:rFonts w:ascii="David" w:eastAsia="Calibri" w:hAnsi="David" w:hint="cs"/>
          <w:color w:val="0A0A0A"/>
          <w:shd w:val="clear" w:color="auto" w:fill="FFFFFF"/>
          <w:rtl/>
        </w:rPr>
        <w:t>ב</w:t>
      </w:r>
      <w:r w:rsidRPr="00861D72">
        <w:rPr>
          <w:rFonts w:ascii="David" w:eastAsia="Calibri" w:hAnsi="David"/>
          <w:color w:val="0A0A0A"/>
          <w:shd w:val="clear" w:color="auto" w:fill="FFFFFF"/>
          <w:rtl/>
        </w:rPr>
        <w:t>תעסוקה ו</w:t>
      </w:r>
      <w:r w:rsidRPr="00861D72">
        <w:rPr>
          <w:rFonts w:ascii="David" w:eastAsia="Calibri" w:hAnsi="David" w:hint="cs"/>
          <w:color w:val="0A0A0A"/>
          <w:shd w:val="clear" w:color="auto" w:fill="FFFFFF"/>
          <w:rtl/>
        </w:rPr>
        <w:t>ב</w:t>
      </w:r>
      <w:r w:rsidRPr="00861D72">
        <w:rPr>
          <w:rFonts w:ascii="David" w:eastAsia="Calibri" w:hAnsi="David"/>
          <w:color w:val="0A0A0A"/>
          <w:shd w:val="clear" w:color="auto" w:fill="FFFFFF"/>
          <w:rtl/>
        </w:rPr>
        <w:t>רווחה</w:t>
      </w:r>
      <w:r w:rsidRPr="00861D72">
        <w:rPr>
          <w:rFonts w:ascii="David" w:eastAsia="Calibri" w:hAnsi="David" w:hint="cs"/>
          <w:color w:val="0A0A0A"/>
          <w:shd w:val="clear" w:color="auto" w:fill="FFFFFF"/>
          <w:rtl/>
        </w:rPr>
        <w:t xml:space="preserve">. </w:t>
      </w:r>
      <w:r w:rsidRPr="00861D72">
        <w:rPr>
          <w:rFonts w:ascii="David" w:eastAsia="Calibri" w:hAnsi="David" w:hint="cs"/>
          <w:color w:val="0A0A0A"/>
          <w:shd w:val="clear" w:color="auto" w:fill="FFFFFF"/>
          <w:rtl/>
        </w:rPr>
        <w:t>תוכניות</w:t>
      </w:r>
      <w:r w:rsidRPr="00861D72">
        <w:rPr>
          <w:rFonts w:ascii="David" w:eastAsia="Calibri" w:hAnsi="David" w:hint="cs"/>
          <w:color w:val="0A0A0A"/>
          <w:shd w:val="clear" w:color="auto" w:fill="FFFFFF"/>
          <w:rtl/>
        </w:rPr>
        <w:t xml:space="preserve"> אלה</w:t>
      </w:r>
      <w:r w:rsidRPr="00861D72">
        <w:rPr>
          <w:rFonts w:ascii="David" w:eastAsia="Calibri" w:hAnsi="David"/>
          <w:color w:val="0A0A0A"/>
          <w:shd w:val="clear" w:color="auto" w:fill="FFFFFF"/>
          <w:rtl/>
        </w:rPr>
        <w:t xml:space="preserve"> מת</w:t>
      </w:r>
      <w:r w:rsidRPr="00861D72">
        <w:rPr>
          <w:rFonts w:ascii="David" w:eastAsia="Calibri" w:hAnsi="David" w:hint="cs"/>
          <w:color w:val="0A0A0A"/>
          <w:shd w:val="clear" w:color="auto" w:fill="FFFFFF"/>
          <w:rtl/>
        </w:rPr>
        <w:t>ו</w:t>
      </w:r>
      <w:r w:rsidRPr="00861D72">
        <w:rPr>
          <w:rFonts w:ascii="David" w:eastAsia="Calibri" w:hAnsi="David"/>
          <w:color w:val="0A0A0A"/>
          <w:shd w:val="clear" w:color="auto" w:fill="FFFFFF"/>
          <w:rtl/>
        </w:rPr>
        <w:t>קצבות במיליארדי שקלים באמצעות החלטות ממשלה ייעודיות</w:t>
      </w:r>
      <w:r>
        <w:rPr>
          <w:rFonts w:ascii="David" w:eastAsia="Calibri" w:hAnsi="David"/>
          <w:color w:val="0A0A0A"/>
          <w:shd w:val="clear" w:color="auto" w:fill="FFFFFF"/>
          <w:vertAlign w:val="superscript"/>
          <w:rtl/>
        </w:rPr>
        <w:footnoteReference w:id="154"/>
      </w:r>
      <w:r w:rsidRPr="00861D72">
        <w:rPr>
          <w:rFonts w:ascii="David" w:eastAsia="Calibri" w:hAnsi="David"/>
          <w:color w:val="0A0A0A"/>
          <w:shd w:val="clear" w:color="auto" w:fill="FFFFFF"/>
          <w:rtl/>
        </w:rPr>
        <w:t>.</w:t>
      </w:r>
      <w:r w:rsidRPr="00861D72">
        <w:rPr>
          <w:rFonts w:ascii="David" w:eastAsia="Calibri" w:hAnsi="David" w:hint="cs"/>
          <w:color w:val="0A0A0A"/>
          <w:shd w:val="clear" w:color="auto" w:fill="FFFFFF"/>
          <w:rtl/>
        </w:rPr>
        <w:t xml:space="preserve"> </w:t>
      </w:r>
    </w:p>
    <w:p w:rsidR="00861D72" w:rsidRPr="00861D72" w:rsidP="00F90255">
      <w:pPr>
        <w:spacing w:line="269" w:lineRule="auto"/>
        <w:ind w:left="424"/>
        <w:rPr>
          <w:rFonts w:eastAsia="Calibri"/>
          <w:rtl/>
        </w:rPr>
      </w:pPr>
    </w:p>
    <w:p w:rsidR="00861D72" w:rsidRPr="00861D72" w:rsidP="00F90255">
      <w:pPr>
        <w:spacing w:line="269" w:lineRule="auto"/>
        <w:rPr>
          <w:rFonts w:ascii="David" w:eastAsia="Calibri" w:hAnsi="David"/>
          <w:rtl/>
        </w:rPr>
      </w:pPr>
      <w:r w:rsidRPr="00861D72">
        <w:rPr>
          <w:rFonts w:ascii="David" w:eastAsia="Calibri" w:hAnsi="David" w:hint="cs"/>
          <w:rtl/>
        </w:rPr>
        <w:t>תוכניות</w:t>
      </w:r>
      <w:r w:rsidRPr="00861D72">
        <w:rPr>
          <w:rFonts w:ascii="David" w:eastAsia="Calibri" w:hAnsi="David" w:hint="cs"/>
          <w:rtl/>
        </w:rPr>
        <w:t xml:space="preserve"> רב-שנתיות נקבעות במסגרת החלטות ממשלה מפורטות המתייחסות, בין היתר, לאוכלוסיית היעד של התוכנית, לגורם </w:t>
      </w:r>
      <w:r w:rsidRPr="00861D72">
        <w:rPr>
          <w:rFonts w:ascii="David" w:eastAsia="Calibri" w:hAnsi="David" w:hint="cs"/>
          <w:rtl/>
        </w:rPr>
        <w:t>המתכלל</w:t>
      </w:r>
      <w:r w:rsidRPr="00861D72">
        <w:rPr>
          <w:rFonts w:ascii="David" w:eastAsia="Calibri" w:hAnsi="David" w:hint="cs"/>
          <w:rtl/>
        </w:rPr>
        <w:t xml:space="preserve"> או המנהל של התוכנית, לפירוט תחומי הפעולה והמטרות לתוכנית, לקביעת האחריות של המשרדים המעורבים בכל תחום פעולה ולפירוט המסגרת התקציבית הכוללת והתקציב שיקצה כל משרד ממשלתי המעורב בתוכנית. </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rtl/>
        </w:rPr>
        <w:t>תוכניות</w:t>
      </w:r>
      <w:r w:rsidRPr="00861D72">
        <w:rPr>
          <w:rFonts w:eastAsia="Calibri"/>
          <w:rtl/>
        </w:rPr>
        <w:t xml:space="preserve"> רב</w:t>
      </w:r>
      <w:r w:rsidRPr="00861D72">
        <w:rPr>
          <w:rFonts w:eastAsia="Calibri" w:hint="cs"/>
          <w:rtl/>
        </w:rPr>
        <w:t>-</w:t>
      </w:r>
      <w:r w:rsidRPr="00861D72">
        <w:rPr>
          <w:rFonts w:eastAsia="Calibri"/>
          <w:rtl/>
        </w:rPr>
        <w:t xml:space="preserve">שנתיות </w:t>
      </w:r>
      <w:r w:rsidRPr="00861D72">
        <w:rPr>
          <w:rFonts w:eastAsia="Calibri" w:hint="cs"/>
          <w:rtl/>
        </w:rPr>
        <w:t>משמשות</w:t>
      </w:r>
      <w:r w:rsidRPr="00861D72">
        <w:rPr>
          <w:rFonts w:eastAsia="Calibri"/>
          <w:rtl/>
        </w:rPr>
        <w:t xml:space="preserve"> כלי מדיניות מרכזי ובעל יתרונות </w:t>
      </w:r>
      <w:r w:rsidRPr="00861D72">
        <w:rPr>
          <w:rFonts w:eastAsia="Calibri" w:hint="cs"/>
          <w:rtl/>
        </w:rPr>
        <w:t>גדולים</w:t>
      </w:r>
      <w:r w:rsidRPr="00861D72">
        <w:rPr>
          <w:rFonts w:eastAsia="Calibri"/>
          <w:rtl/>
        </w:rPr>
        <w:t xml:space="preserve">, שכן הן מאפשרות לממשלה להתמודד באופן שיטתי וארוך טווח עם אתגרים חברתיים וכלכליים מורכבים </w:t>
      </w:r>
      <w:r w:rsidRPr="00861D72">
        <w:rPr>
          <w:rFonts w:eastAsia="Calibri" w:hint="cs"/>
          <w:rtl/>
        </w:rPr>
        <w:t>שאי אפשר</w:t>
      </w:r>
      <w:r w:rsidRPr="00861D72">
        <w:rPr>
          <w:rFonts w:eastAsia="Calibri"/>
          <w:rtl/>
        </w:rPr>
        <w:t xml:space="preserve"> לפתור באמצעות מהלכים נקודתיים או תקציבים שנתיים. מאחר שהן מעוגנות בהחלטות ממשלה מחייבות, הן יוצרות ודאות, מחויבות ויציבות</w:t>
      </w:r>
      <w:r w:rsidRPr="00861D72">
        <w:rPr>
          <w:rFonts w:eastAsia="Calibri" w:hint="cs"/>
          <w:rtl/>
        </w:rPr>
        <w:t>,</w:t>
      </w:r>
      <w:r w:rsidRPr="00861D72">
        <w:rPr>
          <w:rFonts w:eastAsia="Calibri"/>
          <w:rtl/>
        </w:rPr>
        <w:t xml:space="preserve"> הן ברמה התקציבית והן ברמה הביצועית, ומחייבות את כלל המשרדים המעורבים לפעול בהתאם ליעדים שנקבעו. </w:t>
      </w:r>
      <w:r w:rsidRPr="00861D72">
        <w:rPr>
          <w:rFonts w:eastAsia="Calibri"/>
          <w:rtl/>
        </w:rPr>
        <w:t>תוכניות</w:t>
      </w:r>
      <w:r w:rsidRPr="00861D72">
        <w:rPr>
          <w:rFonts w:eastAsia="Calibri"/>
          <w:rtl/>
        </w:rPr>
        <w:t xml:space="preserve"> אלו מגדירות בצורה ברורה את אוכלוסיות היעד, את תחומי הפעולה, את המטרות והיעדים ואת חלוקת </w:t>
      </w:r>
      <w:r w:rsidRPr="00861D72">
        <w:rPr>
          <w:rFonts w:eastAsia="Calibri"/>
          <w:rtl/>
        </w:rPr>
        <w:t xml:space="preserve">האחריות בין משרדי הממשלה והגורם </w:t>
      </w:r>
      <w:r w:rsidRPr="00861D72">
        <w:rPr>
          <w:rFonts w:eastAsia="Calibri"/>
          <w:rtl/>
        </w:rPr>
        <w:t>המתכלל</w:t>
      </w:r>
      <w:r w:rsidRPr="00861D72">
        <w:rPr>
          <w:rFonts w:eastAsia="Calibri"/>
          <w:rtl/>
        </w:rPr>
        <w:t xml:space="preserve">, ובכך </w:t>
      </w:r>
      <w:r w:rsidRPr="00861D72">
        <w:rPr>
          <w:rFonts w:eastAsia="Calibri" w:hint="cs"/>
          <w:rtl/>
        </w:rPr>
        <w:t>מסייעות ב</w:t>
      </w:r>
      <w:r w:rsidRPr="00861D72">
        <w:rPr>
          <w:rFonts w:eastAsia="Calibri"/>
          <w:rtl/>
        </w:rPr>
        <w:t>תיאום בין</w:t>
      </w:r>
      <w:r w:rsidRPr="00861D72">
        <w:rPr>
          <w:rFonts w:eastAsia="Calibri" w:hint="cs"/>
          <w:rtl/>
        </w:rPr>
        <w:t>-</w:t>
      </w:r>
      <w:r w:rsidRPr="00861D72">
        <w:rPr>
          <w:rFonts w:eastAsia="Calibri"/>
          <w:rtl/>
        </w:rPr>
        <w:t xml:space="preserve">משרדי, </w:t>
      </w:r>
      <w:r w:rsidRPr="00861D72">
        <w:rPr>
          <w:rFonts w:eastAsia="Calibri" w:hint="cs"/>
          <w:rtl/>
        </w:rPr>
        <w:t>בצמצום</w:t>
      </w:r>
      <w:r w:rsidRPr="00861D72">
        <w:rPr>
          <w:rFonts w:eastAsia="Calibri"/>
          <w:rtl/>
        </w:rPr>
        <w:t xml:space="preserve"> כפילויות ו</w:t>
      </w:r>
      <w:r w:rsidRPr="00861D72">
        <w:rPr>
          <w:rFonts w:eastAsia="Calibri" w:hint="cs"/>
          <w:rtl/>
        </w:rPr>
        <w:t xml:space="preserve">בהגברת </w:t>
      </w:r>
      <w:r w:rsidRPr="00861D72">
        <w:rPr>
          <w:rFonts w:eastAsia="Calibri"/>
          <w:rtl/>
        </w:rPr>
        <w:t xml:space="preserve">אפקטיביות. </w:t>
      </w:r>
      <w:r w:rsidRPr="00861D72">
        <w:rPr>
          <w:rFonts w:eastAsia="Calibri" w:hint="cs"/>
          <w:rtl/>
        </w:rPr>
        <w:t>כמו כן</w:t>
      </w:r>
      <w:r w:rsidRPr="00861D72">
        <w:rPr>
          <w:rFonts w:eastAsia="Calibri"/>
          <w:rtl/>
        </w:rPr>
        <w:t xml:space="preserve"> המסגרת הרב</w:t>
      </w:r>
      <w:r w:rsidRPr="00861D72">
        <w:rPr>
          <w:rFonts w:eastAsia="Calibri" w:hint="cs"/>
          <w:rtl/>
        </w:rPr>
        <w:t>-</w:t>
      </w:r>
      <w:r w:rsidRPr="00861D72">
        <w:rPr>
          <w:rFonts w:eastAsia="Calibri"/>
          <w:rtl/>
        </w:rPr>
        <w:t>שנתית מאפשרת תכנון ארוך טווח, השקעה בתשתיות ו</w:t>
      </w:r>
      <w:r w:rsidRPr="00861D72">
        <w:rPr>
          <w:rFonts w:eastAsia="Calibri" w:hint="cs"/>
          <w:rtl/>
        </w:rPr>
        <w:t>ב</w:t>
      </w:r>
      <w:r w:rsidRPr="00861D72">
        <w:rPr>
          <w:rFonts w:eastAsia="Calibri"/>
          <w:rtl/>
        </w:rPr>
        <w:t>תהליכי עומק, מדידה והערכה של תוצאות לאורך זמן וחיזוק מנגנוני בקרה ואחריותיות</w:t>
      </w:r>
      <w:r>
        <w:rPr>
          <w:rFonts w:eastAsia="Calibri"/>
          <w:vertAlign w:val="superscript"/>
          <w:rtl/>
        </w:rPr>
        <w:footnoteReference w:id="155"/>
      </w:r>
      <w:r w:rsidRPr="00861D72">
        <w:rPr>
          <w:rFonts w:eastAsia="Calibri"/>
          <w:rtl/>
        </w:rPr>
        <w:t xml:space="preserve">. </w:t>
      </w:r>
    </w:p>
    <w:p w:rsidR="00861D72" w:rsidRPr="00861D72" w:rsidP="00F90255">
      <w:pPr>
        <w:spacing w:line="269" w:lineRule="auto"/>
        <w:ind w:left="424"/>
        <w:rPr>
          <w:rFonts w:eastAsia="Calibri"/>
          <w:rtl/>
        </w:rPr>
      </w:pPr>
    </w:p>
    <w:p w:rsidR="00861D72" w:rsidRPr="00861D72" w:rsidP="00F90255">
      <w:pPr>
        <w:spacing w:line="269" w:lineRule="auto"/>
        <w:rPr>
          <w:rFonts w:ascii="David" w:eastAsia="Calibri" w:hAnsi="David"/>
          <w:sz w:val="24"/>
          <w:rtl/>
        </w:rPr>
      </w:pPr>
      <w:r w:rsidRPr="00861D72">
        <w:rPr>
          <w:rFonts w:eastAsia="Calibri"/>
          <w:rtl/>
        </w:rPr>
        <w:t xml:space="preserve">מימוש מדיניות לאומית מחייב </w:t>
      </w:r>
      <w:r w:rsidRPr="00861D72">
        <w:rPr>
          <w:rFonts w:eastAsia="Calibri" w:hint="cs"/>
          <w:rtl/>
        </w:rPr>
        <w:t>תוכנית</w:t>
      </w:r>
      <w:r w:rsidRPr="00861D72">
        <w:rPr>
          <w:rFonts w:eastAsia="Calibri" w:hint="cs"/>
          <w:rtl/>
        </w:rPr>
        <w:t xml:space="preserve"> רב-שנתית מערכתית, הכוללת </w:t>
      </w:r>
      <w:r w:rsidRPr="00861D72">
        <w:rPr>
          <w:rFonts w:eastAsia="Calibri"/>
          <w:rtl/>
        </w:rPr>
        <w:t>תיאום כלל</w:t>
      </w:r>
      <w:r w:rsidRPr="00861D72">
        <w:rPr>
          <w:rFonts w:eastAsia="Calibri" w:hint="cs"/>
          <w:rtl/>
        </w:rPr>
        <w:t>-</w:t>
      </w:r>
      <w:r w:rsidRPr="00861D72">
        <w:rPr>
          <w:rFonts w:eastAsia="Calibri"/>
          <w:rtl/>
        </w:rPr>
        <w:t>ממשלתי והובלה אסטרטגית מאוחדת</w:t>
      </w:r>
      <w:r w:rsidRPr="00861D72">
        <w:rPr>
          <w:rFonts w:eastAsia="Calibri" w:hint="cs"/>
          <w:rtl/>
        </w:rPr>
        <w:t xml:space="preserve"> ויעדים, אחרת המדיניות עלולה להישאר בגדר הכרזה בלבד. על </w:t>
      </w:r>
      <w:r w:rsidRPr="00861D72">
        <w:rPr>
          <w:rFonts w:eastAsia="Calibri"/>
          <w:rtl/>
        </w:rPr>
        <w:t>כן</w:t>
      </w:r>
      <w:r w:rsidRPr="00861D72">
        <w:rPr>
          <w:rFonts w:eastAsia="Calibri" w:hint="cs"/>
          <w:rtl/>
        </w:rPr>
        <w:t xml:space="preserve"> כחלק בלתי נפרד מקביעת מדיניות יש חשיבות בקביעת </w:t>
      </w:r>
      <w:r w:rsidRPr="00861D72">
        <w:rPr>
          <w:rFonts w:eastAsia="Calibri" w:hint="cs"/>
          <w:rtl/>
        </w:rPr>
        <w:t>תוכנית</w:t>
      </w:r>
      <w:r w:rsidRPr="00861D72">
        <w:rPr>
          <w:rFonts w:eastAsia="Calibri" w:hint="cs"/>
          <w:rtl/>
        </w:rPr>
        <w:t xml:space="preserve"> רב-שנתית למימושה וזאת בהתייחס לחיוניות של אלה:</w:t>
      </w:r>
    </w:p>
    <w:p w:rsidR="00861D72" w:rsidRPr="00861D72" w:rsidP="00F90255">
      <w:pPr>
        <w:spacing w:line="269" w:lineRule="auto"/>
        <w:rPr>
          <w:rFonts w:ascii="David" w:eastAsia="Calibri" w:hAnsi="David"/>
          <w:sz w:val="24"/>
        </w:rPr>
      </w:pPr>
    </w:p>
    <w:p w:rsidR="00861D72" w:rsidRPr="00861D72" w:rsidP="00F90255">
      <w:pPr>
        <w:numPr>
          <w:ilvl w:val="0"/>
          <w:numId w:val="19"/>
        </w:numPr>
        <w:spacing w:line="269" w:lineRule="auto"/>
        <w:rPr>
          <w:rFonts w:ascii="David" w:eastAsia="Calibri" w:hAnsi="David"/>
          <w:sz w:val="24"/>
        </w:rPr>
      </w:pPr>
      <w:r w:rsidRPr="00861D72">
        <w:rPr>
          <w:rFonts w:ascii="David" w:eastAsia="Calibri" w:hAnsi="David"/>
          <w:sz w:val="24"/>
          <w:rtl/>
        </w:rPr>
        <w:t xml:space="preserve">למנות גורם </w:t>
      </w:r>
      <w:r w:rsidRPr="00861D72">
        <w:rPr>
          <w:rFonts w:ascii="David" w:eastAsia="Calibri" w:hAnsi="David"/>
          <w:sz w:val="24"/>
          <w:rtl/>
        </w:rPr>
        <w:t>מתכלל</w:t>
      </w:r>
      <w:r w:rsidRPr="00861D72">
        <w:rPr>
          <w:rFonts w:ascii="David" w:eastAsia="Calibri" w:hAnsi="David"/>
          <w:sz w:val="24"/>
          <w:rtl/>
        </w:rPr>
        <w:t xml:space="preserve"> שירכז את הפעולה, יצמצם פיצול, יפתור סתירות בין משרדים וימנע כפילויות. בהקשר זה הודגש כי פעולה מתואמת בין משרדי ממשלה משפרת את התאמת השירותים ומחזקת את היכולת לקדם חזון משותף</w:t>
      </w:r>
      <w:r>
        <w:rPr>
          <w:rFonts w:ascii="David" w:eastAsia="Calibri" w:hAnsi="David"/>
          <w:sz w:val="22"/>
          <w:szCs w:val="22"/>
          <w:vertAlign w:val="superscript"/>
          <w:rtl/>
        </w:rPr>
        <w:footnoteReference w:id="156"/>
      </w:r>
      <w:r w:rsidRPr="00861D72">
        <w:rPr>
          <w:rFonts w:ascii="David" w:eastAsia="Calibri" w:hAnsi="David"/>
          <w:sz w:val="22"/>
          <w:szCs w:val="22"/>
          <w:rtl/>
        </w:rPr>
        <w:t xml:space="preserve">. </w:t>
      </w:r>
    </w:p>
    <w:p w:rsidR="00861D72" w:rsidRPr="00861D72" w:rsidP="00F90255">
      <w:pPr>
        <w:spacing w:line="269" w:lineRule="auto"/>
        <w:ind w:left="340"/>
        <w:rPr>
          <w:rFonts w:ascii="David" w:eastAsia="Calibri" w:hAnsi="David"/>
          <w:sz w:val="24"/>
          <w:rtl/>
        </w:rPr>
      </w:pPr>
    </w:p>
    <w:p w:rsidR="00861D72" w:rsidRPr="00861D72" w:rsidP="00F90255">
      <w:pPr>
        <w:numPr>
          <w:ilvl w:val="0"/>
          <w:numId w:val="19"/>
        </w:numPr>
        <w:spacing w:line="269" w:lineRule="auto"/>
        <w:rPr>
          <w:rFonts w:ascii="David" w:eastAsia="Calibri" w:hAnsi="David"/>
          <w:sz w:val="24"/>
        </w:rPr>
      </w:pPr>
      <w:r w:rsidRPr="00861D72">
        <w:rPr>
          <w:rFonts w:ascii="David" w:eastAsia="Calibri" w:hAnsi="David"/>
          <w:sz w:val="24"/>
          <w:rtl/>
        </w:rPr>
        <w:t>לייצר חלוקת אחריות ברורה</w:t>
      </w:r>
      <w:r w:rsidRPr="00861D72">
        <w:rPr>
          <w:rFonts w:ascii="David" w:eastAsia="Calibri" w:hAnsi="David" w:hint="cs"/>
          <w:sz w:val="24"/>
          <w:rtl/>
        </w:rPr>
        <w:t>, לרבות</w:t>
      </w:r>
      <w:r w:rsidRPr="00861D72">
        <w:rPr>
          <w:rFonts w:ascii="David" w:eastAsia="Calibri" w:hAnsi="David"/>
          <w:sz w:val="24"/>
          <w:rtl/>
        </w:rPr>
        <w:t xml:space="preserve"> הגדרה מפורשת של תפקידים, תחומי אחריות וכישורים, עם קווי אחריותיות מוגדרים</w:t>
      </w:r>
      <w:r w:rsidRPr="00861D72">
        <w:rPr>
          <w:rFonts w:ascii="David" w:eastAsia="Calibri" w:hAnsi="David" w:hint="cs"/>
          <w:sz w:val="24"/>
          <w:rtl/>
        </w:rPr>
        <w:t>. כל אלו</w:t>
      </w:r>
      <w:r w:rsidRPr="00861D72">
        <w:rPr>
          <w:rFonts w:ascii="David" w:eastAsia="Calibri" w:hAnsi="David"/>
          <w:sz w:val="24"/>
          <w:rtl/>
        </w:rPr>
        <w:t xml:space="preserve"> </w:t>
      </w:r>
      <w:r w:rsidRPr="00861D72">
        <w:rPr>
          <w:rFonts w:ascii="David" w:eastAsia="Calibri" w:hAnsi="David" w:hint="cs"/>
          <w:sz w:val="24"/>
          <w:rtl/>
        </w:rPr>
        <w:t>יבטיחו</w:t>
      </w:r>
      <w:r w:rsidRPr="00861D72">
        <w:rPr>
          <w:rFonts w:ascii="David" w:eastAsia="Calibri" w:hAnsi="David"/>
          <w:sz w:val="24"/>
          <w:rtl/>
        </w:rPr>
        <w:t xml:space="preserve"> שהאסטרטגיה לא תישאר מסמך עקרונות אלא תתורגם לביצוע בפועל</w:t>
      </w:r>
      <w:r>
        <w:rPr>
          <w:rFonts w:ascii="David" w:eastAsia="Calibri" w:hAnsi="David"/>
          <w:sz w:val="22"/>
          <w:szCs w:val="22"/>
          <w:vertAlign w:val="superscript"/>
          <w:rtl/>
        </w:rPr>
        <w:footnoteReference w:id="157"/>
      </w:r>
      <w:r w:rsidRPr="00861D72">
        <w:rPr>
          <w:rFonts w:ascii="David" w:eastAsia="Calibri" w:hAnsi="David"/>
          <w:sz w:val="22"/>
          <w:szCs w:val="22"/>
          <w:rtl/>
        </w:rPr>
        <w:t xml:space="preserve">. </w:t>
      </w:r>
    </w:p>
    <w:p w:rsidR="00861D72" w:rsidRPr="00861D72" w:rsidP="00F90255">
      <w:pPr>
        <w:spacing w:line="269" w:lineRule="auto"/>
        <w:rPr>
          <w:rFonts w:ascii="David" w:eastAsia="Calibri" w:hAnsi="David"/>
          <w:sz w:val="24"/>
        </w:rPr>
      </w:pPr>
    </w:p>
    <w:p w:rsidR="00861D72" w:rsidRPr="00861D72" w:rsidP="00F90255">
      <w:pPr>
        <w:numPr>
          <w:ilvl w:val="0"/>
          <w:numId w:val="19"/>
        </w:numPr>
        <w:spacing w:line="269" w:lineRule="auto"/>
        <w:rPr>
          <w:rFonts w:ascii="David" w:eastAsia="Calibri" w:hAnsi="David"/>
          <w:sz w:val="24"/>
        </w:rPr>
      </w:pPr>
      <w:r w:rsidRPr="00861D72">
        <w:rPr>
          <w:rFonts w:ascii="David" w:eastAsia="Calibri" w:hAnsi="David"/>
          <w:sz w:val="24"/>
          <w:rtl/>
        </w:rPr>
        <w:t>להציב מטרות ויעדים מדידים כחלק מתהליך תכנון אסטרטגי סדור הכולל ניתוח מצב, גיבוש כיווני פעולה, יישום ומדידה</w:t>
      </w:r>
      <w:r w:rsidRPr="00861D72">
        <w:rPr>
          <w:rFonts w:ascii="David" w:eastAsia="Calibri" w:hAnsi="David" w:hint="cs"/>
          <w:sz w:val="24"/>
          <w:rtl/>
        </w:rPr>
        <w:t>.</w:t>
      </w:r>
      <w:r w:rsidRPr="00861D72">
        <w:rPr>
          <w:rFonts w:ascii="David" w:eastAsia="Calibri" w:hAnsi="David"/>
          <w:sz w:val="24"/>
          <w:rtl/>
        </w:rPr>
        <w:t xml:space="preserve"> </w:t>
      </w:r>
      <w:r w:rsidRPr="00861D72">
        <w:rPr>
          <w:rFonts w:ascii="David" w:eastAsia="Calibri" w:hAnsi="David" w:hint="cs"/>
          <w:sz w:val="24"/>
          <w:rtl/>
        </w:rPr>
        <w:t xml:space="preserve">כל אלו יאפשרו </w:t>
      </w:r>
      <w:r w:rsidRPr="00861D72">
        <w:rPr>
          <w:rFonts w:ascii="David" w:eastAsia="Calibri" w:hAnsi="David"/>
          <w:sz w:val="24"/>
          <w:rtl/>
        </w:rPr>
        <w:t>להעריך התקדמות, להשוות לתחזיות או ליעדים בי</w:t>
      </w:r>
      <w:r w:rsidRPr="00861D72">
        <w:rPr>
          <w:rFonts w:ascii="David" w:eastAsia="Calibri" w:hAnsi="David" w:hint="cs"/>
          <w:sz w:val="24"/>
          <w:rtl/>
        </w:rPr>
        <w:t>ן-</w:t>
      </w:r>
      <w:r w:rsidRPr="00861D72">
        <w:rPr>
          <w:rFonts w:ascii="David" w:eastAsia="Calibri" w:hAnsi="David"/>
          <w:sz w:val="24"/>
          <w:rtl/>
        </w:rPr>
        <w:t>לאומיים ולהקצות משאבים באופן מושכל</w:t>
      </w:r>
      <w:r>
        <w:rPr>
          <w:rFonts w:ascii="David" w:eastAsia="Calibri" w:hAnsi="David"/>
          <w:sz w:val="22"/>
          <w:szCs w:val="22"/>
          <w:vertAlign w:val="superscript"/>
          <w:rtl/>
        </w:rPr>
        <w:footnoteReference w:id="158"/>
      </w:r>
      <w:r w:rsidRPr="00861D72">
        <w:rPr>
          <w:rFonts w:ascii="David" w:eastAsia="Calibri" w:hAnsi="David"/>
          <w:sz w:val="22"/>
          <w:szCs w:val="22"/>
          <w:rtl/>
        </w:rPr>
        <w:t xml:space="preserve">. </w:t>
      </w:r>
    </w:p>
    <w:p w:rsidR="00861D72" w:rsidRPr="00861D72" w:rsidP="00F90255">
      <w:pPr>
        <w:spacing w:line="269" w:lineRule="auto"/>
        <w:rPr>
          <w:rFonts w:ascii="David" w:eastAsia="Calibri" w:hAnsi="David"/>
          <w:sz w:val="24"/>
        </w:rPr>
      </w:pPr>
    </w:p>
    <w:p w:rsidR="00861D72" w:rsidRPr="00861D72" w:rsidP="00F90255">
      <w:pPr>
        <w:numPr>
          <w:ilvl w:val="0"/>
          <w:numId w:val="19"/>
        </w:numPr>
        <w:spacing w:line="269" w:lineRule="auto"/>
        <w:rPr>
          <w:rFonts w:ascii="David" w:eastAsia="Calibri" w:hAnsi="David"/>
          <w:sz w:val="24"/>
        </w:rPr>
      </w:pPr>
      <w:r w:rsidRPr="00861D72">
        <w:rPr>
          <w:rFonts w:ascii="David" w:eastAsia="Calibri" w:hAnsi="David" w:hint="cs"/>
          <w:sz w:val="24"/>
          <w:rtl/>
        </w:rPr>
        <w:t xml:space="preserve">לעגן את התקציב, ובפרט </w:t>
      </w:r>
      <w:r w:rsidRPr="00861D72">
        <w:rPr>
          <w:rFonts w:ascii="David" w:eastAsia="Calibri" w:hAnsi="David"/>
          <w:sz w:val="24"/>
          <w:rtl/>
        </w:rPr>
        <w:t>תקציב ייעודי ורב</w:t>
      </w:r>
      <w:r w:rsidRPr="00861D72">
        <w:rPr>
          <w:rFonts w:ascii="David" w:eastAsia="Calibri" w:hAnsi="David" w:hint="cs"/>
          <w:sz w:val="24"/>
          <w:rtl/>
        </w:rPr>
        <w:t>-</w:t>
      </w:r>
      <w:r w:rsidRPr="00861D72">
        <w:rPr>
          <w:rFonts w:ascii="David" w:eastAsia="Calibri" w:hAnsi="David"/>
          <w:sz w:val="24"/>
          <w:rtl/>
        </w:rPr>
        <w:t xml:space="preserve">שנתי, </w:t>
      </w:r>
      <w:r w:rsidRPr="00861D72">
        <w:rPr>
          <w:rFonts w:ascii="David" w:eastAsia="Calibri" w:hAnsi="David" w:hint="cs"/>
          <w:sz w:val="24"/>
          <w:rtl/>
        </w:rPr>
        <w:t xml:space="preserve">שהוא </w:t>
      </w:r>
      <w:r w:rsidRPr="00861D72">
        <w:rPr>
          <w:rFonts w:ascii="David" w:eastAsia="Calibri" w:hAnsi="David"/>
          <w:sz w:val="24"/>
          <w:rtl/>
        </w:rPr>
        <w:t xml:space="preserve">תנאי הכרחי למימוש מדיניות, במיוחד כזו הדורשת פעולה של </w:t>
      </w:r>
      <w:r w:rsidRPr="00861D72">
        <w:rPr>
          <w:rFonts w:ascii="David" w:eastAsia="Calibri" w:hAnsi="David" w:hint="cs"/>
          <w:sz w:val="24"/>
          <w:rtl/>
        </w:rPr>
        <w:t>כמה</w:t>
      </w:r>
      <w:r w:rsidRPr="00861D72">
        <w:rPr>
          <w:rFonts w:ascii="David" w:eastAsia="Calibri" w:hAnsi="David"/>
          <w:sz w:val="24"/>
          <w:rtl/>
        </w:rPr>
        <w:t xml:space="preserve"> משרדים, משום שהוא מאפשר לקשור את התכנון הלאומי לתהליכי תכנון המדינה ולתקציביה, לקיים מנגנוני אחריותיות וסידורים פיננסיים ולהבטיח שהמהלך יעבור מרמת הצהרה לרמת יישום</w:t>
      </w:r>
      <w:r>
        <w:rPr>
          <w:rFonts w:ascii="David" w:eastAsia="Calibri" w:hAnsi="David"/>
          <w:sz w:val="22"/>
          <w:szCs w:val="22"/>
          <w:vertAlign w:val="superscript"/>
          <w:rtl/>
        </w:rPr>
        <w:footnoteReference w:id="159"/>
      </w:r>
      <w:r w:rsidRPr="00861D72">
        <w:rPr>
          <w:rFonts w:ascii="David" w:eastAsia="Calibri" w:hAnsi="David" w:cs="Calibri"/>
          <w:sz w:val="22"/>
          <w:szCs w:val="22"/>
          <w:rtl/>
        </w:rPr>
        <w:t>.</w:t>
      </w:r>
    </w:p>
    <w:p w:rsidR="00861D72" w:rsidRPr="00861D72" w:rsidP="00F90255">
      <w:pPr>
        <w:spacing w:line="269" w:lineRule="auto"/>
        <w:ind w:left="424"/>
        <w:rPr>
          <w:rFonts w:eastAsia="Calibri"/>
          <w:rtl/>
        </w:rPr>
      </w:pPr>
    </w:p>
    <w:p w:rsidR="00861D72" w:rsidRPr="00861D72" w:rsidP="00F90255">
      <w:pPr>
        <w:spacing w:line="269" w:lineRule="auto"/>
        <w:rPr>
          <w:rFonts w:ascii="David" w:eastAsia="Calibri" w:hAnsi="David"/>
          <w:rtl/>
        </w:rPr>
      </w:pPr>
      <w:r w:rsidRPr="00861D72">
        <w:rPr>
          <w:rFonts w:ascii="David" w:eastAsia="Calibri" w:hAnsi="David" w:hint="cs"/>
          <w:rtl/>
        </w:rPr>
        <w:t>הלוח שלהלן מציג דוגמאות למאפייני התוכניות הרב-שנתיות, כפי שנקבעו בחמש החלטות ממשלה שנבחרו.</w:t>
      </w:r>
    </w:p>
    <w:p w:rsidR="00861D72" w:rsidRPr="00861D72" w:rsidP="00F90255">
      <w:pPr>
        <w:spacing w:line="269" w:lineRule="auto"/>
        <w:ind w:left="424"/>
        <w:rPr>
          <w:rFonts w:eastAsia="Calibri"/>
          <w:rtl/>
        </w:rPr>
      </w:pPr>
    </w:p>
    <w:p w:rsidR="00914055">
      <w:pPr>
        <w:bidi w:val="0"/>
        <w:spacing w:after="200" w:line="276" w:lineRule="auto"/>
        <w:rPr>
          <w:rFonts w:ascii="David" w:eastAsia="Calibri" w:hAnsi="David"/>
          <w:rtl/>
        </w:rPr>
      </w:pPr>
      <w:r>
        <w:rPr>
          <w:rFonts w:ascii="David" w:eastAsia="Calibri" w:hAnsi="David"/>
          <w:rtl/>
        </w:rPr>
        <w:br w:type="page"/>
      </w:r>
    </w:p>
    <w:p w:rsidR="00861D72" w:rsidRPr="00861D72" w:rsidP="00F90255">
      <w:pPr>
        <w:spacing w:line="269" w:lineRule="auto"/>
        <w:jc w:val="center"/>
        <w:rPr>
          <w:rFonts w:ascii="David" w:eastAsia="Calibri" w:hAnsi="David"/>
          <w:rtl/>
        </w:rPr>
      </w:pPr>
      <w:r w:rsidRPr="00861D72">
        <w:rPr>
          <w:rFonts w:ascii="David" w:eastAsia="Calibri" w:hAnsi="David" w:hint="cs"/>
          <w:rtl/>
        </w:rPr>
        <w:t xml:space="preserve">לוח 5: </w:t>
      </w:r>
      <w:r w:rsidRPr="00861D72">
        <w:rPr>
          <w:rFonts w:ascii="David" w:eastAsia="Calibri" w:hAnsi="David" w:hint="eastAsia"/>
          <w:b/>
          <w:bCs/>
          <w:rtl/>
        </w:rPr>
        <w:t>דוגמאות</w:t>
      </w:r>
      <w:r w:rsidRPr="00861D72">
        <w:rPr>
          <w:rFonts w:ascii="David" w:eastAsia="Calibri" w:hAnsi="David"/>
          <w:b/>
          <w:bCs/>
          <w:rtl/>
        </w:rPr>
        <w:t xml:space="preserve"> </w:t>
      </w:r>
      <w:r w:rsidRPr="00861D72">
        <w:rPr>
          <w:rFonts w:ascii="David" w:eastAsia="Calibri" w:hAnsi="David" w:hint="cs"/>
          <w:b/>
          <w:bCs/>
          <w:rtl/>
        </w:rPr>
        <w:t xml:space="preserve">של </w:t>
      </w:r>
      <w:r w:rsidRPr="00861D72">
        <w:rPr>
          <w:rFonts w:ascii="David" w:eastAsia="Calibri" w:hAnsi="David" w:hint="eastAsia"/>
          <w:b/>
          <w:bCs/>
          <w:rtl/>
        </w:rPr>
        <w:t>החלטות</w:t>
      </w:r>
      <w:r w:rsidRPr="00861D72">
        <w:rPr>
          <w:rFonts w:ascii="David" w:eastAsia="Calibri" w:hAnsi="David"/>
          <w:b/>
          <w:bCs/>
          <w:rtl/>
        </w:rPr>
        <w:t xml:space="preserve"> ממשלה על </w:t>
      </w:r>
      <w:r w:rsidRPr="00861D72">
        <w:rPr>
          <w:rFonts w:ascii="David" w:eastAsia="Calibri" w:hAnsi="David" w:hint="eastAsia"/>
          <w:b/>
          <w:bCs/>
          <w:rtl/>
        </w:rPr>
        <w:t>תוכניות</w:t>
      </w:r>
      <w:r w:rsidRPr="00861D72">
        <w:rPr>
          <w:rFonts w:ascii="David" w:eastAsia="Calibri" w:hAnsi="David"/>
          <w:b/>
          <w:bCs/>
          <w:rtl/>
        </w:rPr>
        <w:t xml:space="preserve"> רב</w:t>
      </w:r>
      <w:r w:rsidRPr="00861D72">
        <w:rPr>
          <w:rFonts w:ascii="David" w:eastAsia="Calibri" w:hAnsi="David" w:hint="cs"/>
          <w:b/>
          <w:bCs/>
          <w:rtl/>
        </w:rPr>
        <w:t>-</w:t>
      </w:r>
      <w:r w:rsidRPr="00861D72">
        <w:rPr>
          <w:rFonts w:ascii="David" w:eastAsia="Calibri" w:hAnsi="David"/>
          <w:b/>
          <w:bCs/>
          <w:rtl/>
        </w:rPr>
        <w:t>שנ</w:t>
      </w:r>
      <w:r w:rsidRPr="00861D72">
        <w:rPr>
          <w:rFonts w:ascii="David" w:eastAsia="Calibri" w:hAnsi="David" w:hint="eastAsia"/>
          <w:b/>
          <w:bCs/>
          <w:rtl/>
        </w:rPr>
        <w:t>תיות</w:t>
      </w:r>
      <w:r w:rsidRPr="00861D72">
        <w:rPr>
          <w:rFonts w:ascii="David" w:eastAsia="Calibri" w:hAnsi="David"/>
          <w:b/>
          <w:bCs/>
          <w:rtl/>
        </w:rPr>
        <w:t xml:space="preserve"> </w:t>
      </w:r>
      <w:r w:rsidRPr="00861D72">
        <w:rPr>
          <w:rFonts w:ascii="David" w:eastAsia="Calibri" w:hAnsi="David" w:hint="eastAsia"/>
          <w:b/>
          <w:bCs/>
          <w:rtl/>
        </w:rPr>
        <w:t>ומרכיביהן</w:t>
      </w:r>
    </w:p>
    <w:tbl>
      <w:tblPr>
        <w:tblStyle w:val="TableGrid"/>
        <w:bidiVisual/>
        <w:tblW w:w="8216" w:type="dxa"/>
        <w:tblInd w:w="1280" w:type="dxa"/>
        <w:tblLayout w:type="fixed"/>
        <w:tblLook w:val="04A0"/>
      </w:tblPr>
      <w:tblGrid>
        <w:gridCol w:w="1418"/>
        <w:gridCol w:w="1275"/>
        <w:gridCol w:w="1276"/>
        <w:gridCol w:w="1134"/>
        <w:gridCol w:w="992"/>
        <w:gridCol w:w="993"/>
        <w:gridCol w:w="1128"/>
      </w:tblGrid>
      <w:tr w:rsidTr="00861D72">
        <w:tblPrEx>
          <w:tblW w:w="8216" w:type="dxa"/>
          <w:tblInd w:w="1280" w:type="dxa"/>
          <w:tblLayout w:type="fixed"/>
          <w:tblLook w:val="04A0"/>
        </w:tblPrEx>
        <w:tc>
          <w:tcPr>
            <w:tcW w:w="1418" w:type="dxa"/>
            <w:shd w:val="clear" w:color="auto" w:fill="D9D9D9"/>
          </w:tcPr>
          <w:p w:rsidR="00861D72" w:rsidRPr="00914055" w:rsidP="00F90255">
            <w:pPr>
              <w:spacing w:line="269" w:lineRule="auto"/>
              <w:rPr>
                <w:b/>
                <w:bCs/>
                <w:szCs w:val="20"/>
                <w:rtl/>
              </w:rPr>
            </w:pPr>
          </w:p>
          <w:p w:rsidR="00861D72" w:rsidRPr="00914055" w:rsidP="00F90255">
            <w:pPr>
              <w:spacing w:line="269" w:lineRule="auto"/>
              <w:jc w:val="center"/>
              <w:rPr>
                <w:b/>
                <w:bCs/>
                <w:szCs w:val="20"/>
                <w:rtl/>
              </w:rPr>
            </w:pPr>
            <w:r w:rsidRPr="00914055">
              <w:rPr>
                <w:rFonts w:hint="cs"/>
                <w:b/>
                <w:bCs/>
                <w:szCs w:val="20"/>
                <w:rtl/>
              </w:rPr>
              <w:t>התוכנית הרב-שנתית</w:t>
            </w:r>
          </w:p>
        </w:tc>
        <w:tc>
          <w:tcPr>
            <w:tcW w:w="1275" w:type="dxa"/>
            <w:shd w:val="clear" w:color="auto" w:fill="D9D9D9"/>
          </w:tcPr>
          <w:p w:rsidR="00861D72" w:rsidRPr="00914055" w:rsidP="00F90255">
            <w:pPr>
              <w:spacing w:line="269" w:lineRule="auto"/>
              <w:jc w:val="center"/>
              <w:rPr>
                <w:rFonts w:ascii="David" w:hAnsi="David"/>
                <w:b/>
                <w:bCs/>
                <w:szCs w:val="20"/>
                <w:rtl/>
              </w:rPr>
            </w:pPr>
            <w:r w:rsidRPr="00914055">
              <w:rPr>
                <w:rFonts w:ascii="David" w:hAnsi="David" w:hint="cs"/>
                <w:b/>
                <w:bCs/>
                <w:szCs w:val="20"/>
                <w:rtl/>
              </w:rPr>
              <w:t>תוכנית</w:t>
            </w:r>
            <w:r w:rsidRPr="00914055">
              <w:rPr>
                <w:rFonts w:ascii="David" w:hAnsi="David" w:hint="cs"/>
                <w:b/>
                <w:bCs/>
                <w:szCs w:val="20"/>
                <w:rtl/>
              </w:rPr>
              <w:t xml:space="preserve"> לפיתוח כלכלי-חברתי בקרב האוכלוסייה הבדואית בנגב</w:t>
            </w:r>
          </w:p>
        </w:tc>
        <w:tc>
          <w:tcPr>
            <w:tcW w:w="1276" w:type="dxa"/>
            <w:shd w:val="clear" w:color="auto" w:fill="D9D9D9"/>
          </w:tcPr>
          <w:p w:rsidR="00861D72" w:rsidRPr="00914055" w:rsidP="00F90255">
            <w:pPr>
              <w:spacing w:line="269" w:lineRule="auto"/>
              <w:jc w:val="center"/>
              <w:rPr>
                <w:rFonts w:ascii="David" w:hAnsi="David"/>
                <w:b/>
                <w:bCs/>
                <w:szCs w:val="20"/>
                <w:rtl/>
              </w:rPr>
            </w:pPr>
            <w:r w:rsidRPr="00914055">
              <w:rPr>
                <w:rFonts w:ascii="David" w:hAnsi="David"/>
                <w:b/>
                <w:bCs/>
                <w:szCs w:val="20"/>
                <w:rtl/>
              </w:rPr>
              <w:t>פעילות הממשלה לפיתוח כלכלי באוכלוסיית המיעוטים</w:t>
            </w:r>
            <w:r w:rsidRPr="00914055">
              <w:rPr>
                <w:rFonts w:ascii="David" w:hAnsi="David" w:hint="cs"/>
                <w:b/>
                <w:bCs/>
                <w:szCs w:val="20"/>
                <w:rtl/>
              </w:rPr>
              <w:t>, ו</w:t>
            </w:r>
            <w:r w:rsidRPr="00914055">
              <w:rPr>
                <w:rFonts w:ascii="David" w:hAnsi="David"/>
                <w:b/>
                <w:bCs/>
                <w:szCs w:val="20"/>
                <w:rtl/>
              </w:rPr>
              <w:t>התוכנית הכלכלית לצמצום פערים בחברה הערבית</w:t>
            </w:r>
          </w:p>
        </w:tc>
        <w:tc>
          <w:tcPr>
            <w:tcW w:w="1134" w:type="dxa"/>
            <w:shd w:val="clear" w:color="auto" w:fill="D9D9D9"/>
          </w:tcPr>
          <w:p w:rsidR="00861D72" w:rsidRPr="00914055" w:rsidP="00F90255">
            <w:pPr>
              <w:spacing w:line="269" w:lineRule="auto"/>
              <w:jc w:val="center"/>
              <w:rPr>
                <w:rFonts w:ascii="David" w:hAnsi="David"/>
                <w:b/>
                <w:bCs/>
                <w:szCs w:val="20"/>
                <w:rtl/>
              </w:rPr>
            </w:pPr>
            <w:r w:rsidRPr="00914055">
              <w:rPr>
                <w:rFonts w:ascii="David" w:hAnsi="David" w:hint="cs"/>
                <w:b/>
                <w:bCs/>
                <w:szCs w:val="20"/>
                <w:rtl/>
              </w:rPr>
              <w:t>תוכנית</w:t>
            </w:r>
            <w:r w:rsidRPr="00914055">
              <w:rPr>
                <w:rFonts w:ascii="David" w:hAnsi="David" w:hint="cs"/>
                <w:b/>
                <w:bCs/>
                <w:szCs w:val="20"/>
                <w:rtl/>
              </w:rPr>
              <w:t xml:space="preserve"> חומש לשיפור קליטתם של בני העדה האתיופית</w:t>
            </w:r>
          </w:p>
        </w:tc>
        <w:tc>
          <w:tcPr>
            <w:tcW w:w="992" w:type="dxa"/>
            <w:shd w:val="clear" w:color="auto" w:fill="D9D9D9"/>
          </w:tcPr>
          <w:p w:rsidR="00861D72" w:rsidRPr="00914055" w:rsidP="00F90255">
            <w:pPr>
              <w:spacing w:line="269" w:lineRule="auto"/>
              <w:jc w:val="center"/>
              <w:rPr>
                <w:rFonts w:ascii="David" w:hAnsi="David"/>
                <w:b/>
                <w:bCs/>
                <w:szCs w:val="20"/>
                <w:rtl/>
              </w:rPr>
            </w:pPr>
            <w:r w:rsidRPr="00914055">
              <w:rPr>
                <w:rFonts w:ascii="David" w:hAnsi="David" w:hint="cs"/>
                <w:b/>
                <w:bCs/>
                <w:szCs w:val="20"/>
                <w:rtl/>
              </w:rPr>
              <w:t>צמצום פערים חברתיים-כלכליים ופיתוח כלכלי במזרח ירושלים</w:t>
            </w:r>
          </w:p>
        </w:tc>
        <w:tc>
          <w:tcPr>
            <w:tcW w:w="993" w:type="dxa"/>
            <w:shd w:val="clear" w:color="auto" w:fill="D9D9D9"/>
          </w:tcPr>
          <w:p w:rsidR="00861D72" w:rsidRPr="00914055" w:rsidP="00F90255">
            <w:pPr>
              <w:spacing w:line="269" w:lineRule="auto"/>
              <w:jc w:val="center"/>
              <w:rPr>
                <w:rFonts w:ascii="David" w:hAnsi="David"/>
                <w:b/>
                <w:bCs/>
                <w:szCs w:val="20"/>
                <w:rtl/>
              </w:rPr>
            </w:pPr>
            <w:r w:rsidRPr="00914055">
              <w:rPr>
                <w:rFonts w:ascii="David" w:hAnsi="David" w:hint="cs"/>
                <w:b/>
                <w:bCs/>
                <w:szCs w:val="20"/>
                <w:rtl/>
              </w:rPr>
              <w:t>תוכנית</w:t>
            </w:r>
            <w:r w:rsidRPr="00914055">
              <w:rPr>
                <w:rFonts w:ascii="David" w:hAnsi="David" w:hint="cs"/>
                <w:b/>
                <w:bCs/>
                <w:szCs w:val="20"/>
                <w:rtl/>
              </w:rPr>
              <w:t xml:space="preserve"> החומש "לביא" לפיתוח הכלכלי של ירושלים</w:t>
            </w:r>
          </w:p>
        </w:tc>
        <w:tc>
          <w:tcPr>
            <w:tcW w:w="1128" w:type="dxa"/>
            <w:shd w:val="clear" w:color="auto" w:fill="D9D9D9"/>
          </w:tcPr>
          <w:p w:rsidR="00861D72" w:rsidRPr="00914055" w:rsidP="00F90255">
            <w:pPr>
              <w:spacing w:line="269" w:lineRule="auto"/>
              <w:jc w:val="center"/>
              <w:rPr>
                <w:rFonts w:ascii="David" w:hAnsi="David"/>
                <w:b/>
                <w:bCs/>
                <w:szCs w:val="20"/>
                <w:rtl/>
              </w:rPr>
            </w:pPr>
            <w:r w:rsidRPr="00914055">
              <w:rPr>
                <w:rFonts w:ascii="David" w:hAnsi="David" w:hint="cs"/>
                <w:b/>
                <w:bCs/>
                <w:szCs w:val="20"/>
                <w:rtl/>
              </w:rPr>
              <w:t>הזדקנות</w:t>
            </w:r>
          </w:p>
        </w:tc>
      </w:tr>
      <w:tr w:rsidTr="00861D72">
        <w:tblPrEx>
          <w:tblW w:w="8216" w:type="dxa"/>
          <w:tblInd w:w="1280" w:type="dxa"/>
          <w:tblLayout w:type="fixed"/>
          <w:tblLook w:val="04A0"/>
        </w:tblPrEx>
        <w:tc>
          <w:tcPr>
            <w:tcW w:w="1418" w:type="dxa"/>
          </w:tcPr>
          <w:p w:rsidR="00861D72" w:rsidRPr="00914055" w:rsidP="00F90255">
            <w:pPr>
              <w:spacing w:line="269" w:lineRule="auto"/>
              <w:rPr>
                <w:b/>
                <w:bCs/>
                <w:szCs w:val="20"/>
                <w:rtl/>
              </w:rPr>
            </w:pPr>
            <w:r w:rsidRPr="00914055">
              <w:rPr>
                <w:rFonts w:hint="cs"/>
                <w:b/>
                <w:bCs/>
                <w:szCs w:val="20"/>
                <w:rtl/>
              </w:rPr>
              <w:t>החלטת הממשלה</w:t>
            </w:r>
          </w:p>
        </w:tc>
        <w:tc>
          <w:tcPr>
            <w:tcW w:w="1275" w:type="dxa"/>
          </w:tcPr>
          <w:p w:rsidR="00861D72" w:rsidRPr="00914055" w:rsidP="00F90255">
            <w:pPr>
              <w:spacing w:line="269" w:lineRule="auto"/>
              <w:rPr>
                <w:szCs w:val="20"/>
                <w:rtl/>
              </w:rPr>
            </w:pPr>
            <w:r w:rsidRPr="00914055">
              <w:rPr>
                <w:rFonts w:ascii="David" w:hAnsi="David" w:hint="cs"/>
                <w:szCs w:val="20"/>
                <w:rtl/>
              </w:rPr>
              <w:t>החלטת הממשלה 2397</w:t>
            </w:r>
            <w:r>
              <w:rPr>
                <w:rFonts w:ascii="David" w:hAnsi="David"/>
                <w:szCs w:val="20"/>
                <w:vertAlign w:val="superscript"/>
                <w:rtl/>
              </w:rPr>
              <w:footnoteReference w:id="160"/>
            </w:r>
            <w:r w:rsidRPr="00914055">
              <w:rPr>
                <w:rFonts w:hint="cs"/>
                <w:szCs w:val="20"/>
                <w:rtl/>
              </w:rPr>
              <w:t xml:space="preserve"> </w:t>
            </w:r>
            <w:r w:rsidRPr="00914055">
              <w:rPr>
                <w:szCs w:val="20"/>
                <w:rtl/>
              </w:rPr>
              <w:br/>
            </w:r>
            <w:r w:rsidRPr="00914055">
              <w:rPr>
                <w:rFonts w:hint="cs"/>
                <w:szCs w:val="20"/>
                <w:rtl/>
              </w:rPr>
              <w:t>ו-1279</w:t>
            </w:r>
            <w:r>
              <w:rPr>
                <w:szCs w:val="20"/>
                <w:vertAlign w:val="superscript"/>
                <w:rtl/>
              </w:rPr>
              <w:footnoteReference w:id="161"/>
            </w:r>
          </w:p>
        </w:tc>
        <w:tc>
          <w:tcPr>
            <w:tcW w:w="1276" w:type="dxa"/>
          </w:tcPr>
          <w:p w:rsidR="00861D72" w:rsidRPr="00914055" w:rsidP="00F90255">
            <w:pPr>
              <w:spacing w:line="269" w:lineRule="auto"/>
              <w:rPr>
                <w:rFonts w:ascii="David" w:hAnsi="David"/>
                <w:szCs w:val="20"/>
                <w:rtl/>
              </w:rPr>
            </w:pPr>
            <w:r w:rsidRPr="00914055">
              <w:rPr>
                <w:rFonts w:ascii="David" w:hAnsi="David" w:hint="cs"/>
                <w:szCs w:val="20"/>
                <w:rtl/>
              </w:rPr>
              <w:t>החלטת הממשלה 922</w:t>
            </w:r>
            <w:r>
              <w:rPr>
                <w:rFonts w:ascii="David" w:hAnsi="David"/>
                <w:szCs w:val="20"/>
                <w:vertAlign w:val="superscript"/>
                <w:rtl/>
              </w:rPr>
              <w:footnoteReference w:id="162"/>
            </w:r>
            <w:r w:rsidRPr="00914055">
              <w:rPr>
                <w:rFonts w:ascii="David" w:hAnsi="David" w:hint="cs"/>
                <w:szCs w:val="20"/>
                <w:rtl/>
              </w:rPr>
              <w:t xml:space="preserve"> </w:t>
            </w:r>
          </w:p>
          <w:p w:rsidR="00861D72" w:rsidRPr="00914055" w:rsidP="00F90255">
            <w:pPr>
              <w:spacing w:line="269" w:lineRule="auto"/>
              <w:rPr>
                <w:szCs w:val="20"/>
                <w:rtl/>
              </w:rPr>
            </w:pPr>
            <w:r w:rsidRPr="00914055">
              <w:rPr>
                <w:rFonts w:ascii="David" w:hAnsi="David" w:hint="cs"/>
                <w:szCs w:val="20"/>
                <w:rtl/>
              </w:rPr>
              <w:t>ו-550</w:t>
            </w:r>
            <w:r>
              <w:rPr>
                <w:rFonts w:ascii="David" w:hAnsi="David"/>
                <w:szCs w:val="20"/>
                <w:vertAlign w:val="superscript"/>
                <w:rtl/>
              </w:rPr>
              <w:footnoteReference w:id="163"/>
            </w:r>
          </w:p>
        </w:tc>
        <w:tc>
          <w:tcPr>
            <w:tcW w:w="1134" w:type="dxa"/>
          </w:tcPr>
          <w:p w:rsidR="00861D72" w:rsidRPr="00914055" w:rsidP="00F90255">
            <w:pPr>
              <w:spacing w:line="269" w:lineRule="auto"/>
              <w:rPr>
                <w:rFonts w:ascii="David" w:hAnsi="David"/>
                <w:szCs w:val="20"/>
                <w:rtl/>
              </w:rPr>
            </w:pPr>
            <w:r w:rsidRPr="00914055">
              <w:rPr>
                <w:rFonts w:ascii="David" w:hAnsi="David" w:hint="cs"/>
                <w:szCs w:val="20"/>
                <w:rtl/>
              </w:rPr>
              <w:t>החלטת הממשלה 3116</w:t>
            </w:r>
            <w:r>
              <w:rPr>
                <w:rFonts w:ascii="David" w:hAnsi="David"/>
                <w:szCs w:val="20"/>
                <w:vertAlign w:val="superscript"/>
                <w:rtl/>
              </w:rPr>
              <w:footnoteReference w:id="164"/>
            </w:r>
          </w:p>
        </w:tc>
        <w:tc>
          <w:tcPr>
            <w:tcW w:w="992" w:type="dxa"/>
          </w:tcPr>
          <w:p w:rsidR="00861D72" w:rsidRPr="00914055" w:rsidP="00F90255">
            <w:pPr>
              <w:spacing w:line="269" w:lineRule="auto"/>
              <w:rPr>
                <w:szCs w:val="20"/>
                <w:rtl/>
              </w:rPr>
            </w:pPr>
            <w:r w:rsidRPr="00914055">
              <w:rPr>
                <w:rFonts w:ascii="David" w:hAnsi="David" w:hint="cs"/>
                <w:szCs w:val="20"/>
                <w:rtl/>
              </w:rPr>
              <w:t>החלטת הממשלה 3790</w:t>
            </w:r>
            <w:r>
              <w:rPr>
                <w:rFonts w:ascii="David" w:hAnsi="David"/>
                <w:szCs w:val="20"/>
                <w:vertAlign w:val="superscript"/>
                <w:rtl/>
              </w:rPr>
              <w:footnoteReference w:id="165"/>
            </w:r>
            <w:r w:rsidRPr="00914055">
              <w:rPr>
                <w:rFonts w:hint="cs"/>
                <w:szCs w:val="20"/>
                <w:rtl/>
              </w:rPr>
              <w:t xml:space="preserve"> </w:t>
            </w:r>
            <w:r w:rsidRPr="00914055">
              <w:rPr>
                <w:szCs w:val="20"/>
                <w:rtl/>
              </w:rPr>
              <w:br/>
            </w:r>
            <w:r w:rsidRPr="00914055">
              <w:rPr>
                <w:rFonts w:hint="cs"/>
                <w:szCs w:val="20"/>
                <w:rtl/>
              </w:rPr>
              <w:t>ו-880</w:t>
            </w:r>
            <w:r>
              <w:rPr>
                <w:szCs w:val="20"/>
                <w:vertAlign w:val="superscript"/>
                <w:rtl/>
              </w:rPr>
              <w:footnoteReference w:id="166"/>
            </w:r>
          </w:p>
        </w:tc>
        <w:tc>
          <w:tcPr>
            <w:tcW w:w="993" w:type="dxa"/>
          </w:tcPr>
          <w:p w:rsidR="00861D72" w:rsidRPr="00914055" w:rsidP="00F90255">
            <w:pPr>
              <w:spacing w:line="269" w:lineRule="auto"/>
              <w:rPr>
                <w:szCs w:val="20"/>
                <w:rtl/>
              </w:rPr>
            </w:pPr>
            <w:r w:rsidRPr="00914055">
              <w:rPr>
                <w:rFonts w:ascii="David" w:hAnsi="David" w:hint="cs"/>
                <w:szCs w:val="20"/>
                <w:rtl/>
              </w:rPr>
              <w:t>החלטת הממשלה 1512</w:t>
            </w:r>
            <w:r>
              <w:rPr>
                <w:rFonts w:ascii="David" w:hAnsi="David"/>
                <w:szCs w:val="20"/>
                <w:vertAlign w:val="superscript"/>
                <w:rtl/>
              </w:rPr>
              <w:footnoteReference w:id="167"/>
            </w:r>
          </w:p>
        </w:tc>
        <w:tc>
          <w:tcPr>
            <w:tcW w:w="1128" w:type="dxa"/>
            <w:shd w:val="clear" w:color="auto" w:fill="D9D9D9"/>
          </w:tcPr>
          <w:p w:rsidR="00861D72" w:rsidRPr="00914055" w:rsidP="00F90255">
            <w:pPr>
              <w:spacing w:line="269" w:lineRule="auto"/>
              <w:rPr>
                <w:szCs w:val="20"/>
                <w:rtl/>
              </w:rPr>
            </w:pPr>
            <w:r w:rsidRPr="00914055">
              <w:rPr>
                <w:rFonts w:hint="cs"/>
                <w:szCs w:val="20"/>
                <w:rtl/>
              </w:rPr>
              <w:t>החלטת הממשלה 150</w:t>
            </w:r>
            <w:r>
              <w:rPr>
                <w:szCs w:val="20"/>
                <w:vertAlign w:val="superscript"/>
                <w:rtl/>
              </w:rPr>
              <w:footnoteReference w:id="168"/>
            </w:r>
          </w:p>
          <w:p w:rsidR="00861D72" w:rsidRPr="00914055" w:rsidP="00F90255">
            <w:pPr>
              <w:spacing w:line="269" w:lineRule="auto"/>
              <w:rPr>
                <w:rFonts w:ascii="David" w:hAnsi="David"/>
                <w:szCs w:val="20"/>
                <w:rtl/>
              </w:rPr>
            </w:pPr>
            <w:r w:rsidRPr="00914055">
              <w:rPr>
                <w:rFonts w:hint="cs"/>
                <w:szCs w:val="20"/>
                <w:rtl/>
              </w:rPr>
              <w:t>ו-127</w:t>
            </w:r>
            <w:r>
              <w:rPr>
                <w:rFonts w:ascii="David" w:hAnsi="David"/>
                <w:szCs w:val="20"/>
                <w:vertAlign w:val="superscript"/>
                <w:rtl/>
              </w:rPr>
              <w:footnoteReference w:id="169"/>
            </w:r>
          </w:p>
        </w:tc>
      </w:tr>
      <w:tr w:rsidTr="00861D72">
        <w:tblPrEx>
          <w:tblW w:w="8216" w:type="dxa"/>
          <w:tblInd w:w="1280" w:type="dxa"/>
          <w:tblLayout w:type="fixed"/>
          <w:tblLook w:val="04A0"/>
        </w:tblPrEx>
        <w:tc>
          <w:tcPr>
            <w:tcW w:w="1418" w:type="dxa"/>
          </w:tcPr>
          <w:p w:rsidR="00861D72" w:rsidRPr="00914055" w:rsidP="00F90255">
            <w:pPr>
              <w:spacing w:line="269" w:lineRule="auto"/>
              <w:rPr>
                <w:szCs w:val="20"/>
                <w:rtl/>
              </w:rPr>
            </w:pPr>
            <w:r w:rsidRPr="00914055">
              <w:rPr>
                <w:rFonts w:ascii="David" w:hAnsi="David" w:hint="cs"/>
                <w:b/>
                <w:bCs/>
                <w:szCs w:val="20"/>
                <w:rtl/>
              </w:rPr>
              <w:t>הגדרת אוכלוסיית היעד</w:t>
            </w:r>
          </w:p>
        </w:tc>
        <w:tc>
          <w:tcPr>
            <w:tcW w:w="1275"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276"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34"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2"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3"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r>
      <w:tr w:rsidTr="00861D72">
        <w:tblPrEx>
          <w:tblW w:w="8216" w:type="dxa"/>
          <w:tblInd w:w="1280" w:type="dxa"/>
          <w:tblLayout w:type="fixed"/>
          <w:tblLook w:val="04A0"/>
        </w:tblPrEx>
        <w:tc>
          <w:tcPr>
            <w:tcW w:w="1418" w:type="dxa"/>
          </w:tcPr>
          <w:p w:rsidR="00861D72" w:rsidRPr="00914055" w:rsidP="00F90255">
            <w:pPr>
              <w:spacing w:line="269" w:lineRule="auto"/>
              <w:rPr>
                <w:b/>
                <w:bCs/>
                <w:szCs w:val="20"/>
                <w:rtl/>
              </w:rPr>
            </w:pPr>
            <w:r w:rsidRPr="00914055">
              <w:rPr>
                <w:rFonts w:hint="cs"/>
                <w:b/>
                <w:bCs/>
                <w:szCs w:val="20"/>
                <w:rtl/>
              </w:rPr>
              <w:t xml:space="preserve">הגדרת גורם </w:t>
            </w:r>
            <w:r w:rsidRPr="00914055">
              <w:rPr>
                <w:rFonts w:hint="cs"/>
                <w:b/>
                <w:bCs/>
                <w:szCs w:val="20"/>
                <w:rtl/>
              </w:rPr>
              <w:t>מתכלל</w:t>
            </w:r>
            <w:r w:rsidRPr="00914055">
              <w:rPr>
                <w:rFonts w:hint="cs"/>
                <w:b/>
                <w:bCs/>
                <w:szCs w:val="20"/>
                <w:rtl/>
              </w:rPr>
              <w:t xml:space="preserve"> או מנהל</w:t>
            </w:r>
          </w:p>
        </w:tc>
        <w:tc>
          <w:tcPr>
            <w:tcW w:w="1275" w:type="dxa"/>
          </w:tcPr>
          <w:p w:rsidR="00861D72" w:rsidRPr="00914055" w:rsidP="00F90255">
            <w:pPr>
              <w:spacing w:line="269" w:lineRule="auto"/>
              <w:rPr>
                <w:rFonts w:ascii="David" w:hAnsi="David"/>
                <w:szCs w:val="20"/>
                <w:rtl/>
              </w:rPr>
            </w:pPr>
            <w:r w:rsidRPr="00914055">
              <w:rPr>
                <w:noProof/>
                <w:szCs w:val="20"/>
              </w:rPr>
              <w:drawing>
                <wp:inline distT="0" distB="0" distL="0" distR="0">
                  <wp:extent cx="198120" cy="177165"/>
                  <wp:effectExtent l="0" t="0" r="0"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06"/>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ascii="David" w:hAnsi="David" w:hint="cs"/>
                <w:szCs w:val="20"/>
                <w:rtl/>
              </w:rPr>
              <w:t xml:space="preserve"> </w:t>
            </w:r>
          </w:p>
          <w:p w:rsidR="00861D72" w:rsidRPr="00914055" w:rsidP="00F90255">
            <w:pPr>
              <w:spacing w:line="269" w:lineRule="auto"/>
              <w:rPr>
                <w:szCs w:val="20"/>
                <w:rtl/>
              </w:rPr>
            </w:pPr>
            <w:r w:rsidRPr="00914055">
              <w:rPr>
                <w:rFonts w:ascii="David" w:hAnsi="David" w:hint="cs"/>
                <w:szCs w:val="20"/>
                <w:rtl/>
              </w:rPr>
              <w:t>משרד החקלאות ופיתוח הכפר</w:t>
            </w:r>
          </w:p>
        </w:tc>
        <w:tc>
          <w:tcPr>
            <w:tcW w:w="1276" w:type="dxa"/>
          </w:tcPr>
          <w:p w:rsidR="00861D72" w:rsidRPr="00914055" w:rsidP="00F90255">
            <w:pPr>
              <w:spacing w:line="269" w:lineRule="auto"/>
              <w:rPr>
                <w:szCs w:val="20"/>
                <w:rtl/>
              </w:rPr>
            </w:pPr>
            <w:r w:rsidRPr="00914055">
              <w:rPr>
                <w:noProof/>
                <w:szCs w:val="20"/>
              </w:rPr>
              <w:drawing>
                <wp:inline distT="0" distB="0" distL="0" distR="0">
                  <wp:extent cx="198120" cy="177165"/>
                  <wp:effectExtent l="0" t="0" r="0" b="0"/>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07"/>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hint="cs"/>
                <w:szCs w:val="20"/>
                <w:rtl/>
              </w:rPr>
              <w:t xml:space="preserve"> </w:t>
            </w:r>
          </w:p>
          <w:p w:rsidR="00861D72" w:rsidRPr="00914055" w:rsidP="00F90255">
            <w:pPr>
              <w:spacing w:line="269" w:lineRule="auto"/>
              <w:rPr>
                <w:szCs w:val="20"/>
                <w:rtl/>
              </w:rPr>
            </w:pPr>
            <w:r w:rsidRPr="00914055">
              <w:rPr>
                <w:rFonts w:hint="cs"/>
                <w:szCs w:val="20"/>
                <w:rtl/>
              </w:rPr>
              <w:t>המשרד לשוויון חברתי</w:t>
            </w:r>
          </w:p>
        </w:tc>
        <w:tc>
          <w:tcPr>
            <w:tcW w:w="1134" w:type="dxa"/>
          </w:tcPr>
          <w:p w:rsidR="00861D72" w:rsidRPr="00914055" w:rsidP="00F90255">
            <w:pPr>
              <w:spacing w:line="269" w:lineRule="auto"/>
              <w:rPr>
                <w:rFonts w:ascii="David" w:hAnsi="David"/>
                <w:szCs w:val="20"/>
                <w:rtl/>
              </w:rPr>
            </w:pPr>
            <w:r w:rsidRPr="00914055">
              <w:rPr>
                <w:noProof/>
                <w:szCs w:val="20"/>
              </w:rPr>
              <w:drawing>
                <wp:inline distT="0" distB="0" distL="0" distR="0">
                  <wp:extent cx="198120" cy="177165"/>
                  <wp:effectExtent l="0" t="0" r="0" b="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08"/>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ascii="David" w:hAnsi="David" w:hint="cs"/>
                <w:szCs w:val="20"/>
                <w:rtl/>
              </w:rPr>
              <w:t xml:space="preserve"> </w:t>
            </w:r>
          </w:p>
          <w:p w:rsidR="00861D72" w:rsidRPr="00914055" w:rsidP="00F90255">
            <w:pPr>
              <w:spacing w:line="269" w:lineRule="auto"/>
              <w:rPr>
                <w:szCs w:val="20"/>
                <w:rtl/>
              </w:rPr>
            </w:pPr>
            <w:r w:rsidRPr="00914055">
              <w:rPr>
                <w:rFonts w:ascii="David" w:hAnsi="David" w:hint="cs"/>
                <w:szCs w:val="20"/>
                <w:rtl/>
              </w:rPr>
              <w:t>ועדת היגוי</w:t>
            </w:r>
            <w:r>
              <w:rPr>
                <w:rFonts w:ascii="David" w:hAnsi="David"/>
                <w:szCs w:val="20"/>
                <w:vertAlign w:val="superscript"/>
                <w:rtl/>
              </w:rPr>
              <w:footnoteReference w:id="170"/>
            </w:r>
            <w:r w:rsidRPr="00914055">
              <w:rPr>
                <w:rFonts w:ascii="David" w:hAnsi="David" w:hint="cs"/>
                <w:szCs w:val="20"/>
                <w:rtl/>
              </w:rPr>
              <w:t xml:space="preserve"> של נציגי המשרדים השותפים</w:t>
            </w:r>
          </w:p>
        </w:tc>
        <w:tc>
          <w:tcPr>
            <w:tcW w:w="992" w:type="dxa"/>
          </w:tcPr>
          <w:p w:rsidR="00861D72" w:rsidRPr="00914055" w:rsidP="00F90255">
            <w:pPr>
              <w:spacing w:line="269" w:lineRule="auto"/>
              <w:rPr>
                <w:rFonts w:ascii="David" w:hAnsi="David"/>
                <w:szCs w:val="20"/>
                <w:rtl/>
              </w:rPr>
            </w:pPr>
            <w:r w:rsidRPr="00914055">
              <w:rPr>
                <w:noProof/>
                <w:szCs w:val="20"/>
              </w:rPr>
              <w:drawing>
                <wp:inline distT="0" distB="0" distL="0" distR="0">
                  <wp:extent cx="198120" cy="177165"/>
                  <wp:effectExtent l="0" t="0" r="0" b="0"/>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409"/>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ascii="David" w:hAnsi="David" w:hint="cs"/>
                <w:szCs w:val="20"/>
                <w:rtl/>
              </w:rPr>
              <w:t xml:space="preserve"> </w:t>
            </w:r>
          </w:p>
          <w:p w:rsidR="00861D72" w:rsidRPr="00914055" w:rsidP="00F90255">
            <w:pPr>
              <w:spacing w:line="269" w:lineRule="auto"/>
              <w:rPr>
                <w:szCs w:val="20"/>
                <w:rtl/>
              </w:rPr>
            </w:pPr>
            <w:r w:rsidRPr="00914055">
              <w:rPr>
                <w:rFonts w:ascii="David" w:hAnsi="David" w:hint="cs"/>
                <w:szCs w:val="20"/>
                <w:rtl/>
              </w:rPr>
              <w:t>ועדה מתמדת</w:t>
            </w:r>
            <w:r>
              <w:rPr>
                <w:rFonts w:ascii="David" w:hAnsi="David"/>
                <w:szCs w:val="20"/>
                <w:vertAlign w:val="superscript"/>
                <w:rtl/>
              </w:rPr>
              <w:footnoteReference w:id="171"/>
            </w:r>
          </w:p>
        </w:tc>
        <w:tc>
          <w:tcPr>
            <w:tcW w:w="993" w:type="dxa"/>
          </w:tcPr>
          <w:p w:rsidR="00861D72" w:rsidRPr="00914055" w:rsidP="00F90255">
            <w:pPr>
              <w:spacing w:line="269" w:lineRule="auto"/>
              <w:rPr>
                <w:rFonts w:ascii="David" w:hAnsi="David"/>
                <w:szCs w:val="20"/>
                <w:rtl/>
              </w:rPr>
            </w:pPr>
            <w:r w:rsidRPr="00914055">
              <w:rPr>
                <w:noProof/>
                <w:szCs w:val="20"/>
              </w:rPr>
              <w:drawing>
                <wp:inline distT="0" distB="0" distL="0" distR="0">
                  <wp:extent cx="198120" cy="177165"/>
                  <wp:effectExtent l="0" t="0" r="0" b="0"/>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10"/>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ascii="David" w:hAnsi="David" w:hint="cs"/>
                <w:szCs w:val="20"/>
                <w:rtl/>
              </w:rPr>
              <w:t xml:space="preserve"> </w:t>
            </w:r>
          </w:p>
          <w:p w:rsidR="00861D72" w:rsidRPr="00914055" w:rsidP="00F90255">
            <w:pPr>
              <w:spacing w:line="269" w:lineRule="auto"/>
              <w:rPr>
                <w:szCs w:val="20"/>
                <w:rtl/>
              </w:rPr>
            </w:pPr>
            <w:r w:rsidRPr="00914055">
              <w:rPr>
                <w:rFonts w:ascii="David" w:hAnsi="David" w:hint="cs"/>
                <w:szCs w:val="20"/>
                <w:rtl/>
              </w:rPr>
              <w:t>משרד ירושלים ומורשת</w:t>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152400" cy="180975"/>
                  <wp:effectExtent l="0" t="0" r="0" b="9525"/>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861D72">
        <w:tblPrEx>
          <w:tblW w:w="8216" w:type="dxa"/>
          <w:tblInd w:w="1280" w:type="dxa"/>
          <w:tblLayout w:type="fixed"/>
          <w:tblLook w:val="04A0"/>
        </w:tblPrEx>
        <w:tc>
          <w:tcPr>
            <w:tcW w:w="1418" w:type="dxa"/>
          </w:tcPr>
          <w:p w:rsidR="00861D72" w:rsidRPr="00914055" w:rsidP="00F90255">
            <w:pPr>
              <w:spacing w:line="269" w:lineRule="auto"/>
              <w:rPr>
                <w:szCs w:val="20"/>
                <w:rtl/>
              </w:rPr>
            </w:pPr>
            <w:r w:rsidRPr="00914055">
              <w:rPr>
                <w:rFonts w:ascii="David" w:hAnsi="David" w:hint="cs"/>
                <w:b/>
                <w:bCs/>
                <w:szCs w:val="20"/>
                <w:rtl/>
              </w:rPr>
              <w:t>הגדרת תחומי פעולה או מטרות</w:t>
            </w:r>
          </w:p>
        </w:tc>
        <w:tc>
          <w:tcPr>
            <w:tcW w:w="1275"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276"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34"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2"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3"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152400" cy="180975"/>
                  <wp:effectExtent l="0" t="0" r="0" b="9525"/>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861D72">
        <w:tblPrEx>
          <w:tblW w:w="8216" w:type="dxa"/>
          <w:tblInd w:w="1280" w:type="dxa"/>
          <w:tblLayout w:type="fixed"/>
          <w:tblLook w:val="04A0"/>
        </w:tblPrEx>
        <w:tc>
          <w:tcPr>
            <w:tcW w:w="1418" w:type="dxa"/>
          </w:tcPr>
          <w:p w:rsidR="00861D72" w:rsidRPr="00914055" w:rsidP="00F90255">
            <w:pPr>
              <w:spacing w:line="269" w:lineRule="auto"/>
              <w:rPr>
                <w:b/>
                <w:bCs/>
                <w:szCs w:val="20"/>
                <w:rtl/>
              </w:rPr>
            </w:pPr>
            <w:r w:rsidRPr="00914055">
              <w:rPr>
                <w:rFonts w:hint="cs"/>
                <w:b/>
                <w:bCs/>
                <w:szCs w:val="20"/>
                <w:rtl/>
              </w:rPr>
              <w:t>הגדרת יעדים מדידים</w:t>
            </w:r>
          </w:p>
        </w:tc>
        <w:tc>
          <w:tcPr>
            <w:tcW w:w="1275" w:type="dxa"/>
          </w:tcPr>
          <w:p w:rsidR="00861D72" w:rsidRPr="00914055" w:rsidP="00F90255">
            <w:pPr>
              <w:spacing w:line="269" w:lineRule="auto"/>
              <w:rPr>
                <w:szCs w:val="20"/>
                <w:rtl/>
              </w:rPr>
            </w:pPr>
            <w:r w:rsidRPr="00914055">
              <w:rPr>
                <w:noProof/>
                <w:szCs w:val="20"/>
              </w:rPr>
              <w:drawing>
                <wp:inline distT="0" distB="0" distL="0" distR="0">
                  <wp:extent cx="152400" cy="180975"/>
                  <wp:effectExtent l="0" t="0" r="0" b="952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c>
          <w:tcPr>
            <w:tcW w:w="1276"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34" w:type="dxa"/>
          </w:tcPr>
          <w:p w:rsidR="00861D72" w:rsidRPr="00914055" w:rsidP="00F90255">
            <w:pPr>
              <w:spacing w:line="269" w:lineRule="auto"/>
              <w:rPr>
                <w:szCs w:val="20"/>
                <w:rtl/>
              </w:rPr>
            </w:pPr>
            <w:r w:rsidRPr="00914055">
              <w:rPr>
                <w:noProof/>
                <w:szCs w:val="20"/>
              </w:rPr>
              <w:drawing>
                <wp:inline distT="0" distB="0" distL="0" distR="0">
                  <wp:extent cx="152400" cy="180975"/>
                  <wp:effectExtent l="0" t="0" r="0" b="9525"/>
                  <wp:docPr id="21309905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9056"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c>
          <w:tcPr>
            <w:tcW w:w="992"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1764846667"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46667"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3" w:type="dxa"/>
          </w:tcPr>
          <w:p w:rsidR="00861D72" w:rsidRPr="00914055" w:rsidP="00F90255">
            <w:pPr>
              <w:spacing w:line="269" w:lineRule="auto"/>
              <w:rPr>
                <w:szCs w:val="20"/>
                <w:rtl/>
              </w:rPr>
            </w:pPr>
            <w:r w:rsidRPr="00914055">
              <w:rPr>
                <w:noProof/>
                <w:szCs w:val="20"/>
              </w:rPr>
              <w:drawing>
                <wp:inline distT="0" distB="0" distL="0" distR="0">
                  <wp:extent cx="152400" cy="180975"/>
                  <wp:effectExtent l="0" t="0" r="0" b="9525"/>
                  <wp:docPr id="1361875796"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75796"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152400" cy="180975"/>
                  <wp:effectExtent l="0" t="0" r="0" b="9525"/>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861D72">
        <w:tblPrEx>
          <w:tblW w:w="8216" w:type="dxa"/>
          <w:tblInd w:w="1280" w:type="dxa"/>
          <w:tblLayout w:type="fixed"/>
          <w:tblLook w:val="04A0"/>
        </w:tblPrEx>
        <w:tc>
          <w:tcPr>
            <w:tcW w:w="1418" w:type="dxa"/>
          </w:tcPr>
          <w:p w:rsidR="00861D72" w:rsidRPr="00914055" w:rsidP="00F90255">
            <w:pPr>
              <w:spacing w:line="269" w:lineRule="auto"/>
              <w:rPr>
                <w:szCs w:val="20"/>
                <w:rtl/>
              </w:rPr>
            </w:pPr>
            <w:r w:rsidRPr="00914055">
              <w:rPr>
                <w:rFonts w:ascii="David" w:hAnsi="David" w:hint="cs"/>
                <w:b/>
                <w:bCs/>
                <w:szCs w:val="20"/>
                <w:rtl/>
              </w:rPr>
              <w:t>הגדרת המשרדים המעורבים ואחריותם</w:t>
            </w:r>
          </w:p>
        </w:tc>
        <w:tc>
          <w:tcPr>
            <w:tcW w:w="1275"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276"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34"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2"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3"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152400" cy="180975"/>
                  <wp:effectExtent l="0" t="0" r="0" b="9525"/>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861D72">
        <w:tblPrEx>
          <w:tblW w:w="8216" w:type="dxa"/>
          <w:tblInd w:w="1280" w:type="dxa"/>
          <w:tblLayout w:type="fixed"/>
          <w:tblLook w:val="04A0"/>
        </w:tblPrEx>
        <w:tc>
          <w:tcPr>
            <w:tcW w:w="1418" w:type="dxa"/>
          </w:tcPr>
          <w:p w:rsidR="00861D72" w:rsidRPr="00914055" w:rsidP="00F90255">
            <w:pPr>
              <w:spacing w:line="269" w:lineRule="auto"/>
              <w:rPr>
                <w:b/>
                <w:bCs/>
                <w:szCs w:val="20"/>
                <w:rtl/>
              </w:rPr>
            </w:pPr>
            <w:r w:rsidRPr="00914055">
              <w:rPr>
                <w:rFonts w:hint="cs"/>
                <w:b/>
                <w:bCs/>
                <w:szCs w:val="20"/>
                <w:rtl/>
              </w:rPr>
              <w:t>קביעת שיתופי פעולה</w:t>
            </w:r>
          </w:p>
        </w:tc>
        <w:tc>
          <w:tcPr>
            <w:tcW w:w="1275" w:type="dxa"/>
          </w:tcPr>
          <w:p w:rsidR="00861D72" w:rsidRPr="00914055" w:rsidP="00F90255">
            <w:pPr>
              <w:spacing w:line="269" w:lineRule="auto"/>
              <w:rPr>
                <w:szCs w:val="20"/>
                <w:rtl/>
              </w:rPr>
            </w:pPr>
            <w:r w:rsidRPr="00914055">
              <w:rPr>
                <w:noProof/>
                <w:szCs w:val="20"/>
              </w:rPr>
              <w:drawing>
                <wp:inline distT="0" distB="0" distL="0" distR="0">
                  <wp:extent cx="198120" cy="177165"/>
                  <wp:effectExtent l="0" t="0" r="0"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11"/>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hint="cs"/>
                <w:szCs w:val="20"/>
                <w:rtl/>
              </w:rPr>
              <w:t xml:space="preserve"> *</w:t>
            </w:r>
          </w:p>
        </w:tc>
        <w:tc>
          <w:tcPr>
            <w:tcW w:w="1276" w:type="dxa"/>
          </w:tcPr>
          <w:p w:rsidR="00861D72" w:rsidRPr="00914055" w:rsidP="00F90255">
            <w:pPr>
              <w:spacing w:line="269" w:lineRule="auto"/>
              <w:rPr>
                <w:szCs w:val="20"/>
                <w:rtl/>
              </w:rPr>
            </w:pPr>
            <w:r w:rsidRPr="00914055">
              <w:rPr>
                <w:noProof/>
                <w:szCs w:val="20"/>
              </w:rPr>
              <w:drawing>
                <wp:inline distT="0" distB="0" distL="0" distR="0">
                  <wp:extent cx="198120" cy="177165"/>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12"/>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rFonts w:hint="cs"/>
                <w:szCs w:val="20"/>
                <w:rtl/>
              </w:rPr>
              <w:t xml:space="preserve"> **</w:t>
            </w:r>
          </w:p>
          <w:p w:rsidR="00861D72" w:rsidRPr="00914055" w:rsidP="00F90255">
            <w:pPr>
              <w:spacing w:line="269" w:lineRule="auto"/>
              <w:rPr>
                <w:szCs w:val="20"/>
                <w:rtl/>
              </w:rPr>
            </w:pPr>
          </w:p>
        </w:tc>
        <w:tc>
          <w:tcPr>
            <w:tcW w:w="1134" w:type="dxa"/>
          </w:tcPr>
          <w:p w:rsidR="00861D72" w:rsidRPr="00914055" w:rsidP="00F90255">
            <w:pPr>
              <w:spacing w:line="269" w:lineRule="auto"/>
              <w:rPr>
                <w:szCs w:val="20"/>
                <w:rtl/>
              </w:rPr>
            </w:pPr>
            <w:r w:rsidRPr="00914055">
              <w:rPr>
                <w:noProof/>
                <w:szCs w:val="20"/>
              </w:rPr>
              <w:drawing>
                <wp:inline distT="0" distB="0" distL="0" distR="0">
                  <wp:extent cx="152400" cy="180975"/>
                  <wp:effectExtent l="0" t="0" r="0" b="9525"/>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c>
          <w:tcPr>
            <w:tcW w:w="992" w:type="dxa"/>
          </w:tcPr>
          <w:p w:rsidR="00861D72" w:rsidRPr="00914055" w:rsidP="00F90255">
            <w:pPr>
              <w:spacing w:line="269" w:lineRule="auto"/>
              <w:rPr>
                <w:szCs w:val="20"/>
                <w:rtl/>
              </w:rPr>
            </w:pPr>
            <w:r w:rsidRPr="00914055">
              <w:rPr>
                <w:noProof/>
                <w:szCs w:val="20"/>
              </w:rPr>
              <w:drawing>
                <wp:inline distT="0" distB="0" distL="0" distR="0">
                  <wp:extent cx="152400" cy="180975"/>
                  <wp:effectExtent l="0" t="0" r="0" b="9525"/>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c>
          <w:tcPr>
            <w:tcW w:w="993" w:type="dxa"/>
          </w:tcPr>
          <w:p w:rsidR="00861D72" w:rsidRPr="00914055" w:rsidP="00F90255">
            <w:pPr>
              <w:spacing w:line="269" w:lineRule="auto"/>
              <w:rPr>
                <w:szCs w:val="20"/>
                <w:rtl/>
              </w:rPr>
            </w:pPr>
            <w:r w:rsidRPr="00914055">
              <w:rPr>
                <w:noProof/>
                <w:szCs w:val="20"/>
              </w:rPr>
              <w:drawing>
                <wp:inline distT="0" distB="0" distL="0" distR="0">
                  <wp:extent cx="198120" cy="177165"/>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13"/>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 cy="177165"/>
                          </a:xfrm>
                          <a:prstGeom prst="rect">
                            <a:avLst/>
                          </a:prstGeom>
                          <a:noFill/>
                          <a:ln>
                            <a:noFill/>
                          </a:ln>
                        </pic:spPr>
                      </pic:pic>
                    </a:graphicData>
                  </a:graphic>
                </wp:inline>
              </w:drawing>
            </w:r>
            <w:r w:rsidRPr="00914055">
              <w:rPr>
                <w:szCs w:val="20"/>
                <w:rtl/>
              </w:rPr>
              <w:t xml:space="preserve"> </w:t>
            </w:r>
            <w:r w:rsidRPr="00914055">
              <w:rPr>
                <w:rFonts w:hint="cs"/>
                <w:szCs w:val="20"/>
                <w:rtl/>
              </w:rPr>
              <w:t>***</w:t>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152400" cy="180975"/>
                  <wp:effectExtent l="0" t="0" r="0" b="9525"/>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r w:rsidTr="00861D72">
        <w:tblPrEx>
          <w:tblW w:w="8216" w:type="dxa"/>
          <w:tblInd w:w="1280" w:type="dxa"/>
          <w:tblLayout w:type="fixed"/>
          <w:tblLook w:val="04A0"/>
        </w:tblPrEx>
        <w:tc>
          <w:tcPr>
            <w:tcW w:w="1418" w:type="dxa"/>
          </w:tcPr>
          <w:p w:rsidR="00861D72" w:rsidRPr="00914055" w:rsidP="00F90255">
            <w:pPr>
              <w:spacing w:line="269" w:lineRule="auto"/>
              <w:rPr>
                <w:szCs w:val="20"/>
                <w:rtl/>
              </w:rPr>
            </w:pPr>
            <w:r w:rsidRPr="00914055">
              <w:rPr>
                <w:rFonts w:ascii="David" w:hAnsi="David" w:hint="cs"/>
                <w:b/>
                <w:bCs/>
                <w:szCs w:val="20"/>
                <w:rtl/>
              </w:rPr>
              <w:t>הגדרת תקציב</w:t>
            </w:r>
          </w:p>
        </w:tc>
        <w:tc>
          <w:tcPr>
            <w:tcW w:w="1275"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276"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34" w:type="dxa"/>
          </w:tcPr>
          <w:p w:rsidR="00861D72" w:rsidRPr="00914055" w:rsidP="00F90255">
            <w:pPr>
              <w:spacing w:line="269" w:lineRule="auto"/>
              <w:rPr>
                <w:szCs w:val="20"/>
              </w:rPr>
            </w:pPr>
            <w:r w:rsidRPr="00914055">
              <w:rPr>
                <w:noProof/>
                <w:szCs w:val="20"/>
              </w:rPr>
              <w:drawing>
                <wp:inline distT="0" distB="0" distL="0" distR="0">
                  <wp:extent cx="202247" cy="180000"/>
                  <wp:effectExtent l="0" t="0" r="762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2"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993" w:type="dxa"/>
          </w:tcPr>
          <w:p w:rsidR="00861D72" w:rsidRPr="00914055" w:rsidP="00F90255">
            <w:pPr>
              <w:spacing w:line="269" w:lineRule="auto"/>
              <w:rPr>
                <w:szCs w:val="20"/>
                <w:rtl/>
              </w:rPr>
            </w:pPr>
            <w:r w:rsidRPr="00914055">
              <w:rPr>
                <w:noProof/>
                <w:szCs w:val="20"/>
              </w:rPr>
              <w:drawing>
                <wp:inline distT="0" distB="0" distL="0" distR="0">
                  <wp:extent cx="202247" cy="180000"/>
                  <wp:effectExtent l="0" t="0" r="7620"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xmlns:r="http://schemas.openxmlformats.org/officeDocument/2006/relationships" r:embed="rId31"/>
                          <a:stretch>
                            <a:fillRect/>
                          </a:stretch>
                        </pic:blipFill>
                        <pic:spPr>
                          <a:xfrm>
                            <a:off x="0" y="0"/>
                            <a:ext cx="202247" cy="180000"/>
                          </a:xfrm>
                          <a:prstGeom prst="rect">
                            <a:avLst/>
                          </a:prstGeom>
                        </pic:spPr>
                      </pic:pic>
                    </a:graphicData>
                  </a:graphic>
                </wp:inline>
              </w:drawing>
            </w:r>
          </w:p>
        </w:tc>
        <w:tc>
          <w:tcPr>
            <w:tcW w:w="1128" w:type="dxa"/>
            <w:shd w:val="clear" w:color="auto" w:fill="D9D9D9"/>
          </w:tcPr>
          <w:p w:rsidR="00861D72" w:rsidRPr="00914055" w:rsidP="00F90255">
            <w:pPr>
              <w:spacing w:line="269" w:lineRule="auto"/>
              <w:rPr>
                <w:szCs w:val="20"/>
              </w:rPr>
            </w:pPr>
            <w:r w:rsidRPr="00914055">
              <w:rPr>
                <w:noProof/>
                <w:szCs w:val="20"/>
              </w:rPr>
              <w:drawing>
                <wp:inline distT="0" distB="0" distL="0" distR="0">
                  <wp:extent cx="152400" cy="180975"/>
                  <wp:effectExtent l="0" t="0" r="0" b="9525"/>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52400" cy="180975"/>
                          </a:xfrm>
                          <a:prstGeom prst="rect">
                            <a:avLst/>
                          </a:prstGeom>
                          <a:noFill/>
                          <a:ln>
                            <a:noFill/>
                          </a:ln>
                        </pic:spPr>
                      </pic:pic>
                    </a:graphicData>
                  </a:graphic>
                </wp:inline>
              </w:drawing>
            </w:r>
          </w:p>
        </w:tc>
      </w:tr>
    </w:tbl>
    <w:p w:rsidR="00861D72" w:rsidRPr="00861D72" w:rsidP="00F90255">
      <w:pPr>
        <w:spacing w:line="269" w:lineRule="auto"/>
        <w:rPr>
          <w:rFonts w:eastAsia="Calibri"/>
          <w:szCs w:val="20"/>
          <w:rtl/>
        </w:rPr>
      </w:pPr>
      <w:r w:rsidRPr="00861D72">
        <w:rPr>
          <w:rFonts w:eastAsia="Calibri" w:hint="cs"/>
          <w:szCs w:val="20"/>
          <w:rtl/>
        </w:rPr>
        <w:t xml:space="preserve">* דוגמה לאחד משיתופי הפעולה בתוכנית זו נקבע בין </w:t>
      </w:r>
      <w:r w:rsidRPr="00861D72">
        <w:rPr>
          <w:rFonts w:eastAsia="Calibri" w:hint="cs"/>
          <w:noProof/>
          <w:szCs w:val="20"/>
          <w:rtl/>
        </w:rPr>
        <w:t>משרד העבודה והרווחה, למשרד האוצר ולמשרד</w:t>
      </w:r>
      <w:r w:rsidRPr="00861D72">
        <w:rPr>
          <w:rFonts w:eastAsia="Calibri" w:hint="cs"/>
          <w:noProof/>
          <w:sz w:val="18"/>
          <w:szCs w:val="22"/>
          <w:rtl/>
        </w:rPr>
        <w:t xml:space="preserve"> </w:t>
      </w:r>
      <w:r w:rsidRPr="00861D72">
        <w:rPr>
          <w:rFonts w:eastAsia="Calibri" w:hint="eastAsia"/>
          <w:szCs w:val="20"/>
          <w:rtl/>
        </w:rPr>
        <w:t>החקלאות</w:t>
      </w:r>
      <w:r w:rsidRPr="00861D72">
        <w:rPr>
          <w:rFonts w:eastAsia="Calibri"/>
          <w:szCs w:val="20"/>
          <w:rtl/>
        </w:rPr>
        <w:t xml:space="preserve"> </w:t>
      </w:r>
      <w:r w:rsidRPr="00861D72">
        <w:rPr>
          <w:rFonts w:eastAsia="Calibri" w:hint="eastAsia"/>
          <w:szCs w:val="20"/>
          <w:rtl/>
        </w:rPr>
        <w:t>ופיתוח</w:t>
      </w:r>
      <w:r w:rsidRPr="00861D72">
        <w:rPr>
          <w:rFonts w:eastAsia="Calibri"/>
          <w:szCs w:val="20"/>
          <w:rtl/>
        </w:rPr>
        <w:t xml:space="preserve"> </w:t>
      </w:r>
      <w:r w:rsidRPr="00861D72">
        <w:rPr>
          <w:rFonts w:eastAsia="Calibri" w:hint="eastAsia"/>
          <w:szCs w:val="20"/>
          <w:rtl/>
        </w:rPr>
        <w:t>הכפר</w:t>
      </w:r>
      <w:r w:rsidRPr="00861D72">
        <w:rPr>
          <w:rFonts w:eastAsia="Calibri"/>
          <w:szCs w:val="20"/>
          <w:rtl/>
        </w:rPr>
        <w:t xml:space="preserve">, </w:t>
      </w:r>
      <w:r w:rsidRPr="00861D72">
        <w:rPr>
          <w:rFonts w:eastAsia="Calibri" w:hint="eastAsia"/>
          <w:szCs w:val="20"/>
          <w:rtl/>
        </w:rPr>
        <w:t>בנוגע</w:t>
      </w:r>
      <w:r w:rsidRPr="00861D72">
        <w:rPr>
          <w:rFonts w:eastAsia="Calibri"/>
          <w:szCs w:val="20"/>
          <w:rtl/>
        </w:rPr>
        <w:t xml:space="preserve"> </w:t>
      </w:r>
      <w:r w:rsidRPr="00861D72">
        <w:rPr>
          <w:rFonts w:eastAsia="Calibri" w:hint="eastAsia"/>
          <w:szCs w:val="20"/>
          <w:rtl/>
        </w:rPr>
        <w:t>ל</w:t>
      </w:r>
      <w:r w:rsidRPr="00861D72">
        <w:rPr>
          <w:rFonts w:eastAsia="Calibri" w:hint="cs"/>
          <w:szCs w:val="20"/>
          <w:rtl/>
        </w:rPr>
        <w:t>הפעלת מרכזי הכוון תעסוקתי "</w:t>
      </w:r>
      <w:r w:rsidRPr="00861D72">
        <w:rPr>
          <w:rFonts w:eastAsia="Calibri" w:hint="cs"/>
          <w:szCs w:val="20"/>
          <w:rtl/>
        </w:rPr>
        <w:t>ריאן</w:t>
      </w:r>
      <w:r w:rsidRPr="00861D72">
        <w:rPr>
          <w:rFonts w:eastAsia="Calibri" w:hint="cs"/>
          <w:szCs w:val="20"/>
          <w:rtl/>
        </w:rPr>
        <w:t>" ביישובי התוכנית.</w:t>
      </w:r>
    </w:p>
    <w:p w:rsidR="00861D72" w:rsidRPr="00861D72" w:rsidP="00F90255">
      <w:pPr>
        <w:spacing w:line="269" w:lineRule="auto"/>
        <w:rPr>
          <w:rFonts w:eastAsia="Calibri"/>
          <w:szCs w:val="20"/>
          <w:rtl/>
        </w:rPr>
      </w:pPr>
      <w:r w:rsidRPr="00861D72">
        <w:rPr>
          <w:rFonts w:eastAsia="Calibri"/>
          <w:szCs w:val="20"/>
          <w:rtl/>
        </w:rPr>
        <w:t>**</w:t>
      </w:r>
      <w:r w:rsidRPr="00861D72">
        <w:rPr>
          <w:rFonts w:eastAsia="Calibri"/>
          <w:szCs w:val="20"/>
        </w:rPr>
        <w:t xml:space="preserve"> </w:t>
      </w:r>
      <w:r w:rsidRPr="00861D72">
        <w:rPr>
          <w:rFonts w:eastAsia="Calibri" w:hint="eastAsia"/>
          <w:szCs w:val="20"/>
          <w:rtl/>
        </w:rPr>
        <w:t>דוגמה</w:t>
      </w:r>
      <w:r w:rsidRPr="00861D72">
        <w:rPr>
          <w:rFonts w:eastAsia="Calibri"/>
          <w:szCs w:val="20"/>
          <w:rtl/>
        </w:rPr>
        <w:t xml:space="preserve"> לאחד משיתופי הפעולה בתוכנית זו נקבע בין משרד החינוך, </w:t>
      </w:r>
      <w:r w:rsidRPr="00861D72">
        <w:rPr>
          <w:rFonts w:eastAsia="Calibri" w:hint="cs"/>
          <w:szCs w:val="20"/>
          <w:rtl/>
        </w:rPr>
        <w:t>ל</w:t>
      </w:r>
      <w:r w:rsidRPr="00861D72">
        <w:rPr>
          <w:rFonts w:eastAsia="Calibri"/>
          <w:szCs w:val="20"/>
          <w:rtl/>
        </w:rPr>
        <w:t xml:space="preserve">משרד האוצר </w:t>
      </w:r>
      <w:r w:rsidRPr="00861D72">
        <w:rPr>
          <w:rFonts w:eastAsia="Calibri" w:hint="cs"/>
          <w:szCs w:val="20"/>
          <w:rtl/>
        </w:rPr>
        <w:t>ול</w:t>
      </w:r>
      <w:r w:rsidRPr="00861D72">
        <w:rPr>
          <w:rFonts w:eastAsia="Calibri"/>
          <w:szCs w:val="20"/>
          <w:rtl/>
        </w:rPr>
        <w:t xml:space="preserve">משרד ירושלים ומורשת, </w:t>
      </w:r>
      <w:r w:rsidRPr="00861D72">
        <w:rPr>
          <w:rFonts w:eastAsia="Calibri" w:hint="cs"/>
          <w:szCs w:val="20"/>
          <w:rtl/>
        </w:rPr>
        <w:t>בנוגע לקביעת יעדים בתחום החינוך בקרב אוכלוסיית המיעוטים.</w:t>
      </w:r>
    </w:p>
    <w:p w:rsidR="00861D72" w:rsidRPr="00861D72" w:rsidP="00F90255">
      <w:pPr>
        <w:spacing w:line="269" w:lineRule="auto"/>
        <w:rPr>
          <w:rFonts w:eastAsia="Calibri"/>
          <w:szCs w:val="20"/>
          <w:rtl/>
        </w:rPr>
      </w:pPr>
      <w:r w:rsidRPr="00861D72">
        <w:rPr>
          <w:rFonts w:eastAsia="Calibri" w:hint="cs"/>
          <w:szCs w:val="20"/>
          <w:rtl/>
        </w:rPr>
        <w:t>**</w:t>
      </w:r>
      <w:r w:rsidRPr="00861D72">
        <w:rPr>
          <w:rFonts w:eastAsia="Calibri" w:hint="cs"/>
          <w:szCs w:val="20"/>
        </w:rPr>
        <w:t xml:space="preserve"> </w:t>
      </w:r>
      <w:r w:rsidRPr="00861D72">
        <w:rPr>
          <w:rFonts w:eastAsia="Calibri" w:hint="cs"/>
          <w:szCs w:val="20"/>
          <w:rtl/>
        </w:rPr>
        <w:t xml:space="preserve">דוגמה לאחד משיתופי הפעולה בתוכנית זו נקבע בין </w:t>
      </w:r>
      <w:r w:rsidRPr="00861D72">
        <w:rPr>
          <w:rFonts w:eastAsia="Calibri"/>
          <w:szCs w:val="20"/>
          <w:rtl/>
        </w:rPr>
        <w:t xml:space="preserve">המשרד לפיתוח הפריפריה, הנגב והגליל </w:t>
      </w:r>
      <w:r w:rsidRPr="00861D72">
        <w:rPr>
          <w:rFonts w:eastAsia="Calibri" w:hint="cs"/>
          <w:szCs w:val="20"/>
          <w:rtl/>
        </w:rPr>
        <w:t>ו</w:t>
      </w:r>
      <w:r w:rsidRPr="00861D72">
        <w:rPr>
          <w:rFonts w:eastAsia="Calibri"/>
          <w:szCs w:val="20"/>
          <w:rtl/>
        </w:rPr>
        <w:t>משרד ירושלים ומורשת</w:t>
      </w:r>
      <w:r w:rsidRPr="00861D72">
        <w:rPr>
          <w:rFonts w:eastAsia="Calibri" w:hint="cs"/>
          <w:szCs w:val="20"/>
          <w:rtl/>
        </w:rPr>
        <w:t>, בנוגע להכשרה ושילוב של אוכלוסיות מגוונות המתגוררות בירושלים בתעשיית ההייטק.</w:t>
      </w:r>
    </w:p>
    <w:p w:rsidR="00861D72" w:rsidRPr="00861D72" w:rsidP="00F90255">
      <w:pPr>
        <w:spacing w:line="269" w:lineRule="auto"/>
        <w:rPr>
          <w:rFonts w:eastAsia="Calibri"/>
          <w:b/>
          <w:bCs/>
          <w:rtl/>
        </w:rPr>
      </w:pPr>
      <w:r w:rsidRPr="00861D72">
        <w:rPr>
          <w:rFonts w:eastAsia="Calibri" w:hint="eastAsia"/>
          <w:b/>
          <w:bCs/>
          <w:rtl/>
        </w:rPr>
        <w:t>מהלוח</w:t>
      </w:r>
      <w:r w:rsidRPr="00861D72">
        <w:rPr>
          <w:rFonts w:eastAsia="Calibri"/>
          <w:b/>
          <w:bCs/>
          <w:rtl/>
        </w:rPr>
        <w:t xml:space="preserve"> עולה</w:t>
      </w:r>
      <w:r w:rsidRPr="00861D72">
        <w:rPr>
          <w:rFonts w:eastAsia="Calibri" w:hint="cs"/>
          <w:b/>
          <w:bCs/>
          <w:rtl/>
        </w:rPr>
        <w:t xml:space="preserve"> שדרך המלך של הממשלה לקידום</w:t>
      </w:r>
      <w:r w:rsidRPr="00861D72">
        <w:rPr>
          <w:rFonts w:eastAsia="Calibri"/>
          <w:b/>
          <w:bCs/>
          <w:rtl/>
        </w:rPr>
        <w:t xml:space="preserve"> מדיניות חברתית</w:t>
      </w:r>
      <w:r w:rsidRPr="00861D72">
        <w:rPr>
          <w:rFonts w:eastAsia="Calibri" w:hint="cs"/>
          <w:b/>
          <w:bCs/>
          <w:rtl/>
        </w:rPr>
        <w:t>-</w:t>
      </w:r>
      <w:r w:rsidRPr="00861D72">
        <w:rPr>
          <w:rFonts w:eastAsia="Calibri"/>
          <w:b/>
          <w:bCs/>
          <w:rtl/>
        </w:rPr>
        <w:t xml:space="preserve">כלכלית המערבת מספר משרדי ממשלה </w:t>
      </w:r>
      <w:r w:rsidRPr="00861D72">
        <w:rPr>
          <w:rFonts w:eastAsia="Calibri" w:hint="cs"/>
          <w:b/>
          <w:bCs/>
          <w:rtl/>
        </w:rPr>
        <w:t xml:space="preserve">ב-20 השנה האחרונות היא באמצעות </w:t>
      </w:r>
      <w:r w:rsidRPr="00861D72">
        <w:rPr>
          <w:rFonts w:eastAsia="Calibri" w:hint="cs"/>
          <w:b/>
          <w:bCs/>
          <w:rtl/>
        </w:rPr>
        <w:t>תוכניות</w:t>
      </w:r>
      <w:r w:rsidRPr="00861D72">
        <w:rPr>
          <w:rFonts w:eastAsia="Calibri" w:hint="cs"/>
          <w:b/>
          <w:bCs/>
          <w:rtl/>
        </w:rPr>
        <w:t xml:space="preserve"> רב-שנתיות אשר במסגרתן היא מגדירה </w:t>
      </w:r>
      <w:r w:rsidRPr="00861D72">
        <w:rPr>
          <w:rFonts w:eastAsia="Calibri"/>
          <w:b/>
          <w:bCs/>
          <w:rtl/>
        </w:rPr>
        <w:t xml:space="preserve">אוכלוסיית יעד, גורם </w:t>
      </w:r>
      <w:r w:rsidRPr="00861D72">
        <w:rPr>
          <w:rFonts w:eastAsia="Calibri" w:hint="eastAsia"/>
          <w:b/>
          <w:bCs/>
          <w:rtl/>
        </w:rPr>
        <w:t>מתכלל</w:t>
      </w:r>
      <w:r w:rsidRPr="00861D72">
        <w:rPr>
          <w:rFonts w:eastAsia="Calibri"/>
          <w:b/>
          <w:bCs/>
          <w:rtl/>
        </w:rPr>
        <w:t xml:space="preserve">, </w:t>
      </w:r>
      <w:r w:rsidRPr="00861D72">
        <w:rPr>
          <w:rFonts w:eastAsia="Calibri" w:hint="eastAsia"/>
          <w:b/>
          <w:bCs/>
          <w:rtl/>
        </w:rPr>
        <w:t>תחומי</w:t>
      </w:r>
      <w:r w:rsidRPr="00861D72">
        <w:rPr>
          <w:rFonts w:eastAsia="Calibri"/>
          <w:b/>
          <w:bCs/>
          <w:rtl/>
        </w:rPr>
        <w:t xml:space="preserve"> </w:t>
      </w:r>
      <w:r w:rsidRPr="00861D72">
        <w:rPr>
          <w:rFonts w:eastAsia="Calibri" w:hint="eastAsia"/>
          <w:b/>
          <w:bCs/>
          <w:rtl/>
        </w:rPr>
        <w:t>פעולה</w:t>
      </w:r>
      <w:r w:rsidRPr="00861D72">
        <w:rPr>
          <w:rFonts w:eastAsia="Calibri"/>
          <w:b/>
          <w:bCs/>
          <w:rtl/>
        </w:rPr>
        <w:t xml:space="preserve">, </w:t>
      </w:r>
      <w:r w:rsidRPr="00861D72">
        <w:rPr>
          <w:rFonts w:eastAsia="Calibri" w:hint="eastAsia"/>
          <w:b/>
          <w:bCs/>
          <w:rtl/>
        </w:rPr>
        <w:t>משרדים</w:t>
      </w:r>
      <w:r w:rsidRPr="00861D72">
        <w:rPr>
          <w:rFonts w:eastAsia="Calibri"/>
          <w:b/>
          <w:bCs/>
          <w:rtl/>
        </w:rPr>
        <w:t xml:space="preserve"> </w:t>
      </w:r>
      <w:r w:rsidRPr="00861D72">
        <w:rPr>
          <w:rFonts w:eastAsia="Calibri" w:hint="eastAsia"/>
          <w:b/>
          <w:bCs/>
          <w:rtl/>
        </w:rPr>
        <w:t>מעורבים</w:t>
      </w:r>
      <w:r w:rsidRPr="00861D72">
        <w:rPr>
          <w:rFonts w:eastAsia="Calibri"/>
          <w:b/>
          <w:bCs/>
          <w:rtl/>
        </w:rPr>
        <w:t xml:space="preserve"> </w:t>
      </w:r>
      <w:r w:rsidRPr="00861D72">
        <w:rPr>
          <w:rFonts w:eastAsia="Calibri" w:hint="eastAsia"/>
          <w:b/>
          <w:bCs/>
          <w:rtl/>
        </w:rPr>
        <w:t>והאחריות</w:t>
      </w:r>
      <w:r w:rsidRPr="00861D72">
        <w:rPr>
          <w:rFonts w:eastAsia="Calibri"/>
          <w:b/>
          <w:bCs/>
          <w:rtl/>
        </w:rPr>
        <w:t xml:space="preserve"> </w:t>
      </w:r>
      <w:r w:rsidRPr="00861D72">
        <w:rPr>
          <w:rFonts w:eastAsia="Calibri" w:hint="eastAsia"/>
          <w:b/>
          <w:bCs/>
          <w:rtl/>
        </w:rPr>
        <w:t>של</w:t>
      </w:r>
      <w:r w:rsidRPr="00861D72">
        <w:rPr>
          <w:rFonts w:eastAsia="Calibri"/>
          <w:b/>
          <w:bCs/>
          <w:rtl/>
        </w:rPr>
        <w:t xml:space="preserve"> </w:t>
      </w:r>
      <w:r w:rsidRPr="00861D72">
        <w:rPr>
          <w:rFonts w:eastAsia="Calibri" w:hint="eastAsia"/>
          <w:b/>
          <w:bCs/>
          <w:rtl/>
        </w:rPr>
        <w:t>כל</w:t>
      </w:r>
      <w:r w:rsidRPr="00861D72">
        <w:rPr>
          <w:rFonts w:eastAsia="Calibri"/>
          <w:b/>
          <w:bCs/>
          <w:rtl/>
        </w:rPr>
        <w:t xml:space="preserve"> </w:t>
      </w:r>
      <w:r w:rsidRPr="00861D72">
        <w:rPr>
          <w:rFonts w:eastAsia="Calibri" w:hint="eastAsia"/>
          <w:b/>
          <w:bCs/>
          <w:rtl/>
        </w:rPr>
        <w:t>אחד</w:t>
      </w:r>
      <w:r w:rsidRPr="00861D72">
        <w:rPr>
          <w:rFonts w:eastAsia="Calibri"/>
          <w:b/>
          <w:bCs/>
          <w:rtl/>
        </w:rPr>
        <w:t xml:space="preserve"> </w:t>
      </w:r>
      <w:r w:rsidRPr="00861D72">
        <w:rPr>
          <w:rFonts w:eastAsia="Calibri" w:hint="eastAsia"/>
          <w:b/>
          <w:bCs/>
          <w:rtl/>
        </w:rPr>
        <w:t>מהם</w:t>
      </w:r>
      <w:r w:rsidRPr="00861D72">
        <w:rPr>
          <w:rFonts w:eastAsia="Calibri"/>
          <w:b/>
          <w:bCs/>
          <w:rtl/>
        </w:rPr>
        <w:t xml:space="preserve"> </w:t>
      </w:r>
      <w:r w:rsidRPr="00861D72">
        <w:rPr>
          <w:rFonts w:eastAsia="Calibri" w:hint="eastAsia"/>
          <w:b/>
          <w:bCs/>
          <w:rtl/>
        </w:rPr>
        <w:t>ותקציב</w:t>
      </w:r>
      <w:r w:rsidRPr="00861D72">
        <w:rPr>
          <w:rFonts w:eastAsia="Calibri" w:hint="cs"/>
          <w:b/>
          <w:bCs/>
          <w:rtl/>
        </w:rPr>
        <w:t xml:space="preserve">. </w:t>
      </w:r>
      <w:r w:rsidRPr="00861D72">
        <w:rPr>
          <w:rFonts w:eastAsia="Calibri" w:hint="eastAsia"/>
          <w:b/>
          <w:bCs/>
          <w:rtl/>
        </w:rPr>
        <w:t>בדרך</w:t>
      </w:r>
      <w:r w:rsidRPr="00861D72">
        <w:rPr>
          <w:rFonts w:eastAsia="Calibri"/>
          <w:b/>
          <w:bCs/>
          <w:rtl/>
        </w:rPr>
        <w:t xml:space="preserve"> דומה גובשו </w:t>
      </w:r>
      <w:r w:rsidRPr="00861D72">
        <w:rPr>
          <w:rFonts w:eastAsia="Calibri" w:hint="cs"/>
          <w:b/>
          <w:bCs/>
          <w:rtl/>
        </w:rPr>
        <w:t>החלטות בתחומי הפיתוח כלכלי-חברתי של האוכלוסיי</w:t>
      </w:r>
      <w:r w:rsidRPr="00861D72">
        <w:rPr>
          <w:rFonts w:eastAsia="Calibri" w:hint="eastAsia"/>
          <w:b/>
          <w:bCs/>
          <w:rtl/>
        </w:rPr>
        <w:t>ה</w:t>
      </w:r>
      <w:r w:rsidRPr="00861D72">
        <w:rPr>
          <w:rFonts w:eastAsia="Calibri" w:hint="cs"/>
          <w:b/>
          <w:bCs/>
          <w:rtl/>
        </w:rPr>
        <w:t xml:space="preserve"> הבדואית, שיפור קליטת בני העדה האתיופית וצמצום פערים בחברה הערבית.</w:t>
      </w:r>
      <w:r w:rsidRPr="00861D72">
        <w:rPr>
          <w:rFonts w:eastAsia="Calibri"/>
          <w:b/>
          <w:bCs/>
          <w:rtl/>
        </w:rPr>
        <w:t xml:space="preserve"> </w:t>
      </w:r>
      <w:r w:rsidRPr="00861D72">
        <w:rPr>
          <w:rFonts w:eastAsia="Calibri" w:hint="eastAsia"/>
          <w:b/>
          <w:bCs/>
          <w:rtl/>
        </w:rPr>
        <w:t>בחלק</w:t>
      </w:r>
      <w:r w:rsidRPr="00861D72">
        <w:rPr>
          <w:rFonts w:eastAsia="Calibri"/>
          <w:b/>
          <w:bCs/>
          <w:rtl/>
        </w:rPr>
        <w:t xml:space="preserve"> </w:t>
      </w:r>
      <w:r w:rsidRPr="00861D72">
        <w:rPr>
          <w:rFonts w:eastAsia="Calibri" w:hint="eastAsia"/>
          <w:b/>
          <w:bCs/>
          <w:rtl/>
        </w:rPr>
        <w:t>מהתוכניות</w:t>
      </w:r>
      <w:r w:rsidRPr="00861D72">
        <w:rPr>
          <w:rFonts w:eastAsia="Calibri"/>
          <w:b/>
          <w:bCs/>
          <w:rtl/>
        </w:rPr>
        <w:t xml:space="preserve"> </w:t>
      </w:r>
      <w:r w:rsidRPr="00861D72">
        <w:rPr>
          <w:rFonts w:eastAsia="Calibri" w:hint="eastAsia"/>
          <w:b/>
          <w:bCs/>
          <w:rtl/>
        </w:rPr>
        <w:t>החלטת</w:t>
      </w:r>
      <w:r w:rsidRPr="00861D72">
        <w:rPr>
          <w:rFonts w:eastAsia="Calibri"/>
          <w:b/>
          <w:bCs/>
          <w:rtl/>
        </w:rPr>
        <w:t xml:space="preserve"> </w:t>
      </w:r>
      <w:r w:rsidRPr="00861D72">
        <w:rPr>
          <w:rFonts w:eastAsia="Calibri" w:hint="eastAsia"/>
          <w:b/>
          <w:bCs/>
          <w:rtl/>
        </w:rPr>
        <w:t>הממשלה</w:t>
      </w:r>
      <w:r w:rsidRPr="00861D72">
        <w:rPr>
          <w:rFonts w:eastAsia="Calibri"/>
          <w:b/>
          <w:bCs/>
          <w:rtl/>
        </w:rPr>
        <w:t xml:space="preserve"> </w:t>
      </w:r>
      <w:r w:rsidRPr="00861D72">
        <w:rPr>
          <w:rFonts w:eastAsia="Calibri" w:hint="eastAsia"/>
          <w:b/>
          <w:bCs/>
          <w:rtl/>
        </w:rPr>
        <w:t>אף</w:t>
      </w:r>
      <w:r w:rsidRPr="00861D72">
        <w:rPr>
          <w:rFonts w:eastAsia="Calibri"/>
          <w:b/>
          <w:bCs/>
          <w:rtl/>
        </w:rPr>
        <w:t xml:space="preserve"> </w:t>
      </w:r>
      <w:r w:rsidRPr="00861D72">
        <w:rPr>
          <w:rFonts w:eastAsia="Calibri" w:hint="eastAsia"/>
          <w:b/>
          <w:bCs/>
          <w:rtl/>
        </w:rPr>
        <w:t>הגדירה</w:t>
      </w:r>
      <w:r w:rsidRPr="00861D72">
        <w:rPr>
          <w:rFonts w:eastAsia="Calibri"/>
          <w:b/>
          <w:bCs/>
          <w:rtl/>
        </w:rPr>
        <w:t xml:space="preserve"> </w:t>
      </w:r>
      <w:r w:rsidRPr="00861D72">
        <w:rPr>
          <w:rFonts w:eastAsia="Calibri" w:hint="eastAsia"/>
          <w:b/>
          <w:bCs/>
          <w:rtl/>
        </w:rPr>
        <w:t>שיתופי</w:t>
      </w:r>
      <w:r w:rsidRPr="00861D72">
        <w:rPr>
          <w:rFonts w:eastAsia="Calibri"/>
          <w:b/>
          <w:bCs/>
          <w:rtl/>
        </w:rPr>
        <w:t xml:space="preserve"> </w:t>
      </w:r>
      <w:r w:rsidRPr="00861D72">
        <w:rPr>
          <w:rFonts w:eastAsia="Calibri" w:hint="eastAsia"/>
          <w:b/>
          <w:bCs/>
          <w:rtl/>
        </w:rPr>
        <w:t>פעולה</w:t>
      </w:r>
      <w:r w:rsidRPr="00861D72">
        <w:rPr>
          <w:rFonts w:eastAsia="Calibri"/>
          <w:b/>
          <w:bCs/>
          <w:rtl/>
        </w:rPr>
        <w:t xml:space="preserve"> (שלושה </w:t>
      </w:r>
      <w:r w:rsidRPr="00861D72">
        <w:rPr>
          <w:rFonts w:eastAsia="Calibri" w:hint="eastAsia"/>
          <w:b/>
          <w:bCs/>
          <w:rtl/>
        </w:rPr>
        <w:t>מתוך</w:t>
      </w:r>
      <w:r w:rsidRPr="00861D72">
        <w:rPr>
          <w:rFonts w:eastAsia="Calibri"/>
          <w:b/>
          <w:bCs/>
          <w:rtl/>
        </w:rPr>
        <w:t xml:space="preserve"> </w:t>
      </w:r>
      <w:r w:rsidRPr="00861D72">
        <w:rPr>
          <w:rFonts w:eastAsia="Calibri" w:hint="eastAsia"/>
          <w:b/>
          <w:bCs/>
          <w:rtl/>
        </w:rPr>
        <w:t>חמישה</w:t>
      </w:r>
      <w:r w:rsidRPr="00861D72">
        <w:rPr>
          <w:rFonts w:eastAsia="Calibri"/>
          <w:b/>
          <w:bCs/>
          <w:rtl/>
        </w:rPr>
        <w:t xml:space="preserve">), </w:t>
      </w:r>
      <w:r w:rsidRPr="00861D72">
        <w:rPr>
          <w:rFonts w:eastAsia="Calibri" w:hint="eastAsia"/>
          <w:b/>
          <w:bCs/>
          <w:rtl/>
        </w:rPr>
        <w:t>ויעדים</w:t>
      </w:r>
      <w:r w:rsidRPr="00861D72">
        <w:rPr>
          <w:rFonts w:eastAsia="Calibri"/>
          <w:b/>
          <w:bCs/>
          <w:rtl/>
        </w:rPr>
        <w:t xml:space="preserve"> </w:t>
      </w:r>
      <w:r w:rsidRPr="00861D72">
        <w:rPr>
          <w:rFonts w:eastAsia="Calibri" w:hint="eastAsia"/>
          <w:b/>
          <w:bCs/>
          <w:rtl/>
        </w:rPr>
        <w:t>מדידים</w:t>
      </w:r>
      <w:r w:rsidRPr="00861D72">
        <w:rPr>
          <w:rFonts w:eastAsia="Calibri"/>
          <w:b/>
          <w:bCs/>
          <w:rtl/>
        </w:rPr>
        <w:t xml:space="preserve"> (שניים </w:t>
      </w:r>
      <w:r w:rsidRPr="00861D72">
        <w:rPr>
          <w:rFonts w:eastAsia="Calibri" w:hint="eastAsia"/>
          <w:b/>
          <w:bCs/>
          <w:rtl/>
        </w:rPr>
        <w:t>מתוך</w:t>
      </w:r>
      <w:r w:rsidRPr="00861D72">
        <w:rPr>
          <w:rFonts w:eastAsia="Calibri"/>
          <w:b/>
          <w:bCs/>
          <w:rtl/>
        </w:rPr>
        <w:t xml:space="preserve"> </w:t>
      </w:r>
      <w:r w:rsidRPr="00861D72">
        <w:rPr>
          <w:rFonts w:eastAsia="Calibri" w:hint="eastAsia"/>
          <w:b/>
          <w:bCs/>
          <w:rtl/>
        </w:rPr>
        <w:t>חמישה</w:t>
      </w:r>
      <w:r w:rsidRPr="00861D72">
        <w:rPr>
          <w:rFonts w:eastAsia="Calibri"/>
          <w:b/>
          <w:bCs/>
          <w:rtl/>
        </w:rPr>
        <w:t>).</w:t>
      </w:r>
      <w:r w:rsidRPr="00861D72">
        <w:rPr>
          <w:rFonts w:eastAsia="Calibri" w:hint="cs"/>
          <w:b/>
          <w:bCs/>
          <w:rtl/>
        </w:rPr>
        <w:t xml:space="preserve"> </w:t>
      </w:r>
      <w:bookmarkStart w:id="66" w:name="_Hlk222219687"/>
      <w:r w:rsidRPr="00861D72">
        <w:rPr>
          <w:rFonts w:eastAsia="Calibri" w:hint="cs"/>
          <w:b/>
          <w:bCs/>
          <w:rtl/>
        </w:rPr>
        <w:t>תוכנית</w:t>
      </w:r>
      <w:r w:rsidRPr="00861D72">
        <w:rPr>
          <w:rFonts w:eastAsia="Calibri" w:hint="cs"/>
          <w:b/>
          <w:bCs/>
          <w:rtl/>
        </w:rPr>
        <w:t xml:space="preserve"> שכזו מאפשרת </w:t>
      </w:r>
      <w:r w:rsidRPr="00861D72">
        <w:rPr>
          <w:rFonts w:eastAsia="Calibri"/>
          <w:b/>
          <w:bCs/>
          <w:rtl/>
        </w:rPr>
        <w:t>לממשלה להתמודד בטווח הארוך עם אתגרים חברתיים וכלכליים מורכבים. עיגונ</w:t>
      </w:r>
      <w:r w:rsidRPr="00861D72">
        <w:rPr>
          <w:rFonts w:eastAsia="Calibri" w:hint="cs"/>
          <w:b/>
          <w:bCs/>
          <w:rtl/>
        </w:rPr>
        <w:t>ה</w:t>
      </w:r>
      <w:r w:rsidRPr="00861D72">
        <w:rPr>
          <w:rFonts w:eastAsia="Calibri"/>
          <w:b/>
          <w:bCs/>
          <w:rtl/>
        </w:rPr>
        <w:t xml:space="preserve"> </w:t>
      </w:r>
      <w:r w:rsidRPr="00861D72">
        <w:rPr>
          <w:rFonts w:eastAsia="Calibri" w:hint="cs"/>
          <w:b/>
          <w:bCs/>
          <w:rtl/>
        </w:rPr>
        <w:t xml:space="preserve">של </w:t>
      </w:r>
      <w:r w:rsidRPr="00861D72">
        <w:rPr>
          <w:rFonts w:eastAsia="Calibri" w:hint="cs"/>
          <w:b/>
          <w:bCs/>
          <w:rtl/>
        </w:rPr>
        <w:t>תוכנית</w:t>
      </w:r>
      <w:r w:rsidRPr="00861D72">
        <w:rPr>
          <w:rFonts w:eastAsia="Calibri" w:hint="cs"/>
          <w:b/>
          <w:bCs/>
          <w:rtl/>
        </w:rPr>
        <w:t xml:space="preserve"> רב-שנתית </w:t>
      </w:r>
      <w:r w:rsidRPr="00861D72">
        <w:rPr>
          <w:rFonts w:eastAsia="Calibri"/>
          <w:b/>
          <w:bCs/>
          <w:rtl/>
        </w:rPr>
        <w:t>בהחלטת ממשלה יוצר ודאות ויציבות תקציבית וביצועית ומבטיח תיאום ומחויבות של כלל המשרדים ליעדים שנקבעו</w:t>
      </w:r>
      <w:r w:rsidRPr="00861D72">
        <w:rPr>
          <w:rFonts w:eastAsia="Calibri"/>
          <w:b/>
          <w:bCs/>
        </w:rPr>
        <w:t>.</w:t>
      </w:r>
      <w:r w:rsidRPr="00861D72">
        <w:rPr>
          <w:rFonts w:eastAsia="Calibri" w:hint="cs"/>
          <w:b/>
          <w:bCs/>
          <w:rtl/>
        </w:rPr>
        <w:t xml:space="preserve"> בתחום ההזדקנות לא גובשה </w:t>
      </w:r>
      <w:r w:rsidRPr="00861D72">
        <w:rPr>
          <w:rFonts w:eastAsia="Calibri" w:hint="cs"/>
          <w:b/>
          <w:bCs/>
          <w:rtl/>
        </w:rPr>
        <w:t>תוכנית</w:t>
      </w:r>
      <w:r w:rsidRPr="00861D72">
        <w:rPr>
          <w:rFonts w:eastAsia="Calibri" w:hint="cs"/>
          <w:b/>
          <w:bCs/>
          <w:rtl/>
        </w:rPr>
        <w:t xml:space="preserve"> רב-שנתית.</w:t>
      </w:r>
    </w:p>
    <w:bookmarkEnd w:id="66"/>
    <w:p w:rsidR="00861D72" w:rsidRPr="00861D72" w:rsidP="00F90255">
      <w:pPr>
        <w:spacing w:line="269" w:lineRule="auto"/>
        <w:ind w:left="424"/>
        <w:rPr>
          <w:rFonts w:eastAsia="Calibri"/>
          <w:rtl/>
        </w:rPr>
      </w:pPr>
    </w:p>
    <w:p w:rsidR="00861D72" w:rsidRPr="00861D72" w:rsidP="00F90255">
      <w:pPr>
        <w:widowControl w:val="0"/>
        <w:spacing w:line="269" w:lineRule="auto"/>
        <w:rPr>
          <w:rFonts w:eastAsia="Calibri"/>
          <w:b/>
          <w:bCs/>
          <w:rtl/>
        </w:rPr>
      </w:pPr>
      <w:r w:rsidRPr="00861D72">
        <w:rPr>
          <w:rFonts w:eastAsia="Calibri" w:hint="eastAsia"/>
          <w:b/>
          <w:bCs/>
          <w:rtl/>
        </w:rPr>
        <w:t>בשל</w:t>
      </w:r>
      <w:r w:rsidRPr="00861D72">
        <w:rPr>
          <w:rFonts w:eastAsia="Calibri"/>
          <w:b/>
          <w:bCs/>
          <w:rtl/>
        </w:rPr>
        <w:t xml:space="preserve"> </w:t>
      </w:r>
      <w:r w:rsidRPr="00861D72">
        <w:rPr>
          <w:rFonts w:eastAsia="Calibri" w:hint="eastAsia"/>
          <w:b/>
          <w:bCs/>
          <w:rtl/>
        </w:rPr>
        <w:t>החשיבות</w:t>
      </w:r>
      <w:r w:rsidRPr="00861D72">
        <w:rPr>
          <w:rFonts w:eastAsia="Calibri"/>
          <w:b/>
          <w:bCs/>
          <w:rtl/>
        </w:rPr>
        <w:t xml:space="preserve"> </w:t>
      </w:r>
      <w:r w:rsidRPr="00861D72">
        <w:rPr>
          <w:rFonts w:eastAsia="Calibri" w:hint="cs"/>
          <w:b/>
          <w:bCs/>
          <w:rtl/>
        </w:rPr>
        <w:t>ב</w:t>
      </w:r>
      <w:r w:rsidRPr="00861D72">
        <w:rPr>
          <w:rFonts w:eastAsia="Calibri" w:hint="eastAsia"/>
          <w:b/>
          <w:bCs/>
          <w:rtl/>
        </w:rPr>
        <w:t>קידום</w:t>
      </w:r>
      <w:r w:rsidRPr="00861D72">
        <w:rPr>
          <w:rFonts w:eastAsia="Calibri"/>
          <w:b/>
          <w:bCs/>
          <w:rtl/>
        </w:rPr>
        <w:t xml:space="preserve"> האתגר </w:t>
      </w:r>
      <w:r w:rsidRPr="00861D72">
        <w:rPr>
          <w:rFonts w:eastAsia="Calibri" w:hint="cs"/>
          <w:b/>
          <w:bCs/>
          <w:rtl/>
        </w:rPr>
        <w:t>ה</w:t>
      </w:r>
      <w:r w:rsidRPr="00861D72">
        <w:rPr>
          <w:rFonts w:eastAsia="Calibri"/>
          <w:b/>
          <w:bCs/>
          <w:rtl/>
        </w:rPr>
        <w:t>ניצב בפ</w:t>
      </w:r>
      <w:r w:rsidRPr="00861D72">
        <w:rPr>
          <w:rFonts w:eastAsia="Calibri" w:hint="cs"/>
          <w:b/>
          <w:bCs/>
          <w:rtl/>
        </w:rPr>
        <w:t>תחה של</w:t>
      </w:r>
      <w:r w:rsidRPr="00861D72">
        <w:rPr>
          <w:rFonts w:eastAsia="Calibri"/>
          <w:b/>
          <w:bCs/>
          <w:rtl/>
        </w:rPr>
        <w:t xml:space="preserve"> מדינת ישראל בשנים הקרובות</w:t>
      </w:r>
      <w:r w:rsidRPr="00861D72">
        <w:rPr>
          <w:rFonts w:eastAsia="Calibri" w:hint="cs"/>
          <w:b/>
          <w:bCs/>
          <w:rtl/>
        </w:rPr>
        <w:t xml:space="preserve"> - הזדקנות האוכלוסייה -</w:t>
      </w:r>
      <w:r w:rsidRPr="00861D72">
        <w:rPr>
          <w:rFonts w:eastAsia="Calibri"/>
          <w:b/>
          <w:bCs/>
          <w:rtl/>
        </w:rPr>
        <w:t xml:space="preserve"> </w:t>
      </w:r>
      <w:r w:rsidRPr="00861D72">
        <w:rPr>
          <w:rFonts w:eastAsia="Calibri" w:hint="eastAsia"/>
          <w:b/>
          <w:bCs/>
          <w:rtl/>
        </w:rPr>
        <w:t>מומלץ</w:t>
      </w:r>
      <w:r w:rsidRPr="00861D72">
        <w:rPr>
          <w:rFonts w:eastAsia="Calibri"/>
          <w:b/>
          <w:bCs/>
          <w:rtl/>
        </w:rPr>
        <w:t xml:space="preserve"> </w:t>
      </w:r>
      <w:r w:rsidRPr="00861D72">
        <w:rPr>
          <w:rFonts w:eastAsia="Calibri" w:hint="eastAsia"/>
          <w:b/>
          <w:bCs/>
          <w:rtl/>
        </w:rPr>
        <w:t>כי</w:t>
      </w:r>
      <w:r w:rsidRPr="00861D72">
        <w:rPr>
          <w:rFonts w:eastAsia="Calibri"/>
          <w:b/>
          <w:bCs/>
          <w:rtl/>
        </w:rPr>
        <w:t xml:space="preserve"> </w:t>
      </w:r>
      <w:r w:rsidRPr="00861D72">
        <w:rPr>
          <w:rFonts w:eastAsia="Calibri" w:hint="eastAsia"/>
          <w:b/>
          <w:bCs/>
          <w:rtl/>
        </w:rPr>
        <w:t>גופי</w:t>
      </w:r>
      <w:r w:rsidRPr="00861D72">
        <w:rPr>
          <w:rFonts w:eastAsia="Calibri"/>
          <w:b/>
          <w:bCs/>
          <w:rtl/>
        </w:rPr>
        <w:t xml:space="preserve"> </w:t>
      </w:r>
      <w:r w:rsidRPr="00861D72">
        <w:rPr>
          <w:rFonts w:eastAsia="Calibri" w:hint="eastAsia"/>
          <w:b/>
          <w:bCs/>
          <w:rtl/>
        </w:rPr>
        <w:t>הממשל</w:t>
      </w:r>
      <w:r w:rsidRPr="00861D72">
        <w:rPr>
          <w:rFonts w:eastAsia="Calibri"/>
          <w:b/>
          <w:bCs/>
          <w:rtl/>
        </w:rPr>
        <w:t xml:space="preserve"> </w:t>
      </w:r>
      <w:r w:rsidRPr="00861D72">
        <w:rPr>
          <w:rFonts w:eastAsia="Calibri" w:hint="eastAsia"/>
          <w:b/>
          <w:bCs/>
          <w:rtl/>
        </w:rPr>
        <w:t>הרלוונטיים</w:t>
      </w:r>
      <w:r w:rsidRPr="00861D72">
        <w:rPr>
          <w:rFonts w:eastAsia="Calibri"/>
          <w:b/>
          <w:bCs/>
          <w:rtl/>
        </w:rPr>
        <w:t xml:space="preserve"> - </w:t>
      </w:r>
      <w:r w:rsidRPr="00861D72">
        <w:rPr>
          <w:rFonts w:eastAsia="Calibri" w:hint="eastAsia"/>
          <w:b/>
          <w:bCs/>
          <w:rtl/>
        </w:rPr>
        <w:t>משרד</w:t>
      </w:r>
      <w:r w:rsidRPr="00861D72">
        <w:rPr>
          <w:rFonts w:eastAsia="Calibri"/>
          <w:b/>
          <w:bCs/>
          <w:rtl/>
        </w:rPr>
        <w:t xml:space="preserve"> </w:t>
      </w:r>
      <w:r w:rsidRPr="00861D72">
        <w:rPr>
          <w:rFonts w:eastAsia="Calibri" w:hint="cs"/>
          <w:b/>
          <w:bCs/>
          <w:rtl/>
        </w:rPr>
        <w:t>רה"ם</w:t>
      </w:r>
      <w:r w:rsidRPr="00861D72">
        <w:rPr>
          <w:rFonts w:eastAsia="Calibri"/>
          <w:b/>
          <w:bCs/>
          <w:rtl/>
        </w:rPr>
        <w:t xml:space="preserve">, </w:t>
      </w:r>
      <w:r w:rsidRPr="00861D72">
        <w:rPr>
          <w:rFonts w:eastAsia="Calibri" w:hint="eastAsia"/>
          <w:b/>
          <w:bCs/>
          <w:rtl/>
        </w:rPr>
        <w:t>משרד</w:t>
      </w:r>
      <w:r w:rsidRPr="00861D72">
        <w:rPr>
          <w:rFonts w:eastAsia="Calibri"/>
          <w:b/>
          <w:bCs/>
          <w:rtl/>
        </w:rPr>
        <w:t xml:space="preserve"> </w:t>
      </w:r>
      <w:r w:rsidRPr="00861D72">
        <w:rPr>
          <w:rFonts w:eastAsia="Calibri" w:hint="eastAsia"/>
          <w:b/>
          <w:bCs/>
          <w:rtl/>
        </w:rPr>
        <w:t>הבריאות</w:t>
      </w:r>
      <w:r w:rsidRPr="00861D72">
        <w:rPr>
          <w:rFonts w:eastAsia="Calibri"/>
          <w:b/>
          <w:bCs/>
          <w:rtl/>
        </w:rPr>
        <w:t xml:space="preserve">, משרד הרווחה, </w:t>
      </w:r>
      <w:r w:rsidRPr="00861D72">
        <w:rPr>
          <w:rFonts w:eastAsia="Calibri" w:hint="cs"/>
          <w:b/>
          <w:bCs/>
          <w:rtl/>
        </w:rPr>
        <w:t>ה</w:t>
      </w:r>
      <w:r w:rsidRPr="00861D72">
        <w:rPr>
          <w:rFonts w:eastAsia="Calibri"/>
          <w:b/>
          <w:bCs/>
          <w:rtl/>
        </w:rPr>
        <w:t xml:space="preserve">משרד לשוויון חברתי </w:t>
      </w:r>
      <w:r w:rsidRPr="00861D72">
        <w:rPr>
          <w:rFonts w:eastAsia="Calibri" w:hint="eastAsia"/>
          <w:b/>
          <w:bCs/>
          <w:rtl/>
        </w:rPr>
        <w:t>ובט</w:t>
      </w:r>
      <w:r w:rsidRPr="00861D72">
        <w:rPr>
          <w:rFonts w:eastAsia="Calibri"/>
          <w:b/>
          <w:bCs/>
          <w:rtl/>
        </w:rPr>
        <w:t>"ל</w:t>
      </w:r>
      <w:r w:rsidRPr="00861D72">
        <w:rPr>
          <w:rFonts w:eastAsia="Calibri" w:hint="cs"/>
          <w:b/>
          <w:bCs/>
          <w:rtl/>
        </w:rPr>
        <w:t>, בשיתוף משרד האוצר (ובפרט, אגף התקציבים)</w:t>
      </w:r>
      <w:r w:rsidRPr="00861D72">
        <w:rPr>
          <w:rFonts w:eastAsia="Calibri"/>
          <w:b/>
          <w:bCs/>
          <w:rtl/>
        </w:rPr>
        <w:t xml:space="preserve"> - יגבשו </w:t>
      </w:r>
      <w:r w:rsidRPr="00861D72">
        <w:rPr>
          <w:rFonts w:eastAsia="Calibri" w:hint="cs"/>
          <w:b/>
          <w:bCs/>
          <w:rtl/>
        </w:rPr>
        <w:t>תוכנית</w:t>
      </w:r>
      <w:r w:rsidRPr="00861D72">
        <w:rPr>
          <w:rFonts w:eastAsia="Calibri" w:hint="cs"/>
          <w:b/>
          <w:bCs/>
          <w:rtl/>
        </w:rPr>
        <w:t xml:space="preserve"> </w:t>
      </w:r>
      <w:r w:rsidRPr="00861D72">
        <w:rPr>
          <w:rFonts w:eastAsia="Calibri"/>
          <w:b/>
          <w:bCs/>
          <w:rtl/>
        </w:rPr>
        <w:t>רב-שנתית להזדקנות ה</w:t>
      </w:r>
      <w:r w:rsidRPr="00861D72">
        <w:rPr>
          <w:rFonts w:eastAsia="Calibri" w:hint="eastAsia"/>
          <w:b/>
          <w:bCs/>
          <w:rtl/>
        </w:rPr>
        <w:t>אוכלוסייה</w:t>
      </w:r>
      <w:r w:rsidRPr="00861D72">
        <w:rPr>
          <w:rFonts w:eastAsia="Calibri" w:hint="cs"/>
          <w:b/>
          <w:bCs/>
          <w:rtl/>
        </w:rPr>
        <w:t xml:space="preserve">. </w:t>
      </w:r>
      <w:r w:rsidRPr="00861D72">
        <w:rPr>
          <w:rFonts w:eastAsia="Calibri" w:hint="cs"/>
          <w:b/>
          <w:bCs/>
          <w:rtl/>
        </w:rPr>
        <w:t>תוכנית</w:t>
      </w:r>
      <w:r w:rsidRPr="00861D72">
        <w:rPr>
          <w:rFonts w:eastAsia="Calibri" w:hint="cs"/>
          <w:b/>
          <w:bCs/>
          <w:rtl/>
        </w:rPr>
        <w:t xml:space="preserve"> זו צריכה להיות </w:t>
      </w:r>
      <w:r w:rsidRPr="00861D72">
        <w:rPr>
          <w:rFonts w:eastAsia="Calibri" w:hint="cs"/>
          <w:b/>
          <w:bCs/>
          <w:rtl/>
        </w:rPr>
        <w:t>תוכנית</w:t>
      </w:r>
      <w:r w:rsidRPr="00861D72">
        <w:rPr>
          <w:rFonts w:eastAsia="Calibri" w:hint="cs"/>
          <w:b/>
          <w:bCs/>
          <w:rtl/>
        </w:rPr>
        <w:t xml:space="preserve"> אופרטיבית אשר תאפשר לממש הלכה למעשה את התוכנית האסטרטגית ואת מפת המדדים, ובכלל זה עליה להגדיר תחומי פעולה להזדקנות האוכלוסייה, להסדיר את שיתופי הפעולה הנדרשים בין הגופים השונים ואת חלוקת האחריות ביניהם, לקבוע מנגנונים לשיתוף מידע </w:t>
      </w:r>
      <w:r w:rsidRPr="00861D72">
        <w:rPr>
          <w:rFonts w:eastAsia="Calibri" w:hint="eastAsia"/>
          <w:b/>
          <w:bCs/>
          <w:rtl/>
        </w:rPr>
        <w:t>ו</w:t>
      </w:r>
      <w:r w:rsidRPr="00861D72">
        <w:rPr>
          <w:rFonts w:eastAsia="Calibri" w:hint="cs"/>
          <w:b/>
          <w:bCs/>
          <w:rtl/>
        </w:rPr>
        <w:t xml:space="preserve">לעקוב </w:t>
      </w:r>
      <w:r w:rsidRPr="00861D72">
        <w:rPr>
          <w:rFonts w:eastAsia="Calibri" w:hint="eastAsia"/>
          <w:b/>
          <w:bCs/>
          <w:rtl/>
        </w:rPr>
        <w:t>אחר</w:t>
      </w:r>
      <w:r w:rsidRPr="00861D72">
        <w:rPr>
          <w:rFonts w:eastAsia="Calibri"/>
          <w:b/>
          <w:bCs/>
          <w:rtl/>
        </w:rPr>
        <w:t xml:space="preserve"> </w:t>
      </w:r>
      <w:r w:rsidRPr="00861D72">
        <w:rPr>
          <w:rFonts w:eastAsia="Calibri" w:hint="eastAsia"/>
          <w:b/>
          <w:bCs/>
          <w:rtl/>
        </w:rPr>
        <w:t>מימוש</w:t>
      </w:r>
      <w:r w:rsidRPr="00861D72">
        <w:rPr>
          <w:rFonts w:eastAsia="Calibri"/>
          <w:b/>
          <w:bCs/>
          <w:rtl/>
        </w:rPr>
        <w:t xml:space="preserve"> </w:t>
      </w:r>
      <w:r w:rsidRPr="00861D72">
        <w:rPr>
          <w:rFonts w:eastAsia="Calibri" w:hint="eastAsia"/>
          <w:b/>
          <w:bCs/>
          <w:rtl/>
        </w:rPr>
        <w:t>התוכניות</w:t>
      </w:r>
      <w:r w:rsidRPr="00861D72">
        <w:rPr>
          <w:rFonts w:eastAsia="Calibri"/>
          <w:b/>
          <w:bCs/>
          <w:rtl/>
        </w:rPr>
        <w:t xml:space="preserve"> </w:t>
      </w:r>
      <w:r w:rsidRPr="00861D72">
        <w:rPr>
          <w:rFonts w:eastAsia="Calibri" w:hint="eastAsia"/>
          <w:b/>
          <w:bCs/>
          <w:rtl/>
        </w:rPr>
        <w:t>ו</w:t>
      </w:r>
      <w:r w:rsidRPr="00861D72">
        <w:rPr>
          <w:rFonts w:eastAsia="Calibri" w:hint="cs"/>
          <w:b/>
          <w:bCs/>
          <w:rtl/>
        </w:rPr>
        <w:t xml:space="preserve">אחר </w:t>
      </w:r>
      <w:r w:rsidRPr="00861D72">
        <w:rPr>
          <w:rFonts w:eastAsia="Calibri" w:hint="eastAsia"/>
          <w:b/>
          <w:bCs/>
          <w:rtl/>
        </w:rPr>
        <w:t>העמידה</w:t>
      </w:r>
      <w:r w:rsidRPr="00861D72">
        <w:rPr>
          <w:rFonts w:eastAsia="Calibri"/>
          <w:b/>
          <w:bCs/>
          <w:rtl/>
        </w:rPr>
        <w:t xml:space="preserve"> </w:t>
      </w:r>
      <w:r w:rsidRPr="00861D72">
        <w:rPr>
          <w:rFonts w:eastAsia="Calibri" w:hint="eastAsia"/>
          <w:b/>
          <w:bCs/>
          <w:rtl/>
        </w:rPr>
        <w:t>ביעדים</w:t>
      </w:r>
      <w:r w:rsidRPr="00861D72">
        <w:rPr>
          <w:rFonts w:eastAsia="Calibri"/>
          <w:b/>
          <w:bCs/>
          <w:rtl/>
        </w:rPr>
        <w:t xml:space="preserve"> </w:t>
      </w:r>
      <w:r w:rsidRPr="00861D72">
        <w:rPr>
          <w:rFonts w:eastAsia="Calibri" w:hint="eastAsia"/>
          <w:b/>
          <w:bCs/>
          <w:rtl/>
        </w:rPr>
        <w:t>שייקבעו</w:t>
      </w:r>
      <w:r w:rsidRPr="00861D72">
        <w:rPr>
          <w:rFonts w:eastAsia="Calibri"/>
          <w:b/>
          <w:bCs/>
          <w:rtl/>
        </w:rPr>
        <w:t>.</w:t>
      </w:r>
      <w:r w:rsidRPr="00861D72">
        <w:rPr>
          <w:rFonts w:eastAsia="Calibri" w:hint="cs"/>
          <w:b/>
          <w:bCs/>
          <w:rtl/>
        </w:rPr>
        <w:t xml:space="preserve"> עוד מומלץ כי יגבשו המלצות לגבי קביעת יעדים מדידים, יגדירו גורם </w:t>
      </w:r>
      <w:r w:rsidRPr="00861D72">
        <w:rPr>
          <w:rFonts w:eastAsia="Calibri" w:hint="cs"/>
          <w:b/>
          <w:bCs/>
          <w:rtl/>
        </w:rPr>
        <w:t>מתכלל</w:t>
      </w:r>
      <w:r w:rsidRPr="00861D72">
        <w:rPr>
          <w:rFonts w:eastAsia="Calibri" w:hint="cs"/>
          <w:b/>
          <w:bCs/>
          <w:rtl/>
        </w:rPr>
        <w:t xml:space="preserve"> בעל סמכות ואחריות ברורה והקצאת תקציבים ייעודיים למשרדי הממשלה השונים במסגרת תקציבית אחודה</w:t>
      </w:r>
      <w:r w:rsidRPr="00861D72">
        <w:rPr>
          <w:rFonts w:eastAsia="Calibri"/>
          <w:b/>
          <w:bCs/>
          <w:rtl/>
        </w:rPr>
        <w:t xml:space="preserve">, </w:t>
      </w:r>
      <w:r w:rsidRPr="00861D72">
        <w:rPr>
          <w:rFonts w:eastAsia="Calibri" w:hint="cs"/>
          <w:b/>
          <w:bCs/>
          <w:rtl/>
        </w:rPr>
        <w:t xml:space="preserve">ויביאו את התוכנית וההמלצות הנלוות לאישור הממשלה כדי להבטיח את ההתמודדות המיטבית של מדינת ישראל עם האתגר החברתי-כלכלי של הזדקנות האוכלוסייה. </w:t>
      </w:r>
    </w:p>
    <w:p w:rsidR="00861D72" w:rsidRPr="00861D72" w:rsidP="00F90255">
      <w:pPr>
        <w:spacing w:line="269" w:lineRule="auto"/>
        <w:ind w:left="424"/>
        <w:rPr>
          <w:rFonts w:eastAsia="Calibri"/>
          <w:rtl/>
        </w:rPr>
      </w:pPr>
    </w:p>
    <w:p w:rsidR="00861D72" w:rsidRPr="00861D72" w:rsidP="00F90255">
      <w:pPr>
        <w:widowControl w:val="0"/>
        <w:spacing w:line="269" w:lineRule="auto"/>
        <w:rPr>
          <w:rFonts w:eastAsia="Calibri"/>
          <w:b/>
          <w:bCs/>
          <w:rtl/>
        </w:rPr>
      </w:pPr>
      <w:r w:rsidRPr="00861D72">
        <w:rPr>
          <w:rFonts w:eastAsia="Calibri" w:hint="cs"/>
          <w:rtl/>
        </w:rPr>
        <w:t xml:space="preserve">משרד </w:t>
      </w:r>
      <w:r w:rsidRPr="00861D72">
        <w:rPr>
          <w:rFonts w:eastAsia="Calibri" w:hint="cs"/>
          <w:rtl/>
        </w:rPr>
        <w:t>רה"ם</w:t>
      </w:r>
      <w:r w:rsidRPr="00861D72">
        <w:rPr>
          <w:rFonts w:eastAsia="Calibri" w:hint="cs"/>
          <w:rtl/>
        </w:rPr>
        <w:t xml:space="preserve"> ציין בתשובתו כי </w:t>
      </w:r>
      <w:r w:rsidRPr="00861D72">
        <w:rPr>
          <w:rFonts w:eastAsia="Calibri"/>
          <w:rtl/>
        </w:rPr>
        <w:t xml:space="preserve">ההמלצה לגיבוש </w:t>
      </w:r>
      <w:r w:rsidRPr="00861D72">
        <w:rPr>
          <w:rFonts w:eastAsia="Calibri"/>
          <w:rtl/>
        </w:rPr>
        <w:t>תוכנית</w:t>
      </w:r>
      <w:r w:rsidRPr="00861D72">
        <w:rPr>
          <w:rFonts w:eastAsia="Calibri"/>
          <w:rtl/>
        </w:rPr>
        <w:t xml:space="preserve"> לאומית רב</w:t>
      </w:r>
      <w:r w:rsidRPr="00861D72">
        <w:rPr>
          <w:rFonts w:eastAsia="Calibri" w:hint="cs"/>
          <w:rtl/>
        </w:rPr>
        <w:t>-</w:t>
      </w:r>
      <w:r w:rsidRPr="00861D72">
        <w:rPr>
          <w:rFonts w:eastAsia="Calibri"/>
          <w:rtl/>
        </w:rPr>
        <w:t>שנתית בתחום הזדקנות האוכלוסייה</w:t>
      </w:r>
      <w:r w:rsidRPr="00861D72">
        <w:rPr>
          <w:rFonts w:eastAsia="Calibri" w:hint="cs"/>
          <w:rtl/>
        </w:rPr>
        <w:t xml:space="preserve"> </w:t>
      </w:r>
      <w:r w:rsidRPr="00861D72">
        <w:rPr>
          <w:rFonts w:eastAsia="Calibri"/>
          <w:rtl/>
        </w:rPr>
        <w:t>נוגעת לקביעת מדיניות ממשלתית</w:t>
      </w:r>
      <w:r w:rsidRPr="00861D72">
        <w:rPr>
          <w:rFonts w:eastAsia="Calibri" w:hint="cs"/>
          <w:rtl/>
        </w:rPr>
        <w:t xml:space="preserve"> </w:t>
      </w:r>
      <w:r w:rsidRPr="00861D72">
        <w:rPr>
          <w:rFonts w:eastAsia="Calibri"/>
          <w:rtl/>
        </w:rPr>
        <w:t>רחבה ולסדרי עדיפויות לאומיים,</w:t>
      </w:r>
      <w:r w:rsidRPr="00861D72">
        <w:rPr>
          <w:rFonts w:eastAsia="Calibri" w:hint="cs"/>
          <w:rtl/>
        </w:rPr>
        <w:t xml:space="preserve"> </w:t>
      </w:r>
      <w:r w:rsidRPr="00861D72">
        <w:rPr>
          <w:rFonts w:eastAsia="Calibri"/>
          <w:rtl/>
        </w:rPr>
        <w:t>המצויים בסמכות הממשלה. ומשכך המשרד ילמד את</w:t>
      </w:r>
      <w:r w:rsidRPr="00861D72">
        <w:rPr>
          <w:rFonts w:eastAsia="Calibri" w:hint="cs"/>
          <w:rtl/>
        </w:rPr>
        <w:t xml:space="preserve"> </w:t>
      </w:r>
      <w:r w:rsidRPr="00861D72">
        <w:rPr>
          <w:rFonts w:eastAsia="Calibri"/>
          <w:rtl/>
        </w:rPr>
        <w:t>ההמלצות.</w:t>
      </w:r>
    </w:p>
    <w:p w:rsidR="00861D72" w:rsidRPr="00861D72" w:rsidP="00F90255">
      <w:pPr>
        <w:spacing w:line="269" w:lineRule="auto"/>
        <w:ind w:left="424"/>
        <w:rPr>
          <w:rFonts w:eastAsia="Calibri"/>
          <w:rtl/>
        </w:rPr>
      </w:pPr>
    </w:p>
    <w:p w:rsidR="00861D72" w:rsidRPr="00861D72" w:rsidP="00F90255">
      <w:pPr>
        <w:spacing w:line="269" w:lineRule="auto"/>
        <w:rPr>
          <w:rFonts w:eastAsia="Calibri"/>
          <w:b/>
          <w:bCs/>
          <w:rtl/>
        </w:rPr>
      </w:pPr>
      <w:r w:rsidRPr="00861D72">
        <w:rPr>
          <w:rFonts w:eastAsia="Calibri" w:hint="cs"/>
          <w:rtl/>
        </w:rPr>
        <w:t xml:space="preserve">משרד האוצר ציין בתשובתו כי הוא רואה חשיבות רבה בגיבוש וביישום של מדיניות לאומית בנושא ההזדקנות, שתקבע בין היתר גורם </w:t>
      </w:r>
      <w:r w:rsidRPr="00861D72">
        <w:rPr>
          <w:rFonts w:eastAsia="Calibri" w:hint="cs"/>
          <w:rtl/>
        </w:rPr>
        <w:t>מתכלל</w:t>
      </w:r>
      <w:r w:rsidRPr="00861D72">
        <w:rPr>
          <w:rFonts w:eastAsia="Calibri" w:hint="cs"/>
          <w:rtl/>
        </w:rPr>
        <w:t xml:space="preserve"> לנושא ותוודא הקצאה נכונה של המשאבים הקיימים כדי להגיע להישגים הנדרשים עבור המוכנות של המדינה לשינוי הדמוגרפי הצפוי. </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cs"/>
          <w:rtl/>
        </w:rPr>
        <w:t xml:space="preserve">משרד הרווחה ציין בתשובתו כי הוא </w:t>
      </w:r>
      <w:r w:rsidRPr="00861D72">
        <w:rPr>
          <w:rFonts w:eastAsia="Calibri"/>
          <w:rtl/>
        </w:rPr>
        <w:t xml:space="preserve">מסכים עם המלצת דוח הביקורת, ומציע לבחון גיבוש </w:t>
      </w:r>
      <w:r w:rsidRPr="00861D72">
        <w:rPr>
          <w:rFonts w:eastAsia="Calibri" w:hint="cs"/>
          <w:rtl/>
        </w:rPr>
        <w:t xml:space="preserve">של </w:t>
      </w:r>
      <w:r w:rsidRPr="00861D72">
        <w:rPr>
          <w:rFonts w:eastAsia="Calibri"/>
          <w:rtl/>
        </w:rPr>
        <w:t>החלטת ממשלה מעודכנת בתחום ההזדקנות, אשר תעגן חלוקת אחריות ברורה, מנגנוני תיאום בין-משרדיים, יעדים מדידים, מקורות תקציביים וכלי יישום אופרטיביים.</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cs"/>
          <w:rtl/>
        </w:rPr>
        <w:t xml:space="preserve">משרד העבודה ציין בתשובתו ממאי 2026 כי הוא רואה חשיבות בגיבוש </w:t>
      </w:r>
      <w:r w:rsidRPr="00861D72">
        <w:rPr>
          <w:rFonts w:eastAsia="Calibri" w:hint="cs"/>
          <w:rtl/>
        </w:rPr>
        <w:t>תוכנית</w:t>
      </w:r>
      <w:r w:rsidRPr="00861D72">
        <w:rPr>
          <w:rFonts w:eastAsia="Calibri" w:hint="cs"/>
          <w:rtl/>
        </w:rPr>
        <w:t xml:space="preserve"> רב-שנתית המגדירה את תחומי האחריות של כל משרד ובהגדרת גורם </w:t>
      </w:r>
      <w:r w:rsidRPr="00861D72">
        <w:rPr>
          <w:rFonts w:eastAsia="Calibri" w:hint="cs"/>
          <w:rtl/>
        </w:rPr>
        <w:t>מתכלל</w:t>
      </w:r>
      <w:r w:rsidRPr="00861D72">
        <w:rPr>
          <w:rFonts w:eastAsia="Calibri" w:hint="cs"/>
          <w:rtl/>
        </w:rPr>
        <w:t xml:space="preserve">. הוא גם מוסיף שבתחום התעסוקה, ראוי שמשרד העבודה יהיה הגורם </w:t>
      </w:r>
      <w:r w:rsidRPr="00861D72">
        <w:rPr>
          <w:rFonts w:eastAsia="Calibri" w:hint="cs"/>
          <w:rtl/>
        </w:rPr>
        <w:t>המתכלל</w:t>
      </w:r>
      <w:r w:rsidRPr="00861D72">
        <w:rPr>
          <w:rFonts w:eastAsia="Calibri" w:hint="cs"/>
          <w:rtl/>
        </w:rPr>
        <w:t xml:space="preserve">. </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eastAsia="Calibri" w:hint="cs"/>
          <w:rtl/>
        </w:rPr>
        <w:t xml:space="preserve">לאומית שירותי בריאות ציינה בתשובתה ממאי 2026 כי היא שותפה לקביעה כי </w:t>
      </w:r>
      <w:r w:rsidRPr="00861D72">
        <w:rPr>
          <w:rFonts w:eastAsia="Calibri"/>
          <w:rtl/>
        </w:rPr>
        <w:t xml:space="preserve">קיים פער בין ההכרה הלאומית באתגר הזדקנות האוכלוסייה לבין יישום בפועל של </w:t>
      </w:r>
      <w:r w:rsidRPr="00861D72">
        <w:rPr>
          <w:rFonts w:eastAsia="Calibri"/>
          <w:rtl/>
        </w:rPr>
        <w:t>תוכניות</w:t>
      </w:r>
      <w:r w:rsidRPr="00861D72">
        <w:rPr>
          <w:rFonts w:eastAsia="Calibri"/>
          <w:rtl/>
        </w:rPr>
        <w:t xml:space="preserve"> רב-שנתיות אופרטיביות, הכוללות יעדים מדידים, הקצאת משאבים ותיחום אחריות ברור. התוצאה היא עומס גובר על מערכת הבריאות בקהילה והמשך טיפול תגובתי במקום מניעתי. מדיניות שתכוון לתיקון הפער הזה, תתמרץ את הקופות להתחרות בניהן גם על פלח השוק הקשיש.</w:t>
      </w:r>
    </w:p>
    <w:p w:rsidR="00861D72" w:rsidP="00F90255">
      <w:pPr>
        <w:spacing w:line="269" w:lineRule="auto"/>
        <w:rPr>
          <w:rFonts w:eastAsia="Calibri"/>
          <w:rtl/>
        </w:rPr>
      </w:pPr>
    </w:p>
    <w:p w:rsidR="00EB2B30">
      <w:pPr>
        <w:bidi w:val="0"/>
        <w:spacing w:after="200" w:line="276" w:lineRule="auto"/>
        <w:rPr>
          <w:rFonts w:eastAsia="Calibri"/>
          <w:rtl/>
        </w:rPr>
      </w:pPr>
      <w:r>
        <w:rPr>
          <w:rFonts w:eastAsia="Calibri"/>
          <w:rtl/>
        </w:rPr>
        <w:br w:type="page"/>
      </w:r>
    </w:p>
    <w:p w:rsidR="00861D72" w:rsidRPr="00861D72" w:rsidP="00F90255">
      <w:pPr>
        <w:keepNext/>
        <w:keepLines/>
        <w:spacing w:line="269" w:lineRule="auto"/>
        <w:outlineLvl w:val="2"/>
        <w:rPr>
          <w:rFonts w:eastAsia="Times New Roman"/>
          <w:bCs/>
          <w:szCs w:val="28"/>
          <w:u w:val="single"/>
          <w:rtl/>
        </w:rPr>
      </w:pPr>
      <w:r w:rsidRPr="00861D72">
        <w:rPr>
          <w:rFonts w:eastAsia="Times New Roman"/>
          <w:bCs/>
          <w:szCs w:val="28"/>
          <w:u w:val="single"/>
          <w:rtl/>
        </w:rPr>
        <w:t>סיכום</w:t>
      </w:r>
    </w:p>
    <w:p w:rsidR="00861D72" w:rsidRPr="00861D72" w:rsidP="00F90255">
      <w:pPr>
        <w:spacing w:line="269" w:lineRule="auto"/>
        <w:ind w:left="424"/>
        <w:rPr>
          <w:rFonts w:eastAsia="Calibri"/>
          <w:rtl/>
        </w:rPr>
      </w:pPr>
    </w:p>
    <w:p w:rsidR="00861D72" w:rsidRPr="00861D72" w:rsidP="00F90255">
      <w:pPr>
        <w:spacing w:line="269" w:lineRule="auto"/>
        <w:rPr>
          <w:rFonts w:eastAsia="Calibri"/>
          <w:b/>
          <w:bCs/>
          <w:rtl/>
        </w:rPr>
      </w:pPr>
      <w:r w:rsidRPr="00861D72">
        <w:rPr>
          <w:rFonts w:eastAsia="Calibri"/>
          <w:b/>
          <w:bCs/>
          <w:rtl/>
        </w:rPr>
        <w:t>הזדקנות האוכלוסייה היא אתגר מרכזי לישראל, המשפיע על מערכות הבריאות, הסיעוד, הרווחה ושוק העבודה. בעקבות עלייה בתוחלת החיים וירידה בילודה, מספר האזרחים הוותיקים גדל בהתמדה. בסוף 2024 חיו בישראל כ-1.</w:t>
      </w:r>
      <w:r w:rsidRPr="00861D72">
        <w:rPr>
          <w:rFonts w:eastAsia="Calibri" w:hint="cs"/>
          <w:b/>
          <w:bCs/>
          <w:rtl/>
        </w:rPr>
        <w:t>3</w:t>
      </w:r>
      <w:r w:rsidRPr="00861D72">
        <w:rPr>
          <w:rFonts w:eastAsia="Calibri"/>
          <w:b/>
          <w:bCs/>
          <w:rtl/>
        </w:rPr>
        <w:t xml:space="preserve"> מיליון בני 65 ומעלה, שהם </w:t>
      </w:r>
      <w:r w:rsidRPr="00861D72">
        <w:rPr>
          <w:rFonts w:eastAsia="Calibri" w:hint="cs"/>
          <w:b/>
          <w:bCs/>
          <w:rtl/>
        </w:rPr>
        <w:t>כ-</w:t>
      </w:r>
      <w:r w:rsidRPr="00861D72">
        <w:rPr>
          <w:rFonts w:eastAsia="Calibri"/>
          <w:b/>
          <w:bCs/>
          <w:rtl/>
        </w:rPr>
        <w:t>13</w:t>
      </w:r>
      <w:r w:rsidRPr="00861D72">
        <w:rPr>
          <w:rFonts w:eastAsia="Calibri" w:hint="cs"/>
          <w:b/>
          <w:bCs/>
          <w:rtl/>
        </w:rPr>
        <w:t xml:space="preserve">% </w:t>
      </w:r>
      <w:r w:rsidRPr="00861D72">
        <w:rPr>
          <w:rFonts w:eastAsia="Calibri"/>
          <w:b/>
          <w:bCs/>
          <w:rtl/>
        </w:rPr>
        <w:t>מהאוכלוסייה</w:t>
      </w:r>
      <w:r w:rsidRPr="00861D72">
        <w:rPr>
          <w:rFonts w:eastAsia="Calibri" w:hint="cs"/>
          <w:b/>
          <w:bCs/>
          <w:rtl/>
        </w:rPr>
        <w:t>;</w:t>
      </w:r>
      <w:r w:rsidRPr="00861D72">
        <w:rPr>
          <w:rFonts w:eastAsia="Calibri"/>
          <w:b/>
          <w:bCs/>
        </w:rPr>
        <w:t xml:space="preserve"> </w:t>
      </w:r>
      <w:r w:rsidRPr="00861D72">
        <w:rPr>
          <w:rFonts w:eastAsia="Calibri" w:hint="cs"/>
          <w:b/>
          <w:bCs/>
          <w:rtl/>
        </w:rPr>
        <w:t>בשנת 2050 צפויים לחיות בישראל כ-2 מיליון אזרחים ותיקים שיהוו כ-15% מהאוכלוסייה</w:t>
      </w:r>
      <w:r w:rsidRPr="00861D72">
        <w:rPr>
          <w:rFonts w:eastAsia="Calibri"/>
          <w:b/>
          <w:bCs/>
        </w:rPr>
        <w:t>.</w:t>
      </w:r>
      <w:r w:rsidRPr="00861D72">
        <w:rPr>
          <w:rFonts w:eastAsia="Calibri" w:hint="cs"/>
          <w:b/>
          <w:bCs/>
          <w:rtl/>
        </w:rPr>
        <w:t xml:space="preserve"> </w:t>
      </w:r>
      <w:bookmarkStart w:id="67" w:name="_Hlk222225220"/>
      <w:r w:rsidRPr="00861D72">
        <w:rPr>
          <w:rFonts w:eastAsia="Calibri"/>
          <w:b/>
          <w:bCs/>
          <w:rtl/>
        </w:rPr>
        <w:t xml:space="preserve">הזדקנות האוכלוסייה אינה רק מגמה דמוגרפית אלא מבחן ליכולתה של מדיניות ציבורית לתכנן קדימה, לתאם בין מערכות ולתרגם חזון חברתי לפעולות מדידות. </w:t>
      </w:r>
      <w:bookmarkEnd w:id="67"/>
      <w:r w:rsidRPr="00861D72">
        <w:rPr>
          <w:rFonts w:eastAsia="Calibri"/>
          <w:b/>
          <w:bCs/>
          <w:rtl/>
        </w:rPr>
        <w:t>הצלחתה של מדיניות ממשלתית רב</w:t>
      </w:r>
      <w:r w:rsidR="00011037">
        <w:rPr>
          <w:rFonts w:eastAsia="Calibri" w:hint="cs"/>
          <w:b/>
          <w:bCs/>
          <w:rtl/>
        </w:rPr>
        <w:t>-</w:t>
      </w:r>
      <w:r w:rsidRPr="00861D72">
        <w:rPr>
          <w:rFonts w:eastAsia="Calibri"/>
          <w:b/>
          <w:bCs/>
          <w:rtl/>
        </w:rPr>
        <w:t>משרדית נשע</w:t>
      </w:r>
      <w:r w:rsidRPr="00861D72">
        <w:rPr>
          <w:rFonts w:eastAsia="Calibri" w:hint="cs"/>
          <w:b/>
          <w:bCs/>
          <w:rtl/>
        </w:rPr>
        <w:t>נת</w:t>
      </w:r>
      <w:r w:rsidRPr="00861D72">
        <w:rPr>
          <w:rFonts w:eastAsia="Calibri"/>
          <w:b/>
          <w:bCs/>
          <w:rtl/>
        </w:rPr>
        <w:t xml:space="preserve"> על גיבוש </w:t>
      </w:r>
      <w:r w:rsidRPr="00861D72">
        <w:rPr>
          <w:rFonts w:eastAsia="Calibri"/>
          <w:b/>
          <w:bCs/>
          <w:rtl/>
        </w:rPr>
        <w:t>תוכנית</w:t>
      </w:r>
      <w:r w:rsidRPr="00861D72">
        <w:rPr>
          <w:rFonts w:eastAsia="Calibri"/>
          <w:b/>
          <w:bCs/>
          <w:rtl/>
        </w:rPr>
        <w:t xml:space="preserve"> רב־שנתית ייעודית</w:t>
      </w:r>
      <w:r w:rsidRPr="00861D72">
        <w:rPr>
          <w:rFonts w:eastAsia="Calibri" w:hint="cs"/>
          <w:b/>
          <w:bCs/>
          <w:rtl/>
        </w:rPr>
        <w:t>, שלרוב</w:t>
      </w:r>
      <w:r w:rsidRPr="00861D72">
        <w:rPr>
          <w:rFonts w:eastAsia="Calibri"/>
          <w:b/>
          <w:bCs/>
          <w:rtl/>
        </w:rPr>
        <w:t xml:space="preserve"> כוללת שלושה רכיבים משלימים: ראשית</w:t>
      </w:r>
      <w:r w:rsidRPr="00861D72">
        <w:rPr>
          <w:rFonts w:eastAsia="Calibri" w:hint="cs"/>
          <w:b/>
          <w:bCs/>
          <w:rtl/>
        </w:rPr>
        <w:t xml:space="preserve"> </w:t>
      </w:r>
      <w:r w:rsidRPr="00861D72">
        <w:rPr>
          <w:rFonts w:eastAsia="Calibri"/>
          <w:b/>
          <w:bCs/>
          <w:rtl/>
        </w:rPr>
        <w:t>יעדים מדידים, אבני דרך ומדדי ביצוע ברורים</w:t>
      </w:r>
      <w:r w:rsidRPr="00861D72">
        <w:rPr>
          <w:rFonts w:eastAsia="Calibri" w:hint="cs"/>
          <w:b/>
          <w:bCs/>
          <w:rtl/>
        </w:rPr>
        <w:t>,</w:t>
      </w:r>
      <w:r w:rsidRPr="00861D72">
        <w:rPr>
          <w:rFonts w:eastAsia="Calibri"/>
          <w:b/>
          <w:bCs/>
          <w:rtl/>
        </w:rPr>
        <w:t xml:space="preserve"> המאפשרים להעריך התקדמות ולהתאים את המהלכים לאורך זמן; שנית, מינוי גורם </w:t>
      </w:r>
      <w:r w:rsidRPr="00861D72">
        <w:rPr>
          <w:rFonts w:eastAsia="Calibri"/>
          <w:b/>
          <w:bCs/>
          <w:rtl/>
        </w:rPr>
        <w:t>מתכלל</w:t>
      </w:r>
      <w:r w:rsidRPr="00861D72">
        <w:rPr>
          <w:rFonts w:eastAsia="Calibri"/>
          <w:b/>
          <w:bCs/>
          <w:rtl/>
        </w:rPr>
        <w:t xml:space="preserve"> בעל סמכות ותפקיד מוגדרים, </w:t>
      </w:r>
      <w:r w:rsidRPr="00861D72">
        <w:rPr>
          <w:rFonts w:eastAsia="Calibri" w:hint="cs"/>
          <w:b/>
          <w:bCs/>
          <w:rtl/>
        </w:rPr>
        <w:t xml:space="preserve">שיהיה </w:t>
      </w:r>
      <w:r w:rsidRPr="00861D72">
        <w:rPr>
          <w:rFonts w:eastAsia="Calibri"/>
          <w:b/>
          <w:bCs/>
          <w:rtl/>
        </w:rPr>
        <w:t xml:space="preserve">אחראי לתיאום בין המשרדים, לביצוע בקרה שוטפת ולמעקב אחר יישום התוכנית; ושלישית, קביעת תקצוב ברור ומחייב במסגרת החלטת ממשלה, המגדירה מקורות תקציביים, מנגנוני הקצאה </w:t>
      </w:r>
      <w:r w:rsidRPr="00861D72">
        <w:rPr>
          <w:rFonts w:eastAsia="Calibri"/>
          <w:b/>
          <w:bCs/>
          <w:rtl/>
        </w:rPr>
        <w:t>ותיעדוף</w:t>
      </w:r>
      <w:r w:rsidRPr="00861D72">
        <w:rPr>
          <w:rFonts w:eastAsia="Calibri"/>
          <w:b/>
          <w:bCs/>
          <w:rtl/>
        </w:rPr>
        <w:t xml:space="preserve">, כך שהמדיניות לא תישאר הצהרת כוונות אלא תתורגם ליישום עקבי ומתמשך. </w:t>
      </w:r>
      <w:r w:rsidRPr="00861D72">
        <w:rPr>
          <w:rFonts w:eastAsia="Calibri" w:hint="cs"/>
          <w:b/>
          <w:bCs/>
          <w:rtl/>
        </w:rPr>
        <w:t xml:space="preserve">אולם, המדיניות הממשלתית להתמודדות עם הזדקנות האוכלוסייה אינה כוללת </w:t>
      </w:r>
      <w:r w:rsidRPr="00861D72">
        <w:rPr>
          <w:rFonts w:eastAsia="Calibri" w:hint="cs"/>
          <w:b/>
          <w:bCs/>
          <w:rtl/>
        </w:rPr>
        <w:t>תוכנית</w:t>
      </w:r>
      <w:r w:rsidRPr="00861D72">
        <w:rPr>
          <w:rFonts w:eastAsia="Calibri" w:hint="cs"/>
          <w:b/>
          <w:bCs/>
          <w:rtl/>
        </w:rPr>
        <w:t xml:space="preserve"> כאמור.</w:t>
      </w:r>
    </w:p>
    <w:p w:rsidR="00861D72" w:rsidRPr="00861D72" w:rsidP="00F90255">
      <w:pPr>
        <w:spacing w:line="269" w:lineRule="auto"/>
        <w:rPr>
          <w:rFonts w:eastAsia="Calibri"/>
          <w:rtl/>
        </w:rPr>
      </w:pPr>
    </w:p>
    <w:p w:rsidR="00861D72" w:rsidRPr="00861D72" w:rsidP="00F90255">
      <w:pPr>
        <w:spacing w:line="269" w:lineRule="auto"/>
        <w:rPr>
          <w:rFonts w:eastAsia="Calibri"/>
          <w:b/>
          <w:bCs/>
          <w:rtl/>
        </w:rPr>
      </w:pPr>
      <w:r w:rsidRPr="00861D72">
        <w:rPr>
          <w:rFonts w:eastAsia="Calibri"/>
          <w:b/>
          <w:bCs/>
          <w:rtl/>
        </w:rPr>
        <w:t>על אף ההכרה הממשלתית באתגר זה ו</w:t>
      </w:r>
      <w:r w:rsidRPr="00861D72">
        <w:rPr>
          <w:rFonts w:eastAsia="Calibri" w:hint="cs"/>
          <w:b/>
          <w:bCs/>
          <w:rtl/>
        </w:rPr>
        <w:t xml:space="preserve">על אף </w:t>
      </w:r>
      <w:r w:rsidRPr="00861D72">
        <w:rPr>
          <w:rFonts w:eastAsia="Calibri"/>
          <w:b/>
          <w:bCs/>
          <w:rtl/>
        </w:rPr>
        <w:t xml:space="preserve">החלטות </w:t>
      </w:r>
      <w:r w:rsidRPr="00861D72">
        <w:rPr>
          <w:rFonts w:eastAsia="Calibri" w:hint="cs"/>
          <w:b/>
          <w:bCs/>
          <w:rtl/>
        </w:rPr>
        <w:t xml:space="preserve">הממשלה </w:t>
      </w:r>
      <w:r w:rsidRPr="00861D72">
        <w:rPr>
          <w:rFonts w:eastAsia="Calibri"/>
          <w:b/>
          <w:bCs/>
          <w:rtl/>
        </w:rPr>
        <w:t xml:space="preserve">שהתקבלו בשנים האחרונות, הפער בין התכנון לבין המעשה נותר </w:t>
      </w:r>
      <w:r w:rsidRPr="00861D72">
        <w:rPr>
          <w:rFonts w:eastAsia="Calibri" w:hint="cs"/>
          <w:b/>
          <w:bCs/>
          <w:rtl/>
        </w:rPr>
        <w:t xml:space="preserve">גדול. </w:t>
      </w:r>
      <w:r w:rsidRPr="00861D72">
        <w:rPr>
          <w:rFonts w:eastAsia="Calibri"/>
          <w:b/>
          <w:bCs/>
          <w:rtl/>
        </w:rPr>
        <w:t xml:space="preserve">אף שהממשלה אימצה כבר ב-2015 הערכת מצב ותוכניות פעולה, היישום נשאר חלקי: </w:t>
      </w:r>
      <w:r w:rsidRPr="00861D72">
        <w:rPr>
          <w:rFonts w:eastAsia="Calibri" w:hint="cs"/>
          <w:b/>
          <w:bCs/>
          <w:rtl/>
        </w:rPr>
        <w:t>גופי הממשל הרלוונטיים לא גיבשו</w:t>
      </w:r>
      <w:r w:rsidRPr="00861D72">
        <w:rPr>
          <w:rFonts w:eastAsia="Calibri"/>
          <w:b/>
          <w:bCs/>
          <w:rtl/>
        </w:rPr>
        <w:t xml:space="preserve"> מענה מערכתי, מתואם וארוך טווח</w:t>
      </w:r>
      <w:r w:rsidRPr="00861D72">
        <w:rPr>
          <w:rFonts w:eastAsia="Calibri" w:hint="cs"/>
          <w:b/>
          <w:bCs/>
          <w:rtl/>
        </w:rPr>
        <w:t>;</w:t>
      </w:r>
      <w:r w:rsidRPr="00861D72">
        <w:rPr>
          <w:rFonts w:eastAsia="Calibri"/>
          <w:b/>
          <w:bCs/>
          <w:rtl/>
        </w:rPr>
        <w:t xml:space="preserve"> והמועצה הלאומית לכלכלה</w:t>
      </w:r>
      <w:r w:rsidRPr="00861D72">
        <w:rPr>
          <w:rFonts w:eastAsia="Calibri" w:hint="cs"/>
          <w:b/>
          <w:bCs/>
          <w:rtl/>
        </w:rPr>
        <w:t xml:space="preserve"> והצוות לניהול אסטרטגיה</w:t>
      </w:r>
      <w:r w:rsidRPr="00861D72">
        <w:rPr>
          <w:rFonts w:eastAsia="Calibri"/>
          <w:b/>
          <w:bCs/>
          <w:rtl/>
        </w:rPr>
        <w:t xml:space="preserve"> </w:t>
      </w:r>
      <w:r w:rsidRPr="00861D72">
        <w:rPr>
          <w:rFonts w:eastAsia="Calibri" w:hint="cs"/>
          <w:b/>
          <w:bCs/>
          <w:rtl/>
        </w:rPr>
        <w:t>לא</w:t>
      </w:r>
      <w:r w:rsidRPr="00861D72">
        <w:rPr>
          <w:rFonts w:eastAsia="Calibri"/>
          <w:b/>
          <w:bCs/>
          <w:rtl/>
        </w:rPr>
        <w:t xml:space="preserve"> </w:t>
      </w:r>
      <w:r w:rsidRPr="00861D72">
        <w:rPr>
          <w:rFonts w:eastAsia="Calibri" w:hint="cs"/>
          <w:b/>
          <w:bCs/>
          <w:rtl/>
        </w:rPr>
        <w:t>ביצעו</w:t>
      </w:r>
      <w:r w:rsidRPr="00861D72">
        <w:rPr>
          <w:rFonts w:eastAsia="Calibri"/>
          <w:b/>
          <w:bCs/>
          <w:rtl/>
        </w:rPr>
        <w:t xml:space="preserve"> מעקב שיטתי ורציף אחר ההתקדמות. </w:t>
      </w:r>
      <w:r w:rsidRPr="00861D72">
        <w:rPr>
          <w:rFonts w:eastAsia="Calibri" w:hint="cs"/>
          <w:b/>
          <w:bCs/>
          <w:rtl/>
        </w:rPr>
        <w:t>כך, בכל כיווני הפעולה שהגדירה הערכת המצב האסטרטגית, ההתקדמות אינה מספקת</w:t>
      </w:r>
      <w:r w:rsidRPr="00861D72">
        <w:rPr>
          <w:rFonts w:eastAsia="Calibri"/>
          <w:b/>
          <w:bCs/>
          <w:rtl/>
        </w:rPr>
        <w:t xml:space="preserve">: </w:t>
      </w:r>
      <w:r w:rsidRPr="00861D72">
        <w:rPr>
          <w:rFonts w:eastAsia="Calibri" w:hint="cs"/>
          <w:b/>
          <w:bCs/>
          <w:rtl/>
        </w:rPr>
        <w:t xml:space="preserve">חל </w:t>
      </w:r>
      <w:r w:rsidRPr="00861D72">
        <w:rPr>
          <w:rFonts w:eastAsia="Calibri"/>
          <w:b/>
          <w:bCs/>
          <w:rtl/>
        </w:rPr>
        <w:t>גידול בג</w:t>
      </w:r>
      <w:r w:rsidR="00EF461F">
        <w:rPr>
          <w:rFonts w:eastAsia="Calibri" w:hint="cs"/>
          <w:b/>
          <w:bCs/>
          <w:rtl/>
        </w:rPr>
        <w:t>י</w:t>
      </w:r>
      <w:r w:rsidRPr="00861D72">
        <w:rPr>
          <w:rFonts w:eastAsia="Calibri"/>
          <w:b/>
          <w:bCs/>
          <w:rtl/>
        </w:rPr>
        <w:t xml:space="preserve">רעון האקטוארי של </w:t>
      </w:r>
      <w:r w:rsidRPr="00861D72">
        <w:rPr>
          <w:rFonts w:eastAsia="Calibri" w:hint="cs"/>
          <w:b/>
          <w:bCs/>
          <w:rtl/>
        </w:rPr>
        <w:t>בט"ל</w:t>
      </w:r>
      <w:r w:rsidRPr="00861D72">
        <w:rPr>
          <w:rFonts w:eastAsia="Calibri"/>
          <w:b/>
          <w:bCs/>
          <w:rtl/>
        </w:rPr>
        <w:t>, התאמה חלקית בלבד של גיל הפרישה לעלייה בתוחלת החיים, שיעורי תעסוקה של אזרחים ותיקים שאינם עומדים ביעדים ומחסור מתמשך במיטות אשפוז ובכוח אדם גריאטרי. לצד זאת, מפת המדדים להזדקנות מיטבית אומצה ללא הגדר</w:t>
      </w:r>
      <w:r w:rsidRPr="00861D72">
        <w:rPr>
          <w:rFonts w:eastAsia="Calibri" w:hint="cs"/>
          <w:b/>
          <w:bCs/>
          <w:rtl/>
        </w:rPr>
        <w:t xml:space="preserve">ה של </w:t>
      </w:r>
      <w:r w:rsidRPr="00861D72">
        <w:rPr>
          <w:rFonts w:eastAsia="Calibri"/>
          <w:b/>
          <w:bCs/>
          <w:rtl/>
        </w:rPr>
        <w:t>יעדים כמותיים וללא ייחוס</w:t>
      </w:r>
      <w:r w:rsidRPr="00861D72">
        <w:rPr>
          <w:rFonts w:eastAsia="Calibri" w:hint="cs"/>
          <w:b/>
          <w:bCs/>
          <w:rtl/>
        </w:rPr>
        <w:t xml:space="preserve"> של</w:t>
      </w:r>
      <w:r w:rsidRPr="00861D72">
        <w:rPr>
          <w:rFonts w:eastAsia="Calibri"/>
          <w:b/>
          <w:bCs/>
          <w:rtl/>
        </w:rPr>
        <w:t xml:space="preserve"> אחריות מוסדרת לגורמים מובילים בכל מדד</w:t>
      </w:r>
      <w:r w:rsidRPr="00861D72">
        <w:rPr>
          <w:rFonts w:eastAsia="Calibri" w:hint="cs"/>
          <w:b/>
          <w:bCs/>
          <w:rtl/>
        </w:rPr>
        <w:t xml:space="preserve"> - </w:t>
      </w:r>
      <w:r w:rsidRPr="00861D72">
        <w:rPr>
          <w:rFonts w:eastAsia="Calibri"/>
          <w:b/>
          <w:bCs/>
          <w:rtl/>
        </w:rPr>
        <w:t xml:space="preserve">דבר </w:t>
      </w:r>
      <w:r w:rsidRPr="00861D72">
        <w:rPr>
          <w:rFonts w:eastAsia="Calibri" w:hint="cs"/>
          <w:b/>
          <w:bCs/>
          <w:rtl/>
        </w:rPr>
        <w:t>ה</w:t>
      </w:r>
      <w:r w:rsidRPr="00861D72">
        <w:rPr>
          <w:rFonts w:eastAsia="Calibri"/>
          <w:b/>
          <w:bCs/>
          <w:rtl/>
        </w:rPr>
        <w:t xml:space="preserve">מקשה על ניהול ביצועים, </w:t>
      </w:r>
      <w:r w:rsidRPr="00861D72">
        <w:rPr>
          <w:rFonts w:eastAsia="Calibri" w:hint="cs"/>
          <w:b/>
          <w:bCs/>
          <w:rtl/>
        </w:rPr>
        <w:t xml:space="preserve">על </w:t>
      </w:r>
      <w:r w:rsidRPr="00861D72">
        <w:rPr>
          <w:rFonts w:eastAsia="Calibri"/>
          <w:b/>
          <w:bCs/>
          <w:rtl/>
        </w:rPr>
        <w:t>ת</w:t>
      </w:r>
      <w:r w:rsidRPr="00861D72">
        <w:rPr>
          <w:rFonts w:eastAsia="Calibri" w:hint="cs"/>
          <w:b/>
          <w:bCs/>
          <w:rtl/>
        </w:rPr>
        <w:t>י</w:t>
      </w:r>
      <w:r w:rsidRPr="00861D72">
        <w:rPr>
          <w:rFonts w:eastAsia="Calibri"/>
          <w:b/>
          <w:bCs/>
          <w:rtl/>
        </w:rPr>
        <w:t>עדוף</w:t>
      </w:r>
      <w:r w:rsidRPr="00861D72">
        <w:rPr>
          <w:rFonts w:eastAsia="Calibri"/>
          <w:b/>
          <w:bCs/>
          <w:rtl/>
        </w:rPr>
        <w:t xml:space="preserve"> משאבים ו</w:t>
      </w:r>
      <w:r w:rsidRPr="00861D72">
        <w:rPr>
          <w:rFonts w:eastAsia="Calibri" w:hint="cs"/>
          <w:b/>
          <w:bCs/>
          <w:rtl/>
        </w:rPr>
        <w:t xml:space="preserve">על </w:t>
      </w:r>
      <w:r w:rsidRPr="00861D72">
        <w:rPr>
          <w:rFonts w:eastAsia="Calibri"/>
          <w:b/>
          <w:bCs/>
          <w:rtl/>
        </w:rPr>
        <w:t>תיאום בין-משרדי.</w:t>
      </w:r>
    </w:p>
    <w:p w:rsidR="00861D72" w:rsidRPr="00861D72" w:rsidP="00F90255">
      <w:pPr>
        <w:spacing w:line="269" w:lineRule="auto"/>
        <w:ind w:left="424"/>
        <w:rPr>
          <w:rFonts w:eastAsia="Calibri"/>
          <w:rtl/>
        </w:rPr>
      </w:pPr>
    </w:p>
    <w:p w:rsidR="00861D72" w:rsidRPr="00861D72" w:rsidP="00F90255">
      <w:pPr>
        <w:widowControl w:val="0"/>
        <w:spacing w:line="269" w:lineRule="auto"/>
        <w:rPr>
          <w:rFonts w:ascii="David" w:eastAsia="Times New Roman" w:hAnsi="David"/>
          <w:b/>
          <w:bCs/>
          <w:sz w:val="24"/>
          <w:rtl/>
          <w:lang w:eastAsia="he-IL"/>
        </w:rPr>
      </w:pPr>
      <w:r w:rsidRPr="00861D72">
        <w:rPr>
          <w:rFonts w:eastAsia="Calibri"/>
          <w:b/>
          <w:bCs/>
          <w:rtl/>
        </w:rPr>
        <w:t>בניגוד לתחומים רוחביים אחרים (כגון פיתוח החברה הערבית)</w:t>
      </w:r>
      <w:r w:rsidRPr="00861D72">
        <w:rPr>
          <w:rFonts w:eastAsia="Calibri" w:hint="cs"/>
          <w:b/>
          <w:bCs/>
          <w:rtl/>
        </w:rPr>
        <w:t>,</w:t>
      </w:r>
      <w:r w:rsidRPr="00861D72">
        <w:rPr>
          <w:rFonts w:eastAsia="Calibri"/>
          <w:b/>
          <w:bCs/>
          <w:rtl/>
        </w:rPr>
        <w:t xml:space="preserve"> שבהם נקבעו מנגנוני תכלול ברורים, </w:t>
      </w:r>
      <w:r w:rsidRPr="00861D72">
        <w:rPr>
          <w:rFonts w:eastAsia="Calibri" w:hint="cs"/>
          <w:b/>
          <w:bCs/>
          <w:rtl/>
        </w:rPr>
        <w:t xml:space="preserve">ובניגוד למודלים הקיימים במדיניות בעולם, כגון </w:t>
      </w:r>
      <w:r w:rsidRPr="00861D72">
        <w:rPr>
          <w:rFonts w:eastAsia="Calibri" w:hint="eastAsia"/>
          <w:b/>
          <w:bCs/>
          <w:rtl/>
        </w:rPr>
        <w:t>המועצה</w:t>
      </w:r>
      <w:r w:rsidRPr="00861D72">
        <w:rPr>
          <w:rFonts w:eastAsia="Calibri"/>
          <w:b/>
          <w:bCs/>
          <w:rtl/>
        </w:rPr>
        <w:t xml:space="preserve"> </w:t>
      </w:r>
      <w:r w:rsidRPr="00861D72">
        <w:rPr>
          <w:rFonts w:eastAsia="Calibri" w:hint="eastAsia"/>
          <w:b/>
          <w:bCs/>
          <w:rtl/>
        </w:rPr>
        <w:t>הלאומית</w:t>
      </w:r>
      <w:r w:rsidRPr="00861D72">
        <w:rPr>
          <w:rFonts w:eastAsia="Calibri"/>
          <w:b/>
          <w:bCs/>
          <w:rtl/>
        </w:rPr>
        <w:t xml:space="preserve"> </w:t>
      </w:r>
      <w:r w:rsidRPr="00861D72">
        <w:rPr>
          <w:rFonts w:eastAsia="Calibri" w:hint="eastAsia"/>
          <w:b/>
          <w:bCs/>
          <w:rtl/>
        </w:rPr>
        <w:t>לענייני</w:t>
      </w:r>
      <w:r w:rsidRPr="00861D72">
        <w:rPr>
          <w:rFonts w:eastAsia="Calibri"/>
          <w:b/>
          <w:bCs/>
          <w:rtl/>
        </w:rPr>
        <w:t xml:space="preserve"> </w:t>
      </w:r>
      <w:r w:rsidRPr="00861D72">
        <w:rPr>
          <w:rFonts w:eastAsia="Calibri" w:hint="eastAsia"/>
          <w:b/>
          <w:bCs/>
          <w:rtl/>
        </w:rPr>
        <w:t>אזרחים</w:t>
      </w:r>
      <w:r w:rsidRPr="00861D72">
        <w:rPr>
          <w:rFonts w:eastAsia="Calibri"/>
          <w:b/>
          <w:bCs/>
          <w:rtl/>
        </w:rPr>
        <w:t xml:space="preserve"> </w:t>
      </w:r>
      <w:r w:rsidRPr="00861D72">
        <w:rPr>
          <w:rFonts w:eastAsia="Calibri" w:hint="eastAsia"/>
          <w:b/>
          <w:bCs/>
          <w:rtl/>
        </w:rPr>
        <w:t>ותיקים</w:t>
      </w:r>
      <w:r w:rsidRPr="00861D72">
        <w:rPr>
          <w:rFonts w:eastAsia="Calibri"/>
          <w:b/>
          <w:bCs/>
          <w:rtl/>
        </w:rPr>
        <w:t xml:space="preserve"> (</w:t>
      </w:r>
      <w:r w:rsidRPr="00861D72">
        <w:rPr>
          <w:rFonts w:eastAsia="Calibri"/>
          <w:b/>
          <w:bCs/>
        </w:rPr>
        <w:t>National Seniors Council</w:t>
      </w:r>
      <w:r w:rsidRPr="00861D72">
        <w:rPr>
          <w:rFonts w:eastAsia="Calibri"/>
          <w:b/>
          <w:bCs/>
          <w:rtl/>
        </w:rPr>
        <w:t xml:space="preserve">) </w:t>
      </w:r>
      <w:r w:rsidRPr="00861D72">
        <w:rPr>
          <w:rFonts w:eastAsia="Calibri" w:hint="eastAsia"/>
          <w:b/>
          <w:bCs/>
          <w:rtl/>
        </w:rPr>
        <w:t>בקנדה</w:t>
      </w:r>
      <w:r w:rsidRPr="00861D72">
        <w:rPr>
          <w:rFonts w:eastAsia="Calibri" w:hint="cs"/>
          <w:b/>
          <w:bCs/>
          <w:rtl/>
        </w:rPr>
        <w:t xml:space="preserve"> ו</w:t>
      </w:r>
      <w:r w:rsidRPr="00861D72">
        <w:rPr>
          <w:rFonts w:eastAsia="Calibri" w:hint="eastAsia"/>
          <w:b/>
          <w:bCs/>
          <w:rtl/>
        </w:rPr>
        <w:t>משרד</w:t>
      </w:r>
      <w:r w:rsidRPr="00861D72">
        <w:rPr>
          <w:rFonts w:eastAsia="Calibri"/>
          <w:b/>
          <w:bCs/>
          <w:rtl/>
        </w:rPr>
        <w:t xml:space="preserve"> </w:t>
      </w:r>
      <w:r w:rsidRPr="00861D72">
        <w:rPr>
          <w:rFonts w:eastAsia="Calibri" w:hint="eastAsia"/>
          <w:b/>
          <w:bCs/>
          <w:rtl/>
        </w:rPr>
        <w:t>הבריאות</w:t>
      </w:r>
      <w:r w:rsidRPr="00861D72">
        <w:rPr>
          <w:rFonts w:eastAsia="Calibri"/>
          <w:b/>
          <w:bCs/>
          <w:rtl/>
        </w:rPr>
        <w:t xml:space="preserve"> </w:t>
      </w:r>
      <w:r w:rsidRPr="00861D72">
        <w:rPr>
          <w:rFonts w:eastAsia="Calibri" w:hint="eastAsia"/>
          <w:b/>
          <w:bCs/>
          <w:rtl/>
        </w:rPr>
        <w:t>באירלנד</w:t>
      </w:r>
      <w:r w:rsidRPr="00861D72">
        <w:rPr>
          <w:rFonts w:eastAsia="Calibri"/>
          <w:b/>
          <w:bCs/>
          <w:rtl/>
        </w:rPr>
        <w:t xml:space="preserve">, </w:t>
      </w:r>
      <w:r w:rsidRPr="00861D72">
        <w:rPr>
          <w:rFonts w:eastAsia="Calibri" w:hint="eastAsia"/>
          <w:b/>
          <w:bCs/>
          <w:rtl/>
        </w:rPr>
        <w:t>המוביל</w:t>
      </w:r>
      <w:r w:rsidRPr="00861D72">
        <w:rPr>
          <w:rFonts w:eastAsia="Calibri"/>
          <w:b/>
          <w:bCs/>
          <w:rtl/>
        </w:rPr>
        <w:t xml:space="preserve"> </w:t>
      </w:r>
      <w:r w:rsidRPr="00861D72">
        <w:rPr>
          <w:rFonts w:eastAsia="Calibri" w:hint="eastAsia"/>
          <w:b/>
          <w:bCs/>
          <w:rtl/>
        </w:rPr>
        <w:t>את</w:t>
      </w:r>
      <w:r w:rsidRPr="00861D72">
        <w:rPr>
          <w:rFonts w:eastAsia="Calibri"/>
          <w:b/>
          <w:bCs/>
          <w:rtl/>
        </w:rPr>
        <w:t xml:space="preserve"> </w:t>
      </w:r>
      <w:r w:rsidRPr="00861D72">
        <w:rPr>
          <w:rFonts w:eastAsia="Calibri" w:hint="eastAsia"/>
          <w:b/>
          <w:bCs/>
          <w:rtl/>
        </w:rPr>
        <w:t>האסטרטגיה</w:t>
      </w:r>
      <w:r w:rsidRPr="00861D72">
        <w:rPr>
          <w:rFonts w:eastAsia="Calibri"/>
          <w:b/>
          <w:bCs/>
          <w:rtl/>
        </w:rPr>
        <w:t xml:space="preserve"> </w:t>
      </w:r>
      <w:r w:rsidRPr="00861D72">
        <w:rPr>
          <w:rFonts w:eastAsia="Calibri" w:hint="eastAsia"/>
          <w:b/>
          <w:bCs/>
          <w:rtl/>
        </w:rPr>
        <w:t>הלאומית</w:t>
      </w:r>
      <w:r w:rsidRPr="00861D72">
        <w:rPr>
          <w:rFonts w:eastAsia="Calibri"/>
          <w:b/>
          <w:bCs/>
          <w:rtl/>
        </w:rPr>
        <w:t xml:space="preserve"> </w:t>
      </w:r>
      <w:r w:rsidRPr="00861D72">
        <w:rPr>
          <w:rFonts w:eastAsia="Calibri" w:hint="eastAsia"/>
          <w:b/>
          <w:bCs/>
          <w:rtl/>
        </w:rPr>
        <w:t>להזדקנות</w:t>
      </w:r>
      <w:r w:rsidRPr="00861D72">
        <w:rPr>
          <w:rFonts w:eastAsia="Calibri"/>
          <w:b/>
          <w:bCs/>
          <w:rtl/>
        </w:rPr>
        <w:t xml:space="preserve"> </w:t>
      </w:r>
      <w:r w:rsidRPr="00861D72">
        <w:rPr>
          <w:rFonts w:eastAsia="Calibri" w:hint="eastAsia"/>
          <w:b/>
          <w:bCs/>
          <w:rtl/>
        </w:rPr>
        <w:t>חיובית</w:t>
      </w:r>
      <w:r w:rsidRPr="00861D72">
        <w:rPr>
          <w:rFonts w:eastAsia="Calibri" w:hint="cs"/>
          <w:b/>
          <w:bCs/>
          <w:rtl/>
        </w:rPr>
        <w:t xml:space="preserve">, </w:t>
      </w:r>
      <w:r w:rsidRPr="00861D72">
        <w:rPr>
          <w:rFonts w:eastAsia="Calibri"/>
          <w:b/>
          <w:bCs/>
          <w:rtl/>
        </w:rPr>
        <w:t xml:space="preserve">תחום ההזדקנות מפוצל בין משרדים רבים ללא </w:t>
      </w:r>
      <w:r w:rsidRPr="00861D72">
        <w:rPr>
          <w:rFonts w:eastAsia="Calibri" w:hint="cs"/>
          <w:b/>
          <w:bCs/>
          <w:rtl/>
        </w:rPr>
        <w:t xml:space="preserve">גורם </w:t>
      </w:r>
      <w:r w:rsidRPr="00861D72">
        <w:rPr>
          <w:rFonts w:eastAsia="Calibri" w:hint="cs"/>
          <w:b/>
          <w:bCs/>
          <w:rtl/>
        </w:rPr>
        <w:t>מתכלל</w:t>
      </w:r>
      <w:r w:rsidRPr="00861D72">
        <w:rPr>
          <w:rFonts w:eastAsia="Calibri" w:hint="cs"/>
          <w:b/>
          <w:bCs/>
          <w:rtl/>
        </w:rPr>
        <w:t>.</w:t>
      </w:r>
      <w:r w:rsidRPr="00861D72">
        <w:rPr>
          <w:rFonts w:eastAsia="Calibri"/>
          <w:b/>
          <w:bCs/>
          <w:rtl/>
        </w:rPr>
        <w:t xml:space="preserve"> המשרד לשוויון חברתי, שאמור היה לשאת בתפקיד זה, אינו מצויד בסמכויות מחייבות, בתקציב או במעמד בין</w:t>
      </w:r>
      <w:r w:rsidRPr="00861D72">
        <w:rPr>
          <w:rFonts w:eastAsia="Calibri" w:hint="cs"/>
          <w:b/>
          <w:bCs/>
          <w:rtl/>
        </w:rPr>
        <w:t>-</w:t>
      </w:r>
      <w:r w:rsidRPr="00861D72">
        <w:rPr>
          <w:rFonts w:eastAsia="Calibri"/>
          <w:b/>
          <w:bCs/>
          <w:rtl/>
        </w:rPr>
        <w:t>משרדי המאפשר הכרעה ומעקב מחייב</w:t>
      </w:r>
      <w:r w:rsidRPr="00861D72">
        <w:rPr>
          <w:rFonts w:eastAsia="Calibri" w:hint="cs"/>
          <w:b/>
          <w:bCs/>
          <w:rtl/>
        </w:rPr>
        <w:t xml:space="preserve">, ואגף בכיר אזרחים ותיקים הועבר בין משרדי הממשלה הלוך ושוב, כך שהוא חסר יציבות ארגונית הדרושה לגורם </w:t>
      </w:r>
      <w:r w:rsidRPr="00861D72">
        <w:rPr>
          <w:rFonts w:eastAsia="Calibri" w:hint="cs"/>
          <w:b/>
          <w:bCs/>
          <w:rtl/>
        </w:rPr>
        <w:t>מתכלל</w:t>
      </w:r>
      <w:r w:rsidRPr="00861D72">
        <w:rPr>
          <w:rFonts w:eastAsia="Calibri" w:hint="cs"/>
          <w:b/>
          <w:bCs/>
          <w:rtl/>
        </w:rPr>
        <w:t>.</w:t>
      </w:r>
      <w:r w:rsidRPr="00861D72">
        <w:rPr>
          <w:rFonts w:eastAsia="Calibri"/>
          <w:b/>
          <w:bCs/>
          <w:rtl/>
        </w:rPr>
        <w:t xml:space="preserve"> היעדר הובלה </w:t>
      </w:r>
      <w:r w:rsidRPr="00861D72">
        <w:rPr>
          <w:rFonts w:eastAsia="Calibri" w:hint="cs"/>
          <w:b/>
          <w:bCs/>
          <w:rtl/>
        </w:rPr>
        <w:t>והיעדר תכלול</w:t>
      </w:r>
      <w:r w:rsidRPr="00861D72">
        <w:rPr>
          <w:rFonts w:eastAsia="Calibri"/>
          <w:b/>
          <w:bCs/>
          <w:rtl/>
        </w:rPr>
        <w:t xml:space="preserve"> מ</w:t>
      </w:r>
      <w:r w:rsidRPr="00861D72">
        <w:rPr>
          <w:rFonts w:eastAsia="Calibri" w:hint="cs"/>
          <w:b/>
          <w:bCs/>
          <w:rtl/>
        </w:rPr>
        <w:t>ביאים</w:t>
      </w:r>
      <w:r w:rsidRPr="00861D72">
        <w:rPr>
          <w:rFonts w:eastAsia="Calibri"/>
          <w:b/>
          <w:bCs/>
          <w:rtl/>
        </w:rPr>
        <w:t xml:space="preserve"> </w:t>
      </w:r>
      <w:r w:rsidRPr="00861D72">
        <w:rPr>
          <w:rFonts w:eastAsia="Calibri" w:hint="cs"/>
          <w:b/>
          <w:bCs/>
          <w:rtl/>
        </w:rPr>
        <w:t>ל</w:t>
      </w:r>
      <w:r w:rsidRPr="00861D72">
        <w:rPr>
          <w:rFonts w:eastAsia="Calibri"/>
          <w:b/>
          <w:bCs/>
          <w:rtl/>
        </w:rPr>
        <w:t xml:space="preserve">מדיניות נקודתית ולא עקבית </w:t>
      </w:r>
      <w:r w:rsidRPr="00861D72">
        <w:rPr>
          <w:rFonts w:eastAsia="Calibri" w:hint="cs"/>
          <w:b/>
          <w:bCs/>
          <w:rtl/>
        </w:rPr>
        <w:t>ו</w:t>
      </w:r>
      <w:r w:rsidRPr="00861D72">
        <w:rPr>
          <w:rFonts w:eastAsia="Calibri"/>
          <w:b/>
          <w:bCs/>
          <w:rtl/>
        </w:rPr>
        <w:t>פוגע</w:t>
      </w:r>
      <w:r w:rsidRPr="00861D72">
        <w:rPr>
          <w:rFonts w:eastAsia="Calibri" w:hint="cs"/>
          <w:b/>
          <w:bCs/>
          <w:rtl/>
        </w:rPr>
        <w:t>ים</w:t>
      </w:r>
      <w:r w:rsidRPr="00861D72">
        <w:rPr>
          <w:rFonts w:eastAsia="Calibri"/>
          <w:b/>
          <w:bCs/>
          <w:rtl/>
        </w:rPr>
        <w:t xml:space="preserve"> ברצף השירות</w:t>
      </w:r>
      <w:r w:rsidRPr="00861D72">
        <w:rPr>
          <w:rFonts w:eastAsia="Calibri" w:hint="cs"/>
          <w:b/>
          <w:bCs/>
          <w:rtl/>
        </w:rPr>
        <w:t xml:space="preserve">. כמו כן לא הוגדר תקציב </w:t>
      </w:r>
      <w:r w:rsidRPr="00861D72">
        <w:rPr>
          <w:rFonts w:ascii="David" w:eastAsia="Times New Roman" w:hAnsi="David" w:hint="cs"/>
          <w:b/>
          <w:bCs/>
          <w:sz w:val="24"/>
          <w:rtl/>
          <w:lang w:eastAsia="he-IL"/>
        </w:rPr>
        <w:t>של גופי הממשל להיערכות להזדקנות האוכלוסייה, דבר המקשה על</w:t>
      </w:r>
      <w:r w:rsidRPr="00861D72">
        <w:rPr>
          <w:rFonts w:ascii="David" w:eastAsia="Times New Roman" w:hAnsi="David"/>
          <w:b/>
          <w:bCs/>
          <w:sz w:val="24"/>
          <w:rtl/>
          <w:lang w:eastAsia="he-IL"/>
        </w:rPr>
        <w:t xml:space="preserve"> טיפול מערכתי ומקיף</w:t>
      </w:r>
      <w:r w:rsidRPr="00861D72">
        <w:rPr>
          <w:rFonts w:ascii="David" w:eastAsia="Times New Roman" w:hAnsi="David" w:hint="cs"/>
          <w:b/>
          <w:bCs/>
          <w:sz w:val="24"/>
          <w:rtl/>
          <w:lang w:eastAsia="he-IL"/>
        </w:rPr>
        <w:t xml:space="preserve">, במיוחד </w:t>
      </w:r>
      <w:r w:rsidRPr="00861D72">
        <w:rPr>
          <w:rFonts w:ascii="David" w:eastAsia="Times New Roman" w:hAnsi="David"/>
          <w:b/>
          <w:bCs/>
          <w:sz w:val="24"/>
          <w:rtl/>
          <w:lang w:eastAsia="he-IL"/>
        </w:rPr>
        <w:t xml:space="preserve">בסוגיות חוצות-תחום, כדוגמת בדידות בקרב </w:t>
      </w:r>
      <w:r w:rsidRPr="00861D72">
        <w:rPr>
          <w:rFonts w:ascii="David" w:eastAsia="Times New Roman" w:hAnsi="David" w:hint="cs"/>
          <w:b/>
          <w:bCs/>
          <w:sz w:val="24"/>
          <w:rtl/>
          <w:lang w:eastAsia="he-IL"/>
        </w:rPr>
        <w:t>זקנים</w:t>
      </w:r>
      <w:r w:rsidRPr="00861D72">
        <w:rPr>
          <w:rFonts w:ascii="David" w:eastAsia="Times New Roman" w:hAnsi="David"/>
          <w:b/>
          <w:bCs/>
          <w:sz w:val="24"/>
          <w:rtl/>
          <w:lang w:eastAsia="he-IL"/>
        </w:rPr>
        <w:t xml:space="preserve">, </w:t>
      </w:r>
      <w:r w:rsidRPr="00861D72">
        <w:rPr>
          <w:rFonts w:ascii="David" w:eastAsia="Times New Roman" w:hAnsi="David" w:hint="cs"/>
          <w:b/>
          <w:bCs/>
          <w:sz w:val="24"/>
          <w:rtl/>
          <w:lang w:eastAsia="he-IL"/>
        </w:rPr>
        <w:t>ה</w:t>
      </w:r>
      <w:r w:rsidRPr="00861D72">
        <w:rPr>
          <w:rFonts w:ascii="David" w:eastAsia="Times New Roman" w:hAnsi="David"/>
          <w:b/>
          <w:bCs/>
          <w:sz w:val="24"/>
          <w:rtl/>
          <w:lang w:eastAsia="he-IL"/>
        </w:rPr>
        <w:t xml:space="preserve">נוגעת בו זמנית לרווחה ולבריאות. </w:t>
      </w:r>
      <w:r w:rsidRPr="00861D72">
        <w:rPr>
          <w:rFonts w:eastAsia="Calibri" w:hint="cs"/>
          <w:b/>
          <w:bCs/>
          <w:rtl/>
        </w:rPr>
        <w:t xml:space="preserve">עוד עלה בביקורת </w:t>
      </w:r>
      <w:r w:rsidRPr="00861D72">
        <w:rPr>
          <w:rFonts w:eastAsia="Calibri" w:hint="eastAsia"/>
          <w:b/>
          <w:bCs/>
          <w:rtl/>
        </w:rPr>
        <w:t>כי</w:t>
      </w:r>
      <w:r w:rsidRPr="00861D72">
        <w:rPr>
          <w:rFonts w:eastAsia="Calibri"/>
          <w:b/>
          <w:bCs/>
          <w:rtl/>
        </w:rPr>
        <w:t xml:space="preserve"> </w:t>
      </w:r>
      <w:r w:rsidRPr="00861D72">
        <w:rPr>
          <w:rFonts w:ascii="David" w:eastAsia="Times New Roman" w:hAnsi="David" w:hint="eastAsia"/>
          <w:b/>
          <w:bCs/>
          <w:sz w:val="24"/>
          <w:rtl/>
          <w:lang w:eastAsia="he-IL"/>
        </w:rPr>
        <w:t>שלא</w:t>
      </w:r>
      <w:r w:rsidRPr="00861D72">
        <w:rPr>
          <w:rFonts w:ascii="David" w:eastAsia="Times New Roman" w:hAnsi="David"/>
          <w:b/>
          <w:bCs/>
          <w:sz w:val="24"/>
          <w:rtl/>
          <w:lang w:eastAsia="he-IL"/>
        </w:rPr>
        <w:t xml:space="preserve"> </w:t>
      </w:r>
      <w:r w:rsidRPr="00861D72">
        <w:rPr>
          <w:rFonts w:ascii="David" w:eastAsia="Times New Roman" w:hAnsi="David" w:hint="eastAsia"/>
          <w:b/>
          <w:bCs/>
          <w:sz w:val="24"/>
          <w:rtl/>
          <w:lang w:eastAsia="he-IL"/>
        </w:rPr>
        <w:t>בהתאם</w:t>
      </w:r>
      <w:r w:rsidRPr="00861D72">
        <w:rPr>
          <w:rFonts w:ascii="David" w:eastAsia="Times New Roman" w:hAnsi="David" w:hint="cs"/>
          <w:b/>
          <w:bCs/>
          <w:sz w:val="24"/>
          <w:rtl/>
          <w:lang w:eastAsia="he-IL"/>
        </w:rPr>
        <w:t xml:space="preserve"> לקבוע בחוק, השרה לשוויון חברתי לא מינתה חברי מועצה חדשים מאז שפקע </w:t>
      </w:r>
      <w:r w:rsidRPr="00861D72">
        <w:rPr>
          <w:rFonts w:ascii="David" w:eastAsia="Calibri" w:hAnsi="David" w:hint="cs"/>
          <w:b/>
          <w:bCs/>
          <w:rtl/>
          <w:lang w:eastAsia="he-IL"/>
        </w:rPr>
        <w:t>תוקפם של כתבי המינוי לחברי המועצה בשנת 2023</w:t>
      </w:r>
      <w:r w:rsidRPr="00861D72">
        <w:rPr>
          <w:rFonts w:ascii="David" w:eastAsia="Times New Roman" w:hAnsi="David" w:hint="cs"/>
          <w:b/>
          <w:bCs/>
          <w:sz w:val="24"/>
          <w:rtl/>
          <w:lang w:eastAsia="he-IL"/>
        </w:rPr>
        <w:t xml:space="preserve">, ולכן המועצה ציבורית לענייני אזרחים ותיקים לא פעילה. </w:t>
      </w:r>
    </w:p>
    <w:p w:rsidR="00861D72" w:rsidRPr="00861D72" w:rsidP="00F90255">
      <w:pPr>
        <w:spacing w:line="269" w:lineRule="auto"/>
        <w:ind w:left="424"/>
        <w:rPr>
          <w:rFonts w:eastAsia="Calibri"/>
          <w:rtl/>
        </w:rPr>
      </w:pPr>
    </w:p>
    <w:p w:rsidR="00861D72" w:rsidRPr="00861D72" w:rsidP="00F90255">
      <w:pPr>
        <w:spacing w:line="269" w:lineRule="auto"/>
        <w:rPr>
          <w:rFonts w:eastAsia="Calibri"/>
          <w:rtl/>
        </w:rPr>
      </w:pPr>
      <w:r w:rsidRPr="00861D72">
        <w:rPr>
          <w:rFonts w:ascii="David" w:eastAsia="Times New Roman" w:hAnsi="David"/>
          <w:b/>
          <w:bCs/>
          <w:sz w:val="24"/>
          <w:rtl/>
          <w:lang w:eastAsia="he-IL"/>
        </w:rPr>
        <w:t xml:space="preserve">שיתופי פעולה הם תנאי יסוד לבניית רצף טיפולי ושירותי, לתכנון מבוסס נתונים ולייעול השימוש </w:t>
      </w:r>
      <w:r w:rsidRPr="00861D72">
        <w:rPr>
          <w:rFonts w:eastAsia="Calibri"/>
          <w:b/>
          <w:bCs/>
          <w:sz w:val="40"/>
          <w:rtl/>
        </w:rPr>
        <w:t>במשאבים</w:t>
      </w:r>
      <w:r w:rsidRPr="00861D72">
        <w:rPr>
          <w:rFonts w:ascii="David" w:eastAsia="Times New Roman" w:hAnsi="David"/>
          <w:b/>
          <w:bCs/>
          <w:sz w:val="24"/>
          <w:rtl/>
          <w:lang w:eastAsia="he-IL"/>
        </w:rPr>
        <w:t xml:space="preserve"> ציבוריים</w:t>
      </w:r>
      <w:r w:rsidRPr="00861D72">
        <w:rPr>
          <w:rFonts w:ascii="David" w:eastAsia="Times New Roman" w:hAnsi="David" w:hint="cs"/>
          <w:b/>
          <w:bCs/>
          <w:sz w:val="24"/>
          <w:rtl/>
          <w:lang w:eastAsia="he-IL"/>
        </w:rPr>
        <w:t xml:space="preserve">. בביקורת עלה כי בפועל </w:t>
      </w:r>
      <w:r w:rsidRPr="00861D72">
        <w:rPr>
          <w:rFonts w:eastAsia="Calibri" w:hint="cs"/>
          <w:b/>
          <w:bCs/>
          <w:rtl/>
          <w:lang w:eastAsia="he-IL"/>
        </w:rPr>
        <w:t>קיימים גופים רבים העוסקים בהזדקנות האוכלוסייה ומעניקים לאוכלוסייה זו שירותים, אך מידת שיתוף הפעולה ביניהם חלקית,</w:t>
      </w:r>
      <w:r w:rsidRPr="00861D72">
        <w:rPr>
          <w:rFonts w:eastAsia="Calibri" w:hint="cs"/>
          <w:b/>
          <w:bCs/>
          <w:rtl/>
        </w:rPr>
        <w:t xml:space="preserve"> וכך גם העברת המידע ביניהם. כך לדוגמה, </w:t>
      </w:r>
      <w:r w:rsidRPr="00861D72">
        <w:rPr>
          <w:rFonts w:ascii="David" w:eastAsia="Calibri" w:hAnsi="David"/>
          <w:b/>
          <w:bCs/>
          <w:sz w:val="24"/>
          <w:rtl/>
        </w:rPr>
        <w:t xml:space="preserve">במלחמת חרבות ברזל לא הייתה "תמונת מצב לאומית" </w:t>
      </w:r>
      <w:r w:rsidRPr="00861D72">
        <w:rPr>
          <w:rFonts w:ascii="David" w:eastAsia="Calibri" w:hAnsi="David"/>
          <w:b/>
          <w:bCs/>
          <w:sz w:val="24"/>
          <w:rtl/>
        </w:rPr>
        <w:t>מתכללת</w:t>
      </w:r>
      <w:r w:rsidRPr="00861D72">
        <w:rPr>
          <w:rFonts w:ascii="David" w:eastAsia="Calibri" w:hAnsi="David"/>
          <w:b/>
          <w:bCs/>
          <w:sz w:val="24"/>
          <w:rtl/>
        </w:rPr>
        <w:t xml:space="preserve">, הציבור נתקל במערך שירות מפוצל, וברשויות </w:t>
      </w:r>
      <w:r w:rsidRPr="00861D72">
        <w:rPr>
          <w:rFonts w:ascii="David" w:eastAsia="Calibri" w:hAnsi="David" w:hint="eastAsia"/>
          <w:b/>
          <w:bCs/>
          <w:sz w:val="24"/>
          <w:rtl/>
        </w:rPr>
        <w:t>אף</w:t>
      </w:r>
      <w:r w:rsidRPr="00861D72">
        <w:rPr>
          <w:rFonts w:ascii="David" w:eastAsia="Calibri" w:hAnsi="David"/>
          <w:b/>
          <w:bCs/>
          <w:sz w:val="24"/>
          <w:rtl/>
        </w:rPr>
        <w:t xml:space="preserve"> נמצאו פערים גדולים בין מאגרי מידע והיעדר מאגר עדכני של זקנים, מה שחייב עבודת איחוד נתונים ידנית בשיא </w:t>
      </w:r>
      <w:r w:rsidRPr="00861D72">
        <w:rPr>
          <w:rFonts w:ascii="David" w:eastAsia="Calibri" w:hAnsi="David" w:hint="eastAsia"/>
          <w:b/>
          <w:bCs/>
          <w:sz w:val="24"/>
          <w:rtl/>
        </w:rPr>
        <w:t>תקופת</w:t>
      </w:r>
      <w:r w:rsidRPr="00861D72">
        <w:rPr>
          <w:rFonts w:ascii="David" w:eastAsia="Calibri" w:hAnsi="David"/>
          <w:b/>
          <w:bCs/>
          <w:sz w:val="24"/>
          <w:rtl/>
        </w:rPr>
        <w:t xml:space="preserve"> החירום ופגע במהירות המענים ובדיוקם</w:t>
      </w:r>
      <w:r w:rsidRPr="00861D72">
        <w:rPr>
          <w:rFonts w:ascii="David" w:eastAsia="Calibri" w:hAnsi="David" w:hint="cs"/>
          <w:b/>
          <w:bCs/>
          <w:sz w:val="24"/>
          <w:rtl/>
        </w:rPr>
        <w:t>.</w:t>
      </w:r>
      <w:r w:rsidRPr="00861D72">
        <w:rPr>
          <w:rFonts w:eastAsia="Calibri" w:hint="cs"/>
          <w:b/>
          <w:bCs/>
          <w:rtl/>
        </w:rPr>
        <w:t xml:space="preserve"> חולשה זו פוגעת ביכולתם של משרדי הממשלה לגבש מדיניות מערכתית ארוכת טווח, לפתח שירותים לזקנים ולנצל באופן מיטבי את המשאבים העומדים </w:t>
      </w:r>
      <w:r w:rsidRPr="00861D72">
        <w:rPr>
          <w:rFonts w:eastAsia="Calibri" w:hint="cs"/>
          <w:b/>
          <w:bCs/>
          <w:rtl/>
        </w:rPr>
        <w:t>לרשותם, ובד בבד פוגעת ביכולת של האזרחים הוותיקים למצות את זכויותיהם ומטילה עליהם עומס בירוקרטי כבד.</w:t>
      </w:r>
    </w:p>
    <w:p w:rsidR="00861D72" w:rsidRPr="00861D72" w:rsidP="00F90255">
      <w:pPr>
        <w:spacing w:line="269" w:lineRule="auto"/>
        <w:ind w:left="424"/>
        <w:rPr>
          <w:rFonts w:eastAsia="Calibri"/>
          <w:rtl/>
        </w:rPr>
      </w:pPr>
    </w:p>
    <w:p w:rsidR="00F954E4" w:rsidRPr="009764B6" w:rsidP="009764B6">
      <w:pPr>
        <w:widowControl w:val="0"/>
        <w:spacing w:line="269" w:lineRule="auto"/>
        <w:rPr>
          <w:rFonts w:eastAsia="Calibri"/>
          <w:b/>
          <w:bCs/>
        </w:rPr>
      </w:pPr>
      <w:bookmarkStart w:id="68" w:name="_Hlk222225270"/>
      <w:r w:rsidRPr="00861D72">
        <w:rPr>
          <w:rFonts w:eastAsia="Calibri" w:hint="cs"/>
          <w:b/>
          <w:bCs/>
          <w:rtl/>
        </w:rPr>
        <w:t xml:space="preserve">בשל </w:t>
      </w:r>
      <w:r w:rsidRPr="00861D72">
        <w:rPr>
          <w:rFonts w:eastAsia="Calibri"/>
          <w:b/>
          <w:bCs/>
          <w:rtl/>
        </w:rPr>
        <w:t>חשיבות ההתמודדות עם אתגר</w:t>
      </w:r>
      <w:r w:rsidRPr="00861D72">
        <w:rPr>
          <w:rFonts w:eastAsia="Calibri" w:hint="cs"/>
          <w:b/>
          <w:bCs/>
          <w:rtl/>
        </w:rPr>
        <w:t xml:space="preserve"> </w:t>
      </w:r>
      <w:r w:rsidRPr="00861D72">
        <w:rPr>
          <w:rFonts w:eastAsia="Calibri"/>
          <w:b/>
          <w:bCs/>
          <w:rtl/>
        </w:rPr>
        <w:t>הזדקנות האוכלוסייה</w:t>
      </w:r>
      <w:r w:rsidRPr="00861D72">
        <w:rPr>
          <w:rFonts w:eastAsia="Calibri" w:hint="cs"/>
          <w:b/>
          <w:bCs/>
          <w:rtl/>
        </w:rPr>
        <w:t xml:space="preserve">, </w:t>
      </w:r>
      <w:r w:rsidRPr="00861D72">
        <w:rPr>
          <w:rFonts w:eastAsia="Calibri"/>
          <w:b/>
          <w:bCs/>
          <w:rtl/>
        </w:rPr>
        <w:t xml:space="preserve">מומלץ כי </w:t>
      </w:r>
      <w:r w:rsidRPr="00861D72">
        <w:rPr>
          <w:rFonts w:eastAsia="Calibri" w:hint="cs"/>
          <w:b/>
          <w:bCs/>
          <w:rtl/>
        </w:rPr>
        <w:t>גופי</w:t>
      </w:r>
      <w:r w:rsidRPr="00861D72">
        <w:rPr>
          <w:rFonts w:eastAsia="Calibri"/>
          <w:b/>
          <w:bCs/>
          <w:rtl/>
        </w:rPr>
        <w:t xml:space="preserve"> הממשל הרלוונטיים, ובהם משרד </w:t>
      </w:r>
      <w:r w:rsidRPr="00861D72">
        <w:rPr>
          <w:rFonts w:eastAsia="Calibri" w:hint="cs"/>
          <w:b/>
          <w:bCs/>
          <w:rtl/>
        </w:rPr>
        <w:t>רה"ם</w:t>
      </w:r>
      <w:r w:rsidRPr="00861D72">
        <w:rPr>
          <w:rFonts w:eastAsia="Calibri"/>
          <w:b/>
          <w:bCs/>
          <w:rtl/>
        </w:rPr>
        <w:t xml:space="preserve">, משרד הבריאות, משרד הרווחה, המשרד לשוויון חברתי </w:t>
      </w:r>
      <w:r w:rsidRPr="00861D72">
        <w:rPr>
          <w:rFonts w:eastAsia="Calibri" w:hint="cs"/>
          <w:b/>
          <w:bCs/>
          <w:rtl/>
        </w:rPr>
        <w:t>ובט"ל</w:t>
      </w:r>
      <w:r w:rsidRPr="00861D72">
        <w:rPr>
          <w:rFonts w:eastAsia="Calibri"/>
          <w:b/>
          <w:bCs/>
          <w:rtl/>
        </w:rPr>
        <w:t xml:space="preserve">, יגבשו </w:t>
      </w:r>
      <w:r w:rsidRPr="00861D72">
        <w:rPr>
          <w:rFonts w:eastAsia="Calibri"/>
          <w:b/>
          <w:bCs/>
          <w:rtl/>
        </w:rPr>
        <w:t>תוכנית</w:t>
      </w:r>
      <w:r w:rsidRPr="00861D72">
        <w:rPr>
          <w:rFonts w:eastAsia="Calibri"/>
          <w:b/>
          <w:bCs/>
          <w:rtl/>
        </w:rPr>
        <w:t xml:space="preserve"> לאומית רב</w:t>
      </w:r>
      <w:r w:rsidRPr="00861D72">
        <w:rPr>
          <w:rFonts w:eastAsia="Calibri" w:hint="cs"/>
          <w:b/>
          <w:bCs/>
          <w:rtl/>
        </w:rPr>
        <w:t>-</w:t>
      </w:r>
      <w:r w:rsidRPr="00861D72">
        <w:rPr>
          <w:rFonts w:eastAsia="Calibri"/>
          <w:b/>
          <w:bCs/>
          <w:rtl/>
        </w:rPr>
        <w:t xml:space="preserve">שנתית בתחום זה. </w:t>
      </w:r>
      <w:bookmarkEnd w:id="68"/>
      <w:r w:rsidRPr="00861D72">
        <w:rPr>
          <w:rFonts w:eastAsia="Calibri"/>
          <w:b/>
          <w:bCs/>
          <w:rtl/>
        </w:rPr>
        <w:t>תוכנית</w:t>
      </w:r>
      <w:r w:rsidRPr="00861D72">
        <w:rPr>
          <w:rFonts w:eastAsia="Calibri"/>
          <w:b/>
          <w:bCs/>
          <w:rtl/>
        </w:rPr>
        <w:t xml:space="preserve"> זו צריכה להיות אופרטיבית ולתרגם הלכה למעשה את התוכנית האסטרטגית ואת מפת המדדים שנקבעו,</w:t>
      </w:r>
      <w:r w:rsidRPr="00861D72">
        <w:rPr>
          <w:rFonts w:eastAsia="Calibri" w:hint="cs"/>
          <w:b/>
          <w:bCs/>
          <w:rtl/>
        </w:rPr>
        <w:t xml:space="preserve"> </w:t>
      </w:r>
      <w:r w:rsidRPr="00861D72">
        <w:rPr>
          <w:rFonts w:eastAsia="Calibri"/>
          <w:b/>
          <w:bCs/>
          <w:rtl/>
        </w:rPr>
        <w:t>ובכלל זה לקבוע תחומי פעולה מרכזיים להזדקנות האוכלוסייה</w:t>
      </w:r>
      <w:r w:rsidRPr="00861D72">
        <w:rPr>
          <w:rFonts w:eastAsia="Calibri" w:hint="cs"/>
          <w:b/>
          <w:bCs/>
          <w:rtl/>
        </w:rPr>
        <w:t xml:space="preserve">, </w:t>
      </w:r>
      <w:r w:rsidRPr="00861D72">
        <w:rPr>
          <w:rFonts w:eastAsia="Calibri"/>
          <w:b/>
          <w:bCs/>
          <w:rtl/>
        </w:rPr>
        <w:t>להסדיר את שיתופי הפעולה הנדרשים בין הגופים המעורבים ואת חלוקת האחריות ביניהם, לקבוע מנגנונים לשיתוף מידע, ולבצע מעקב שוטף אחר יישום התוכנית ועמידה ביעדים ש</w:t>
      </w:r>
      <w:r w:rsidRPr="00861D72">
        <w:rPr>
          <w:rFonts w:eastAsia="Calibri" w:hint="cs"/>
          <w:b/>
          <w:bCs/>
          <w:rtl/>
        </w:rPr>
        <w:t>יי</w:t>
      </w:r>
      <w:r w:rsidRPr="00861D72">
        <w:rPr>
          <w:rFonts w:eastAsia="Calibri"/>
          <w:b/>
          <w:bCs/>
          <w:rtl/>
        </w:rPr>
        <w:t>קבעו</w:t>
      </w:r>
      <w:r w:rsidRPr="00861D72">
        <w:rPr>
          <w:rFonts w:eastAsia="Calibri" w:hint="cs"/>
          <w:b/>
          <w:bCs/>
          <w:rtl/>
        </w:rPr>
        <w:t>. כמו כן</w:t>
      </w:r>
      <w:r w:rsidRPr="00861D72">
        <w:rPr>
          <w:rFonts w:eastAsia="Calibri"/>
          <w:b/>
          <w:bCs/>
          <w:rtl/>
        </w:rPr>
        <w:t xml:space="preserve">, מומלץ </w:t>
      </w:r>
      <w:r w:rsidRPr="00861D72">
        <w:rPr>
          <w:rFonts w:eastAsia="Calibri" w:hint="cs"/>
          <w:b/>
          <w:bCs/>
          <w:rtl/>
        </w:rPr>
        <w:t xml:space="preserve">כי יגבשו המלצות לגבי קביעת יעדים מדידים, יגדירו גורם </w:t>
      </w:r>
      <w:r w:rsidRPr="00861D72">
        <w:rPr>
          <w:rFonts w:eastAsia="Calibri" w:hint="cs"/>
          <w:b/>
          <w:bCs/>
          <w:rtl/>
        </w:rPr>
        <w:t>מתכלל</w:t>
      </w:r>
      <w:r w:rsidRPr="00861D72">
        <w:rPr>
          <w:rFonts w:eastAsia="Calibri" w:hint="cs"/>
          <w:b/>
          <w:bCs/>
          <w:rtl/>
        </w:rPr>
        <w:t xml:space="preserve"> בעל סמכות ואחריות ברורה והקצאת תקציבים ייעודיים למשרדי הממשלה השונים במסגרת תקציבית אחודה ויביאו</w:t>
      </w:r>
      <w:r w:rsidRPr="00861D72">
        <w:rPr>
          <w:rFonts w:eastAsia="Calibri"/>
          <w:b/>
          <w:bCs/>
          <w:rtl/>
        </w:rPr>
        <w:t xml:space="preserve"> את התוכנית </w:t>
      </w:r>
      <w:r w:rsidRPr="00861D72">
        <w:rPr>
          <w:rFonts w:eastAsia="Calibri" w:hint="cs"/>
          <w:b/>
          <w:bCs/>
          <w:rtl/>
        </w:rPr>
        <w:t xml:space="preserve">וההמלצות הנלוות </w:t>
      </w:r>
      <w:r w:rsidRPr="00861D72">
        <w:rPr>
          <w:rFonts w:eastAsia="Calibri"/>
          <w:b/>
          <w:bCs/>
          <w:rtl/>
        </w:rPr>
        <w:t>ל</w:t>
      </w:r>
      <w:r w:rsidRPr="00861D72">
        <w:rPr>
          <w:rFonts w:eastAsia="Calibri" w:hint="cs"/>
          <w:b/>
          <w:bCs/>
          <w:rtl/>
        </w:rPr>
        <w:t>בחינת</w:t>
      </w:r>
      <w:r w:rsidRPr="00861D72">
        <w:rPr>
          <w:rFonts w:eastAsia="Calibri"/>
          <w:b/>
          <w:bCs/>
          <w:rtl/>
        </w:rPr>
        <w:t xml:space="preserve"> הממשלה</w:t>
      </w:r>
      <w:r w:rsidRPr="00861D72">
        <w:rPr>
          <w:rFonts w:eastAsia="Calibri" w:hint="cs"/>
          <w:b/>
          <w:bCs/>
          <w:rtl/>
        </w:rPr>
        <w:t xml:space="preserve"> ואישורה</w:t>
      </w:r>
      <w:r w:rsidRPr="00861D72">
        <w:rPr>
          <w:rFonts w:eastAsia="Calibri"/>
          <w:b/>
          <w:bCs/>
          <w:rtl/>
        </w:rPr>
        <w:t xml:space="preserve">, </w:t>
      </w:r>
      <w:r w:rsidRPr="00861D72">
        <w:rPr>
          <w:rFonts w:eastAsia="Calibri" w:hint="cs"/>
          <w:b/>
          <w:bCs/>
          <w:rtl/>
        </w:rPr>
        <w:t>כדי</w:t>
      </w:r>
      <w:r w:rsidRPr="00861D72">
        <w:rPr>
          <w:rFonts w:eastAsia="Calibri"/>
          <w:b/>
          <w:bCs/>
          <w:rtl/>
        </w:rPr>
        <w:t xml:space="preserve"> להבטיח היערכות לאומית מיטבית להתמודדות עם האתגר החברתי</w:t>
      </w:r>
      <w:r w:rsidRPr="00861D72">
        <w:rPr>
          <w:rFonts w:eastAsia="Calibri" w:hint="cs"/>
          <w:b/>
          <w:bCs/>
          <w:rtl/>
        </w:rPr>
        <w:t>-</w:t>
      </w:r>
      <w:r w:rsidRPr="00861D72">
        <w:rPr>
          <w:rFonts w:eastAsia="Calibri"/>
          <w:b/>
          <w:bCs/>
          <w:rtl/>
        </w:rPr>
        <w:t>כלכלי של הזדקנות האוכלוסייה.</w:t>
      </w:r>
    </w:p>
    <w:sectPr w:rsidSect="006C2C6D">
      <w:headerReference w:type="default" r:id="rId47"/>
      <w:headerReference w:type="first" r:id="rId48"/>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Rubik">
    <w:altName w:val="Arial"/>
    <w:panose1 w:val="00000000000000000000"/>
    <w:charset w:val="00"/>
    <w:family w:val="roman"/>
    <w:notTrueType/>
    <w:pitch w:val="default"/>
  </w:font>
  <w:font w:name="ArialMT">
    <w:altName w:val="Arial"/>
    <w:panose1 w:val="00000000000000000000"/>
    <w:charset w:val="B1"/>
    <w:family w:val="auto"/>
    <w:notTrueType/>
    <w:pitch w:val="default"/>
    <w:sig w:usb0="00000801" w:usb1="00000000" w:usb2="00000000" w:usb3="00000000" w:csb0="00000020" w:csb1="00000000"/>
  </w:font>
  <w:font w:name="Arial-ItalicMT">
    <w:altName w:val="Arial"/>
    <w:panose1 w:val="00000000000000000000"/>
    <w:charset w:val="B1"/>
    <w:family w:val="auto"/>
    <w:notTrueType/>
    <w:pitch w:val="default"/>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16EC">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CC16EC"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CC16EC"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C16EC" w:rsidP="00C23CC9">
      <w:pPr>
        <w:spacing w:line="240" w:lineRule="auto"/>
      </w:pPr>
      <w:r>
        <w:separator/>
      </w:r>
    </w:p>
  </w:footnote>
  <w:footnote w:type="continuationSeparator" w:id="1">
    <w:p w:rsidR="00CC16EC" w:rsidP="00C23CC9">
      <w:pPr>
        <w:spacing w:line="240" w:lineRule="auto"/>
      </w:pPr>
      <w:r>
        <w:continuationSeparator/>
      </w:r>
    </w:p>
  </w:footnote>
  <w:footnote w:id="2">
    <w:p w:rsidR="00CC16EC" w:rsidRPr="009C482E" w:rsidP="00861D72">
      <w:pPr>
        <w:pStyle w:val="FootnoteText"/>
      </w:pPr>
      <w:r>
        <w:rPr>
          <w:rStyle w:val="FootnoteReference1"/>
        </w:rPr>
        <w:footnoteRef/>
      </w:r>
      <w:r>
        <w:rPr>
          <w:rtl/>
        </w:rPr>
        <w:tab/>
        <w:t xml:space="preserve">תוחלת חיים היא אומדן סטטיסטי של מספר השנים הממוצע </w:t>
      </w:r>
      <w:r>
        <w:rPr>
          <w:rFonts w:hint="cs"/>
          <w:rtl/>
        </w:rPr>
        <w:t>ה</w:t>
      </w:r>
      <w:r>
        <w:rPr>
          <w:rtl/>
        </w:rPr>
        <w:t xml:space="preserve">צפוי </w:t>
      </w:r>
      <w:r>
        <w:rPr>
          <w:rFonts w:hint="cs"/>
          <w:rtl/>
        </w:rPr>
        <w:t>ל</w:t>
      </w:r>
      <w:r>
        <w:rPr>
          <w:rtl/>
        </w:rPr>
        <w:t>אדם מאוכלוסייה מסוימת</w:t>
      </w:r>
      <w:r w:rsidRPr="00F468DD">
        <w:rPr>
          <w:rtl/>
        </w:rPr>
        <w:t xml:space="preserve"> </w:t>
      </w:r>
      <w:r>
        <w:rPr>
          <w:rtl/>
        </w:rPr>
        <w:t>לחיות</w:t>
      </w:r>
      <w:r>
        <w:rPr>
          <w:rFonts w:hint="cs"/>
          <w:rtl/>
        </w:rPr>
        <w:t xml:space="preserve"> </w:t>
      </w:r>
      <w:r>
        <w:rPr>
          <w:rtl/>
        </w:rPr>
        <w:t xml:space="preserve">בזמן ובמקום מסוימים בהנחה ששיעורי </w:t>
      </w:r>
      <w:r w:rsidRPr="009C482E">
        <w:rPr>
          <w:rtl/>
        </w:rPr>
        <w:t>התמותה בתקופת ההתייחסות יישארו זהים לאורך חייו</w:t>
      </w:r>
      <w:r>
        <w:rPr>
          <w:rFonts w:hint="cs"/>
          <w:rtl/>
        </w:rPr>
        <w:t>.</w:t>
      </w:r>
      <w:r w:rsidRPr="009C482E">
        <w:rPr>
          <w:rFonts w:hint="cs"/>
          <w:rtl/>
        </w:rPr>
        <w:t xml:space="preserve"> </w:t>
      </w:r>
      <w:r w:rsidRPr="009C482E">
        <w:rPr>
          <w:rtl/>
        </w:rPr>
        <w:t>דגן, מיכל</w:t>
      </w:r>
      <w:r>
        <w:rPr>
          <w:rFonts w:hint="cs"/>
          <w:rtl/>
        </w:rPr>
        <w:t xml:space="preserve">. </w:t>
      </w:r>
      <w:r w:rsidRPr="009C482E">
        <w:rPr>
          <w:rtl/>
        </w:rPr>
        <w:t>2018</w:t>
      </w:r>
      <w:r>
        <w:rPr>
          <w:rFonts w:hint="cs"/>
          <w:rtl/>
        </w:rPr>
        <w:t xml:space="preserve">. </w:t>
      </w:r>
      <w:r w:rsidRPr="009C482E">
        <w:rPr>
          <w:rtl/>
        </w:rPr>
        <w:t>רב</w:t>
      </w:r>
      <w:r>
        <w:rPr>
          <w:rFonts w:hint="cs"/>
          <w:rtl/>
        </w:rPr>
        <w:t>-</w:t>
      </w:r>
      <w:r w:rsidRPr="009C482E">
        <w:rPr>
          <w:rtl/>
        </w:rPr>
        <w:t>גיליות</w:t>
      </w:r>
      <w:r w:rsidRPr="009C482E">
        <w:rPr>
          <w:rtl/>
        </w:rPr>
        <w:t xml:space="preserve"> ותעסוקה: מדריך מושגים. ירושלים: ג'וינט ישראל</w:t>
      </w:r>
      <w:r>
        <w:rPr>
          <w:rFonts w:hint="cs"/>
          <w:rtl/>
        </w:rPr>
        <w:t>.</w:t>
      </w:r>
    </w:p>
  </w:footnote>
  <w:footnote w:id="3">
    <w:p w:rsidR="00CC16EC" w:rsidP="00861D72">
      <w:pPr>
        <w:pStyle w:val="FootnoteText"/>
      </w:pPr>
      <w:r>
        <w:rPr>
          <w:rStyle w:val="FootnoteReference1"/>
        </w:rPr>
        <w:footnoteRef/>
      </w:r>
      <w:r>
        <w:rPr>
          <w:rtl/>
        </w:rPr>
        <w:t xml:space="preserve"> </w:t>
      </w:r>
      <w:r>
        <w:rPr>
          <w:rtl/>
        </w:rPr>
        <w:tab/>
      </w:r>
      <w:r>
        <w:rPr>
          <w:rFonts w:hint="cs"/>
          <w:rtl/>
        </w:rPr>
        <w:t>על פי חוק אזרחים ותיקים, התש"ן-1989, אזרח ותיק הוא "תושב ישראל שהגיע לפי הרישום במרשם האוכלוסין לגיל פרישה": 63 לנשים ו-67 לגברים (לפי חוק פרישה, התשס"ד-2004).</w:t>
      </w:r>
    </w:p>
  </w:footnote>
  <w:footnote w:id="4">
    <w:p w:rsidR="00CC16EC" w:rsidP="00861D72">
      <w:pPr>
        <w:pStyle w:val="FootnoteText"/>
        <w:rPr>
          <w:rtl/>
        </w:rPr>
      </w:pPr>
      <w:r>
        <w:rPr>
          <w:rStyle w:val="FootnoteReference1"/>
        </w:rPr>
        <w:footnoteRef/>
      </w:r>
      <w:r>
        <w:rPr>
          <w:rtl/>
        </w:rPr>
        <w:t xml:space="preserve"> </w:t>
      </w:r>
      <w:r>
        <w:rPr>
          <w:rtl/>
        </w:rPr>
        <w:tab/>
      </w:r>
      <w:r>
        <w:rPr>
          <w:rFonts w:hint="cs"/>
          <w:rtl/>
        </w:rPr>
        <w:t>הלשכה המרכזית לסטטיסטיקה, ח</w:t>
      </w:r>
      <w:r w:rsidRPr="00D03EC0">
        <w:rPr>
          <w:rtl/>
        </w:rPr>
        <w:t>ודש האזרח הוותיק 2025: מבחר נתונים על אזרחי ישראל הוותיקים בני 65 ומעלה</w:t>
      </w:r>
      <w:r>
        <w:rPr>
          <w:rFonts w:hint="cs"/>
          <w:rtl/>
        </w:rPr>
        <w:t xml:space="preserve"> (30.9.25).</w:t>
      </w:r>
    </w:p>
  </w:footnote>
  <w:footnote w:id="5">
    <w:p w:rsidR="00CC16EC" w:rsidP="00861D72">
      <w:pPr>
        <w:pStyle w:val="FootnoteText"/>
        <w:rPr>
          <w:rtl/>
        </w:rPr>
      </w:pPr>
      <w:r>
        <w:rPr>
          <w:rStyle w:val="FootnoteReference1"/>
        </w:rPr>
        <w:footnoteRef/>
      </w:r>
      <w:r>
        <w:rPr>
          <w:rtl/>
        </w:rPr>
        <w:t xml:space="preserve"> </w:t>
      </w:r>
      <w:r>
        <w:rPr>
          <w:rtl/>
        </w:rPr>
        <w:tab/>
      </w:r>
      <w:r w:rsidRPr="00861D72">
        <w:rPr>
          <w:rFonts w:cs="Times New Roman"/>
          <w:color w:val="222222"/>
          <w:shd w:val="clear" w:color="auto" w:fill="FFFFFF"/>
        </w:rPr>
        <w:t>Scott, A. J., Ellison, M., &amp; Sinclair, D. A. (2021). The economic value of targeting aging. </w:t>
      </w:r>
      <w:r w:rsidRPr="00861D72">
        <w:rPr>
          <w:rFonts w:cs="Times New Roman"/>
          <w:i/>
          <w:iCs/>
          <w:color w:val="222222"/>
          <w:shd w:val="clear" w:color="auto" w:fill="FFFFFF"/>
        </w:rPr>
        <w:t>Nature Aging</w:t>
      </w:r>
      <w:r w:rsidRPr="00861D72">
        <w:rPr>
          <w:rFonts w:cs="Times New Roman"/>
          <w:color w:val="222222"/>
          <w:shd w:val="clear" w:color="auto" w:fill="FFFFFF"/>
        </w:rPr>
        <w:t>, </w:t>
      </w:r>
      <w:r w:rsidRPr="00861D72">
        <w:rPr>
          <w:rFonts w:cs="Times New Roman"/>
          <w:i/>
          <w:iCs/>
          <w:color w:val="222222"/>
          <w:shd w:val="clear" w:color="auto" w:fill="FFFFFF"/>
        </w:rPr>
        <w:t>1</w:t>
      </w:r>
      <w:r w:rsidRPr="00861D72">
        <w:rPr>
          <w:rFonts w:cs="Times New Roman"/>
          <w:color w:val="222222"/>
          <w:shd w:val="clear" w:color="auto" w:fill="FFFFFF"/>
        </w:rPr>
        <w:t>(7), 616-623.</w:t>
      </w:r>
      <w:r>
        <w:rPr>
          <w:rFonts w:ascii="Arial" w:hAnsi="Arial" w:cs="Arial"/>
          <w:color w:val="222222"/>
          <w:shd w:val="clear" w:color="auto" w:fill="FFFFFF"/>
          <w:rtl/>
        </w:rPr>
        <w:t>‏</w:t>
      </w:r>
      <w:r>
        <w:rPr>
          <w:rFonts w:hint="cs"/>
          <w:rtl/>
        </w:rPr>
        <w:t>, מתוך: המכון הלאומי לחקר שירותי הבריאות ומדיניות הבריאות (</w:t>
      </w:r>
      <w:r>
        <w:rPr>
          <w:rFonts w:hint="cs"/>
          <w:rtl/>
        </w:rPr>
        <w:t>ע"ר</w:t>
      </w:r>
      <w:r>
        <w:rPr>
          <w:rFonts w:hint="cs"/>
          <w:rtl/>
        </w:rPr>
        <w:t xml:space="preserve">), כנס ים המלח ה-23 בריאות </w:t>
      </w:r>
      <w:r>
        <w:rPr>
          <w:rFonts w:hint="cs"/>
          <w:rtl/>
        </w:rPr>
        <w:t>וזיקנה</w:t>
      </w:r>
      <w:r>
        <w:rPr>
          <w:rFonts w:hint="cs"/>
          <w:rtl/>
        </w:rPr>
        <w:t xml:space="preserve"> </w:t>
      </w:r>
      <w:r>
        <w:rPr>
          <w:rtl/>
        </w:rPr>
        <w:t>-</w:t>
      </w:r>
      <w:r>
        <w:rPr>
          <w:rFonts w:hint="cs"/>
          <w:rtl/>
        </w:rPr>
        <w:t xml:space="preserve"> ילכו שניהם יחד (3-4.12.25), עמ' 25-22.</w:t>
      </w:r>
    </w:p>
  </w:footnote>
  <w:footnote w:id="6">
    <w:p w:rsidR="00CC16EC" w:rsidP="00861D72">
      <w:pPr>
        <w:pStyle w:val="FootnoteText"/>
        <w:rPr>
          <w:rtl/>
        </w:rPr>
      </w:pPr>
      <w:r>
        <w:rPr>
          <w:rStyle w:val="FootnoteReference1"/>
        </w:rPr>
        <w:footnoteRef/>
      </w:r>
      <w:r>
        <w:rPr>
          <w:rtl/>
        </w:rPr>
        <w:t xml:space="preserve"> </w:t>
      </w:r>
      <w:r>
        <w:rPr>
          <w:rtl/>
        </w:rPr>
        <w:tab/>
      </w:r>
      <w:r w:rsidRPr="00F467B3">
        <w:t>Yeung, D. Y., &amp; Zhou, X. (2017). Planning for retirement: Longitudinal effect on retirement resources and post-retirement well-being. Frontiers in psychology, 8, 1300</w:t>
      </w:r>
      <w:r w:rsidRPr="00F467B3">
        <w:rPr>
          <w:rtl/>
        </w:rPr>
        <w:t>.</w:t>
      </w:r>
      <w:r>
        <w:rPr>
          <w:rFonts w:hint="cs"/>
          <w:rtl/>
        </w:rPr>
        <w:t xml:space="preserve"> </w:t>
      </w:r>
    </w:p>
  </w:footnote>
  <w:footnote w:id="7">
    <w:p w:rsidR="00CC16EC" w:rsidRPr="004D56FF" w:rsidP="00861D72">
      <w:pPr>
        <w:pStyle w:val="FootnoteText"/>
        <w:rPr>
          <w:rtl/>
        </w:rPr>
      </w:pPr>
      <w:r>
        <w:rPr>
          <w:rStyle w:val="FootnoteReference1"/>
        </w:rPr>
        <w:footnoteRef/>
      </w:r>
      <w:r>
        <w:rPr>
          <w:rtl/>
        </w:rPr>
        <w:t xml:space="preserve"> </w:t>
      </w:r>
      <w:r>
        <w:rPr>
          <w:rtl/>
        </w:rPr>
        <w:tab/>
      </w:r>
      <w:r>
        <w:rPr>
          <w:rFonts w:hint="cs"/>
          <w:rtl/>
        </w:rPr>
        <w:t xml:space="preserve">המועצה הלאומית לכלכלה, הערכת מצב אסטרטגית כלכלית-חברתית (2015; בדוח הביניים של הוועדה המשותפת לוועדת העבודה, הרווחה והבריאות וועדת הכלכלה לדיון בהצעה לסדר היום בנושא בניית </w:t>
      </w:r>
      <w:r>
        <w:rPr>
          <w:rFonts w:hint="cs"/>
          <w:rtl/>
        </w:rPr>
        <w:t>תוכנית</w:t>
      </w:r>
      <w:r>
        <w:rPr>
          <w:rFonts w:hint="cs"/>
          <w:rtl/>
        </w:rPr>
        <w:t xml:space="preserve"> אב לאומית בתחום הזקנה בראשות חברת הכנסת טלי </w:t>
      </w:r>
      <w:r>
        <w:rPr>
          <w:rFonts w:hint="cs"/>
          <w:rtl/>
        </w:rPr>
        <w:t>פלוסקוב</w:t>
      </w:r>
      <w:r>
        <w:rPr>
          <w:rFonts w:hint="cs"/>
          <w:rtl/>
        </w:rPr>
        <w:t>, (2018).</w:t>
      </w:r>
    </w:p>
  </w:footnote>
  <w:footnote w:id="8">
    <w:p w:rsidR="00CC16EC" w:rsidP="00861D72">
      <w:pPr>
        <w:pStyle w:val="FootnoteText"/>
        <w:rPr>
          <w:rtl/>
        </w:rPr>
      </w:pPr>
      <w:r>
        <w:rPr>
          <w:rStyle w:val="FootnoteReference1"/>
        </w:rPr>
        <w:footnoteRef/>
      </w:r>
      <w:r>
        <w:rPr>
          <w:rtl/>
        </w:rPr>
        <w:t xml:space="preserve"> </w:t>
      </w:r>
      <w:r>
        <w:rPr>
          <w:rtl/>
        </w:rPr>
        <w:tab/>
      </w:r>
      <w:r>
        <w:rPr>
          <w:rFonts w:hint="cs"/>
          <w:rtl/>
        </w:rPr>
        <w:t>למ"ס</w:t>
      </w:r>
      <w:r>
        <w:rPr>
          <w:rFonts w:hint="cs"/>
          <w:rtl/>
        </w:rPr>
        <w:t>, "מדדים לאומיים להזדקנות מיטבית בישראל 2022" (נובמבר 2024), עמ' 15.</w:t>
      </w:r>
    </w:p>
  </w:footnote>
  <w:footnote w:id="9">
    <w:p w:rsidR="00CC16EC" w:rsidRPr="006243F4" w:rsidP="00861D72">
      <w:pPr>
        <w:pStyle w:val="FootnoteText"/>
        <w:rPr>
          <w:rtl/>
        </w:rPr>
      </w:pPr>
      <w:r>
        <w:rPr>
          <w:rStyle w:val="FootnoteReference1"/>
        </w:rPr>
        <w:footnoteRef/>
      </w:r>
      <w:r>
        <w:rPr>
          <w:rtl/>
        </w:rPr>
        <w:t xml:space="preserve"> </w:t>
      </w:r>
      <w:r>
        <w:rPr>
          <w:rtl/>
        </w:rPr>
        <w:tab/>
      </w:r>
      <w:r>
        <w:rPr>
          <w:rFonts w:hint="cs"/>
          <w:rtl/>
        </w:rPr>
        <w:t>בהתאם ל</w:t>
      </w:r>
      <w:r w:rsidRPr="00970258">
        <w:rPr>
          <w:rtl/>
        </w:rPr>
        <w:t xml:space="preserve">החלטת הממשלה </w:t>
      </w:r>
      <w:r>
        <w:rPr>
          <w:rFonts w:hint="cs"/>
          <w:rtl/>
        </w:rPr>
        <w:t>127, "מפת מדדים לאומיים להזדקנות מיטבית" (19.7.21).</w:t>
      </w:r>
    </w:p>
  </w:footnote>
  <w:footnote w:id="10">
    <w:p w:rsidR="00CC16EC" w:rsidP="00861D72">
      <w:pPr>
        <w:pStyle w:val="FootnoteText"/>
      </w:pPr>
      <w:r>
        <w:rPr>
          <w:rStyle w:val="FootnoteReference1"/>
        </w:rPr>
        <w:footnoteRef/>
      </w:r>
      <w:r>
        <w:rPr>
          <w:rtl/>
        </w:rPr>
        <w:t xml:space="preserve"> </w:t>
      </w:r>
      <w:r>
        <w:rPr>
          <w:rtl/>
        </w:rPr>
        <w:tab/>
      </w:r>
      <w:r w:rsidRPr="00EA68E6">
        <w:rPr>
          <w:rtl/>
        </w:rPr>
        <w:t>דגן, מיכל. 2018. רב</w:t>
      </w:r>
      <w:r>
        <w:rPr>
          <w:rtl/>
        </w:rPr>
        <w:t>-</w:t>
      </w:r>
      <w:r w:rsidRPr="00EA68E6">
        <w:rPr>
          <w:rtl/>
        </w:rPr>
        <w:t>גיליות</w:t>
      </w:r>
      <w:r w:rsidRPr="00EA68E6">
        <w:rPr>
          <w:rtl/>
        </w:rPr>
        <w:t xml:space="preserve"> ותעסוקה: מדריך מושגים. ירושלים: ג'וינט ישראל</w:t>
      </w:r>
      <w:r>
        <w:rPr>
          <w:rFonts w:hint="cs"/>
          <w:rtl/>
        </w:rPr>
        <w:t>, עמ' 17.</w:t>
      </w:r>
    </w:p>
  </w:footnote>
  <w:footnote w:id="11">
    <w:p w:rsidR="00CC16EC" w:rsidP="00861D72">
      <w:pPr>
        <w:pStyle w:val="FootnoteText"/>
        <w:rPr>
          <w:rtl/>
        </w:rPr>
      </w:pPr>
      <w:r>
        <w:rPr>
          <w:rStyle w:val="FootnoteReference1"/>
        </w:rPr>
        <w:footnoteRef/>
      </w:r>
      <w:r>
        <w:rPr>
          <w:rtl/>
        </w:rPr>
        <w:t xml:space="preserve"> </w:t>
      </w:r>
      <w:r>
        <w:rPr>
          <w:rtl/>
        </w:rPr>
        <w:tab/>
      </w:r>
      <w:r>
        <w:rPr>
          <w:rtl/>
        </w:rPr>
        <w:t>חוק ביטוח בריאות ממלכתי, התשנ"ד</w:t>
      </w:r>
      <w:r>
        <w:rPr>
          <w:rFonts w:hint="cs"/>
          <w:rtl/>
        </w:rPr>
        <w:t>-</w:t>
      </w:r>
      <w:r>
        <w:rPr>
          <w:rtl/>
        </w:rPr>
        <w:t>1994</w:t>
      </w:r>
      <w:r>
        <w:rPr>
          <w:rFonts w:hint="cs"/>
          <w:rtl/>
        </w:rPr>
        <w:t>.</w:t>
      </w:r>
    </w:p>
  </w:footnote>
  <w:footnote w:id="12">
    <w:p w:rsidR="00CC16EC" w:rsidRPr="006243F4" w:rsidP="00861D72">
      <w:pPr>
        <w:pStyle w:val="FootnoteText"/>
        <w:rPr>
          <w:rtl/>
        </w:rPr>
      </w:pPr>
      <w:r>
        <w:rPr>
          <w:rStyle w:val="FootnoteReference1"/>
        </w:rPr>
        <w:footnoteRef/>
      </w:r>
      <w:r>
        <w:rPr>
          <w:rtl/>
        </w:rPr>
        <w:t xml:space="preserve"> </w:t>
      </w:r>
      <w:r>
        <w:rPr>
          <w:rtl/>
        </w:rPr>
        <w:tab/>
      </w:r>
      <w:r>
        <w:rPr>
          <w:rFonts w:hint="cs"/>
          <w:rtl/>
        </w:rPr>
        <w:t>בהתאם ל</w:t>
      </w:r>
      <w:r w:rsidRPr="00970258">
        <w:rPr>
          <w:rtl/>
        </w:rPr>
        <w:t xml:space="preserve">החלטת הממשלה </w:t>
      </w:r>
      <w:r>
        <w:rPr>
          <w:rFonts w:hint="cs"/>
          <w:rtl/>
        </w:rPr>
        <w:t>127, "מפת מדדים לאומיים להזדקנות מיטבית" (19.7.21).</w:t>
      </w:r>
    </w:p>
  </w:footnote>
  <w:footnote w:id="13">
    <w:p w:rsidR="00CC16EC" w:rsidP="00861D72">
      <w:pPr>
        <w:pStyle w:val="FootnoteText"/>
        <w:rPr>
          <w:rtl/>
        </w:rPr>
      </w:pPr>
      <w:r>
        <w:rPr>
          <w:rStyle w:val="FootnoteReference1"/>
        </w:rPr>
        <w:footnoteRef/>
      </w:r>
      <w:r>
        <w:rPr>
          <w:rtl/>
        </w:rPr>
        <w:t xml:space="preserve"> </w:t>
      </w:r>
      <w:r>
        <w:rPr>
          <w:rtl/>
        </w:rPr>
        <w:tab/>
      </w:r>
      <w:r>
        <w:rPr>
          <w:rFonts w:hint="cs"/>
          <w:rtl/>
        </w:rPr>
        <w:t>מאיירס</w:t>
      </w:r>
      <w:r>
        <w:rPr>
          <w:rFonts w:hint="cs"/>
          <w:rtl/>
        </w:rPr>
        <w:t xml:space="preserve"> ג'וינט </w:t>
      </w:r>
      <w:r>
        <w:rPr>
          <w:rFonts w:hint="cs"/>
          <w:rtl/>
        </w:rPr>
        <w:t>ברוקדייל</w:t>
      </w:r>
      <w:r>
        <w:rPr>
          <w:rFonts w:hint="cs"/>
          <w:rtl/>
        </w:rPr>
        <w:t xml:space="preserve">, בני 65+ בישראל שנתון סטטיסטי </w:t>
      </w:r>
      <w:r w:rsidRPr="00864ACD">
        <w:rPr>
          <w:rFonts w:hint="cs"/>
          <w:rtl/>
        </w:rPr>
        <w:t>2024;</w:t>
      </w:r>
      <w:r>
        <w:rPr>
          <w:rFonts w:hint="cs"/>
          <w:rtl/>
        </w:rPr>
        <w:t xml:space="preserve"> תחזית מתוך הלשכה המרכזית לסטטיסטיקה, </w:t>
      </w:r>
      <w:r>
        <w:rPr>
          <w:rtl/>
        </w:rPr>
        <w:t>מדדים לאומיים להזדקנות מיטבית בישראל</w:t>
      </w:r>
      <w:r>
        <w:rPr>
          <w:rFonts w:hint="cs"/>
          <w:rtl/>
        </w:rPr>
        <w:t xml:space="preserve">, </w:t>
      </w:r>
      <w:r>
        <w:rPr>
          <w:rtl/>
        </w:rPr>
        <w:t>2022</w:t>
      </w:r>
      <w:r>
        <w:rPr>
          <w:rFonts w:hint="cs"/>
          <w:rtl/>
        </w:rPr>
        <w:t xml:space="preserve"> (נובמבר 2024).</w:t>
      </w:r>
    </w:p>
  </w:footnote>
  <w:footnote w:id="14">
    <w:p w:rsidR="00CC16EC" w:rsidP="00861D72">
      <w:pPr>
        <w:pStyle w:val="FootnoteText"/>
      </w:pPr>
      <w:r w:rsidRPr="009C482E">
        <w:rPr>
          <w:rStyle w:val="FootnoteReference1"/>
        </w:rPr>
        <w:footnoteRef/>
      </w:r>
      <w:r w:rsidRPr="009C482E">
        <w:rPr>
          <w:rtl/>
        </w:rPr>
        <w:t xml:space="preserve"> </w:t>
      </w:r>
      <w:r w:rsidRPr="009C482E">
        <w:rPr>
          <w:rtl/>
        </w:rPr>
        <w:tab/>
      </w:r>
      <w:bookmarkStart w:id="4" w:name="_Hlk216606066"/>
      <w:r w:rsidRPr="009C482E">
        <w:rPr>
          <w:rFonts w:hint="cs"/>
          <w:rtl/>
        </w:rPr>
        <w:t>מאיירס</w:t>
      </w:r>
      <w:r w:rsidRPr="009C482E">
        <w:rPr>
          <w:rFonts w:hint="cs"/>
          <w:rtl/>
        </w:rPr>
        <w:t xml:space="preserve"> ג'וינט </w:t>
      </w:r>
      <w:r w:rsidRPr="009C482E">
        <w:rPr>
          <w:rFonts w:hint="cs"/>
          <w:rtl/>
        </w:rPr>
        <w:t>ברוקדייל</w:t>
      </w:r>
      <w:r w:rsidRPr="009C482E">
        <w:rPr>
          <w:rFonts w:hint="cs"/>
          <w:rtl/>
        </w:rPr>
        <w:t>,</w:t>
      </w:r>
      <w:r>
        <w:rPr>
          <w:rFonts w:hint="cs"/>
          <w:rtl/>
        </w:rPr>
        <w:t xml:space="preserve"> בני 65+ בישראל שנתון </w:t>
      </w:r>
      <w:r w:rsidRPr="00A70ACD">
        <w:rPr>
          <w:rFonts w:hint="cs"/>
          <w:rtl/>
        </w:rPr>
        <w:t>סטטיסטי 2024;</w:t>
      </w:r>
      <w:r>
        <w:rPr>
          <w:rFonts w:hint="cs"/>
          <w:rtl/>
        </w:rPr>
        <w:t xml:space="preserve"> תחזית מתוך</w:t>
      </w:r>
      <w:r>
        <w:rPr>
          <w:rtl/>
        </w:rPr>
        <w:br/>
      </w:r>
      <w:r w:rsidRPr="00A70ACD">
        <w:rPr>
          <w:rFonts w:hint="cs"/>
        </w:rPr>
        <w:t>U</w:t>
      </w:r>
      <w:r w:rsidRPr="00A70ACD">
        <w:t>nited Nations, World</w:t>
      </w:r>
      <w:r>
        <w:t xml:space="preserve"> population prospects 2024.</w:t>
      </w:r>
    </w:p>
    <w:bookmarkEnd w:id="4"/>
  </w:footnote>
  <w:footnote w:id="15">
    <w:p w:rsidR="00CC16EC" w:rsidP="00861D72">
      <w:pPr>
        <w:pStyle w:val="FootnoteText"/>
      </w:pPr>
      <w:r>
        <w:rPr>
          <w:rStyle w:val="FootnoteReference1"/>
        </w:rPr>
        <w:footnoteRef/>
      </w:r>
      <w:r>
        <w:rPr>
          <w:rtl/>
        </w:rPr>
        <w:t xml:space="preserve"> </w:t>
      </w:r>
      <w:r>
        <w:rPr>
          <w:rtl/>
        </w:rPr>
        <w:tab/>
      </w:r>
      <w:r>
        <w:rPr>
          <w:rFonts w:hint="cs"/>
          <w:rtl/>
        </w:rPr>
        <w:t>מאיירס</w:t>
      </w:r>
      <w:r>
        <w:rPr>
          <w:rFonts w:hint="cs"/>
          <w:rtl/>
        </w:rPr>
        <w:t xml:space="preserve"> ג'וינט </w:t>
      </w:r>
      <w:r>
        <w:rPr>
          <w:rFonts w:hint="cs"/>
          <w:rtl/>
        </w:rPr>
        <w:t>ברוקדייל</w:t>
      </w:r>
      <w:r>
        <w:rPr>
          <w:rFonts w:hint="cs"/>
          <w:rtl/>
        </w:rPr>
        <w:t xml:space="preserve">, בני 65+ בישראל שנתון סטטיסטי </w:t>
      </w:r>
      <w:r w:rsidRPr="00864ACD">
        <w:rPr>
          <w:rFonts w:hint="cs"/>
          <w:rtl/>
        </w:rPr>
        <w:t>2024</w:t>
      </w:r>
      <w:r>
        <w:rPr>
          <w:rFonts w:hint="cs"/>
          <w:rtl/>
        </w:rPr>
        <w:t>; המכון הישראלי לדמוקרטיה, שנתון החברה החרדית בישראל 2022.</w:t>
      </w:r>
    </w:p>
  </w:footnote>
  <w:footnote w:id="16">
    <w:p w:rsidR="00CC16EC" w:rsidP="00861D72">
      <w:pPr>
        <w:pStyle w:val="FootnoteText"/>
      </w:pPr>
      <w:r>
        <w:rPr>
          <w:rStyle w:val="FootnoteReference1"/>
        </w:rPr>
        <w:footnoteRef/>
      </w:r>
      <w:r>
        <w:rPr>
          <w:rtl/>
        </w:rPr>
        <w:t xml:space="preserve"> </w:t>
      </w:r>
      <w:r>
        <w:rPr>
          <w:rtl/>
        </w:rPr>
        <w:tab/>
      </w:r>
      <w:r>
        <w:rPr>
          <w:rFonts w:hint="cs"/>
          <w:rtl/>
        </w:rPr>
        <w:t>מאיירס</w:t>
      </w:r>
      <w:r>
        <w:rPr>
          <w:rFonts w:hint="cs"/>
          <w:rtl/>
        </w:rPr>
        <w:t xml:space="preserve"> ג'וינט </w:t>
      </w:r>
      <w:r>
        <w:rPr>
          <w:rFonts w:hint="cs"/>
          <w:rtl/>
        </w:rPr>
        <w:t>ברוקדייל</w:t>
      </w:r>
      <w:r>
        <w:rPr>
          <w:rFonts w:hint="cs"/>
          <w:rtl/>
        </w:rPr>
        <w:t xml:space="preserve">, בני 65+ בישראל שנתון סטטיסטי </w:t>
      </w:r>
      <w:r w:rsidRPr="00864ACD">
        <w:rPr>
          <w:rFonts w:hint="cs"/>
          <w:rtl/>
        </w:rPr>
        <w:t>2024</w:t>
      </w:r>
      <w:r>
        <w:rPr>
          <w:rFonts w:hint="cs"/>
          <w:rtl/>
        </w:rPr>
        <w:t>.</w:t>
      </w:r>
    </w:p>
  </w:footnote>
  <w:footnote w:id="17">
    <w:p w:rsidR="00CC16EC" w:rsidP="00861D72">
      <w:pPr>
        <w:pStyle w:val="FootnoteText"/>
      </w:pPr>
      <w:r>
        <w:rPr>
          <w:rStyle w:val="FootnoteReference1"/>
        </w:rPr>
        <w:footnoteRef/>
      </w:r>
      <w:r>
        <w:rPr>
          <w:rtl/>
        </w:rPr>
        <w:t xml:space="preserve"> </w:t>
      </w:r>
      <w:r>
        <w:rPr>
          <w:rtl/>
        </w:rPr>
        <w:tab/>
      </w:r>
      <w:r>
        <w:rPr>
          <w:rFonts w:hint="cs"/>
          <w:rtl/>
        </w:rPr>
        <w:t>מאיירס</w:t>
      </w:r>
      <w:r>
        <w:rPr>
          <w:rFonts w:hint="cs"/>
          <w:rtl/>
        </w:rPr>
        <w:t xml:space="preserve"> ג'וינט </w:t>
      </w:r>
      <w:r>
        <w:rPr>
          <w:rFonts w:hint="cs"/>
          <w:rtl/>
        </w:rPr>
        <w:t>ברוקדייל</w:t>
      </w:r>
      <w:r>
        <w:rPr>
          <w:rFonts w:hint="cs"/>
          <w:rtl/>
        </w:rPr>
        <w:t xml:space="preserve">, בני 65+ בישראל שנתון סטטיסטי </w:t>
      </w:r>
      <w:r w:rsidRPr="00864ACD">
        <w:rPr>
          <w:rFonts w:hint="cs"/>
          <w:rtl/>
        </w:rPr>
        <w:t>2024</w:t>
      </w:r>
      <w:r>
        <w:rPr>
          <w:rFonts w:hint="cs"/>
          <w:rtl/>
        </w:rPr>
        <w:t>.</w:t>
      </w:r>
    </w:p>
  </w:footnote>
  <w:footnote w:id="18">
    <w:p w:rsidR="00CC16EC" w:rsidP="00861D72">
      <w:pPr>
        <w:pStyle w:val="FootnoteText"/>
      </w:pPr>
      <w:r>
        <w:rPr>
          <w:rStyle w:val="FootnoteReference1"/>
        </w:rPr>
        <w:footnoteRef/>
      </w:r>
      <w:r>
        <w:rPr>
          <w:rtl/>
        </w:rPr>
        <w:t xml:space="preserve"> </w:t>
      </w:r>
      <w:r>
        <w:rPr>
          <w:rtl/>
        </w:rPr>
        <w:tab/>
      </w:r>
      <w:r w:rsidRPr="00C450BD">
        <w:rPr>
          <w:rtl/>
        </w:rPr>
        <w:t xml:space="preserve">יש פער בין מספר הגברים הנשואים לנשים הנשואות כי יש יותר גברים </w:t>
      </w:r>
      <w:r>
        <w:rPr>
          <w:rFonts w:hint="cs"/>
          <w:rtl/>
        </w:rPr>
        <w:t>ה</w:t>
      </w:r>
      <w:r w:rsidRPr="00C450BD">
        <w:rPr>
          <w:rtl/>
        </w:rPr>
        <w:t xml:space="preserve">נשואים לנשים </w:t>
      </w:r>
      <w:r>
        <w:rPr>
          <w:rFonts w:hint="cs"/>
          <w:rtl/>
        </w:rPr>
        <w:t>מתחת לגיל 65</w:t>
      </w:r>
      <w:r w:rsidRPr="00C450BD">
        <w:rPr>
          <w:rtl/>
        </w:rPr>
        <w:t xml:space="preserve"> מאשר נשים </w:t>
      </w:r>
      <w:r>
        <w:rPr>
          <w:rFonts w:hint="cs"/>
          <w:rtl/>
        </w:rPr>
        <w:t>ה</w:t>
      </w:r>
      <w:r w:rsidRPr="00C450BD">
        <w:rPr>
          <w:rtl/>
        </w:rPr>
        <w:t xml:space="preserve">נשואות לגברים </w:t>
      </w:r>
      <w:r>
        <w:rPr>
          <w:rFonts w:hint="cs"/>
          <w:rtl/>
        </w:rPr>
        <w:t>מתחת לגיל 65</w:t>
      </w:r>
      <w:r w:rsidRPr="00C450BD">
        <w:rPr>
          <w:rtl/>
        </w:rPr>
        <w:t xml:space="preserve">. </w:t>
      </w:r>
    </w:p>
  </w:footnote>
  <w:footnote w:id="19">
    <w:p w:rsidR="00CC16EC" w:rsidP="00861D72">
      <w:pPr>
        <w:pStyle w:val="FootnoteText"/>
      </w:pPr>
      <w:r>
        <w:rPr>
          <w:rStyle w:val="FootnoteReference1"/>
        </w:rPr>
        <w:footnoteRef/>
      </w:r>
      <w:r>
        <w:rPr>
          <w:rtl/>
        </w:rPr>
        <w:t xml:space="preserve"> </w:t>
      </w:r>
      <w:r>
        <w:rPr>
          <w:rtl/>
        </w:rPr>
        <w:tab/>
      </w:r>
      <w:r>
        <w:rPr>
          <w:rFonts w:hint="cs"/>
          <w:rtl/>
        </w:rPr>
        <w:t>מאיירס</w:t>
      </w:r>
      <w:r>
        <w:rPr>
          <w:rFonts w:hint="cs"/>
          <w:rtl/>
        </w:rPr>
        <w:t xml:space="preserve"> ג'וינט </w:t>
      </w:r>
      <w:r>
        <w:rPr>
          <w:rFonts w:hint="cs"/>
          <w:rtl/>
        </w:rPr>
        <w:t>ברוקדייל</w:t>
      </w:r>
      <w:r>
        <w:rPr>
          <w:rFonts w:hint="cs"/>
          <w:rtl/>
        </w:rPr>
        <w:t xml:space="preserve">, בני 65+ בישראל שנתון סטטיסטי 2011, 2014, 2017, 2022, </w:t>
      </w:r>
      <w:r w:rsidRPr="00864ACD">
        <w:rPr>
          <w:rFonts w:hint="cs"/>
          <w:rtl/>
        </w:rPr>
        <w:t>2024</w:t>
      </w:r>
      <w:r>
        <w:rPr>
          <w:rFonts w:hint="cs"/>
          <w:rtl/>
        </w:rPr>
        <w:t>.</w:t>
      </w:r>
    </w:p>
  </w:footnote>
  <w:footnote w:id="20">
    <w:p w:rsidR="00CC16EC" w:rsidP="00861D72">
      <w:pPr>
        <w:pStyle w:val="FootnoteText"/>
      </w:pPr>
      <w:r>
        <w:rPr>
          <w:rStyle w:val="FootnoteReference1"/>
        </w:rPr>
        <w:footnoteRef/>
      </w:r>
      <w:r>
        <w:rPr>
          <w:rtl/>
        </w:rPr>
        <w:t xml:space="preserve"> </w:t>
      </w:r>
      <w:r>
        <w:rPr>
          <w:rtl/>
        </w:rPr>
        <w:tab/>
      </w:r>
      <w:r>
        <w:rPr>
          <w:rFonts w:hint="cs"/>
          <w:rtl/>
        </w:rPr>
        <w:t>צו הרחבה לביטוח פנסיוני מקיף במשק (ינואר 2008).</w:t>
      </w:r>
    </w:p>
  </w:footnote>
  <w:footnote w:id="21">
    <w:p w:rsidR="00CC16EC" w:rsidP="00861D72">
      <w:pPr>
        <w:pStyle w:val="FootnoteText"/>
      </w:pPr>
      <w:r>
        <w:rPr>
          <w:rStyle w:val="FootnoteReference1"/>
        </w:rPr>
        <w:footnoteRef/>
      </w:r>
      <w:r>
        <w:rPr>
          <w:rtl/>
        </w:rPr>
        <w:t xml:space="preserve"> </w:t>
      </w:r>
      <w:r>
        <w:rPr>
          <w:rtl/>
        </w:rPr>
        <w:tab/>
      </w:r>
      <w:r>
        <w:rPr>
          <w:rFonts w:hint="cs"/>
          <w:rtl/>
        </w:rPr>
        <w:t>לא כולל זקיפת מוצרים ציבוריים, כדוגמת חינוך, בריאות ותחבורה ציבורית.</w:t>
      </w:r>
    </w:p>
  </w:footnote>
  <w:footnote w:id="22">
    <w:p w:rsidR="00CC16EC" w:rsidP="00861D72">
      <w:pPr>
        <w:pStyle w:val="FootnoteText"/>
        <w:rPr>
          <w:rtl/>
        </w:rPr>
      </w:pPr>
      <w:r>
        <w:rPr>
          <w:rStyle w:val="FootnoteReference1"/>
        </w:rPr>
        <w:footnoteRef/>
      </w:r>
      <w:r>
        <w:rPr>
          <w:rtl/>
        </w:rPr>
        <w:t xml:space="preserve"> </w:t>
      </w:r>
      <w:r>
        <w:rPr>
          <w:rtl/>
        </w:rPr>
        <w:tab/>
      </w:r>
      <w:r>
        <w:rPr>
          <w:rFonts w:hint="cs"/>
          <w:rtl/>
        </w:rPr>
        <w:t>מדובר במדד חלקי, משום שהוא מביא בחשבון רק קצבאות ואינו כולל עלויות בריאות למשל.</w:t>
      </w:r>
    </w:p>
  </w:footnote>
  <w:footnote w:id="23">
    <w:p w:rsidR="00CC16EC" w:rsidRPr="00961EBB" w:rsidP="00861D72">
      <w:pPr>
        <w:pStyle w:val="FootnoteText"/>
      </w:pPr>
      <w:r>
        <w:rPr>
          <w:rStyle w:val="FootnoteReference1"/>
        </w:rPr>
        <w:footnoteRef/>
      </w:r>
      <w:r>
        <w:rPr>
          <w:rtl/>
        </w:rPr>
        <w:t xml:space="preserve"> </w:t>
      </w:r>
      <w:r>
        <w:rPr>
          <w:rtl/>
        </w:rPr>
        <w:tab/>
      </w:r>
      <w:r>
        <w:rPr>
          <w:rFonts w:hint="cs"/>
          <w:rtl/>
        </w:rPr>
        <w:t>ערן יוגב וניסן אברהם, מצבה הכלכלי של האוכלוסייה המבוגרת בישראל (2025), עמ' 19.</w:t>
      </w:r>
    </w:p>
  </w:footnote>
  <w:footnote w:id="24">
    <w:p w:rsidR="00CC16EC" w:rsidP="00861D72">
      <w:pPr>
        <w:pStyle w:val="FootnoteText"/>
      </w:pPr>
      <w:r>
        <w:rPr>
          <w:rStyle w:val="FootnoteReference1"/>
        </w:rPr>
        <w:footnoteRef/>
      </w:r>
      <w:r>
        <w:rPr>
          <w:rtl/>
        </w:rPr>
        <w:t xml:space="preserve"> </w:t>
      </w:r>
      <w:r>
        <w:rPr>
          <w:rtl/>
        </w:rPr>
        <w:tab/>
      </w:r>
      <w:r>
        <w:rPr>
          <w:rFonts w:hint="cs"/>
          <w:rtl/>
        </w:rPr>
        <w:t>ישנם כ-1.286 מיליון אזרחים ותיקים, 45% מהם בני 75 ומעלה. בהנחה מחמירה שבכל משק בית יש שני אנשים בני 75 ומעלה, מדובר ב-289,350 משקי בית.</w:t>
      </w:r>
    </w:p>
  </w:footnote>
  <w:footnote w:id="25">
    <w:p w:rsidR="00CC16EC" w:rsidP="00861D72">
      <w:pPr>
        <w:pStyle w:val="FootnoteText"/>
        <w:rPr>
          <w:rtl/>
        </w:rPr>
      </w:pPr>
      <w:r>
        <w:rPr>
          <w:rStyle w:val="FootnoteReference1"/>
        </w:rPr>
        <w:footnoteRef/>
      </w:r>
      <w:r>
        <w:rPr>
          <w:rtl/>
        </w:rPr>
        <w:t xml:space="preserve"> </w:t>
      </w:r>
      <w:r>
        <w:rPr>
          <w:rtl/>
        </w:rPr>
        <w:tab/>
      </w:r>
      <w:r>
        <w:rPr>
          <w:rFonts w:hint="cs"/>
          <w:rtl/>
        </w:rPr>
        <w:t xml:space="preserve">הנתונים חושבו באמצעות מחולל הלוחות של הסקר החברתי של </w:t>
      </w:r>
      <w:r>
        <w:rPr>
          <w:rFonts w:hint="cs"/>
          <w:rtl/>
        </w:rPr>
        <w:t>הלמ"ס</w:t>
      </w:r>
      <w:r>
        <w:rPr>
          <w:rFonts w:hint="cs"/>
          <w:rtl/>
        </w:rPr>
        <w:t>, מענה לשאלה "</w:t>
      </w:r>
      <w:r>
        <w:rPr>
          <w:rtl/>
        </w:rPr>
        <w:t xml:space="preserve">האם יש מצבים שבהם </w:t>
      </w:r>
      <w:r>
        <w:rPr>
          <w:rFonts w:hint="cs"/>
          <w:rtl/>
        </w:rPr>
        <w:t>את/ה מרגיש/ה בדידות?"</w:t>
      </w:r>
    </w:p>
  </w:footnote>
  <w:footnote w:id="26">
    <w:p w:rsidR="00CC16EC" w:rsidP="00861D72">
      <w:pPr>
        <w:pStyle w:val="FootnoteText"/>
        <w:jc w:val="left"/>
        <w:rPr>
          <w:rtl/>
        </w:rPr>
      </w:pPr>
      <w:r>
        <w:rPr>
          <w:rStyle w:val="FootnoteReference1"/>
        </w:rPr>
        <w:footnoteRef/>
      </w:r>
      <w:r>
        <w:rPr>
          <w:rtl/>
        </w:rPr>
        <w:t xml:space="preserve"> </w:t>
      </w:r>
      <w:r>
        <w:rPr>
          <w:rtl/>
        </w:rPr>
        <w:tab/>
      </w:r>
      <w:r>
        <w:rPr>
          <w:rFonts w:hint="cs"/>
          <w:rtl/>
        </w:rPr>
        <w:t>אתר משרד הבריאות [</w:t>
      </w:r>
      <w:hyperlink r:id="rId1" w:history="1">
        <w:r w:rsidRPr="006501EA">
          <w:rPr>
            <w:rStyle w:val="Hyperlink"/>
          </w:rPr>
          <w:t>https://www.gov.il/he/pages/health_geriatrics_unit_about</w:t>
        </w:r>
      </w:hyperlink>
      <w:r>
        <w:rPr>
          <w:rFonts w:hint="cs"/>
          <w:rtl/>
        </w:rPr>
        <w:t xml:space="preserve">]; </w:t>
      </w:r>
      <w:r>
        <w:rPr>
          <w:rtl/>
        </w:rPr>
        <w:t>חוק ביטוח בריאות ממלכתי, התשנ"ד</w:t>
      </w:r>
      <w:r>
        <w:rPr>
          <w:rFonts w:hint="cs"/>
          <w:rtl/>
        </w:rPr>
        <w:t>-</w:t>
      </w:r>
      <w:r>
        <w:rPr>
          <w:rtl/>
        </w:rPr>
        <w:t>1994</w:t>
      </w:r>
      <w:r>
        <w:rPr>
          <w:rFonts w:hint="cs"/>
          <w:rtl/>
        </w:rPr>
        <w:t>; אתר משרד הרווחה והביטחון החברתי [</w:t>
      </w:r>
      <w:hyperlink r:id="rId2" w:history="1">
        <w:r w:rsidRPr="001F145C">
          <w:rPr>
            <w:rStyle w:val="Hyperlink"/>
          </w:rPr>
          <w:t>https://www.gov.il/he/departments/molsa/govil-landing-page</w:t>
        </w:r>
      </w:hyperlink>
      <w:r>
        <w:rPr>
          <w:rFonts w:hint="cs"/>
          <w:rtl/>
        </w:rPr>
        <w:t>]; אתר המשרד לשוויון חברתי [</w:t>
      </w:r>
      <w:hyperlink r:id="rId3" w:history="1">
        <w:r w:rsidRPr="001F145C">
          <w:rPr>
            <w:rStyle w:val="Hyperlink"/>
          </w:rPr>
          <w:t>https://www.gov.il/he/departments/ministry_for_social_equality/govil-landing-page</w:t>
        </w:r>
      </w:hyperlink>
      <w:r>
        <w:rPr>
          <w:rFonts w:hint="cs"/>
          <w:rtl/>
        </w:rPr>
        <w:t>]; אתר המוסד לביטוח לאומי [</w:t>
      </w:r>
      <w:hyperlink r:id="rId4" w:history="1">
        <w:r w:rsidRPr="001F145C">
          <w:rPr>
            <w:rStyle w:val="Hyperlink"/>
          </w:rPr>
          <w:t>https://www.btl.gov.il/Pages/default.aspx?gad_source=1&amp;gad_campaignid=1078819423&amp;gclid=EAIaIQobChMIxOC8zo66kAMVcphQBh2XNz3HEAAYASAAEgL2m_D_BwE</w:t>
        </w:r>
      </w:hyperlink>
      <w:r>
        <w:rPr>
          <w:rFonts w:hint="cs"/>
          <w:rtl/>
        </w:rPr>
        <w:t>].</w:t>
      </w:r>
    </w:p>
  </w:footnote>
  <w:footnote w:id="27">
    <w:p w:rsidR="00CC16EC" w:rsidP="00861D72">
      <w:pPr>
        <w:pStyle w:val="FootnoteText"/>
        <w:rPr>
          <w:rtl/>
        </w:rPr>
      </w:pPr>
      <w:r>
        <w:rPr>
          <w:rStyle w:val="FootnoteReference1"/>
        </w:rPr>
        <w:footnoteRef/>
      </w:r>
      <w:r>
        <w:rPr>
          <w:rtl/>
        </w:rPr>
        <w:t xml:space="preserve"> </w:t>
      </w:r>
      <w:r>
        <w:rPr>
          <w:rtl/>
        </w:rPr>
        <w:tab/>
      </w:r>
      <w:r>
        <w:rPr>
          <w:rFonts w:hint="cs"/>
        </w:rPr>
        <w:t>W</w:t>
      </w:r>
      <w:r>
        <w:t>orld Health Organization</w:t>
      </w:r>
    </w:p>
  </w:footnote>
  <w:footnote w:id="28">
    <w:p w:rsidR="00CC16EC" w:rsidP="00A804DA">
      <w:pPr>
        <w:pStyle w:val="FootnoteText"/>
        <w:jc w:val="left"/>
        <w:rPr>
          <w:rtl/>
        </w:rPr>
      </w:pPr>
      <w:r>
        <w:rPr>
          <w:rStyle w:val="FootnoteReference1"/>
        </w:rPr>
        <w:footnoteRef/>
      </w:r>
      <w:r>
        <w:rPr>
          <w:rtl/>
        </w:rPr>
        <w:t xml:space="preserve"> </w:t>
      </w:r>
      <w:r>
        <w:rPr>
          <w:rtl/>
        </w:rPr>
        <w:tab/>
      </w:r>
      <w:r>
        <w:t>World Health Organization, "Ageing: Global Population" (21.2.25)</w:t>
      </w:r>
      <w:r w:rsidRPr="00E40865">
        <w:t xml:space="preserve"> </w:t>
      </w:r>
      <w:hyperlink r:id="rId5" w:history="1">
        <w:r w:rsidRPr="001F145C">
          <w:rPr>
            <w:rStyle w:val="Hyperlink"/>
          </w:rPr>
          <w:t>https://www.who.int/news-room/questions-and-answers/item/population-ageing?utm_source=chatgpt.com</w:t>
        </w:r>
      </w:hyperlink>
      <w:r>
        <w:t>]; United Nations, "World Social Report 2023: Leaving No One Behind In An Ageing World", (January 2023</w:t>
      </w:r>
      <w:r w:rsidRPr="008625CE">
        <w:t>)</w:t>
      </w:r>
      <w:r>
        <w:t>.</w:t>
      </w:r>
    </w:p>
  </w:footnote>
  <w:footnote w:id="29">
    <w:p w:rsidR="00CC16EC" w:rsidP="00861D72">
      <w:pPr>
        <w:pStyle w:val="FootnoteText"/>
      </w:pPr>
      <w:r>
        <w:rPr>
          <w:rStyle w:val="FootnoteReference1"/>
        </w:rPr>
        <w:footnoteRef/>
      </w:r>
      <w:r>
        <w:rPr>
          <w:rtl/>
        </w:rPr>
        <w:t xml:space="preserve"> </w:t>
      </w:r>
      <w:r>
        <w:rPr>
          <w:rtl/>
        </w:rPr>
        <w:tab/>
      </w:r>
      <w:r>
        <w:t>"United Nations Principles for Older Persons", Adopted by General Assembly resolution 46/91 of 16 December 1991</w:t>
      </w:r>
      <w:r>
        <w:rPr>
          <w:rFonts w:hint="cs"/>
          <w:rtl/>
        </w:rPr>
        <w:t xml:space="preserve"> </w:t>
      </w:r>
    </w:p>
  </w:footnote>
  <w:footnote w:id="30">
    <w:p w:rsidR="00CC16EC" w:rsidP="00861D72">
      <w:pPr>
        <w:pStyle w:val="FootnoteText"/>
        <w:rPr>
          <w:rtl/>
        </w:rPr>
      </w:pPr>
      <w:r>
        <w:rPr>
          <w:rStyle w:val="FootnoteReference1"/>
        </w:rPr>
        <w:footnoteRef/>
      </w:r>
      <w:r>
        <w:rPr>
          <w:rtl/>
        </w:rPr>
        <w:t xml:space="preserve"> </w:t>
      </w:r>
      <w:r>
        <w:rPr>
          <w:rtl/>
        </w:rPr>
        <w:tab/>
      </w:r>
      <w:r>
        <w:t>"Political Declaration and Madrid International Plan of Action on Ageing", United Nations, 2002</w:t>
      </w:r>
      <w:r>
        <w:rPr>
          <w:rFonts w:hint="cs"/>
          <w:rtl/>
        </w:rPr>
        <w:t xml:space="preserve"> </w:t>
      </w:r>
    </w:p>
  </w:footnote>
  <w:footnote w:id="31">
    <w:p w:rsidR="00CC16EC" w:rsidP="00861D72">
      <w:pPr>
        <w:pStyle w:val="FootnoteText"/>
      </w:pPr>
      <w:r>
        <w:rPr>
          <w:rStyle w:val="FootnoteReference1"/>
        </w:rPr>
        <w:footnoteRef/>
      </w:r>
      <w:r>
        <w:rPr>
          <w:rtl/>
        </w:rPr>
        <w:t xml:space="preserve"> </w:t>
      </w:r>
      <w:r>
        <w:rPr>
          <w:rtl/>
        </w:rPr>
        <w:tab/>
      </w:r>
      <w:r>
        <w:t xml:space="preserve">State of Israel, Ministry of Labor and Social Affairs, </w:t>
      </w:r>
      <w:r>
        <w:t>Galit</w:t>
      </w:r>
      <w:r>
        <w:t xml:space="preserve"> </w:t>
      </w:r>
      <w:r>
        <w:t>Mevorach</w:t>
      </w:r>
      <w:r>
        <w:t>, "</w:t>
      </w:r>
      <w:r w:rsidRPr="00500CAD">
        <w:t>Israel national report for the third review and appraisal cycle of the implementation of the Madrid International Plan of Action on Ageing and its Regional Implementation Strategy (MIPAA/RIS)</w:t>
      </w:r>
      <w:r>
        <w:t>" (October 2016)</w:t>
      </w:r>
      <w:r>
        <w:rPr>
          <w:rFonts w:hint="cs"/>
          <w:rtl/>
        </w:rPr>
        <w:t xml:space="preserve">. </w:t>
      </w:r>
      <w:r>
        <w:rPr>
          <w:rtl/>
        </w:rPr>
        <w:br/>
      </w:r>
      <w:r>
        <w:rPr>
          <w:rFonts w:hint="cs"/>
          <w:rtl/>
        </w:rPr>
        <w:t>ראו גם להלן פרק ניהול ההיערכות הממשלתית להזדקנות האוכלוסייה.</w:t>
      </w:r>
    </w:p>
  </w:footnote>
  <w:footnote w:id="32">
    <w:p w:rsidR="00CC16EC" w:rsidRPr="008944DC" w:rsidP="00861D72">
      <w:pPr>
        <w:pStyle w:val="FootnoteText"/>
        <w:rPr>
          <w:rtl/>
        </w:rPr>
      </w:pPr>
      <w:r>
        <w:rPr>
          <w:rStyle w:val="FootnoteReference1"/>
        </w:rPr>
        <w:footnoteRef/>
      </w:r>
      <w:r>
        <w:rPr>
          <w:rtl/>
        </w:rPr>
        <w:t xml:space="preserve"> </w:t>
      </w:r>
      <w:r>
        <w:rPr>
          <w:rtl/>
        </w:rPr>
        <w:tab/>
      </w:r>
      <w:r>
        <w:rPr>
          <w:rFonts w:hint="cs"/>
          <w:rtl/>
        </w:rPr>
        <w:t>החלטת הממשלה 5146, "</w:t>
      </w:r>
      <w:r w:rsidRPr="008944DC">
        <w:rPr>
          <w:rtl/>
        </w:rPr>
        <w:t xml:space="preserve">הצטרפות מדינת ישראל כחברה בארגון </w:t>
      </w:r>
      <w:r w:rsidRPr="008944DC">
        <w:t>SHARE-ERIC</w:t>
      </w:r>
      <w:r w:rsidRPr="008944DC">
        <w:rPr>
          <w:rtl/>
        </w:rPr>
        <w:t xml:space="preserve"> המבצע את סקר הבריאות, הזדקנות ופרישה באירופה</w:t>
      </w:r>
      <w:r>
        <w:rPr>
          <w:rFonts w:hint="cs"/>
          <w:rtl/>
        </w:rPr>
        <w:t>" (</w:t>
      </w:r>
      <w:r w:rsidRPr="008944DC">
        <w:rPr>
          <w:rFonts w:hint="cs"/>
          <w:rtl/>
        </w:rPr>
        <w:t>14.10.12</w:t>
      </w:r>
      <w:r>
        <w:rPr>
          <w:rFonts w:hint="cs"/>
          <w:rtl/>
        </w:rPr>
        <w:t>)</w:t>
      </w:r>
      <w:r w:rsidRPr="00BB6516">
        <w:rPr>
          <w:rFonts w:hint="cs"/>
          <w:rtl/>
        </w:rPr>
        <w:t>;</w:t>
      </w:r>
      <w:r>
        <w:rPr>
          <w:rFonts w:hint="cs"/>
          <w:rtl/>
        </w:rPr>
        <w:t xml:space="preserve"> החלטת הממשלה </w:t>
      </w:r>
      <w:r w:rsidRPr="00BB6516">
        <w:rPr>
          <w:rFonts w:hint="cs"/>
          <w:rtl/>
        </w:rPr>
        <w:t>2752, "</w:t>
      </w:r>
      <w:r w:rsidRPr="00BB6516">
        <w:rPr>
          <w:rtl/>
        </w:rPr>
        <w:t xml:space="preserve">תקציב פרויקט </w:t>
      </w:r>
      <w:r w:rsidRPr="00BB6516">
        <w:t>SHARE</w:t>
      </w:r>
      <w:r w:rsidRPr="00BB6516">
        <w:rPr>
          <w:rtl/>
        </w:rPr>
        <w:t xml:space="preserve"> (סקר הבריאות, ההזדקנות והפרישה באירופה) לשנים 2017 - 2019</w:t>
      </w:r>
      <w:r>
        <w:rPr>
          <w:rFonts w:hint="cs"/>
          <w:rtl/>
        </w:rPr>
        <w:t>״ (</w:t>
      </w:r>
      <w:r w:rsidRPr="00BB6516">
        <w:rPr>
          <w:rFonts w:hint="cs"/>
          <w:rtl/>
        </w:rPr>
        <w:t>18.6.17</w:t>
      </w:r>
      <w:r>
        <w:rPr>
          <w:rFonts w:hint="cs"/>
          <w:rtl/>
        </w:rPr>
        <w:t>)</w:t>
      </w:r>
      <w:r w:rsidRPr="00BB6516">
        <w:rPr>
          <w:rFonts w:hint="cs"/>
          <w:rtl/>
        </w:rPr>
        <w:t xml:space="preserve">; </w:t>
      </w:r>
      <w:r w:rsidRPr="00BB6516">
        <w:rPr>
          <w:rtl/>
        </w:rPr>
        <w:t>החלטת</w:t>
      </w:r>
      <w:r w:rsidRPr="00970258">
        <w:rPr>
          <w:rtl/>
        </w:rPr>
        <w:t xml:space="preserve"> הממשלה </w:t>
      </w:r>
      <w:r>
        <w:rPr>
          <w:rFonts w:hint="cs"/>
          <w:rtl/>
        </w:rPr>
        <w:t>127, "מפת מדדים לאומיים להזדקנות מיטבית״ (19.7.21).</w:t>
      </w:r>
    </w:p>
  </w:footnote>
  <w:footnote w:id="33">
    <w:p w:rsidR="00CC16EC" w:rsidP="00861D72">
      <w:pPr>
        <w:pStyle w:val="FootnoteText"/>
        <w:rPr>
          <w:rtl/>
        </w:rPr>
      </w:pPr>
      <w:r>
        <w:rPr>
          <w:rStyle w:val="FootnoteReference1"/>
        </w:rPr>
        <w:footnoteRef/>
      </w:r>
      <w:r>
        <w:rPr>
          <w:rtl/>
        </w:rPr>
        <w:t xml:space="preserve"> </w:t>
      </w:r>
      <w:r>
        <w:tab/>
      </w:r>
      <w:hyperlink r:id="rId6" w:history="1">
        <w:r w:rsidRPr="00397683">
          <w:rPr>
            <w:rStyle w:val="Hyperlink"/>
          </w:rPr>
          <w:t>https://share-eric.eu/impact</w:t>
        </w:r>
      </w:hyperlink>
    </w:p>
  </w:footnote>
  <w:footnote w:id="34">
    <w:p w:rsidR="00CC16EC" w:rsidP="00861D72">
      <w:pPr>
        <w:pStyle w:val="FootnoteText"/>
      </w:pPr>
      <w:r>
        <w:rPr>
          <w:rStyle w:val="FootnoteReference1"/>
        </w:rPr>
        <w:footnoteRef/>
      </w:r>
      <w:r>
        <w:rPr>
          <w:rtl/>
        </w:rPr>
        <w:t xml:space="preserve"> </w:t>
      </w:r>
      <w:r>
        <w:rPr>
          <w:rtl/>
        </w:rPr>
        <w:tab/>
      </w:r>
      <w:r>
        <w:rPr>
          <w:rFonts w:hint="cs"/>
          <w:rtl/>
        </w:rPr>
        <w:t>כנסת ישראל, מרכז המחקר והמידע, "תכנון לאומי ארוך טווח - סקירה משווה" (30.1.17).</w:t>
      </w:r>
    </w:p>
  </w:footnote>
  <w:footnote w:id="35">
    <w:p w:rsidR="00CC16EC" w:rsidP="00861D72">
      <w:pPr>
        <w:pStyle w:val="FootnoteText"/>
      </w:pPr>
      <w:r>
        <w:rPr>
          <w:rStyle w:val="FootnoteReference1"/>
        </w:rPr>
        <w:footnoteRef/>
      </w:r>
      <w:r>
        <w:rPr>
          <w:rtl/>
        </w:rPr>
        <w:t xml:space="preserve"> </w:t>
      </w:r>
      <w:r>
        <w:rPr>
          <w:rtl/>
        </w:rPr>
        <w:tab/>
      </w:r>
      <w:r>
        <w:rPr>
          <w:rFonts w:hint="cs"/>
          <w:rtl/>
        </w:rPr>
        <w:t xml:space="preserve">ריטה </w:t>
      </w:r>
      <w:r>
        <w:rPr>
          <w:rFonts w:hint="cs"/>
          <w:rtl/>
        </w:rPr>
        <w:t>גולשטיין-גלפרין</w:t>
      </w:r>
      <w:r>
        <w:rPr>
          <w:rFonts w:hint="cs"/>
          <w:rtl/>
        </w:rPr>
        <w:t xml:space="preserve"> ושי עמית, "המדינה האסטרטגית 2048: כיצד מטמיעים תכנון אסטרטגי ארוך טווח בישראל?", כנס אלי הורביץ לכלכלה וחברה 2025.</w:t>
      </w:r>
    </w:p>
  </w:footnote>
  <w:footnote w:id="36">
    <w:p w:rsidR="00CC16EC" w:rsidP="00861D72">
      <w:pPr>
        <w:pStyle w:val="FootnoteText"/>
        <w:rPr>
          <w:rtl/>
        </w:rPr>
      </w:pPr>
      <w:r>
        <w:rPr>
          <w:rStyle w:val="FootnoteReference1"/>
        </w:rPr>
        <w:footnoteRef/>
      </w:r>
      <w:r>
        <w:rPr>
          <w:rtl/>
        </w:rPr>
        <w:t xml:space="preserve"> </w:t>
      </w:r>
      <w:r>
        <w:rPr>
          <w:rtl/>
        </w:rPr>
        <w:tab/>
      </w:r>
      <w:r w:rsidRPr="00275D65">
        <w:rPr>
          <w:rFonts w:hint="cs"/>
          <w:rtl/>
        </w:rPr>
        <w:t xml:space="preserve">המועצה הלאומית לכלכלה במשרד ראש הממשלה הוקמה בספטמבר 2006 במטרה לענות על צורך בגוף </w:t>
      </w:r>
      <w:r w:rsidRPr="00483C84">
        <w:rPr>
          <w:rFonts w:ascii="Rubik" w:hAnsi="Rubik" w:hint="eastAsia"/>
          <w:shd w:val="clear" w:color="auto" w:fill="FFFFFF"/>
          <w:rtl/>
        </w:rPr>
        <w:t>כלכלי</w:t>
      </w:r>
      <w:r w:rsidRPr="00483C84">
        <w:rPr>
          <w:rFonts w:ascii="Rubik" w:hAnsi="Rubik"/>
          <w:shd w:val="clear" w:color="auto" w:fill="FFFFFF"/>
          <w:rtl/>
        </w:rPr>
        <w:t xml:space="preserve"> </w:t>
      </w:r>
      <w:r w:rsidRPr="00483C84">
        <w:rPr>
          <w:rFonts w:ascii="Rubik" w:hAnsi="Rubik" w:hint="eastAsia"/>
          <w:shd w:val="clear" w:color="auto" w:fill="FFFFFF"/>
          <w:rtl/>
        </w:rPr>
        <w:t>מקצועי</w:t>
      </w:r>
      <w:r w:rsidRPr="00483C84">
        <w:rPr>
          <w:rFonts w:ascii="Rubik" w:hAnsi="Rubik"/>
          <w:shd w:val="clear" w:color="auto" w:fill="FFFFFF"/>
          <w:rtl/>
        </w:rPr>
        <w:t xml:space="preserve">, </w:t>
      </w:r>
      <w:r w:rsidRPr="00483C84">
        <w:rPr>
          <w:rFonts w:ascii="Rubik" w:hAnsi="Rubik" w:hint="eastAsia"/>
          <w:shd w:val="clear" w:color="auto" w:fill="FFFFFF"/>
          <w:rtl/>
        </w:rPr>
        <w:t>בעל</w:t>
      </w:r>
      <w:r w:rsidRPr="00483C84">
        <w:rPr>
          <w:rFonts w:ascii="Rubik" w:hAnsi="Rubik"/>
          <w:shd w:val="clear" w:color="auto" w:fill="FFFFFF"/>
          <w:rtl/>
        </w:rPr>
        <w:t xml:space="preserve"> </w:t>
      </w:r>
      <w:r w:rsidRPr="00483C84">
        <w:rPr>
          <w:rFonts w:ascii="Rubik" w:hAnsi="Rubik" w:hint="eastAsia"/>
          <w:shd w:val="clear" w:color="auto" w:fill="FFFFFF"/>
          <w:rtl/>
        </w:rPr>
        <w:t>ראי</w:t>
      </w:r>
      <w:r>
        <w:rPr>
          <w:rFonts w:ascii="Rubik" w:hAnsi="Rubik" w:hint="cs"/>
          <w:shd w:val="clear" w:color="auto" w:fill="FFFFFF"/>
          <w:rtl/>
        </w:rPr>
        <w:t>י</w:t>
      </w:r>
      <w:r w:rsidRPr="00483C84">
        <w:rPr>
          <w:rFonts w:ascii="Rubik" w:hAnsi="Rubik" w:hint="eastAsia"/>
          <w:shd w:val="clear" w:color="auto" w:fill="FFFFFF"/>
          <w:rtl/>
        </w:rPr>
        <w:t>ה</w:t>
      </w:r>
      <w:r w:rsidRPr="00483C84">
        <w:rPr>
          <w:rFonts w:ascii="Rubik" w:hAnsi="Rubik"/>
          <w:shd w:val="clear" w:color="auto" w:fill="FFFFFF"/>
          <w:rtl/>
        </w:rPr>
        <w:t xml:space="preserve"> </w:t>
      </w:r>
      <w:r w:rsidRPr="00483C84">
        <w:rPr>
          <w:rFonts w:ascii="Rubik" w:hAnsi="Rubik" w:hint="eastAsia"/>
          <w:shd w:val="clear" w:color="auto" w:fill="FFFFFF"/>
          <w:rtl/>
        </w:rPr>
        <w:t>כלל</w:t>
      </w:r>
      <w:r w:rsidRPr="00483C84">
        <w:rPr>
          <w:rFonts w:ascii="Rubik" w:hAnsi="Rubik"/>
          <w:shd w:val="clear" w:color="auto" w:fill="FFFFFF"/>
          <w:rtl/>
        </w:rPr>
        <w:t xml:space="preserve"> </w:t>
      </w:r>
      <w:r w:rsidRPr="00483C84">
        <w:rPr>
          <w:rFonts w:ascii="Rubik" w:hAnsi="Rubik" w:hint="eastAsia"/>
          <w:shd w:val="clear" w:color="auto" w:fill="FFFFFF"/>
          <w:rtl/>
        </w:rPr>
        <w:t>משקית</w:t>
      </w:r>
      <w:r w:rsidRPr="00483C84">
        <w:rPr>
          <w:rFonts w:ascii="Rubik" w:hAnsi="Rubik"/>
          <w:shd w:val="clear" w:color="auto" w:fill="FFFFFF"/>
          <w:rtl/>
        </w:rPr>
        <w:t xml:space="preserve"> </w:t>
      </w:r>
      <w:r w:rsidRPr="00483C84">
        <w:rPr>
          <w:rFonts w:ascii="Rubik" w:hAnsi="Rubik" w:hint="eastAsia"/>
          <w:shd w:val="clear" w:color="auto" w:fill="FFFFFF"/>
          <w:rtl/>
        </w:rPr>
        <w:t>ואסטרטגית</w:t>
      </w:r>
      <w:r w:rsidRPr="00483C84">
        <w:rPr>
          <w:rFonts w:ascii="Rubik" w:hAnsi="Rubik"/>
          <w:shd w:val="clear" w:color="auto" w:fill="FFFFFF"/>
          <w:rtl/>
        </w:rPr>
        <w:t xml:space="preserve">, </w:t>
      </w:r>
      <w:r w:rsidRPr="00483C84">
        <w:rPr>
          <w:rFonts w:ascii="Rubik" w:hAnsi="Rubik" w:hint="eastAsia"/>
          <w:shd w:val="clear" w:color="auto" w:fill="FFFFFF"/>
          <w:rtl/>
        </w:rPr>
        <w:t>בעל</w:t>
      </w:r>
      <w:r w:rsidRPr="00483C84">
        <w:rPr>
          <w:rFonts w:ascii="Rubik" w:hAnsi="Rubik"/>
          <w:shd w:val="clear" w:color="auto" w:fill="FFFFFF"/>
          <w:rtl/>
        </w:rPr>
        <w:t xml:space="preserve"> </w:t>
      </w:r>
      <w:r w:rsidRPr="00483C84">
        <w:rPr>
          <w:rFonts w:ascii="Rubik" w:hAnsi="Rubik" w:hint="eastAsia"/>
          <w:shd w:val="clear" w:color="auto" w:fill="FFFFFF"/>
          <w:rtl/>
        </w:rPr>
        <w:t>יכולות</w:t>
      </w:r>
      <w:r w:rsidRPr="00483C84">
        <w:rPr>
          <w:rFonts w:ascii="Rubik" w:hAnsi="Rubik"/>
          <w:shd w:val="clear" w:color="auto" w:fill="FFFFFF"/>
          <w:rtl/>
        </w:rPr>
        <w:t xml:space="preserve"> </w:t>
      </w:r>
      <w:r w:rsidRPr="00483C84">
        <w:rPr>
          <w:rFonts w:ascii="Rubik" w:hAnsi="Rubik" w:hint="eastAsia"/>
          <w:shd w:val="clear" w:color="auto" w:fill="FFFFFF"/>
          <w:rtl/>
        </w:rPr>
        <w:t>ניתוח</w:t>
      </w:r>
      <w:r w:rsidRPr="00483C84">
        <w:rPr>
          <w:rFonts w:ascii="Rubik" w:hAnsi="Rubik"/>
          <w:shd w:val="clear" w:color="auto" w:fill="FFFFFF"/>
          <w:rtl/>
        </w:rPr>
        <w:t xml:space="preserve"> </w:t>
      </w:r>
      <w:r w:rsidRPr="00483C84">
        <w:rPr>
          <w:rFonts w:ascii="Rubik" w:hAnsi="Rubik" w:hint="eastAsia"/>
          <w:shd w:val="clear" w:color="auto" w:fill="FFFFFF"/>
          <w:rtl/>
        </w:rPr>
        <w:t>גבוהות</w:t>
      </w:r>
      <w:r w:rsidRPr="00483C84">
        <w:rPr>
          <w:rFonts w:ascii="Rubik" w:hAnsi="Rubik"/>
          <w:shd w:val="clear" w:color="auto" w:fill="FFFFFF"/>
          <w:rtl/>
        </w:rPr>
        <w:t xml:space="preserve">, </w:t>
      </w:r>
      <w:r w:rsidRPr="00483C84">
        <w:rPr>
          <w:rFonts w:ascii="Rubik" w:hAnsi="Rubik" w:hint="eastAsia"/>
          <w:shd w:val="clear" w:color="auto" w:fill="FFFFFF"/>
          <w:rtl/>
        </w:rPr>
        <w:t>שיפעל</w:t>
      </w:r>
      <w:r w:rsidRPr="00483C84">
        <w:rPr>
          <w:rFonts w:ascii="Rubik" w:hAnsi="Rubik"/>
          <w:shd w:val="clear" w:color="auto" w:fill="FFFFFF"/>
          <w:rtl/>
        </w:rPr>
        <w:t xml:space="preserve"> </w:t>
      </w:r>
      <w:r w:rsidRPr="00483C84">
        <w:rPr>
          <w:rFonts w:ascii="Rubik" w:hAnsi="Rubik" w:hint="eastAsia"/>
          <w:shd w:val="clear" w:color="auto" w:fill="FFFFFF"/>
          <w:rtl/>
        </w:rPr>
        <w:t>כגוף</w:t>
      </w:r>
      <w:r w:rsidRPr="00483C84">
        <w:rPr>
          <w:rFonts w:ascii="Rubik" w:hAnsi="Rubik"/>
          <w:shd w:val="clear" w:color="auto" w:fill="FFFFFF"/>
          <w:rtl/>
        </w:rPr>
        <w:t xml:space="preserve"> </w:t>
      </w:r>
      <w:r w:rsidRPr="00483C84">
        <w:rPr>
          <w:rFonts w:ascii="Rubik" w:hAnsi="Rubik" w:hint="eastAsia"/>
          <w:shd w:val="clear" w:color="auto" w:fill="FFFFFF"/>
          <w:rtl/>
        </w:rPr>
        <w:t>מטה</w:t>
      </w:r>
      <w:r w:rsidRPr="00483C84">
        <w:rPr>
          <w:rFonts w:ascii="Rubik" w:hAnsi="Rubik"/>
          <w:shd w:val="clear" w:color="auto" w:fill="FFFFFF"/>
          <w:rtl/>
        </w:rPr>
        <w:t xml:space="preserve"> </w:t>
      </w:r>
      <w:r w:rsidRPr="00483C84">
        <w:rPr>
          <w:rFonts w:ascii="Rubik" w:hAnsi="Rubik" w:hint="eastAsia"/>
          <w:shd w:val="clear" w:color="auto" w:fill="FFFFFF"/>
          <w:rtl/>
        </w:rPr>
        <w:t>עבור</w:t>
      </w:r>
      <w:r w:rsidRPr="00483C84">
        <w:rPr>
          <w:rFonts w:ascii="Rubik" w:hAnsi="Rubik"/>
          <w:shd w:val="clear" w:color="auto" w:fill="FFFFFF"/>
          <w:rtl/>
        </w:rPr>
        <w:t xml:space="preserve"> </w:t>
      </w:r>
      <w:r w:rsidRPr="00483C84">
        <w:rPr>
          <w:rFonts w:ascii="Rubik" w:hAnsi="Rubik" w:hint="eastAsia"/>
          <w:shd w:val="clear" w:color="auto" w:fill="FFFFFF"/>
          <w:rtl/>
        </w:rPr>
        <w:t>ראש</w:t>
      </w:r>
      <w:r w:rsidRPr="00483C84">
        <w:rPr>
          <w:rFonts w:ascii="Rubik" w:hAnsi="Rubik"/>
          <w:shd w:val="clear" w:color="auto" w:fill="FFFFFF"/>
          <w:rtl/>
        </w:rPr>
        <w:t xml:space="preserve"> </w:t>
      </w:r>
      <w:r w:rsidRPr="00483C84">
        <w:rPr>
          <w:rFonts w:ascii="Rubik" w:hAnsi="Rubik" w:hint="eastAsia"/>
          <w:shd w:val="clear" w:color="auto" w:fill="FFFFFF"/>
          <w:rtl/>
        </w:rPr>
        <w:t>הממשלה</w:t>
      </w:r>
      <w:r w:rsidRPr="00275D65">
        <w:rPr>
          <w:rFonts w:hint="cs"/>
          <w:rtl/>
        </w:rPr>
        <w:t xml:space="preserve">. </w:t>
      </w:r>
      <w:r w:rsidRPr="00483C84">
        <w:rPr>
          <w:rFonts w:ascii="Rubik" w:hAnsi="Rubik" w:hint="eastAsia"/>
          <w:shd w:val="clear" w:color="auto" w:fill="FFFFFF"/>
          <w:rtl/>
        </w:rPr>
        <w:t>תפקידי</w:t>
      </w:r>
      <w:r w:rsidRPr="00483C84">
        <w:rPr>
          <w:rFonts w:ascii="Rubik" w:hAnsi="Rubik"/>
          <w:shd w:val="clear" w:color="auto" w:fill="FFFFFF"/>
          <w:rtl/>
        </w:rPr>
        <w:t xml:space="preserve"> </w:t>
      </w:r>
      <w:r w:rsidRPr="00483C84">
        <w:rPr>
          <w:rFonts w:ascii="Rubik" w:hAnsi="Rubik" w:hint="eastAsia"/>
          <w:shd w:val="clear" w:color="auto" w:fill="FFFFFF"/>
          <w:rtl/>
        </w:rPr>
        <w:t>המועצה</w:t>
      </w:r>
      <w:r w:rsidRPr="00483C84">
        <w:rPr>
          <w:rFonts w:ascii="Rubik" w:hAnsi="Rubik"/>
          <w:shd w:val="clear" w:color="auto" w:fill="FFFFFF"/>
          <w:rtl/>
        </w:rPr>
        <w:t xml:space="preserve"> </w:t>
      </w:r>
      <w:r w:rsidRPr="00483C84">
        <w:rPr>
          <w:rFonts w:ascii="Rubik" w:hAnsi="Rubik" w:hint="eastAsia"/>
          <w:shd w:val="clear" w:color="auto" w:fill="FFFFFF"/>
          <w:rtl/>
        </w:rPr>
        <w:t>כוללים</w:t>
      </w:r>
      <w:r w:rsidRPr="00483C84">
        <w:rPr>
          <w:rFonts w:ascii="Rubik" w:hAnsi="Rubik"/>
          <w:shd w:val="clear" w:color="auto" w:fill="FFFFFF"/>
          <w:rtl/>
        </w:rPr>
        <w:t xml:space="preserve"> </w:t>
      </w:r>
      <w:r w:rsidRPr="00483C84">
        <w:rPr>
          <w:rFonts w:ascii="Rubik" w:hAnsi="Rubik" w:hint="eastAsia"/>
          <w:shd w:val="clear" w:color="auto" w:fill="FFFFFF"/>
          <w:rtl/>
        </w:rPr>
        <w:t>ייעוץ</w:t>
      </w:r>
      <w:r w:rsidRPr="00483C84">
        <w:rPr>
          <w:rFonts w:ascii="Rubik" w:hAnsi="Rubik"/>
          <w:shd w:val="clear" w:color="auto" w:fill="FFFFFF"/>
          <w:rtl/>
        </w:rPr>
        <w:t xml:space="preserve"> </w:t>
      </w:r>
      <w:r w:rsidRPr="00483C84">
        <w:rPr>
          <w:rFonts w:ascii="Rubik" w:hAnsi="Rubik" w:hint="eastAsia"/>
          <w:shd w:val="clear" w:color="auto" w:fill="FFFFFF"/>
          <w:rtl/>
        </w:rPr>
        <w:t>לראש</w:t>
      </w:r>
      <w:r w:rsidRPr="00483C84">
        <w:rPr>
          <w:rFonts w:ascii="Rubik" w:hAnsi="Rubik"/>
          <w:shd w:val="clear" w:color="auto" w:fill="FFFFFF"/>
          <w:rtl/>
        </w:rPr>
        <w:t xml:space="preserve"> </w:t>
      </w:r>
      <w:r w:rsidRPr="00483C84">
        <w:rPr>
          <w:rFonts w:ascii="Rubik" w:hAnsi="Rubik" w:hint="eastAsia"/>
          <w:shd w:val="clear" w:color="auto" w:fill="FFFFFF"/>
          <w:rtl/>
        </w:rPr>
        <w:t>הממשלה</w:t>
      </w:r>
      <w:r w:rsidRPr="00483C84">
        <w:rPr>
          <w:rFonts w:ascii="Rubik" w:hAnsi="Rubik"/>
          <w:shd w:val="clear" w:color="auto" w:fill="FFFFFF"/>
          <w:rtl/>
        </w:rPr>
        <w:t xml:space="preserve"> </w:t>
      </w:r>
      <w:r w:rsidRPr="00483C84">
        <w:rPr>
          <w:rFonts w:ascii="Rubik" w:hAnsi="Rubik" w:hint="eastAsia"/>
          <w:shd w:val="clear" w:color="auto" w:fill="FFFFFF"/>
          <w:rtl/>
        </w:rPr>
        <w:t>בנושאים</w:t>
      </w:r>
      <w:r w:rsidRPr="00483C84">
        <w:rPr>
          <w:rFonts w:ascii="Rubik" w:hAnsi="Rubik"/>
          <w:shd w:val="clear" w:color="auto" w:fill="FFFFFF"/>
          <w:rtl/>
        </w:rPr>
        <w:t xml:space="preserve"> </w:t>
      </w:r>
      <w:r w:rsidRPr="00483C84">
        <w:rPr>
          <w:rFonts w:ascii="Rubik" w:hAnsi="Rubik" w:hint="eastAsia"/>
          <w:shd w:val="clear" w:color="auto" w:fill="FFFFFF"/>
          <w:rtl/>
        </w:rPr>
        <w:t>כלכליים</w:t>
      </w:r>
      <w:r w:rsidRPr="00483C84">
        <w:rPr>
          <w:rFonts w:ascii="Rubik" w:hAnsi="Rubik"/>
          <w:shd w:val="clear" w:color="auto" w:fill="FFFFFF"/>
          <w:rtl/>
        </w:rPr>
        <w:t xml:space="preserve"> </w:t>
      </w:r>
      <w:r w:rsidRPr="00483C84">
        <w:rPr>
          <w:rFonts w:ascii="Rubik" w:hAnsi="Rubik" w:hint="eastAsia"/>
          <w:shd w:val="clear" w:color="auto" w:fill="FFFFFF"/>
          <w:rtl/>
        </w:rPr>
        <w:t>וגיבוש</w:t>
      </w:r>
      <w:r w:rsidRPr="00483C84">
        <w:rPr>
          <w:rFonts w:ascii="Rubik" w:hAnsi="Rubik"/>
          <w:shd w:val="clear" w:color="auto" w:fill="FFFFFF"/>
          <w:rtl/>
        </w:rPr>
        <w:t xml:space="preserve"> </w:t>
      </w:r>
      <w:r w:rsidRPr="00483C84">
        <w:rPr>
          <w:rFonts w:ascii="Rubik" w:hAnsi="Rubik" w:hint="eastAsia"/>
          <w:shd w:val="clear" w:color="auto" w:fill="FFFFFF"/>
          <w:rtl/>
        </w:rPr>
        <w:t>והובל</w:t>
      </w:r>
      <w:r>
        <w:rPr>
          <w:rFonts w:ascii="Rubik" w:hAnsi="Rubik" w:hint="cs"/>
          <w:shd w:val="clear" w:color="auto" w:fill="FFFFFF"/>
          <w:rtl/>
        </w:rPr>
        <w:t>ה של</w:t>
      </w:r>
      <w:r w:rsidRPr="00483C84">
        <w:rPr>
          <w:rFonts w:ascii="Rubik" w:hAnsi="Rubik"/>
          <w:shd w:val="clear" w:color="auto" w:fill="FFFFFF"/>
          <w:rtl/>
        </w:rPr>
        <w:t xml:space="preserve"> </w:t>
      </w:r>
      <w:r w:rsidRPr="00483C84">
        <w:rPr>
          <w:rFonts w:ascii="Rubik" w:hAnsi="Rubik" w:hint="eastAsia"/>
          <w:shd w:val="clear" w:color="auto" w:fill="FFFFFF"/>
          <w:rtl/>
        </w:rPr>
        <w:t>תהליכים</w:t>
      </w:r>
      <w:r w:rsidRPr="00483C84">
        <w:rPr>
          <w:rFonts w:ascii="Rubik" w:hAnsi="Rubik"/>
          <w:shd w:val="clear" w:color="auto" w:fill="FFFFFF"/>
          <w:rtl/>
        </w:rPr>
        <w:t xml:space="preserve"> </w:t>
      </w:r>
      <w:r w:rsidRPr="00483C84">
        <w:rPr>
          <w:rFonts w:ascii="Rubik" w:hAnsi="Rubik" w:hint="eastAsia"/>
          <w:shd w:val="clear" w:color="auto" w:fill="FFFFFF"/>
          <w:rtl/>
        </w:rPr>
        <w:t>אסטרטגיים</w:t>
      </w:r>
      <w:r w:rsidRPr="00483C84">
        <w:rPr>
          <w:rFonts w:ascii="Rubik" w:hAnsi="Rubik"/>
          <w:shd w:val="clear" w:color="auto" w:fill="FFFFFF"/>
          <w:rtl/>
        </w:rPr>
        <w:t xml:space="preserve"> </w:t>
      </w:r>
      <w:r w:rsidRPr="00483C84">
        <w:rPr>
          <w:rFonts w:ascii="Rubik" w:hAnsi="Rubik" w:hint="eastAsia"/>
          <w:shd w:val="clear" w:color="auto" w:fill="FFFFFF"/>
          <w:rtl/>
        </w:rPr>
        <w:t>לקידום</w:t>
      </w:r>
      <w:r w:rsidRPr="00483C84">
        <w:rPr>
          <w:rFonts w:ascii="Rubik" w:hAnsi="Rubik"/>
          <w:shd w:val="clear" w:color="auto" w:fill="FFFFFF"/>
          <w:rtl/>
        </w:rPr>
        <w:t xml:space="preserve"> </w:t>
      </w:r>
      <w:r w:rsidRPr="00483C84">
        <w:rPr>
          <w:rFonts w:ascii="Rubik" w:hAnsi="Rubik" w:hint="eastAsia"/>
          <w:shd w:val="clear" w:color="auto" w:fill="FFFFFF"/>
          <w:rtl/>
        </w:rPr>
        <w:t>המשק</w:t>
      </w:r>
      <w:r w:rsidRPr="00483C84">
        <w:rPr>
          <w:rFonts w:ascii="Rubik" w:hAnsi="Rubik"/>
          <w:shd w:val="clear" w:color="auto" w:fill="FFFFFF"/>
          <w:rtl/>
        </w:rPr>
        <w:t xml:space="preserve"> </w:t>
      </w:r>
      <w:r w:rsidRPr="00483C84">
        <w:rPr>
          <w:rFonts w:ascii="Rubik" w:hAnsi="Rubik" w:hint="eastAsia"/>
          <w:shd w:val="clear" w:color="auto" w:fill="FFFFFF"/>
          <w:rtl/>
        </w:rPr>
        <w:t>והחברה</w:t>
      </w:r>
      <w:r w:rsidRPr="00483C84">
        <w:rPr>
          <w:rFonts w:ascii="Rubik" w:hAnsi="Rubik"/>
          <w:shd w:val="clear" w:color="auto" w:fill="FFFFFF"/>
          <w:rtl/>
        </w:rPr>
        <w:t xml:space="preserve"> </w:t>
      </w:r>
      <w:r w:rsidRPr="00483C84">
        <w:rPr>
          <w:rFonts w:ascii="Rubik" w:hAnsi="Rubik" w:hint="eastAsia"/>
          <w:shd w:val="clear" w:color="auto" w:fill="FFFFFF"/>
          <w:rtl/>
        </w:rPr>
        <w:t>הישראלית</w:t>
      </w:r>
      <w:r w:rsidRPr="00483C84">
        <w:rPr>
          <w:rFonts w:ascii="Rubik" w:hAnsi="Rubik"/>
          <w:shd w:val="clear" w:color="auto" w:fill="FFFFFF"/>
          <w:rtl/>
        </w:rPr>
        <w:t xml:space="preserve"> </w:t>
      </w:r>
      <w:r w:rsidRPr="00483C84">
        <w:rPr>
          <w:rFonts w:ascii="Rubik" w:hAnsi="Rubik" w:hint="eastAsia"/>
          <w:shd w:val="clear" w:color="auto" w:fill="FFFFFF"/>
          <w:rtl/>
        </w:rPr>
        <w:t>בשיתוף</w:t>
      </w:r>
      <w:r w:rsidRPr="00483C84">
        <w:rPr>
          <w:rFonts w:ascii="Rubik" w:hAnsi="Rubik"/>
          <w:shd w:val="clear" w:color="auto" w:fill="FFFFFF"/>
          <w:rtl/>
        </w:rPr>
        <w:t xml:space="preserve"> </w:t>
      </w:r>
      <w:r w:rsidRPr="00483C84">
        <w:rPr>
          <w:rFonts w:ascii="Rubik" w:hAnsi="Rubik" w:hint="eastAsia"/>
          <w:shd w:val="clear" w:color="auto" w:fill="FFFFFF"/>
          <w:rtl/>
        </w:rPr>
        <w:t>משרדי</w:t>
      </w:r>
      <w:r w:rsidRPr="00483C84">
        <w:rPr>
          <w:rFonts w:ascii="Rubik" w:hAnsi="Rubik"/>
          <w:shd w:val="clear" w:color="auto" w:fill="FFFFFF"/>
          <w:rtl/>
        </w:rPr>
        <w:t xml:space="preserve"> </w:t>
      </w:r>
      <w:r w:rsidRPr="00483C84">
        <w:rPr>
          <w:rFonts w:ascii="Rubik" w:hAnsi="Rubik" w:hint="eastAsia"/>
          <w:shd w:val="clear" w:color="auto" w:fill="FFFFFF"/>
          <w:rtl/>
        </w:rPr>
        <w:t>הממשלה</w:t>
      </w:r>
      <w:r w:rsidRPr="00483C84">
        <w:rPr>
          <w:rFonts w:ascii="Rubik" w:hAnsi="Rubik"/>
          <w:shd w:val="clear" w:color="auto" w:fill="FFFFFF"/>
          <w:rtl/>
        </w:rPr>
        <w:t xml:space="preserve">, </w:t>
      </w:r>
      <w:r w:rsidRPr="00483C84">
        <w:rPr>
          <w:rFonts w:ascii="Rubik" w:hAnsi="Rubik" w:hint="eastAsia"/>
          <w:shd w:val="clear" w:color="auto" w:fill="FFFFFF"/>
          <w:rtl/>
        </w:rPr>
        <w:t>רשויות</w:t>
      </w:r>
      <w:r w:rsidRPr="00483C84">
        <w:rPr>
          <w:rFonts w:ascii="Rubik" w:hAnsi="Rubik"/>
          <w:shd w:val="clear" w:color="auto" w:fill="FFFFFF"/>
          <w:rtl/>
        </w:rPr>
        <w:t xml:space="preserve"> </w:t>
      </w:r>
      <w:r w:rsidRPr="00483C84">
        <w:rPr>
          <w:rFonts w:ascii="Rubik" w:hAnsi="Rubik" w:hint="eastAsia"/>
          <w:shd w:val="clear" w:color="auto" w:fill="FFFFFF"/>
          <w:rtl/>
        </w:rPr>
        <w:t>וגופים</w:t>
      </w:r>
      <w:r w:rsidRPr="00483C84">
        <w:rPr>
          <w:rFonts w:ascii="Rubik" w:hAnsi="Rubik"/>
          <w:shd w:val="clear" w:color="auto" w:fill="FFFFFF"/>
          <w:rtl/>
        </w:rPr>
        <w:t xml:space="preserve"> </w:t>
      </w:r>
      <w:r w:rsidRPr="00483C84">
        <w:rPr>
          <w:rFonts w:ascii="Rubik" w:hAnsi="Rubik" w:hint="eastAsia"/>
          <w:shd w:val="clear" w:color="auto" w:fill="FFFFFF"/>
          <w:rtl/>
        </w:rPr>
        <w:t>פרטיים</w:t>
      </w:r>
      <w:r w:rsidRPr="00483C84">
        <w:rPr>
          <w:rFonts w:ascii="Rubik" w:hAnsi="Rubik"/>
          <w:shd w:val="clear" w:color="auto" w:fill="FFFFFF"/>
          <w:rtl/>
        </w:rPr>
        <w:t xml:space="preserve">. </w:t>
      </w:r>
      <w:r w:rsidRPr="00483C84">
        <w:rPr>
          <w:rFonts w:ascii="Rubik" w:hAnsi="Rubik" w:hint="eastAsia"/>
          <w:shd w:val="clear" w:color="auto" w:fill="FFFFFF"/>
          <w:rtl/>
        </w:rPr>
        <w:t>בהתאם</w:t>
      </w:r>
      <w:r w:rsidRPr="00483C84">
        <w:rPr>
          <w:rFonts w:ascii="Rubik" w:hAnsi="Rubik"/>
          <w:shd w:val="clear" w:color="auto" w:fill="FFFFFF"/>
          <w:rtl/>
        </w:rPr>
        <w:t xml:space="preserve"> </w:t>
      </w:r>
      <w:r w:rsidRPr="00483C84">
        <w:rPr>
          <w:rFonts w:ascii="Rubik" w:hAnsi="Rubik" w:hint="eastAsia"/>
          <w:shd w:val="clear" w:color="auto" w:fill="FFFFFF"/>
          <w:rtl/>
        </w:rPr>
        <w:t>להחלטת</w:t>
      </w:r>
      <w:r w:rsidRPr="00483C84">
        <w:rPr>
          <w:rFonts w:ascii="Rubik" w:hAnsi="Rubik"/>
          <w:shd w:val="clear" w:color="auto" w:fill="FFFFFF"/>
          <w:rtl/>
        </w:rPr>
        <w:t xml:space="preserve"> </w:t>
      </w:r>
      <w:r w:rsidRPr="00483C84">
        <w:rPr>
          <w:rFonts w:ascii="Rubik" w:hAnsi="Rubik" w:hint="eastAsia"/>
          <w:shd w:val="clear" w:color="auto" w:fill="FFFFFF"/>
          <w:rtl/>
        </w:rPr>
        <w:t>הממשלה</w:t>
      </w:r>
      <w:r w:rsidRPr="00483C84">
        <w:rPr>
          <w:rFonts w:ascii="Rubik" w:hAnsi="Rubik"/>
          <w:shd w:val="clear" w:color="auto" w:fill="FFFFFF"/>
          <w:rtl/>
        </w:rPr>
        <w:t xml:space="preserve">, </w:t>
      </w:r>
      <w:r w:rsidRPr="00483C84">
        <w:rPr>
          <w:rFonts w:ascii="Rubik" w:hAnsi="Rubik" w:hint="eastAsia"/>
          <w:shd w:val="clear" w:color="auto" w:fill="FFFFFF"/>
          <w:rtl/>
        </w:rPr>
        <w:t>המועצה</w:t>
      </w:r>
      <w:r w:rsidRPr="00483C84">
        <w:rPr>
          <w:rFonts w:ascii="Rubik" w:hAnsi="Rubik"/>
          <w:shd w:val="clear" w:color="auto" w:fill="FFFFFF"/>
          <w:rtl/>
        </w:rPr>
        <w:t xml:space="preserve"> </w:t>
      </w:r>
      <w:r w:rsidRPr="00483C84">
        <w:rPr>
          <w:rFonts w:ascii="Rubik" w:hAnsi="Rubik" w:hint="eastAsia"/>
          <w:shd w:val="clear" w:color="auto" w:fill="FFFFFF"/>
          <w:rtl/>
        </w:rPr>
        <w:t>אמונה</w:t>
      </w:r>
      <w:r w:rsidRPr="00483C84">
        <w:rPr>
          <w:rFonts w:ascii="Rubik" w:hAnsi="Rubik"/>
          <w:shd w:val="clear" w:color="auto" w:fill="FFFFFF"/>
          <w:rtl/>
        </w:rPr>
        <w:t xml:space="preserve"> </w:t>
      </w:r>
      <w:r w:rsidRPr="00483C84">
        <w:rPr>
          <w:rFonts w:ascii="Rubik" w:hAnsi="Rubik" w:hint="eastAsia"/>
          <w:shd w:val="clear" w:color="auto" w:fill="FFFFFF"/>
          <w:rtl/>
        </w:rPr>
        <w:t>על</w:t>
      </w:r>
      <w:r w:rsidRPr="00483C84">
        <w:rPr>
          <w:rFonts w:ascii="Rubik" w:hAnsi="Rubik"/>
          <w:shd w:val="clear" w:color="auto" w:fill="FFFFFF"/>
          <w:rtl/>
        </w:rPr>
        <w:t xml:space="preserve"> </w:t>
      </w:r>
      <w:r w:rsidRPr="00483C84">
        <w:rPr>
          <w:rFonts w:ascii="Rubik" w:hAnsi="Rubik" w:hint="eastAsia"/>
          <w:shd w:val="clear" w:color="auto" w:fill="FFFFFF"/>
          <w:rtl/>
        </w:rPr>
        <w:t>גיבוש</w:t>
      </w:r>
      <w:r w:rsidRPr="00483C84">
        <w:rPr>
          <w:rFonts w:ascii="Rubik" w:hAnsi="Rubik"/>
          <w:shd w:val="clear" w:color="auto" w:fill="FFFFFF"/>
          <w:rtl/>
        </w:rPr>
        <w:t xml:space="preserve"> </w:t>
      </w:r>
      <w:r w:rsidRPr="00483C84">
        <w:rPr>
          <w:rFonts w:ascii="Rubik" w:hAnsi="Rubik" w:hint="eastAsia"/>
          <w:shd w:val="clear" w:color="auto" w:fill="FFFFFF"/>
          <w:rtl/>
        </w:rPr>
        <w:t>יוזמות</w:t>
      </w:r>
      <w:r w:rsidRPr="00483C84">
        <w:rPr>
          <w:rFonts w:ascii="Rubik" w:hAnsi="Rubik"/>
          <w:shd w:val="clear" w:color="auto" w:fill="FFFFFF"/>
          <w:rtl/>
        </w:rPr>
        <w:t xml:space="preserve"> </w:t>
      </w:r>
      <w:r w:rsidRPr="00483C84">
        <w:rPr>
          <w:rFonts w:ascii="Rubik" w:hAnsi="Rubik" w:hint="eastAsia"/>
          <w:shd w:val="clear" w:color="auto" w:fill="FFFFFF"/>
          <w:rtl/>
        </w:rPr>
        <w:t>לצעדי</w:t>
      </w:r>
      <w:r w:rsidRPr="00483C84">
        <w:rPr>
          <w:rFonts w:ascii="Rubik" w:hAnsi="Rubik"/>
          <w:shd w:val="clear" w:color="auto" w:fill="FFFFFF"/>
          <w:rtl/>
        </w:rPr>
        <w:t xml:space="preserve"> </w:t>
      </w:r>
      <w:r w:rsidRPr="00483C84">
        <w:rPr>
          <w:rFonts w:ascii="Rubik" w:hAnsi="Rubik" w:hint="eastAsia"/>
          <w:shd w:val="clear" w:color="auto" w:fill="FFFFFF"/>
          <w:rtl/>
        </w:rPr>
        <w:t>מדיניות</w:t>
      </w:r>
      <w:r w:rsidRPr="00483C84">
        <w:rPr>
          <w:rFonts w:ascii="Rubik" w:hAnsi="Rubik"/>
          <w:shd w:val="clear" w:color="auto" w:fill="FFFFFF"/>
          <w:rtl/>
        </w:rPr>
        <w:t xml:space="preserve"> </w:t>
      </w:r>
      <w:r w:rsidRPr="00483C84">
        <w:rPr>
          <w:rFonts w:ascii="Rubik" w:hAnsi="Rubik" w:hint="eastAsia"/>
          <w:shd w:val="clear" w:color="auto" w:fill="FFFFFF"/>
          <w:rtl/>
        </w:rPr>
        <w:t>לעידוד</w:t>
      </w:r>
      <w:r w:rsidRPr="00483C84">
        <w:rPr>
          <w:rFonts w:ascii="Rubik" w:hAnsi="Rubik"/>
          <w:shd w:val="clear" w:color="auto" w:fill="FFFFFF"/>
          <w:rtl/>
        </w:rPr>
        <w:t xml:space="preserve"> </w:t>
      </w:r>
      <w:r w:rsidRPr="00483C84">
        <w:rPr>
          <w:rFonts w:ascii="Rubik" w:hAnsi="Rubik" w:hint="eastAsia"/>
          <w:shd w:val="clear" w:color="auto" w:fill="FFFFFF"/>
          <w:rtl/>
        </w:rPr>
        <w:t>הצמיחה</w:t>
      </w:r>
      <w:r w:rsidRPr="00483C84">
        <w:rPr>
          <w:rFonts w:ascii="Rubik" w:hAnsi="Rubik"/>
          <w:shd w:val="clear" w:color="auto" w:fill="FFFFFF"/>
          <w:rtl/>
        </w:rPr>
        <w:t xml:space="preserve"> </w:t>
      </w:r>
      <w:r w:rsidRPr="00483C84">
        <w:rPr>
          <w:rFonts w:ascii="Rubik" w:hAnsi="Rubik" w:hint="eastAsia"/>
          <w:shd w:val="clear" w:color="auto" w:fill="FFFFFF"/>
          <w:rtl/>
        </w:rPr>
        <w:t>במשק</w:t>
      </w:r>
      <w:r w:rsidRPr="00483C84">
        <w:rPr>
          <w:rFonts w:ascii="Rubik" w:hAnsi="Rubik"/>
          <w:shd w:val="clear" w:color="auto" w:fill="FFFFFF"/>
          <w:rtl/>
        </w:rPr>
        <w:t xml:space="preserve"> </w:t>
      </w:r>
      <w:r w:rsidRPr="00483C84">
        <w:rPr>
          <w:rFonts w:ascii="Rubik" w:hAnsi="Rubik" w:hint="eastAsia"/>
          <w:shd w:val="clear" w:color="auto" w:fill="FFFFFF"/>
          <w:rtl/>
        </w:rPr>
        <w:t>תוך</w:t>
      </w:r>
      <w:r w:rsidRPr="00483C84">
        <w:rPr>
          <w:rFonts w:ascii="Rubik" w:hAnsi="Rubik"/>
          <w:shd w:val="clear" w:color="auto" w:fill="FFFFFF"/>
          <w:rtl/>
        </w:rPr>
        <w:t xml:space="preserve"> </w:t>
      </w:r>
      <w:r w:rsidRPr="00483C84">
        <w:rPr>
          <w:rFonts w:ascii="Rubik" w:hAnsi="Rubik" w:hint="eastAsia"/>
          <w:shd w:val="clear" w:color="auto" w:fill="FFFFFF"/>
          <w:rtl/>
        </w:rPr>
        <w:t>צמצום</w:t>
      </w:r>
      <w:r w:rsidRPr="00483C84">
        <w:rPr>
          <w:rFonts w:ascii="Rubik" w:hAnsi="Rubik"/>
          <w:shd w:val="clear" w:color="auto" w:fill="FFFFFF"/>
          <w:rtl/>
        </w:rPr>
        <w:t xml:space="preserve"> </w:t>
      </w:r>
      <w:r w:rsidRPr="00483C84">
        <w:rPr>
          <w:rFonts w:ascii="Rubik" w:hAnsi="Rubik" w:hint="eastAsia"/>
          <w:shd w:val="clear" w:color="auto" w:fill="FFFFFF"/>
          <w:rtl/>
        </w:rPr>
        <w:t>הפערים</w:t>
      </w:r>
      <w:r w:rsidRPr="00483C84">
        <w:rPr>
          <w:rFonts w:ascii="Rubik" w:hAnsi="Rubik"/>
          <w:shd w:val="clear" w:color="auto" w:fill="FFFFFF"/>
          <w:rtl/>
        </w:rPr>
        <w:t xml:space="preserve"> </w:t>
      </w:r>
      <w:r w:rsidRPr="00483C84">
        <w:rPr>
          <w:rFonts w:ascii="Rubik" w:hAnsi="Rubik" w:hint="eastAsia"/>
          <w:shd w:val="clear" w:color="auto" w:fill="FFFFFF"/>
          <w:rtl/>
        </w:rPr>
        <w:t>הכלכליים</w:t>
      </w:r>
      <w:r w:rsidRPr="00483C84">
        <w:rPr>
          <w:rFonts w:ascii="Rubik" w:hAnsi="Rubik"/>
          <w:shd w:val="clear" w:color="auto" w:fill="FFFFFF"/>
          <w:rtl/>
        </w:rPr>
        <w:t xml:space="preserve">. </w:t>
      </w:r>
      <w:r w:rsidRPr="00483C84">
        <w:rPr>
          <w:rFonts w:ascii="Rubik" w:hAnsi="Rubik" w:hint="eastAsia"/>
          <w:shd w:val="clear" w:color="auto" w:fill="FFFFFF"/>
          <w:rtl/>
        </w:rPr>
        <w:t>מתוך</w:t>
      </w:r>
      <w:r w:rsidRPr="00483C84">
        <w:rPr>
          <w:rFonts w:ascii="Rubik" w:hAnsi="Rubik"/>
          <w:shd w:val="clear" w:color="auto" w:fill="FFFFFF"/>
          <w:rtl/>
        </w:rPr>
        <w:t xml:space="preserve"> </w:t>
      </w:r>
      <w:r w:rsidRPr="00483C84">
        <w:rPr>
          <w:rFonts w:ascii="Rubik" w:hAnsi="Rubik" w:hint="eastAsia"/>
          <w:shd w:val="clear" w:color="auto" w:fill="FFFFFF"/>
          <w:rtl/>
        </w:rPr>
        <w:t>אתר</w:t>
      </w:r>
      <w:r w:rsidRPr="00483C84">
        <w:rPr>
          <w:rFonts w:ascii="Rubik" w:hAnsi="Rubik"/>
          <w:shd w:val="clear" w:color="auto" w:fill="FFFFFF"/>
          <w:rtl/>
        </w:rPr>
        <w:t xml:space="preserve"> </w:t>
      </w:r>
      <w:r w:rsidRPr="00483C84">
        <w:rPr>
          <w:rFonts w:ascii="Rubik" w:hAnsi="Rubik" w:hint="eastAsia"/>
          <w:shd w:val="clear" w:color="auto" w:fill="FFFFFF"/>
          <w:rtl/>
        </w:rPr>
        <w:t>משרד</w:t>
      </w:r>
      <w:r w:rsidRPr="00483C84">
        <w:rPr>
          <w:rFonts w:ascii="Rubik" w:hAnsi="Rubik"/>
          <w:shd w:val="clear" w:color="auto" w:fill="FFFFFF"/>
          <w:rtl/>
        </w:rPr>
        <w:t xml:space="preserve"> </w:t>
      </w:r>
      <w:r w:rsidRPr="00483C84">
        <w:rPr>
          <w:rFonts w:ascii="Rubik" w:hAnsi="Rubik" w:hint="eastAsia"/>
          <w:shd w:val="clear" w:color="auto" w:fill="FFFFFF"/>
          <w:rtl/>
        </w:rPr>
        <w:t>ראש</w:t>
      </w:r>
      <w:r w:rsidRPr="00483C84">
        <w:rPr>
          <w:rFonts w:ascii="Rubik" w:hAnsi="Rubik"/>
          <w:shd w:val="clear" w:color="auto" w:fill="FFFFFF"/>
          <w:rtl/>
        </w:rPr>
        <w:t xml:space="preserve"> </w:t>
      </w:r>
      <w:r w:rsidRPr="00483C84">
        <w:rPr>
          <w:rFonts w:ascii="Rubik" w:hAnsi="Rubik" w:hint="eastAsia"/>
          <w:shd w:val="clear" w:color="auto" w:fill="FFFFFF"/>
          <w:rtl/>
        </w:rPr>
        <w:t>הממשלה</w:t>
      </w:r>
      <w:r w:rsidRPr="00275D65">
        <w:rPr>
          <w:rFonts w:hint="cs"/>
          <w:rtl/>
        </w:rPr>
        <w:t xml:space="preserve"> </w:t>
      </w:r>
      <w:r>
        <w:rPr>
          <w:rFonts w:hint="cs"/>
          <w:rtl/>
        </w:rPr>
        <w:t>[</w:t>
      </w:r>
      <w:hyperlink r:id="rId7" w:history="1">
        <w:r w:rsidRPr="001F145C">
          <w:rPr>
            <w:rStyle w:val="Hyperlink"/>
          </w:rPr>
          <w:t>https://www.gov.il/he/pages/about_economy</w:t>
        </w:r>
      </w:hyperlink>
      <w:r>
        <w:rPr>
          <w:rFonts w:hint="cs"/>
          <w:rtl/>
        </w:rPr>
        <w:t>].</w:t>
      </w:r>
    </w:p>
  </w:footnote>
  <w:footnote w:id="37">
    <w:p w:rsidR="00CC16EC" w:rsidP="00861D72">
      <w:pPr>
        <w:pStyle w:val="FootnoteText"/>
        <w:rPr>
          <w:rtl/>
        </w:rPr>
      </w:pPr>
      <w:r>
        <w:rPr>
          <w:rStyle w:val="FootnoteReference1"/>
        </w:rPr>
        <w:footnoteRef/>
      </w:r>
      <w:r>
        <w:rPr>
          <w:rtl/>
        </w:rPr>
        <w:t xml:space="preserve"> </w:t>
      </w:r>
      <w:r>
        <w:rPr>
          <w:rtl/>
        </w:rPr>
        <w:tab/>
      </w:r>
      <w:r>
        <w:rPr>
          <w:rFonts w:hint="cs"/>
          <w:rtl/>
        </w:rPr>
        <w:t xml:space="preserve">המועצה הלאומית לכלכלה, </w:t>
      </w:r>
      <w:r w:rsidRPr="00512C15">
        <w:rPr>
          <w:rFonts w:hint="eastAsia"/>
          <w:b/>
          <w:bCs/>
          <w:rtl/>
        </w:rPr>
        <w:t>הערכת</w:t>
      </w:r>
      <w:r w:rsidRPr="00512C15">
        <w:rPr>
          <w:b/>
          <w:bCs/>
          <w:rtl/>
        </w:rPr>
        <w:t xml:space="preserve"> </w:t>
      </w:r>
      <w:r w:rsidRPr="00512C15">
        <w:rPr>
          <w:rFonts w:hint="eastAsia"/>
          <w:b/>
          <w:bCs/>
          <w:rtl/>
        </w:rPr>
        <w:t>מצב</w:t>
      </w:r>
      <w:r w:rsidRPr="00512C15">
        <w:rPr>
          <w:b/>
          <w:bCs/>
          <w:rtl/>
        </w:rPr>
        <w:t xml:space="preserve"> </w:t>
      </w:r>
      <w:r w:rsidRPr="00512C15">
        <w:rPr>
          <w:rFonts w:hint="eastAsia"/>
          <w:b/>
          <w:bCs/>
          <w:rtl/>
        </w:rPr>
        <w:t>אסטרטגית</w:t>
      </w:r>
      <w:r w:rsidRPr="00512C15">
        <w:rPr>
          <w:b/>
          <w:bCs/>
          <w:rtl/>
        </w:rPr>
        <w:t xml:space="preserve"> </w:t>
      </w:r>
      <w:r w:rsidRPr="00512C15">
        <w:rPr>
          <w:rFonts w:hint="eastAsia"/>
          <w:b/>
          <w:bCs/>
          <w:rtl/>
        </w:rPr>
        <w:t>כלכלית</w:t>
      </w:r>
      <w:r w:rsidRPr="00512C15">
        <w:rPr>
          <w:b/>
          <w:bCs/>
          <w:rtl/>
        </w:rPr>
        <w:t>-חברתית</w:t>
      </w:r>
      <w:r>
        <w:rPr>
          <w:rFonts w:hint="cs"/>
          <w:rtl/>
        </w:rPr>
        <w:t xml:space="preserve"> (2015).</w:t>
      </w:r>
    </w:p>
  </w:footnote>
  <w:footnote w:id="38">
    <w:p w:rsidR="00CC16EC" w:rsidP="00861D72">
      <w:pPr>
        <w:pStyle w:val="FootnoteText"/>
      </w:pPr>
      <w:r>
        <w:rPr>
          <w:rStyle w:val="FootnoteReference1"/>
        </w:rPr>
        <w:footnoteRef/>
      </w:r>
      <w:r>
        <w:rPr>
          <w:rtl/>
        </w:rPr>
        <w:t xml:space="preserve"> </w:t>
      </w:r>
      <w:r>
        <w:rPr>
          <w:rtl/>
        </w:rPr>
        <w:tab/>
      </w:r>
      <w:r>
        <w:rPr>
          <w:rFonts w:hint="cs"/>
          <w:rtl/>
        </w:rPr>
        <w:t>המועצה הלאומית לכלכלה, הערכת מצב אסטרטגית כלכלית-חברתית (2015).</w:t>
      </w:r>
    </w:p>
  </w:footnote>
  <w:footnote w:id="39">
    <w:p w:rsidR="00CC16EC" w:rsidP="00861D72">
      <w:pPr>
        <w:pStyle w:val="FootnoteText"/>
        <w:rPr>
          <w:rtl/>
        </w:rPr>
      </w:pPr>
      <w:r>
        <w:rPr>
          <w:rStyle w:val="FootnoteReference1"/>
        </w:rPr>
        <w:footnoteRef/>
      </w:r>
      <w:r>
        <w:rPr>
          <w:rtl/>
        </w:rPr>
        <w:t xml:space="preserve"> </w:t>
      </w:r>
      <w:r>
        <w:rPr>
          <w:rtl/>
        </w:rPr>
        <w:tab/>
      </w:r>
      <w:r w:rsidRPr="00EB43F0">
        <w:rPr>
          <w:rtl/>
        </w:rPr>
        <w:t xml:space="preserve">החלטת </w:t>
      </w:r>
      <w:r>
        <w:rPr>
          <w:rFonts w:hint="cs"/>
          <w:rtl/>
        </w:rPr>
        <w:t>ה</w:t>
      </w:r>
      <w:r w:rsidRPr="00EB43F0">
        <w:rPr>
          <w:rtl/>
        </w:rPr>
        <w:t>ממשלה 145, "אימוץ הערכת המצב האסטרטגית כלכלית-חברתית לממשלה ה-34"</w:t>
      </w:r>
      <w:r>
        <w:rPr>
          <w:rFonts w:hint="cs"/>
          <w:rtl/>
        </w:rPr>
        <w:t xml:space="preserve"> (</w:t>
      </w:r>
      <w:r w:rsidRPr="00EB43F0">
        <w:rPr>
          <w:rtl/>
        </w:rPr>
        <w:t>28.6.15</w:t>
      </w:r>
      <w:r>
        <w:rPr>
          <w:rFonts w:hint="cs"/>
          <w:rtl/>
        </w:rPr>
        <w:t>) (להלן - החלטה 145).</w:t>
      </w:r>
    </w:p>
  </w:footnote>
  <w:footnote w:id="40">
    <w:p w:rsidR="00CC16EC" w:rsidP="00861D72">
      <w:pPr>
        <w:pStyle w:val="FootnoteText"/>
      </w:pPr>
      <w:r>
        <w:rPr>
          <w:rStyle w:val="FootnoteReference1"/>
        </w:rPr>
        <w:footnoteRef/>
      </w:r>
      <w:r>
        <w:rPr>
          <w:rtl/>
        </w:rPr>
        <w:t xml:space="preserve"> </w:t>
      </w:r>
      <w:r>
        <w:rPr>
          <w:rtl/>
        </w:rPr>
        <w:tab/>
      </w:r>
      <w:r w:rsidRPr="00970258">
        <w:rPr>
          <w:rtl/>
        </w:rPr>
        <w:t>החלטת הממשלה 150, "קידום הסוגיה האסטרטגית "היערכות להזדקנות האוכלוסייה כנגזרת מהערכת המצב האסטרטגית כלכלית-חברתית לממשלה"</w:t>
      </w:r>
      <w:r>
        <w:rPr>
          <w:rFonts w:hint="cs"/>
          <w:rtl/>
        </w:rPr>
        <w:t xml:space="preserve"> (</w:t>
      </w:r>
      <w:r w:rsidRPr="00970258">
        <w:rPr>
          <w:rtl/>
        </w:rPr>
        <w:t>28.6.15</w:t>
      </w:r>
      <w:r>
        <w:rPr>
          <w:rFonts w:hint="cs"/>
          <w:rtl/>
        </w:rPr>
        <w:t xml:space="preserve">) (להלן - החלטה 150). </w:t>
      </w:r>
    </w:p>
  </w:footnote>
  <w:footnote w:id="41">
    <w:p w:rsidR="00CC16EC" w:rsidP="00861D72">
      <w:pPr>
        <w:pStyle w:val="FootnoteText"/>
        <w:rPr>
          <w:rtl/>
        </w:rPr>
      </w:pPr>
      <w:r>
        <w:rPr>
          <w:rStyle w:val="FootnoteReference1"/>
        </w:rPr>
        <w:footnoteRef/>
      </w:r>
      <w:r>
        <w:rPr>
          <w:rtl/>
        </w:rPr>
        <w:t xml:space="preserve"> </w:t>
      </w:r>
      <w:r>
        <w:rPr>
          <w:rtl/>
        </w:rPr>
        <w:tab/>
      </w:r>
      <w:r>
        <w:rPr>
          <w:rFonts w:hint="cs"/>
          <w:rtl/>
        </w:rPr>
        <w:t xml:space="preserve">התפלגות המשיבים לפי מוסד: 3 </w:t>
      </w:r>
      <w:r>
        <w:rPr>
          <w:rFonts w:hint="cs"/>
          <w:rtl/>
        </w:rPr>
        <w:t>מבט"ל</w:t>
      </w:r>
      <w:r>
        <w:rPr>
          <w:rFonts w:hint="cs"/>
          <w:rtl/>
        </w:rPr>
        <w:t>, 4 ממשרד הרווחה, 1 מהמרכז לשלטון מקומי, 2 ממשרד הבריאות, 5 מהמשרד לשוויון חברתי, 1 ממשרד ראש הממשלה, מקופות החולים: 1 מלאומית, 1 ממכבי, 1 ממאוחדת, 2 מכללית.</w:t>
      </w:r>
    </w:p>
  </w:footnote>
  <w:footnote w:id="42">
    <w:p w:rsidR="00CC16EC" w:rsidP="00861D72">
      <w:pPr>
        <w:pStyle w:val="FootnoteText"/>
        <w:rPr>
          <w:rtl/>
        </w:rPr>
      </w:pPr>
      <w:r>
        <w:rPr>
          <w:rStyle w:val="FootnoteReference1"/>
        </w:rPr>
        <w:footnoteRef/>
      </w:r>
      <w:r>
        <w:rPr>
          <w:rtl/>
        </w:rPr>
        <w:t xml:space="preserve"> </w:t>
      </w:r>
      <w:r>
        <w:rPr>
          <w:rtl/>
        </w:rPr>
        <w:tab/>
      </w:r>
      <w:r>
        <w:rPr>
          <w:rFonts w:hint="cs"/>
          <w:rtl/>
        </w:rPr>
        <w:t xml:space="preserve">רווח בר סמך של </w:t>
      </w:r>
      <w:r w:rsidRPr="00FA0385">
        <w:rPr>
          <w:rtl/>
        </w:rPr>
        <w:t>±4.</w:t>
      </w:r>
      <w:r>
        <w:rPr>
          <w:rFonts w:hint="cs"/>
          <w:rtl/>
        </w:rPr>
        <w:t>9</w:t>
      </w:r>
      <w:r w:rsidRPr="00FA0385">
        <w:rPr>
          <w:rtl/>
        </w:rPr>
        <w:t>%</w:t>
      </w:r>
      <w:r>
        <w:rPr>
          <w:rFonts w:hint="cs"/>
          <w:rtl/>
        </w:rPr>
        <w:t xml:space="preserve">, </w:t>
      </w:r>
      <w:r>
        <w:t>p = 95%</w:t>
      </w:r>
      <w:r>
        <w:rPr>
          <w:rFonts w:hint="cs"/>
          <w:rtl/>
        </w:rPr>
        <w:t>.</w:t>
      </w:r>
    </w:p>
  </w:footnote>
  <w:footnote w:id="43">
    <w:p w:rsidR="00CC16EC" w:rsidP="00861D72">
      <w:pPr>
        <w:pStyle w:val="FootnoteText"/>
        <w:rPr>
          <w:rtl/>
        </w:rPr>
      </w:pPr>
      <w:r>
        <w:rPr>
          <w:rStyle w:val="FootnoteReference1"/>
        </w:rPr>
        <w:footnoteRef/>
      </w:r>
      <w:r>
        <w:rPr>
          <w:rtl/>
        </w:rPr>
        <w:t xml:space="preserve"> </w:t>
      </w:r>
      <w:r>
        <w:rPr>
          <w:rtl/>
        </w:rPr>
        <w:tab/>
      </w:r>
      <w:r w:rsidRPr="00EB43F0">
        <w:rPr>
          <w:rtl/>
        </w:rPr>
        <w:t xml:space="preserve">החלטת </w:t>
      </w:r>
      <w:r>
        <w:rPr>
          <w:rFonts w:hint="cs"/>
          <w:rtl/>
        </w:rPr>
        <w:t>ה</w:t>
      </w:r>
      <w:r w:rsidRPr="00EB43F0">
        <w:rPr>
          <w:rtl/>
        </w:rPr>
        <w:t>ממשלה 145, "אימוץ הערכת המצב האסטרטגית כלכלית-חברתית לממשלה ה-34"</w:t>
      </w:r>
      <w:r>
        <w:rPr>
          <w:rFonts w:hint="cs"/>
          <w:rtl/>
        </w:rPr>
        <w:t xml:space="preserve"> (</w:t>
      </w:r>
      <w:r w:rsidRPr="00EB43F0">
        <w:rPr>
          <w:rtl/>
        </w:rPr>
        <w:t>28.6.15</w:t>
      </w:r>
      <w:r>
        <w:rPr>
          <w:rFonts w:hint="cs"/>
          <w:rtl/>
        </w:rPr>
        <w:t>).</w:t>
      </w:r>
    </w:p>
  </w:footnote>
  <w:footnote w:id="44">
    <w:p w:rsidR="00CC16EC" w:rsidRPr="00010A39" w:rsidP="00861D72">
      <w:pPr>
        <w:pStyle w:val="FootnoteText"/>
        <w:rPr>
          <w:rtl/>
        </w:rPr>
      </w:pPr>
      <w:r>
        <w:rPr>
          <w:rStyle w:val="FootnoteReference1"/>
        </w:rPr>
        <w:footnoteRef/>
      </w:r>
      <w:r>
        <w:rPr>
          <w:rtl/>
        </w:rPr>
        <w:t xml:space="preserve"> </w:t>
      </w:r>
      <w:r>
        <w:rPr>
          <w:rtl/>
        </w:rPr>
        <w:tab/>
      </w:r>
      <w:r w:rsidRPr="00970258">
        <w:rPr>
          <w:rtl/>
        </w:rPr>
        <w:t>החלטת הממשלה 150, "קידום הסוגיה האסטרטגית "היערכות להזדקנות האוכלוסייה כנגזרת מהערכת המצב האסטרטגית כלכלית-חברתית לממשלה"</w:t>
      </w:r>
      <w:r>
        <w:rPr>
          <w:rFonts w:hint="cs"/>
          <w:rtl/>
        </w:rPr>
        <w:t xml:space="preserve"> </w:t>
      </w:r>
      <w:r w:rsidRPr="00970258">
        <w:rPr>
          <w:rtl/>
        </w:rPr>
        <w:t>28.6.15</w:t>
      </w:r>
      <w:r>
        <w:rPr>
          <w:rFonts w:hint="cs"/>
          <w:rtl/>
        </w:rPr>
        <w:t xml:space="preserve">. </w:t>
      </w:r>
    </w:p>
  </w:footnote>
  <w:footnote w:id="45">
    <w:p w:rsidR="00CC16EC" w:rsidP="00861D72">
      <w:pPr>
        <w:pStyle w:val="FootnoteText"/>
      </w:pPr>
      <w:r>
        <w:rPr>
          <w:rStyle w:val="FootnoteReference1"/>
        </w:rPr>
        <w:footnoteRef/>
      </w:r>
      <w:r>
        <w:rPr>
          <w:rtl/>
        </w:rPr>
        <w:t xml:space="preserve"> </w:t>
      </w:r>
      <w:r>
        <w:rPr>
          <w:rtl/>
        </w:rPr>
        <w:tab/>
      </w:r>
      <w:r>
        <w:rPr>
          <w:rFonts w:hint="cs"/>
          <w:rtl/>
        </w:rPr>
        <w:t>כיוון הפעולה החמישי שהגדירה המועצה, היערכות מערכת הפנסיה, לא נבדק בדוח זה.</w:t>
      </w:r>
    </w:p>
  </w:footnote>
  <w:footnote w:id="46">
    <w:p w:rsidR="00CC16EC" w:rsidP="00861D72">
      <w:pPr>
        <w:pStyle w:val="FootnoteText"/>
        <w:rPr>
          <w:rtl/>
        </w:rPr>
      </w:pPr>
      <w:r>
        <w:rPr>
          <w:rStyle w:val="FootnoteReference1"/>
        </w:rPr>
        <w:footnoteRef/>
      </w:r>
      <w:r>
        <w:rPr>
          <w:rtl/>
        </w:rPr>
        <w:t xml:space="preserve"> </w:t>
      </w:r>
      <w:r>
        <w:rPr>
          <w:rtl/>
        </w:rPr>
        <w:tab/>
      </w:r>
      <w:r>
        <w:rPr>
          <w:rFonts w:hint="cs"/>
          <w:rtl/>
        </w:rPr>
        <w:t>החלטה 150 סע</w:t>
      </w:r>
      <w:r w:rsidR="00A804DA">
        <w:rPr>
          <w:rFonts w:hint="cs"/>
          <w:rtl/>
        </w:rPr>
        <w:t>יף</w:t>
      </w:r>
      <w:r>
        <w:rPr>
          <w:rFonts w:hint="cs"/>
          <w:rtl/>
        </w:rPr>
        <w:t xml:space="preserve"> א3. החלטות ממשלה שהתקבלו לטיפול בכיוון פעולה זה: החלטת הממשלה 371, "צמצום גירעון המוסד לביטוח לאומי" (5.8.15).</w:t>
      </w:r>
    </w:p>
  </w:footnote>
  <w:footnote w:id="47">
    <w:p w:rsidR="00CC16EC" w:rsidP="00861D72">
      <w:pPr>
        <w:pStyle w:val="FootnoteText"/>
        <w:rPr>
          <w:rtl/>
        </w:rPr>
      </w:pPr>
      <w:r>
        <w:rPr>
          <w:rStyle w:val="FootnoteReference1"/>
        </w:rPr>
        <w:footnoteRef/>
      </w:r>
      <w:r>
        <w:rPr>
          <w:rtl/>
        </w:rPr>
        <w:t xml:space="preserve"> </w:t>
      </w:r>
      <w:r>
        <w:rPr>
          <w:rtl/>
        </w:rPr>
        <w:tab/>
      </w:r>
      <w:r>
        <w:rPr>
          <w:rFonts w:ascii="David" w:hAnsi="David" w:hint="cs"/>
          <w:rtl/>
        </w:rPr>
        <w:t>נתון זה</w:t>
      </w:r>
      <w:r w:rsidRPr="003417E6">
        <w:rPr>
          <w:rFonts w:ascii="David" w:hAnsi="David"/>
          <w:rtl/>
        </w:rPr>
        <w:t xml:space="preserve"> אינו </w:t>
      </w:r>
      <w:r>
        <w:rPr>
          <w:rFonts w:ascii="David" w:hAnsi="David" w:hint="cs"/>
          <w:rtl/>
        </w:rPr>
        <w:t>מביא</w:t>
      </w:r>
      <w:r w:rsidRPr="003417E6">
        <w:rPr>
          <w:rFonts w:ascii="David" w:hAnsi="David"/>
          <w:rtl/>
        </w:rPr>
        <w:t xml:space="preserve"> </w:t>
      </w:r>
      <w:r>
        <w:rPr>
          <w:rFonts w:ascii="David" w:hAnsi="David" w:hint="cs"/>
          <w:rtl/>
        </w:rPr>
        <w:t xml:space="preserve">בחשבון </w:t>
      </w:r>
      <w:r w:rsidRPr="003417E6">
        <w:rPr>
          <w:rFonts w:ascii="David" w:hAnsi="David"/>
          <w:rtl/>
        </w:rPr>
        <w:t xml:space="preserve">את השפעות המלחמה, שככל הנראה מקדימות את שנת איפוס הקרן </w:t>
      </w:r>
      <w:r>
        <w:rPr>
          <w:rFonts w:ascii="David" w:hAnsi="David" w:hint="cs"/>
          <w:rtl/>
        </w:rPr>
        <w:t>(</w:t>
      </w:r>
      <w:r w:rsidRPr="003417E6">
        <w:rPr>
          <w:rFonts w:hint="cs"/>
          <w:rtl/>
        </w:rPr>
        <w:t xml:space="preserve">המוסד לביטוח לאומי, פרוטוקול ועדת כספים </w:t>
      </w:r>
      <w:r>
        <w:rPr>
          <w:rFonts w:hint="cs"/>
          <w:rtl/>
        </w:rPr>
        <w:t>-</w:t>
      </w:r>
      <w:r w:rsidRPr="003417E6">
        <w:rPr>
          <w:rFonts w:hint="cs"/>
          <w:rtl/>
        </w:rPr>
        <w:t xml:space="preserve"> הדוח האקטוארי, 30.5.24.</w:t>
      </w:r>
    </w:p>
  </w:footnote>
  <w:footnote w:id="48">
    <w:p w:rsidR="00CC16EC" w:rsidP="00861D72">
      <w:pPr>
        <w:pStyle w:val="FootnoteText"/>
        <w:rPr>
          <w:rtl/>
        </w:rPr>
      </w:pPr>
      <w:r>
        <w:rPr>
          <w:rStyle w:val="FootnoteReference1"/>
        </w:rPr>
        <w:footnoteRef/>
      </w:r>
      <w:r>
        <w:rPr>
          <w:rtl/>
        </w:rPr>
        <w:t xml:space="preserve"> </w:t>
      </w:r>
      <w:r>
        <w:rPr>
          <w:rtl/>
        </w:rPr>
        <w:tab/>
      </w:r>
      <w:r w:rsidRPr="003417E6">
        <w:rPr>
          <w:rFonts w:hint="cs"/>
          <w:rtl/>
        </w:rPr>
        <w:t>המוסד לביטוח לאומי</w:t>
      </w:r>
      <w:r>
        <w:rPr>
          <w:rFonts w:ascii="David" w:hAnsi="David" w:hint="cs"/>
          <w:rtl/>
        </w:rPr>
        <w:t>, דין וחשבון אקטוארי מלא (2020).</w:t>
      </w:r>
    </w:p>
  </w:footnote>
  <w:footnote w:id="49">
    <w:p w:rsidR="00CC16EC" w:rsidP="00861D72">
      <w:pPr>
        <w:pStyle w:val="FootnoteText"/>
        <w:rPr>
          <w:rtl/>
        </w:rPr>
      </w:pPr>
      <w:r>
        <w:rPr>
          <w:rStyle w:val="FootnoteReference1"/>
        </w:rPr>
        <w:footnoteRef/>
      </w:r>
      <w:r>
        <w:rPr>
          <w:rtl/>
        </w:rPr>
        <w:t xml:space="preserve"> </w:t>
      </w:r>
      <w:r>
        <w:rPr>
          <w:rtl/>
        </w:rPr>
        <w:tab/>
      </w:r>
      <w:r>
        <w:rPr>
          <w:rFonts w:hint="cs"/>
          <w:rtl/>
        </w:rPr>
        <w:t xml:space="preserve">החלטת ממשלה 198 התוכנית הכלכלית לשנים 2021 - 2022. </w:t>
      </w:r>
    </w:p>
  </w:footnote>
  <w:footnote w:id="50">
    <w:p w:rsidR="00CC16EC" w:rsidP="00861D72">
      <w:pPr>
        <w:pStyle w:val="FootnoteText"/>
        <w:rPr>
          <w:rtl/>
        </w:rPr>
      </w:pPr>
      <w:r>
        <w:rPr>
          <w:rStyle w:val="FootnoteReference1"/>
        </w:rPr>
        <w:footnoteRef/>
      </w:r>
      <w:r>
        <w:rPr>
          <w:rtl/>
        </w:rPr>
        <w:t xml:space="preserve"> </w:t>
      </w:r>
      <w:r>
        <w:rPr>
          <w:rtl/>
        </w:rPr>
        <w:tab/>
      </w:r>
      <w:r>
        <w:rPr>
          <w:rFonts w:hint="cs"/>
          <w:rtl/>
        </w:rPr>
        <w:t>החלטה 150 סע</w:t>
      </w:r>
      <w:r w:rsidR="00A804DA">
        <w:rPr>
          <w:rFonts w:hint="cs"/>
          <w:rtl/>
        </w:rPr>
        <w:t>יף</w:t>
      </w:r>
      <w:r>
        <w:rPr>
          <w:rFonts w:hint="cs"/>
          <w:rtl/>
        </w:rPr>
        <w:t xml:space="preserve"> א2 - התוכנית הייתה אמורה להיות מוגשת </w:t>
      </w:r>
      <w:r w:rsidRPr="00AE7305">
        <w:rPr>
          <w:noProof/>
          <w:rtl/>
        </w:rPr>
        <w:t>בתיאום עם אגף תקציבים במשרד האוצר</w:t>
      </w:r>
      <w:r>
        <w:rPr>
          <w:rFonts w:hint="cs"/>
          <w:rtl/>
        </w:rPr>
        <w:t xml:space="preserve">. החלטות ממשלה שהתקבלו לטיפול בכיוון פעולה זה: החלטת הממשלה 834, "קידום הסוגיה האסטרטגית ׳היערכות להזדקנות </w:t>
      </w:r>
      <w:r>
        <w:rPr>
          <w:rFonts w:hint="cs"/>
          <w:rtl/>
        </w:rPr>
        <w:t>האוכלוסיה</w:t>
      </w:r>
      <w:r>
        <w:rPr>
          <w:rFonts w:hint="cs"/>
          <w:rtl/>
        </w:rPr>
        <w:t xml:space="preserve">׳ - </w:t>
      </w:r>
      <w:r w:rsidRPr="004D0638">
        <w:rPr>
          <w:rFonts w:hint="cs"/>
          <w:rtl/>
        </w:rPr>
        <w:t xml:space="preserve">שילוב מבוגרים בתעסוקה" (13.12.15); החלטת </w:t>
      </w:r>
      <w:r>
        <w:rPr>
          <w:rFonts w:hint="cs"/>
          <w:rtl/>
        </w:rPr>
        <w:t>ה</w:t>
      </w:r>
      <w:r w:rsidRPr="004D0638">
        <w:rPr>
          <w:rFonts w:hint="cs"/>
          <w:rtl/>
        </w:rPr>
        <w:t>ממשלה 198, "התכנית הכלכלית לשנים 2021</w:t>
      </w:r>
      <w:r>
        <w:rPr>
          <w:rFonts w:hint="cs"/>
          <w:rtl/>
        </w:rPr>
        <w:t xml:space="preserve"> </w:t>
      </w:r>
      <w:r w:rsidRPr="004D0638">
        <w:rPr>
          <w:rFonts w:hint="cs"/>
          <w:rtl/>
        </w:rPr>
        <w:t>-</w:t>
      </w:r>
      <w:r>
        <w:rPr>
          <w:rFonts w:hint="cs"/>
          <w:rtl/>
        </w:rPr>
        <w:t xml:space="preserve"> </w:t>
      </w:r>
      <w:r w:rsidRPr="004D0638">
        <w:rPr>
          <w:rFonts w:hint="cs"/>
          <w:rtl/>
        </w:rPr>
        <w:t>2022" (1.8.21)</w:t>
      </w:r>
      <w:r w:rsidRPr="00C84428">
        <w:rPr>
          <w:rFonts w:hint="cs"/>
          <w:rtl/>
        </w:rPr>
        <w:t>.</w:t>
      </w:r>
    </w:p>
  </w:footnote>
  <w:footnote w:id="51">
    <w:p w:rsidR="00CC16EC" w:rsidP="00861D72">
      <w:pPr>
        <w:pStyle w:val="FootnoteText"/>
        <w:rPr>
          <w:rtl/>
        </w:rPr>
      </w:pPr>
      <w:r>
        <w:rPr>
          <w:rStyle w:val="FootnoteReference1"/>
        </w:rPr>
        <w:footnoteRef/>
      </w:r>
      <w:r>
        <w:rPr>
          <w:rtl/>
        </w:rPr>
        <w:t xml:space="preserve"> </w:t>
      </w:r>
      <w:r>
        <w:rPr>
          <w:rtl/>
        </w:rPr>
        <w:tab/>
      </w:r>
      <w:r>
        <w:rPr>
          <w:rFonts w:hint="cs"/>
          <w:rtl/>
        </w:rPr>
        <w:t>החלטה 150 סע</w:t>
      </w:r>
      <w:r w:rsidR="00A804DA">
        <w:rPr>
          <w:rFonts w:hint="cs"/>
          <w:rtl/>
        </w:rPr>
        <w:t>יף</w:t>
      </w:r>
      <w:r>
        <w:rPr>
          <w:rFonts w:hint="cs"/>
          <w:rtl/>
        </w:rPr>
        <w:t xml:space="preserve"> ב - </w:t>
      </w:r>
      <w:r>
        <w:rPr>
          <w:rFonts w:hint="cs"/>
          <w:noProof/>
          <w:rtl/>
        </w:rPr>
        <w:t xml:space="preserve">מבוסס על </w:t>
      </w:r>
      <w:r w:rsidRPr="00AE7305">
        <w:rPr>
          <w:noProof/>
          <w:rtl/>
        </w:rPr>
        <w:t xml:space="preserve">הודעת שר הבריאות וסגן השר במשרד הבריאות </w:t>
      </w:r>
      <w:r>
        <w:rPr>
          <w:rFonts w:hint="cs"/>
          <w:noProof/>
          <w:rtl/>
        </w:rPr>
        <w:t>על שהממשלה רשמה בפניה.</w:t>
      </w:r>
      <w:r w:rsidRPr="00990B46">
        <w:rPr>
          <w:noProof/>
          <w:rtl/>
        </w:rPr>
        <w:t xml:space="preserve"> </w:t>
      </w:r>
      <w:r>
        <w:rPr>
          <w:rFonts w:hint="cs"/>
          <w:noProof/>
          <w:rtl/>
        </w:rPr>
        <w:t xml:space="preserve">עבודת המטה שהחלה בוצעה לטענתם ע"י מנכ"ל משרד הבריאות, </w:t>
      </w:r>
      <w:r w:rsidRPr="00AE7305">
        <w:rPr>
          <w:noProof/>
          <w:rtl/>
        </w:rPr>
        <w:t>בהתאם להנחיית שר הבריאות וסגן השר במשרד הבריאות</w:t>
      </w:r>
      <w:r>
        <w:rPr>
          <w:rFonts w:hint="cs"/>
          <w:noProof/>
          <w:rtl/>
        </w:rPr>
        <w:t>.</w:t>
      </w:r>
    </w:p>
  </w:footnote>
  <w:footnote w:id="52">
    <w:p w:rsidR="00CC16EC" w:rsidP="00861D72">
      <w:pPr>
        <w:pStyle w:val="FootnoteText"/>
        <w:rPr>
          <w:rtl/>
        </w:rPr>
      </w:pPr>
      <w:r>
        <w:rPr>
          <w:rStyle w:val="FootnoteReference1"/>
        </w:rPr>
        <w:footnoteRef/>
      </w:r>
      <w:r>
        <w:rPr>
          <w:rtl/>
        </w:rPr>
        <w:t xml:space="preserve"> </w:t>
      </w:r>
      <w:r>
        <w:rPr>
          <w:rtl/>
        </w:rPr>
        <w:tab/>
      </w:r>
      <w:r>
        <w:rPr>
          <w:rFonts w:hint="cs"/>
          <w:rtl/>
        </w:rPr>
        <w:t xml:space="preserve">החלטות ממשלה שהתקבלו לטיפול בכיוון פעולה זה: </w:t>
      </w:r>
      <w:bookmarkStart w:id="19" w:name="_Hlk230507105"/>
      <w:r>
        <w:rPr>
          <w:rFonts w:hint="cs"/>
          <w:rtl/>
        </w:rPr>
        <w:t>החלטת הממשלה 197, "צמצום פערים מגדריים בשוק העבודה והתאמת גיל הפרישה מעבודה לעלייה בתוחלת החיים" (1.8.21).</w:t>
      </w:r>
    </w:p>
    <w:bookmarkEnd w:id="19"/>
  </w:footnote>
  <w:footnote w:id="53">
    <w:p w:rsidR="00CC16EC" w:rsidP="00861D72">
      <w:pPr>
        <w:pStyle w:val="FootnoteText"/>
        <w:rPr>
          <w:rtl/>
        </w:rPr>
      </w:pPr>
      <w:r>
        <w:rPr>
          <w:rStyle w:val="FootnoteReference1"/>
        </w:rPr>
        <w:footnoteRef/>
      </w:r>
      <w:r>
        <w:rPr>
          <w:rtl/>
        </w:rPr>
        <w:t xml:space="preserve"> </w:t>
      </w:r>
      <w:r>
        <w:rPr>
          <w:rtl/>
        </w:rPr>
        <w:tab/>
      </w:r>
      <w:r w:rsidRPr="00790EE9">
        <w:rPr>
          <w:rFonts w:hint="eastAsia"/>
          <w:rtl/>
        </w:rPr>
        <w:t>להרחבה</w:t>
      </w:r>
      <w:r w:rsidRPr="00790EE9">
        <w:rPr>
          <w:rtl/>
        </w:rPr>
        <w:t xml:space="preserve"> </w:t>
      </w:r>
      <w:r w:rsidRPr="00790EE9">
        <w:rPr>
          <w:rFonts w:hint="eastAsia"/>
          <w:rtl/>
        </w:rPr>
        <w:t>ראו</w:t>
      </w:r>
      <w:r w:rsidRPr="00790EE9">
        <w:rPr>
          <w:rtl/>
        </w:rPr>
        <w:t xml:space="preserve"> בפרק על </w:t>
      </w:r>
      <w:r>
        <w:rPr>
          <w:rFonts w:hint="cs"/>
          <w:rtl/>
        </w:rPr>
        <w:t>מערך הביטוח הסיעודי בישראל.</w:t>
      </w:r>
    </w:p>
  </w:footnote>
  <w:footnote w:id="54">
    <w:p w:rsidR="00CC16EC" w:rsidP="00861D72">
      <w:pPr>
        <w:pStyle w:val="FootnoteText"/>
      </w:pPr>
      <w:r>
        <w:rPr>
          <w:rStyle w:val="FootnoteReference1"/>
        </w:rPr>
        <w:footnoteRef/>
      </w:r>
      <w:r>
        <w:rPr>
          <w:rtl/>
        </w:rPr>
        <w:t xml:space="preserve"> </w:t>
      </w:r>
      <w:r>
        <w:rPr>
          <w:rtl/>
        </w:rPr>
        <w:tab/>
      </w:r>
      <w:r w:rsidRPr="00790EE9">
        <w:rPr>
          <w:rFonts w:hint="eastAsia"/>
          <w:rtl/>
        </w:rPr>
        <w:t>להרחבה</w:t>
      </w:r>
      <w:r w:rsidRPr="00790EE9">
        <w:rPr>
          <w:rtl/>
        </w:rPr>
        <w:t xml:space="preserve"> </w:t>
      </w:r>
      <w:r w:rsidRPr="00790EE9">
        <w:rPr>
          <w:rFonts w:hint="eastAsia"/>
          <w:rtl/>
        </w:rPr>
        <w:t>ראו</w:t>
      </w:r>
      <w:r w:rsidRPr="00790EE9">
        <w:rPr>
          <w:rtl/>
        </w:rPr>
        <w:t xml:space="preserve"> בפרק על </w:t>
      </w:r>
      <w:r w:rsidRPr="00790EE9">
        <w:rPr>
          <w:rFonts w:hint="eastAsia"/>
          <w:rtl/>
        </w:rPr>
        <w:t>השמירה</w:t>
      </w:r>
      <w:r w:rsidRPr="00790EE9">
        <w:rPr>
          <w:rtl/>
        </w:rPr>
        <w:t xml:space="preserve"> </w:t>
      </w:r>
      <w:r w:rsidRPr="00790EE9">
        <w:rPr>
          <w:rFonts w:hint="eastAsia"/>
          <w:rtl/>
        </w:rPr>
        <w:t>על</w:t>
      </w:r>
      <w:r w:rsidRPr="00790EE9">
        <w:rPr>
          <w:rtl/>
        </w:rPr>
        <w:t xml:space="preserve"> </w:t>
      </w:r>
      <w:r>
        <w:rPr>
          <w:rFonts w:hint="cs"/>
          <w:rtl/>
        </w:rPr>
        <w:t xml:space="preserve">רווחת </w:t>
      </w:r>
      <w:r w:rsidRPr="00790EE9">
        <w:rPr>
          <w:rFonts w:hint="eastAsia"/>
          <w:rtl/>
        </w:rPr>
        <w:t>האוכלוסייה</w:t>
      </w:r>
      <w:r w:rsidRPr="00790EE9">
        <w:rPr>
          <w:rtl/>
        </w:rPr>
        <w:t xml:space="preserve"> </w:t>
      </w:r>
      <w:r w:rsidRPr="00790EE9">
        <w:rPr>
          <w:rFonts w:hint="eastAsia"/>
          <w:rtl/>
        </w:rPr>
        <w:t>המזדקנת</w:t>
      </w:r>
      <w:r>
        <w:rPr>
          <w:rFonts w:hint="cs"/>
          <w:rtl/>
        </w:rPr>
        <w:t>.</w:t>
      </w:r>
    </w:p>
  </w:footnote>
  <w:footnote w:id="55">
    <w:p w:rsidR="00CC16EC" w:rsidP="00861D72">
      <w:pPr>
        <w:pStyle w:val="FootnoteText"/>
        <w:rPr>
          <w:rtl/>
        </w:rPr>
      </w:pPr>
      <w:r>
        <w:rPr>
          <w:rStyle w:val="FootnoteReference1"/>
        </w:rPr>
        <w:footnoteRef/>
      </w:r>
      <w:r>
        <w:rPr>
          <w:rtl/>
        </w:rPr>
        <w:t xml:space="preserve"> </w:t>
      </w:r>
      <w:r>
        <w:rPr>
          <w:rtl/>
        </w:rPr>
        <w:tab/>
      </w:r>
      <w:r>
        <w:rPr>
          <w:rFonts w:hint="cs"/>
          <w:rtl/>
        </w:rPr>
        <w:t>החלטת ממשלה 5208, "מיסוד ושיפור יכולות הממשלה בגיבוש וניהול אסטרטגיה כלכלית-חברתית", (4.11.12).</w:t>
      </w:r>
    </w:p>
  </w:footnote>
  <w:footnote w:id="56">
    <w:p w:rsidR="00CC16EC" w:rsidP="00861D72">
      <w:pPr>
        <w:pStyle w:val="FootnoteText"/>
        <w:rPr>
          <w:rtl/>
        </w:rPr>
      </w:pPr>
      <w:r>
        <w:rPr>
          <w:rStyle w:val="FootnoteReference1"/>
        </w:rPr>
        <w:footnoteRef/>
      </w:r>
      <w:r>
        <w:rPr>
          <w:rtl/>
        </w:rPr>
        <w:t xml:space="preserve"> </w:t>
      </w:r>
      <w:r>
        <w:rPr>
          <w:rtl/>
        </w:rPr>
        <w:tab/>
      </w:r>
      <w:r w:rsidRPr="007E3428">
        <w:rPr>
          <w:rFonts w:hint="cs"/>
          <w:rtl/>
        </w:rPr>
        <w:t xml:space="preserve">המועצה הלאומית לכלכלה, </w:t>
      </w:r>
      <w:r w:rsidRPr="00010A39">
        <w:rPr>
          <w:rFonts w:hint="eastAsia"/>
          <w:b/>
          <w:bCs/>
          <w:rtl/>
        </w:rPr>
        <w:t>דוח</w:t>
      </w:r>
      <w:r w:rsidRPr="00010A39">
        <w:rPr>
          <w:b/>
          <w:bCs/>
          <w:rtl/>
        </w:rPr>
        <w:t xml:space="preserve"> </w:t>
      </w:r>
      <w:r w:rsidRPr="00010A39">
        <w:rPr>
          <w:rFonts w:hint="eastAsia"/>
          <w:b/>
          <w:bCs/>
          <w:rtl/>
        </w:rPr>
        <w:t>מעקב</w:t>
      </w:r>
      <w:r w:rsidRPr="00010A39">
        <w:rPr>
          <w:b/>
          <w:bCs/>
          <w:rtl/>
        </w:rPr>
        <w:t xml:space="preserve"> </w:t>
      </w:r>
      <w:r w:rsidRPr="00010A39">
        <w:rPr>
          <w:rFonts w:hint="eastAsia"/>
          <w:b/>
          <w:bCs/>
          <w:rtl/>
        </w:rPr>
        <w:t>אחר</w:t>
      </w:r>
      <w:r w:rsidRPr="00010A39">
        <w:rPr>
          <w:b/>
          <w:bCs/>
          <w:rtl/>
        </w:rPr>
        <w:t xml:space="preserve"> </w:t>
      </w:r>
      <w:r w:rsidRPr="00010A39">
        <w:rPr>
          <w:rFonts w:hint="eastAsia"/>
          <w:b/>
          <w:bCs/>
          <w:rtl/>
        </w:rPr>
        <w:t>יישום</w:t>
      </w:r>
      <w:r w:rsidRPr="00010A39">
        <w:rPr>
          <w:b/>
          <w:bCs/>
          <w:rtl/>
        </w:rPr>
        <w:t xml:space="preserve"> </w:t>
      </w:r>
      <w:r w:rsidRPr="00010A39">
        <w:rPr>
          <w:rFonts w:hint="eastAsia"/>
          <w:b/>
          <w:bCs/>
          <w:rtl/>
        </w:rPr>
        <w:t>הערכת</w:t>
      </w:r>
      <w:r w:rsidRPr="00010A39">
        <w:rPr>
          <w:b/>
          <w:bCs/>
          <w:rtl/>
        </w:rPr>
        <w:t xml:space="preserve"> </w:t>
      </w:r>
      <w:r w:rsidRPr="00010A39">
        <w:rPr>
          <w:rFonts w:hint="eastAsia"/>
          <w:b/>
          <w:bCs/>
          <w:rtl/>
        </w:rPr>
        <w:t>המצב</w:t>
      </w:r>
      <w:r w:rsidRPr="00010A39">
        <w:rPr>
          <w:b/>
          <w:bCs/>
          <w:rtl/>
        </w:rPr>
        <w:t xml:space="preserve"> </w:t>
      </w:r>
      <w:r w:rsidRPr="00010A39">
        <w:rPr>
          <w:rFonts w:hint="eastAsia"/>
          <w:b/>
          <w:bCs/>
          <w:rtl/>
        </w:rPr>
        <w:t>האסטרטגית</w:t>
      </w:r>
      <w:r w:rsidRPr="007E3428">
        <w:rPr>
          <w:rFonts w:hint="cs"/>
          <w:rtl/>
        </w:rPr>
        <w:t xml:space="preserve"> </w:t>
      </w:r>
      <w:r>
        <w:rPr>
          <w:rFonts w:hint="cs"/>
          <w:rtl/>
        </w:rPr>
        <w:t>(</w:t>
      </w:r>
      <w:r w:rsidRPr="007E3428">
        <w:rPr>
          <w:rFonts w:hint="cs"/>
          <w:rtl/>
        </w:rPr>
        <w:t>2018</w:t>
      </w:r>
      <w:r>
        <w:rPr>
          <w:rFonts w:hint="cs"/>
          <w:rtl/>
        </w:rPr>
        <w:t>)</w:t>
      </w:r>
      <w:r w:rsidRPr="007E3428">
        <w:rPr>
          <w:rFonts w:hint="cs"/>
          <w:rtl/>
        </w:rPr>
        <w:t>.</w:t>
      </w:r>
    </w:p>
  </w:footnote>
  <w:footnote w:id="57">
    <w:p w:rsidR="00CC16EC" w:rsidP="00861D72">
      <w:pPr>
        <w:pStyle w:val="FootnoteText"/>
        <w:rPr>
          <w:rtl/>
        </w:rPr>
      </w:pPr>
      <w:r>
        <w:rPr>
          <w:rStyle w:val="FootnoteReference1"/>
        </w:rPr>
        <w:footnoteRef/>
      </w:r>
      <w:r>
        <w:rPr>
          <w:rtl/>
        </w:rPr>
        <w:t xml:space="preserve"> </w:t>
      </w:r>
      <w:r>
        <w:rPr>
          <w:rtl/>
        </w:rPr>
        <w:tab/>
      </w:r>
      <w:r w:rsidRPr="009F6D68">
        <w:rPr>
          <w:rFonts w:hint="cs"/>
          <w:rtl/>
        </w:rPr>
        <w:t xml:space="preserve">מבקר המדינה, משרד ראש הממשלה: המועצה הלאומית לכלכלה </w:t>
      </w:r>
      <w:r>
        <w:rPr>
          <w:rFonts w:hint="cs"/>
          <w:rtl/>
        </w:rPr>
        <w:t>(</w:t>
      </w:r>
      <w:r w:rsidRPr="009F6D68">
        <w:rPr>
          <w:rFonts w:hint="cs"/>
          <w:rtl/>
        </w:rPr>
        <w:t>2023</w:t>
      </w:r>
      <w:r>
        <w:rPr>
          <w:rFonts w:hint="cs"/>
          <w:rtl/>
        </w:rPr>
        <w:t>)</w:t>
      </w:r>
      <w:r w:rsidRPr="009F6D68">
        <w:rPr>
          <w:rFonts w:hint="cs"/>
          <w:rtl/>
        </w:rPr>
        <w:t>.</w:t>
      </w:r>
    </w:p>
  </w:footnote>
  <w:footnote w:id="58">
    <w:p w:rsidR="00CC16EC" w:rsidP="00861D72">
      <w:pPr>
        <w:pStyle w:val="FootnoteText"/>
      </w:pPr>
      <w:r>
        <w:rPr>
          <w:rStyle w:val="FootnoteReference1"/>
        </w:rPr>
        <w:footnoteRef/>
      </w:r>
      <w:r>
        <w:rPr>
          <w:rtl/>
        </w:rPr>
        <w:t xml:space="preserve"> </w:t>
      </w:r>
      <w:r>
        <w:rPr>
          <w:rtl/>
        </w:rPr>
        <w:tab/>
      </w:r>
      <w:r>
        <w:rPr>
          <w:rFonts w:hint="cs"/>
          <w:rtl/>
        </w:rPr>
        <w:t>למ"ס</w:t>
      </w:r>
      <w:r>
        <w:rPr>
          <w:rFonts w:hint="cs"/>
          <w:rtl/>
        </w:rPr>
        <w:t xml:space="preserve">, </w:t>
      </w:r>
      <w:r w:rsidRPr="00010A39">
        <w:rPr>
          <w:rFonts w:hint="eastAsia"/>
          <w:b/>
          <w:bCs/>
          <w:rtl/>
        </w:rPr>
        <w:t>מדדים</w:t>
      </w:r>
      <w:r w:rsidRPr="00010A39">
        <w:rPr>
          <w:b/>
          <w:bCs/>
          <w:rtl/>
        </w:rPr>
        <w:t xml:space="preserve"> </w:t>
      </w:r>
      <w:r w:rsidRPr="00010A39">
        <w:rPr>
          <w:rFonts w:hint="eastAsia"/>
          <w:b/>
          <w:bCs/>
          <w:rtl/>
        </w:rPr>
        <w:t>לאומיים</w:t>
      </w:r>
      <w:r w:rsidRPr="00010A39">
        <w:rPr>
          <w:b/>
          <w:bCs/>
          <w:rtl/>
        </w:rPr>
        <w:t xml:space="preserve"> </w:t>
      </w:r>
      <w:r w:rsidRPr="00010A39">
        <w:rPr>
          <w:rFonts w:hint="eastAsia"/>
          <w:b/>
          <w:bCs/>
          <w:rtl/>
        </w:rPr>
        <w:t>להזדקנות</w:t>
      </w:r>
      <w:r w:rsidRPr="00010A39">
        <w:rPr>
          <w:b/>
          <w:bCs/>
          <w:rtl/>
        </w:rPr>
        <w:t xml:space="preserve"> </w:t>
      </w:r>
      <w:r w:rsidRPr="00010A39">
        <w:rPr>
          <w:rFonts w:hint="eastAsia"/>
          <w:b/>
          <w:bCs/>
          <w:rtl/>
        </w:rPr>
        <w:t>מיטבית</w:t>
      </w:r>
      <w:r w:rsidRPr="00010A39">
        <w:rPr>
          <w:b/>
          <w:bCs/>
          <w:rtl/>
        </w:rPr>
        <w:t xml:space="preserve"> </w:t>
      </w:r>
      <w:r w:rsidRPr="00010A39">
        <w:rPr>
          <w:rFonts w:hint="eastAsia"/>
          <w:b/>
          <w:bCs/>
          <w:rtl/>
        </w:rPr>
        <w:t>בישראל</w:t>
      </w:r>
      <w:r w:rsidRPr="00010A39">
        <w:rPr>
          <w:b/>
          <w:bCs/>
          <w:rtl/>
        </w:rPr>
        <w:t xml:space="preserve"> 2022</w:t>
      </w:r>
      <w:r>
        <w:rPr>
          <w:rFonts w:hint="cs"/>
          <w:rtl/>
        </w:rPr>
        <w:t xml:space="preserve"> (נובמבר 2024), עמ' 18 - 19.</w:t>
      </w:r>
    </w:p>
  </w:footnote>
  <w:footnote w:id="59">
    <w:p w:rsidR="00CC16EC" w:rsidP="00861D72">
      <w:pPr>
        <w:pStyle w:val="FootnoteText"/>
        <w:rPr>
          <w:rtl/>
        </w:rPr>
      </w:pPr>
      <w:r>
        <w:rPr>
          <w:rStyle w:val="FootnoteReference1"/>
        </w:rPr>
        <w:footnoteRef/>
      </w:r>
      <w:r>
        <w:rPr>
          <w:rtl/>
        </w:rPr>
        <w:t xml:space="preserve"> </w:t>
      </w:r>
      <w:r>
        <w:rPr>
          <w:rtl/>
        </w:rPr>
        <w:tab/>
      </w:r>
      <w:r>
        <w:rPr>
          <w:rFonts w:hint="cs"/>
          <w:rtl/>
        </w:rPr>
        <w:t xml:space="preserve">בצוות היו חברים בין היתר נציגים מהמשרד לשוויון חברתי, משרד הבריאות, משרד הרווחה, </w:t>
      </w:r>
      <w:r>
        <w:rPr>
          <w:rFonts w:hint="cs"/>
          <w:rtl/>
        </w:rPr>
        <w:t>בט"ל</w:t>
      </w:r>
      <w:r>
        <w:rPr>
          <w:rFonts w:hint="cs"/>
          <w:rtl/>
        </w:rPr>
        <w:t xml:space="preserve">, </w:t>
      </w:r>
      <w:r>
        <w:rPr>
          <w:rFonts w:hint="cs"/>
          <w:rtl/>
        </w:rPr>
        <w:t>למ״ס</w:t>
      </w:r>
      <w:r>
        <w:rPr>
          <w:rFonts w:hint="cs"/>
          <w:rtl/>
        </w:rPr>
        <w:t xml:space="preserve">, משרד </w:t>
      </w:r>
      <w:r>
        <w:rPr>
          <w:rFonts w:hint="cs"/>
          <w:rtl/>
        </w:rPr>
        <w:t>רה"ם</w:t>
      </w:r>
      <w:r>
        <w:rPr>
          <w:rFonts w:hint="cs"/>
          <w:rtl/>
        </w:rPr>
        <w:t xml:space="preserve">, ג'וינט-אשל, מכון </w:t>
      </w:r>
      <w:r>
        <w:rPr>
          <w:rFonts w:hint="cs"/>
          <w:rtl/>
        </w:rPr>
        <w:t>ברוקדייל</w:t>
      </w:r>
      <w:r>
        <w:rPr>
          <w:rFonts w:hint="cs"/>
          <w:rtl/>
        </w:rPr>
        <w:t xml:space="preserve"> ומרכז הידע לחקר ההזדקנות בישראל. בהקשר זה יצוין </w:t>
      </w:r>
      <w:r w:rsidRPr="006A65EA">
        <w:rPr>
          <w:rtl/>
        </w:rPr>
        <w:t xml:space="preserve">כי </w:t>
      </w:r>
      <w:r w:rsidRPr="006A65EA">
        <w:rPr>
          <w:rtl/>
        </w:rPr>
        <w:t>הלמ"ס</w:t>
      </w:r>
      <w:r w:rsidRPr="006A65EA">
        <w:rPr>
          <w:rtl/>
        </w:rPr>
        <w:t xml:space="preserve"> אינה צד בגיבוש המדיניות בנושא היערכות להזדקנות האוכלוסייה, אלא אחראית על המדידה בהתאם לצרכים שהוגדרו על ידי קובעי המדיניות.</w:t>
      </w:r>
    </w:p>
  </w:footnote>
  <w:footnote w:id="60">
    <w:p w:rsidR="00CC16EC" w:rsidP="00861D72">
      <w:pPr>
        <w:pStyle w:val="FootnoteText"/>
        <w:rPr>
          <w:rtl/>
        </w:rPr>
      </w:pPr>
      <w:r>
        <w:rPr>
          <w:rStyle w:val="FootnoteReference1"/>
        </w:rPr>
        <w:footnoteRef/>
      </w:r>
      <w:r>
        <w:rPr>
          <w:rtl/>
        </w:rPr>
        <w:t xml:space="preserve"> </w:t>
      </w:r>
      <w:r>
        <w:rPr>
          <w:rtl/>
        </w:rPr>
        <w:tab/>
      </w:r>
      <w:r>
        <w:rPr>
          <w:rFonts w:hint="cs"/>
          <w:rtl/>
        </w:rPr>
        <w:t xml:space="preserve">ג'וינט אשל, </w:t>
      </w:r>
      <w:r w:rsidRPr="00010A39">
        <w:rPr>
          <w:rFonts w:hint="eastAsia"/>
          <w:b/>
          <w:bCs/>
          <w:rtl/>
        </w:rPr>
        <w:t>תוכנית</w:t>
      </w:r>
      <w:r w:rsidRPr="00010A39">
        <w:rPr>
          <w:b/>
          <w:bCs/>
          <w:rtl/>
        </w:rPr>
        <w:t xml:space="preserve"> </w:t>
      </w:r>
      <w:r w:rsidRPr="00010A39">
        <w:rPr>
          <w:rFonts w:hint="eastAsia"/>
          <w:b/>
          <w:bCs/>
          <w:rtl/>
        </w:rPr>
        <w:t>עבודה</w:t>
      </w:r>
      <w:r w:rsidRPr="00010A39">
        <w:rPr>
          <w:b/>
          <w:bCs/>
          <w:rtl/>
        </w:rPr>
        <w:t xml:space="preserve"> </w:t>
      </w:r>
      <w:r w:rsidRPr="00010A39">
        <w:rPr>
          <w:rFonts w:hint="eastAsia"/>
          <w:b/>
          <w:bCs/>
          <w:rtl/>
        </w:rPr>
        <w:t>רבה</w:t>
      </w:r>
      <w:r w:rsidRPr="00010A39">
        <w:rPr>
          <w:b/>
          <w:bCs/>
          <w:rtl/>
        </w:rPr>
        <w:t xml:space="preserve"> </w:t>
      </w:r>
      <w:r w:rsidRPr="00010A39">
        <w:rPr>
          <w:rFonts w:hint="eastAsia"/>
          <w:b/>
          <w:bCs/>
          <w:rtl/>
        </w:rPr>
        <w:t>שנתית</w:t>
      </w:r>
      <w:r w:rsidRPr="00010A39">
        <w:rPr>
          <w:b/>
          <w:bCs/>
          <w:rtl/>
        </w:rPr>
        <w:t>: 2021 - 2025</w:t>
      </w:r>
      <w:r>
        <w:rPr>
          <w:rFonts w:hint="cs"/>
          <w:rtl/>
        </w:rPr>
        <w:t xml:space="preserve"> (מועד פרסום לא צוין) </w:t>
      </w:r>
    </w:p>
  </w:footnote>
  <w:footnote w:id="61">
    <w:p w:rsidR="00CC16EC" w:rsidP="00861D72">
      <w:pPr>
        <w:pStyle w:val="FootnoteText"/>
      </w:pPr>
      <w:r>
        <w:rPr>
          <w:rStyle w:val="FootnoteReference1"/>
        </w:rPr>
        <w:footnoteRef/>
      </w:r>
      <w:r>
        <w:rPr>
          <w:rtl/>
        </w:rPr>
        <w:t xml:space="preserve"> </w:t>
      </w:r>
      <w:r>
        <w:rPr>
          <w:rtl/>
        </w:rPr>
        <w:tab/>
      </w:r>
      <w:r>
        <w:rPr>
          <w:rFonts w:hint="cs"/>
          <w:rtl/>
        </w:rPr>
        <w:t>למ"ס</w:t>
      </w:r>
      <w:r>
        <w:rPr>
          <w:rFonts w:hint="cs"/>
          <w:rtl/>
        </w:rPr>
        <w:t xml:space="preserve">, </w:t>
      </w:r>
      <w:r w:rsidRPr="00010A39">
        <w:rPr>
          <w:rFonts w:hint="eastAsia"/>
          <w:b/>
          <w:bCs/>
          <w:rtl/>
        </w:rPr>
        <w:t>מדדים</w:t>
      </w:r>
      <w:r w:rsidRPr="00010A39">
        <w:rPr>
          <w:b/>
          <w:bCs/>
          <w:rtl/>
        </w:rPr>
        <w:t xml:space="preserve"> </w:t>
      </w:r>
      <w:r w:rsidRPr="00010A39">
        <w:rPr>
          <w:rFonts w:hint="eastAsia"/>
          <w:b/>
          <w:bCs/>
          <w:rtl/>
        </w:rPr>
        <w:t>לאומים</w:t>
      </w:r>
      <w:r w:rsidRPr="00010A39">
        <w:rPr>
          <w:b/>
          <w:bCs/>
          <w:rtl/>
        </w:rPr>
        <w:t xml:space="preserve"> </w:t>
      </w:r>
      <w:r w:rsidRPr="00010A39">
        <w:rPr>
          <w:rFonts w:hint="eastAsia"/>
          <w:b/>
          <w:bCs/>
          <w:rtl/>
        </w:rPr>
        <w:t>להזדקנות</w:t>
      </w:r>
      <w:r w:rsidRPr="00010A39">
        <w:rPr>
          <w:b/>
          <w:bCs/>
          <w:rtl/>
        </w:rPr>
        <w:t xml:space="preserve"> </w:t>
      </w:r>
      <w:r w:rsidRPr="00010A39">
        <w:rPr>
          <w:rFonts w:hint="eastAsia"/>
          <w:b/>
          <w:bCs/>
          <w:rtl/>
        </w:rPr>
        <w:t>מיטבית</w:t>
      </w:r>
      <w:r w:rsidRPr="00010A39">
        <w:rPr>
          <w:b/>
          <w:bCs/>
          <w:rtl/>
        </w:rPr>
        <w:t xml:space="preserve"> </w:t>
      </w:r>
      <w:r w:rsidRPr="00010A39">
        <w:rPr>
          <w:rFonts w:hint="eastAsia"/>
          <w:b/>
          <w:bCs/>
          <w:rtl/>
        </w:rPr>
        <w:t>בישראל</w:t>
      </w:r>
      <w:r w:rsidRPr="00010A39">
        <w:rPr>
          <w:b/>
          <w:bCs/>
          <w:rtl/>
        </w:rPr>
        <w:t xml:space="preserve"> 2020</w:t>
      </w:r>
      <w:r>
        <w:rPr>
          <w:rFonts w:hint="cs"/>
          <w:rtl/>
        </w:rPr>
        <w:t xml:space="preserve"> (נובמבר 2022) וכן </w:t>
      </w:r>
      <w:r>
        <w:rPr>
          <w:rFonts w:hint="cs"/>
          <w:rtl/>
        </w:rPr>
        <w:t>למ"ס</w:t>
      </w:r>
      <w:r>
        <w:rPr>
          <w:rFonts w:hint="cs"/>
          <w:rtl/>
        </w:rPr>
        <w:t xml:space="preserve">, </w:t>
      </w:r>
      <w:r w:rsidRPr="00010A39">
        <w:rPr>
          <w:rFonts w:hint="eastAsia"/>
          <w:b/>
          <w:bCs/>
          <w:rtl/>
        </w:rPr>
        <w:t>מדדים</w:t>
      </w:r>
      <w:r w:rsidRPr="00010A39">
        <w:rPr>
          <w:b/>
          <w:bCs/>
          <w:rtl/>
        </w:rPr>
        <w:t xml:space="preserve"> </w:t>
      </w:r>
      <w:r w:rsidRPr="00010A39">
        <w:rPr>
          <w:rFonts w:hint="eastAsia"/>
          <w:b/>
          <w:bCs/>
          <w:rtl/>
        </w:rPr>
        <w:t>לאומיים</w:t>
      </w:r>
      <w:r w:rsidRPr="00010A39">
        <w:rPr>
          <w:b/>
          <w:bCs/>
          <w:rtl/>
        </w:rPr>
        <w:t xml:space="preserve"> </w:t>
      </w:r>
      <w:r w:rsidRPr="00010A39">
        <w:rPr>
          <w:rFonts w:hint="eastAsia"/>
          <w:b/>
          <w:bCs/>
          <w:rtl/>
        </w:rPr>
        <w:t>להזדקנות</w:t>
      </w:r>
      <w:r w:rsidRPr="00010A39">
        <w:rPr>
          <w:b/>
          <w:bCs/>
          <w:rtl/>
        </w:rPr>
        <w:t xml:space="preserve"> </w:t>
      </w:r>
      <w:r w:rsidRPr="00010A39">
        <w:rPr>
          <w:rFonts w:hint="eastAsia"/>
          <w:b/>
          <w:bCs/>
          <w:rtl/>
        </w:rPr>
        <w:t>מיטבית</w:t>
      </w:r>
      <w:r w:rsidRPr="00010A39">
        <w:rPr>
          <w:b/>
          <w:bCs/>
          <w:rtl/>
        </w:rPr>
        <w:t xml:space="preserve"> </w:t>
      </w:r>
      <w:r w:rsidRPr="00010A39">
        <w:rPr>
          <w:rFonts w:hint="eastAsia"/>
          <w:b/>
          <w:bCs/>
          <w:rtl/>
        </w:rPr>
        <w:t>בישראל</w:t>
      </w:r>
      <w:r w:rsidRPr="00010A39">
        <w:rPr>
          <w:b/>
          <w:bCs/>
          <w:rtl/>
        </w:rPr>
        <w:t xml:space="preserve"> 2022</w:t>
      </w:r>
      <w:r>
        <w:rPr>
          <w:rFonts w:hint="cs"/>
          <w:rtl/>
        </w:rPr>
        <w:t xml:space="preserve"> (נובמבר 2024).</w:t>
      </w:r>
    </w:p>
  </w:footnote>
  <w:footnote w:id="62">
    <w:p w:rsidR="00CC16EC" w:rsidP="00861D72">
      <w:pPr>
        <w:pStyle w:val="FootnoteText"/>
      </w:pPr>
      <w:r>
        <w:rPr>
          <w:rStyle w:val="FootnoteReference1"/>
        </w:rPr>
        <w:footnoteRef/>
      </w:r>
      <w:r>
        <w:rPr>
          <w:rtl/>
        </w:rPr>
        <w:t xml:space="preserve"> </w:t>
      </w:r>
      <w:r>
        <w:rPr>
          <w:rtl/>
        </w:rPr>
        <w:tab/>
      </w:r>
      <w:r w:rsidRPr="00970258">
        <w:rPr>
          <w:rtl/>
        </w:rPr>
        <w:t xml:space="preserve">החלטת הממשלה </w:t>
      </w:r>
      <w:r>
        <w:rPr>
          <w:rFonts w:hint="cs"/>
          <w:rtl/>
        </w:rPr>
        <w:t>127, "מפת מדדים לאומיים להזדקנות מיטבית" (19.7.21).</w:t>
      </w:r>
    </w:p>
  </w:footnote>
  <w:footnote w:id="63">
    <w:p w:rsidR="00CC16EC" w:rsidP="00861D72">
      <w:pPr>
        <w:pStyle w:val="FootnoteText"/>
        <w:rPr>
          <w:rtl/>
        </w:rPr>
      </w:pPr>
      <w:r>
        <w:rPr>
          <w:rStyle w:val="FootnoteReference1"/>
        </w:rPr>
        <w:footnoteRef/>
      </w:r>
      <w:r>
        <w:rPr>
          <w:rtl/>
        </w:rPr>
        <w:t xml:space="preserve"> </w:t>
      </w:r>
      <w:r>
        <w:tab/>
      </w:r>
      <w:r>
        <w:rPr>
          <w:rtl/>
        </w:rPr>
        <w:t>ה-</w:t>
      </w:r>
      <w:r w:rsidRPr="00D26FBE">
        <w:rPr>
          <w:sz w:val="18"/>
          <w:szCs w:val="18"/>
        </w:rPr>
        <w:t>OECD</w:t>
      </w:r>
      <w:r w:rsidRPr="00D26FBE">
        <w:rPr>
          <w:rFonts w:hint="cs"/>
          <w:sz w:val="18"/>
          <w:szCs w:val="18"/>
          <w:rtl/>
        </w:rPr>
        <w:t xml:space="preserve"> </w:t>
      </w:r>
      <w:r>
        <w:rPr>
          <w:rtl/>
        </w:rPr>
        <w:t>(הארגון לשיתוף פעולה ולפיתוח כלכלי) הוא ארגון בי</w:t>
      </w:r>
      <w:r>
        <w:rPr>
          <w:rFonts w:hint="cs"/>
          <w:rtl/>
        </w:rPr>
        <w:t>ן-</w:t>
      </w:r>
      <w:r>
        <w:rPr>
          <w:rtl/>
        </w:rPr>
        <w:t>לאומי ומסגרת מדיניות גלובלית שבה ממשלות משתפות פעולה לקביעת סטנדרטים ולפיתוח מדיניות לשיפור הרווחה הכלכלית והחברתית</w:t>
      </w:r>
      <w:r>
        <w:rPr>
          <w:rFonts w:hint="cs"/>
          <w:rtl/>
        </w:rPr>
        <w:t xml:space="preserve"> [</w:t>
      </w:r>
      <w:hyperlink r:id="rId8" w:history="1">
        <w:r w:rsidRPr="00754DDC">
          <w:rPr>
            <w:rStyle w:val="Hyperlink"/>
          </w:rPr>
          <w:t>https://www.oecd.org/en/about.html?utm_source=chatgpt.com</w:t>
        </w:r>
      </w:hyperlink>
      <w:r>
        <w:rPr>
          <w:rFonts w:hint="cs"/>
          <w:rtl/>
        </w:rPr>
        <w:t>].</w:t>
      </w:r>
    </w:p>
  </w:footnote>
  <w:footnote w:id="64">
    <w:p w:rsidR="00CC16EC" w:rsidRPr="0047405C" w:rsidP="00861D72">
      <w:pPr>
        <w:pStyle w:val="FootnoteText"/>
        <w:rPr>
          <w:rtl/>
        </w:rPr>
      </w:pPr>
      <w:r>
        <w:rPr>
          <w:rStyle w:val="FootnoteReference1"/>
        </w:rPr>
        <w:footnoteRef/>
      </w:r>
      <w:r>
        <w:rPr>
          <w:rtl/>
        </w:rPr>
        <w:t xml:space="preserve"> </w:t>
      </w:r>
      <w:r>
        <w:tab/>
      </w:r>
      <w:r>
        <w:rPr>
          <w:rFonts w:ascii="ArialMT" w:cs="ArialMT"/>
          <w:color w:val="000000"/>
          <w:sz w:val="16"/>
          <w:szCs w:val="16"/>
        </w:rPr>
        <w:t xml:space="preserve">OECD (2025), </w:t>
      </w:r>
      <w:r>
        <w:rPr>
          <w:rFonts w:ascii="Arial-ItalicMT" w:cs="Arial-ItalicMT"/>
          <w:i/>
          <w:iCs/>
          <w:color w:val="000000"/>
          <w:sz w:val="16"/>
          <w:szCs w:val="16"/>
        </w:rPr>
        <w:t>Government at a Glance 2025</w:t>
      </w:r>
      <w:r>
        <w:rPr>
          <w:rFonts w:ascii="ArialMT" w:cs="ArialMT"/>
          <w:color w:val="000000"/>
          <w:sz w:val="16"/>
          <w:szCs w:val="16"/>
        </w:rPr>
        <w:t xml:space="preserve">, OECD Publishing, Paris, </w:t>
      </w:r>
      <w:hyperlink r:id="rId9" w:history="1">
        <w:r w:rsidRPr="00B3735D">
          <w:rPr>
            <w:rStyle w:val="Hyperlink"/>
            <w:rFonts w:ascii="ArialMT" w:cs="ArialMT"/>
            <w:sz w:val="16"/>
            <w:szCs w:val="16"/>
          </w:rPr>
          <w:t>https://doi.org/10.1787/0efd0bcd-en</w:t>
        </w:r>
      </w:hyperlink>
      <w:r>
        <w:rPr>
          <w:rFonts w:ascii="ArialMT" w:cs="ArialMT" w:hint="cs"/>
          <w:color w:val="000000"/>
          <w:sz w:val="16"/>
          <w:szCs w:val="16"/>
          <w:rtl/>
        </w:rPr>
        <w:t xml:space="preserve"> </w:t>
      </w:r>
    </w:p>
  </w:footnote>
  <w:footnote w:id="65">
    <w:p w:rsidR="00CC16EC" w:rsidRPr="00137951" w:rsidP="00861D72">
      <w:pPr>
        <w:pStyle w:val="FootnoteText"/>
        <w:rPr>
          <w:rtl/>
        </w:rPr>
      </w:pPr>
      <w:r>
        <w:rPr>
          <w:rStyle w:val="FootnoteReference1"/>
        </w:rPr>
        <w:footnoteRef/>
      </w:r>
      <w:r>
        <w:rPr>
          <w:rtl/>
        </w:rPr>
        <w:t xml:space="preserve"> </w:t>
      </w:r>
      <w:r>
        <w:rPr>
          <w:rtl/>
        </w:rPr>
        <w:tab/>
      </w:r>
      <w:r>
        <w:rPr>
          <w:rtl/>
        </w:rPr>
        <w:t>האיחוד האירופי</w:t>
      </w:r>
      <w:r>
        <w:t xml:space="preserve"> (EU) </w:t>
      </w:r>
      <w:r>
        <w:rPr>
          <w:rtl/>
        </w:rPr>
        <w:t>הוא ארגון פוליטי</w:t>
      </w:r>
      <w:r>
        <w:rPr>
          <w:rFonts w:hint="cs"/>
          <w:rtl/>
        </w:rPr>
        <w:t>-</w:t>
      </w:r>
      <w:r>
        <w:rPr>
          <w:rtl/>
        </w:rPr>
        <w:t>כלכלי של 27 מדינות אירופה, הפועל לקידום שוק פנימי משותף, מדיניות וחקיקה משותפות בתחומים</w:t>
      </w:r>
      <w:r>
        <w:rPr>
          <w:rFonts w:hint="cs"/>
          <w:rtl/>
        </w:rPr>
        <w:t>,</w:t>
      </w:r>
      <w:r>
        <w:rPr>
          <w:rtl/>
        </w:rPr>
        <w:t xml:space="preserve"> כמו סחר, סביבה, הגירה וביטחון</w:t>
      </w:r>
      <w:r>
        <w:t xml:space="preserve"> </w:t>
      </w:r>
      <w:r>
        <w:rPr>
          <w:rFonts w:hint="cs"/>
          <w:rtl/>
        </w:rPr>
        <w:t>[</w:t>
      </w:r>
      <w:hyperlink r:id="rId10" w:history="1">
        <w:r w:rsidRPr="00754DDC">
          <w:rPr>
            <w:rStyle w:val="Hyperlink"/>
          </w:rPr>
          <w:t>https://european-union.europa.eu/index_en?utm_source=chatgpt.com</w:t>
        </w:r>
      </w:hyperlink>
      <w:r>
        <w:rPr>
          <w:rFonts w:hint="cs"/>
          <w:rtl/>
        </w:rPr>
        <w:t>].</w:t>
      </w:r>
    </w:p>
  </w:footnote>
  <w:footnote w:id="66">
    <w:p w:rsidR="00CC16EC" w:rsidRPr="00F56154" w:rsidP="00861D72">
      <w:pPr>
        <w:pStyle w:val="FootnoteText"/>
        <w:rPr>
          <w:rtl/>
        </w:rPr>
      </w:pPr>
      <w:r>
        <w:rPr>
          <w:rStyle w:val="FootnoteReference1"/>
        </w:rPr>
        <w:footnoteRef/>
      </w:r>
      <w:r>
        <w:rPr>
          <w:rtl/>
        </w:rPr>
        <w:t xml:space="preserve"> </w:t>
      </w:r>
      <w:r>
        <w:tab/>
      </w:r>
      <w:r w:rsidRPr="00D26FBE">
        <w:rPr>
          <w:sz w:val="18"/>
          <w:szCs w:val="18"/>
        </w:rPr>
        <w:t>OECD</w:t>
      </w:r>
      <w:r>
        <w:t xml:space="preserve">, Toolkit for the preparation, implementation, monitoring, reporting and evaluation of public administration reform and sector strategies, Guidance for SIGMA partners, </w:t>
      </w:r>
      <w:r w:rsidRPr="00D26FBE">
        <w:rPr>
          <w:sz w:val="18"/>
          <w:szCs w:val="18"/>
        </w:rPr>
        <w:t xml:space="preserve">SIGMA </w:t>
      </w:r>
      <w:r>
        <w:t xml:space="preserve">PAPER No. 57 (2018) </w:t>
      </w:r>
    </w:p>
  </w:footnote>
  <w:footnote w:id="67">
    <w:p w:rsidR="00CC16EC" w:rsidP="00861D72">
      <w:pPr>
        <w:pStyle w:val="FootnoteText"/>
        <w:rPr>
          <w:rtl/>
        </w:rPr>
      </w:pPr>
      <w:r>
        <w:rPr>
          <w:rStyle w:val="FootnoteReference1"/>
        </w:rPr>
        <w:footnoteRef/>
      </w:r>
      <w:r>
        <w:rPr>
          <w:rtl/>
        </w:rPr>
        <w:t xml:space="preserve"> </w:t>
      </w:r>
      <w:r>
        <w:rPr>
          <w:rtl/>
        </w:rPr>
        <w:tab/>
      </w:r>
      <w:r>
        <w:rPr>
          <w:rFonts w:hint="cs"/>
          <w:rtl/>
        </w:rPr>
        <w:t xml:space="preserve">ליבי ממן, ריטה </w:t>
      </w:r>
      <w:r>
        <w:rPr>
          <w:rFonts w:hint="cs"/>
          <w:rtl/>
        </w:rPr>
        <w:t>גולשטיין-גלפרין</w:t>
      </w:r>
      <w:r>
        <w:rPr>
          <w:rFonts w:hint="cs"/>
          <w:rtl/>
        </w:rPr>
        <w:t xml:space="preserve">, לירון </w:t>
      </w:r>
      <w:r>
        <w:rPr>
          <w:rFonts w:hint="cs"/>
          <w:rtl/>
        </w:rPr>
        <w:t>לישינסקי</w:t>
      </w:r>
      <w:r>
        <w:rPr>
          <w:rFonts w:hint="cs"/>
          <w:rtl/>
        </w:rPr>
        <w:t xml:space="preserve">-פישר, ונועה שקד, מפת המדדים לטיוב השירות הציבורי בישראל, כנס אלי הורוביץ לכלכלה וחברה (2025), עמ' 46; ריטה </w:t>
      </w:r>
      <w:r>
        <w:rPr>
          <w:rFonts w:hint="cs"/>
          <w:rtl/>
        </w:rPr>
        <w:t>גולשטיין-גלפרין</w:t>
      </w:r>
      <w:r>
        <w:rPr>
          <w:rFonts w:hint="cs"/>
          <w:rtl/>
        </w:rPr>
        <w:t xml:space="preserve"> ושי עמית, המדינה האסטרטגית 2048: כיצד מטמיעים תכנון אסטרטגי ארוך טווח בישראל? כנס אלי הורוביץ לכלכלה וחברה (2025), עמ' 22 - 23, 58 - 59.</w:t>
      </w:r>
    </w:p>
  </w:footnote>
  <w:footnote w:id="68">
    <w:p w:rsidR="00CC16EC" w:rsidP="00861D72">
      <w:pPr>
        <w:pStyle w:val="FootnoteText"/>
        <w:rPr>
          <w:rtl/>
        </w:rPr>
      </w:pPr>
      <w:r>
        <w:rPr>
          <w:rStyle w:val="FootnoteReference1"/>
        </w:rPr>
        <w:footnoteRef/>
      </w:r>
      <w:r>
        <w:rPr>
          <w:rtl/>
        </w:rPr>
        <w:t xml:space="preserve"> </w:t>
      </w:r>
      <w:r>
        <w:rPr>
          <w:rtl/>
        </w:rPr>
        <w:tab/>
      </w:r>
      <w:r>
        <w:rPr>
          <w:rFonts w:hint="cs"/>
          <w:rtl/>
        </w:rPr>
        <w:t>כנסת ישראל, מרכז המחקר והמידע, "תכניות לאומיות להתמודדות עם הזדקנות האוכלוסייה במדינות שונות" (2017).</w:t>
      </w:r>
    </w:p>
  </w:footnote>
  <w:footnote w:id="69">
    <w:p w:rsidR="00CC16EC" w:rsidP="00861D72">
      <w:pPr>
        <w:pStyle w:val="FootnoteText"/>
        <w:rPr>
          <w:rtl/>
        </w:rPr>
      </w:pPr>
      <w:r>
        <w:rPr>
          <w:rStyle w:val="FootnoteReference1"/>
        </w:rPr>
        <w:footnoteRef/>
      </w:r>
      <w:r>
        <w:rPr>
          <w:rtl/>
        </w:rPr>
        <w:t xml:space="preserve"> </w:t>
      </w:r>
      <w:r>
        <w:rPr>
          <w:rtl/>
        </w:rPr>
        <w:tab/>
      </w:r>
      <w:r w:rsidRPr="008F17CE">
        <w:rPr>
          <w:rtl/>
        </w:rPr>
        <w:t xml:space="preserve">משרד ראש הממשלה, </w:t>
      </w:r>
      <w:r>
        <w:rPr>
          <w:rFonts w:hint="cs"/>
          <w:rtl/>
        </w:rPr>
        <w:t>״</w:t>
      </w:r>
      <w:r w:rsidRPr="008F17CE">
        <w:rPr>
          <w:rtl/>
        </w:rPr>
        <w:t xml:space="preserve">עיקרי </w:t>
      </w:r>
      <w:r w:rsidRPr="008F17CE">
        <w:rPr>
          <w:rtl/>
        </w:rPr>
        <w:t>תוכניות</w:t>
      </w:r>
      <w:r w:rsidRPr="008F17CE">
        <w:rPr>
          <w:rtl/>
        </w:rPr>
        <w:t xml:space="preserve"> העבודה לשנת 2025 משרדי הממשלה ויחידות הסמך</w:t>
      </w:r>
      <w:r>
        <w:rPr>
          <w:rFonts w:hint="cs"/>
          <w:rtl/>
        </w:rPr>
        <w:t>״</w:t>
      </w:r>
      <w:r w:rsidRPr="008F17CE">
        <w:rPr>
          <w:rtl/>
        </w:rPr>
        <w:t xml:space="preserve"> </w:t>
      </w:r>
      <w:r>
        <w:rPr>
          <w:rFonts w:hint="cs"/>
          <w:rtl/>
        </w:rPr>
        <w:t>(</w:t>
      </w:r>
      <w:r w:rsidRPr="008F17CE">
        <w:rPr>
          <w:rtl/>
        </w:rPr>
        <w:t>תשפ"ה</w:t>
      </w:r>
      <w:r>
        <w:rPr>
          <w:rFonts w:hint="cs"/>
          <w:rtl/>
        </w:rPr>
        <w:t>)</w:t>
      </w:r>
      <w:r w:rsidRPr="008F17CE">
        <w:rPr>
          <w:rtl/>
        </w:rPr>
        <w:t>, עמ' 12</w:t>
      </w:r>
      <w:r>
        <w:rPr>
          <w:rFonts w:hint="cs"/>
          <w:rtl/>
        </w:rPr>
        <w:t>3</w:t>
      </w:r>
      <w:r w:rsidRPr="008F17CE">
        <w:rPr>
          <w:rtl/>
        </w:rPr>
        <w:t>.</w:t>
      </w:r>
    </w:p>
  </w:footnote>
  <w:footnote w:id="70">
    <w:p w:rsidR="00CC16EC" w:rsidP="00861D72">
      <w:pPr>
        <w:pStyle w:val="FootnoteText"/>
      </w:pPr>
      <w:r>
        <w:rPr>
          <w:rStyle w:val="FootnoteReference1"/>
        </w:rPr>
        <w:footnoteRef/>
      </w:r>
      <w:r>
        <w:rPr>
          <w:rtl/>
        </w:rPr>
        <w:t xml:space="preserve"> </w:t>
      </w:r>
      <w:r>
        <w:rPr>
          <w:rtl/>
        </w:rPr>
        <w:tab/>
      </w:r>
      <w:r w:rsidRPr="00FC2FA6">
        <w:rPr>
          <w:rtl/>
        </w:rPr>
        <w:t xml:space="preserve">להרחבה ראו בפרק על השמירה על </w:t>
      </w:r>
      <w:r>
        <w:rPr>
          <w:rFonts w:hint="cs"/>
          <w:rtl/>
        </w:rPr>
        <w:t xml:space="preserve">רווחת </w:t>
      </w:r>
      <w:r w:rsidRPr="00FC2FA6">
        <w:rPr>
          <w:rtl/>
        </w:rPr>
        <w:t>אוכלוסיית האזרחים הוותיקים</w:t>
      </w:r>
      <w:r>
        <w:rPr>
          <w:rFonts w:hint="cs"/>
          <w:rtl/>
        </w:rPr>
        <w:t>.</w:t>
      </w:r>
    </w:p>
  </w:footnote>
  <w:footnote w:id="71">
    <w:p w:rsidR="00CC16EC" w:rsidP="00861D72">
      <w:pPr>
        <w:pStyle w:val="FootnoteText"/>
        <w:rPr>
          <w:rtl/>
        </w:rPr>
      </w:pPr>
      <w:r>
        <w:rPr>
          <w:rStyle w:val="FootnoteReference1"/>
        </w:rPr>
        <w:footnoteRef/>
      </w:r>
      <w:r>
        <w:rPr>
          <w:rtl/>
        </w:rPr>
        <w:t xml:space="preserve"> </w:t>
      </w:r>
      <w:r>
        <w:rPr>
          <w:rtl/>
        </w:rPr>
        <w:tab/>
      </w:r>
      <w:r w:rsidRPr="00D16441">
        <w:rPr>
          <w:rFonts w:hint="cs"/>
          <w:rtl/>
        </w:rPr>
        <w:t xml:space="preserve">הגופים </w:t>
      </w:r>
      <w:r>
        <w:rPr>
          <w:rFonts w:hint="cs"/>
          <w:rtl/>
        </w:rPr>
        <w:t>ש</w:t>
      </w:r>
      <w:r w:rsidRPr="00D16441">
        <w:rPr>
          <w:rFonts w:hint="cs"/>
          <w:rtl/>
        </w:rPr>
        <w:t xml:space="preserve">אליהם </w:t>
      </w:r>
      <w:r>
        <w:rPr>
          <w:rFonts w:hint="cs"/>
          <w:rtl/>
        </w:rPr>
        <w:t>פנה צוות הביקורת</w:t>
      </w:r>
      <w:r w:rsidRPr="00D16441">
        <w:rPr>
          <w:rFonts w:hint="cs"/>
          <w:rtl/>
        </w:rPr>
        <w:t xml:space="preserve"> במסגרת </w:t>
      </w:r>
      <w:r>
        <w:rPr>
          <w:rFonts w:hint="cs"/>
          <w:rtl/>
        </w:rPr>
        <w:t>מיפוי</w:t>
      </w:r>
      <w:r w:rsidRPr="00D16441">
        <w:rPr>
          <w:rFonts w:hint="cs"/>
          <w:rtl/>
        </w:rPr>
        <w:t xml:space="preserve"> המידע</w:t>
      </w:r>
      <w:r>
        <w:rPr>
          <w:rFonts w:hint="cs"/>
          <w:rtl/>
        </w:rPr>
        <w:t xml:space="preserve"> המובנה</w:t>
      </w:r>
      <w:r w:rsidRPr="00D16441">
        <w:rPr>
          <w:rFonts w:hint="cs"/>
          <w:rtl/>
        </w:rPr>
        <w:t xml:space="preserve">: משרד </w:t>
      </w:r>
      <w:r>
        <w:rPr>
          <w:rFonts w:hint="cs"/>
          <w:rtl/>
        </w:rPr>
        <w:t>רה"ם</w:t>
      </w:r>
      <w:r w:rsidRPr="00D16441">
        <w:rPr>
          <w:rFonts w:hint="cs"/>
          <w:rtl/>
        </w:rPr>
        <w:t xml:space="preserve">, המשרד לשוויון חברתי, משרד הרווחה, משרד הבריאות, </w:t>
      </w:r>
      <w:r>
        <w:rPr>
          <w:rFonts w:hint="cs"/>
          <w:rtl/>
        </w:rPr>
        <w:t>בט"ל</w:t>
      </w:r>
      <w:r w:rsidRPr="00D16441">
        <w:rPr>
          <w:rFonts w:hint="cs"/>
          <w:rtl/>
        </w:rPr>
        <w:t xml:space="preserve">, ארבעת קופות החולים, </w:t>
      </w:r>
      <w:r>
        <w:rPr>
          <w:rFonts w:hint="cs"/>
          <w:rtl/>
        </w:rPr>
        <w:t>ו</w:t>
      </w:r>
      <w:r w:rsidRPr="00D16441">
        <w:rPr>
          <w:rFonts w:hint="cs"/>
          <w:rtl/>
        </w:rPr>
        <w:t>המרכז לשלטון מקומי</w:t>
      </w:r>
      <w:r>
        <w:rPr>
          <w:rFonts w:hint="cs"/>
          <w:rtl/>
        </w:rPr>
        <w:t>.</w:t>
      </w:r>
    </w:p>
  </w:footnote>
  <w:footnote w:id="72">
    <w:p w:rsidR="00CC16EC" w:rsidP="00861D72">
      <w:pPr>
        <w:pStyle w:val="FootnoteText"/>
        <w:rPr>
          <w:rtl/>
        </w:rPr>
      </w:pPr>
      <w:r>
        <w:rPr>
          <w:rStyle w:val="FootnoteReference1"/>
        </w:rPr>
        <w:footnoteRef/>
      </w:r>
      <w:r>
        <w:rPr>
          <w:rtl/>
        </w:rPr>
        <w:t xml:space="preserve"> </w:t>
      </w:r>
      <w:r>
        <w:rPr>
          <w:rtl/>
        </w:rPr>
        <w:tab/>
      </w:r>
      <w:r>
        <w:rPr>
          <w:rFonts w:hint="cs"/>
          <w:rtl/>
        </w:rPr>
        <w:t>אם ניתנה יותר מתשובה אחת למדד, התשובה סווגה כ"לא ברור מי אחראי". כמו כן במדד תעסוקת אזרחים ותיקים היו מעט התשובות שסימנו את הג'וינט (כ-5%).</w:t>
      </w:r>
    </w:p>
  </w:footnote>
  <w:footnote w:id="73">
    <w:p w:rsidR="00CC16EC" w:rsidP="00861D72">
      <w:pPr>
        <w:pStyle w:val="FootnoteText"/>
        <w:rPr>
          <w:rtl/>
        </w:rPr>
      </w:pPr>
      <w:r>
        <w:rPr>
          <w:rStyle w:val="FootnoteReference1"/>
        </w:rPr>
        <w:footnoteRef/>
      </w:r>
      <w:r>
        <w:rPr>
          <w:rtl/>
        </w:rPr>
        <w:t xml:space="preserve"> </w:t>
      </w:r>
      <w:r>
        <w:rPr>
          <w:rtl/>
        </w:rPr>
        <w:tab/>
      </w:r>
      <w:r>
        <w:rPr>
          <w:rFonts w:hint="cs"/>
          <w:rtl/>
        </w:rPr>
        <w:t xml:space="preserve">משרד מבקר המדינה ונציב תלונות הציבור, </w:t>
      </w:r>
      <w:r w:rsidRPr="00010A39">
        <w:rPr>
          <w:rFonts w:hint="eastAsia"/>
          <w:b/>
          <w:bCs/>
          <w:rtl/>
        </w:rPr>
        <w:t>דוח</w:t>
      </w:r>
      <w:r w:rsidRPr="00010A39">
        <w:rPr>
          <w:b/>
          <w:bCs/>
          <w:rtl/>
        </w:rPr>
        <w:t xml:space="preserve"> </w:t>
      </w:r>
      <w:r w:rsidRPr="00010A39">
        <w:rPr>
          <w:rFonts w:hint="eastAsia"/>
          <w:b/>
          <w:bCs/>
          <w:rtl/>
        </w:rPr>
        <w:t>מיוחד</w:t>
      </w:r>
      <w:r w:rsidRPr="00010A39">
        <w:rPr>
          <w:b/>
          <w:bCs/>
          <w:rtl/>
        </w:rPr>
        <w:t xml:space="preserve"> </w:t>
      </w:r>
      <w:r w:rsidRPr="00010A39">
        <w:rPr>
          <w:rFonts w:hint="eastAsia"/>
          <w:b/>
          <w:bCs/>
          <w:rtl/>
        </w:rPr>
        <w:t>מספר</w:t>
      </w:r>
      <w:r w:rsidRPr="00010A39">
        <w:rPr>
          <w:b/>
          <w:bCs/>
          <w:rtl/>
        </w:rPr>
        <w:t xml:space="preserve"> 3: </w:t>
      </w:r>
      <w:r w:rsidRPr="00010A39">
        <w:rPr>
          <w:rFonts w:hint="eastAsia"/>
          <w:b/>
          <w:bCs/>
          <w:rtl/>
        </w:rPr>
        <w:t>אתגרים</w:t>
      </w:r>
      <w:r w:rsidRPr="00010A39">
        <w:rPr>
          <w:b/>
          <w:bCs/>
          <w:rtl/>
        </w:rPr>
        <w:t xml:space="preserve"> </w:t>
      </w:r>
      <w:r w:rsidRPr="00010A39">
        <w:rPr>
          <w:rFonts w:hint="eastAsia"/>
          <w:b/>
          <w:bCs/>
          <w:rtl/>
        </w:rPr>
        <w:t>ויעדים</w:t>
      </w:r>
      <w:r w:rsidRPr="00010A39">
        <w:rPr>
          <w:b/>
          <w:bCs/>
          <w:rtl/>
        </w:rPr>
        <w:t xml:space="preserve"> </w:t>
      </w:r>
      <w:r w:rsidRPr="00010A39">
        <w:rPr>
          <w:rFonts w:hint="eastAsia"/>
          <w:b/>
          <w:bCs/>
          <w:rtl/>
        </w:rPr>
        <w:t>במתן</w:t>
      </w:r>
      <w:r w:rsidRPr="00010A39">
        <w:rPr>
          <w:b/>
          <w:bCs/>
          <w:rtl/>
        </w:rPr>
        <w:t xml:space="preserve"> </w:t>
      </w:r>
      <w:r w:rsidRPr="00010A39">
        <w:rPr>
          <w:rFonts w:hint="eastAsia"/>
          <w:b/>
          <w:bCs/>
          <w:rtl/>
        </w:rPr>
        <w:t>שירות</w:t>
      </w:r>
      <w:r w:rsidRPr="00010A39">
        <w:rPr>
          <w:b/>
          <w:bCs/>
          <w:rtl/>
        </w:rPr>
        <w:t xml:space="preserve"> </w:t>
      </w:r>
      <w:r w:rsidRPr="00010A39">
        <w:rPr>
          <w:rFonts w:hint="eastAsia"/>
          <w:b/>
          <w:bCs/>
          <w:rtl/>
        </w:rPr>
        <w:t>לבני</w:t>
      </w:r>
      <w:r w:rsidRPr="00010A39">
        <w:rPr>
          <w:b/>
          <w:bCs/>
          <w:rtl/>
        </w:rPr>
        <w:t xml:space="preserve"> </w:t>
      </w:r>
      <w:r w:rsidRPr="00010A39">
        <w:rPr>
          <w:rFonts w:hint="eastAsia"/>
          <w:b/>
          <w:bCs/>
          <w:rtl/>
        </w:rPr>
        <w:t>הגיל</w:t>
      </w:r>
      <w:r w:rsidRPr="00010A39">
        <w:rPr>
          <w:b/>
          <w:bCs/>
          <w:rtl/>
        </w:rPr>
        <w:t xml:space="preserve"> </w:t>
      </w:r>
      <w:r w:rsidRPr="00010A39">
        <w:rPr>
          <w:rFonts w:hint="eastAsia"/>
          <w:b/>
          <w:bCs/>
          <w:rtl/>
        </w:rPr>
        <w:t>השלישי</w:t>
      </w:r>
      <w:r w:rsidRPr="00010A39">
        <w:rPr>
          <w:b/>
          <w:bCs/>
          <w:rtl/>
        </w:rPr>
        <w:t xml:space="preserve"> - </w:t>
      </w:r>
      <w:r w:rsidRPr="00010A39">
        <w:rPr>
          <w:rFonts w:hint="eastAsia"/>
          <w:b/>
          <w:bCs/>
          <w:rtl/>
        </w:rPr>
        <w:t>לקחים</w:t>
      </w:r>
      <w:r w:rsidRPr="00010A39">
        <w:rPr>
          <w:b/>
          <w:bCs/>
          <w:rtl/>
        </w:rPr>
        <w:t xml:space="preserve"> </w:t>
      </w:r>
      <w:r w:rsidRPr="00010A39">
        <w:rPr>
          <w:rFonts w:hint="eastAsia"/>
          <w:b/>
          <w:bCs/>
          <w:rtl/>
        </w:rPr>
        <w:t>מבירור</w:t>
      </w:r>
      <w:r w:rsidRPr="00010A39">
        <w:rPr>
          <w:b/>
          <w:bCs/>
          <w:rtl/>
        </w:rPr>
        <w:t xml:space="preserve"> </w:t>
      </w:r>
      <w:r w:rsidRPr="00010A39">
        <w:rPr>
          <w:rFonts w:hint="eastAsia"/>
          <w:b/>
          <w:bCs/>
          <w:rtl/>
        </w:rPr>
        <w:t>תלונות</w:t>
      </w:r>
      <w:r>
        <w:rPr>
          <w:rFonts w:hint="cs"/>
          <w:rtl/>
        </w:rPr>
        <w:t xml:space="preserve"> (פברואר 2023), עמ' 116-110, 54.</w:t>
      </w:r>
    </w:p>
  </w:footnote>
  <w:footnote w:id="74">
    <w:p w:rsidR="00CC16EC" w:rsidP="00861D72">
      <w:pPr>
        <w:pStyle w:val="FootnoteText"/>
      </w:pPr>
      <w:r>
        <w:rPr>
          <w:rStyle w:val="FootnoteReference1"/>
        </w:rPr>
        <w:footnoteRef/>
      </w:r>
      <w:r>
        <w:rPr>
          <w:rtl/>
        </w:rPr>
        <w:t xml:space="preserve"> </w:t>
      </w:r>
      <w:r>
        <w:rPr>
          <w:rtl/>
        </w:rPr>
        <w:tab/>
      </w:r>
      <w:r>
        <w:rPr>
          <w:rFonts w:hint="cs"/>
          <w:rtl/>
        </w:rPr>
        <w:t>יישוג</w:t>
      </w:r>
      <w:r>
        <w:rPr>
          <w:rFonts w:hint="cs"/>
          <w:rtl/>
        </w:rPr>
        <w:t xml:space="preserve"> מתייחס ל</w:t>
      </w:r>
      <w:r>
        <w:rPr>
          <w:rtl/>
        </w:rPr>
        <w:t xml:space="preserve">פנייה יזומה אל אנשים או </w:t>
      </w:r>
      <w:r>
        <w:rPr>
          <w:rFonts w:hint="cs"/>
          <w:rtl/>
        </w:rPr>
        <w:t xml:space="preserve">אל </w:t>
      </w:r>
      <w:r>
        <w:rPr>
          <w:rtl/>
        </w:rPr>
        <w:t>קבוצות שאינם מקבלים טיפול או שירות כדי ליצור מגע בינם לבין השירותים החברתיים.</w:t>
      </w:r>
    </w:p>
  </w:footnote>
  <w:footnote w:id="75">
    <w:p w:rsidR="00CC16EC" w:rsidP="00861D72">
      <w:pPr>
        <w:pStyle w:val="FootnoteText"/>
        <w:rPr>
          <w:rtl/>
        </w:rPr>
      </w:pPr>
      <w:r>
        <w:rPr>
          <w:rStyle w:val="FootnoteReference1"/>
        </w:rPr>
        <w:footnoteRef/>
      </w:r>
      <w:r>
        <w:rPr>
          <w:rtl/>
        </w:rPr>
        <w:t xml:space="preserve"> </w:t>
      </w:r>
      <w:r>
        <w:rPr>
          <w:rtl/>
        </w:rPr>
        <w:tab/>
      </w:r>
      <w:r w:rsidRPr="007A488D">
        <w:rPr>
          <w:rtl/>
        </w:rPr>
        <w:t xml:space="preserve">ארגון </w:t>
      </w:r>
      <w:r>
        <w:rPr>
          <w:rFonts w:hint="cs"/>
          <w:rtl/>
        </w:rPr>
        <w:t>ש</w:t>
      </w:r>
      <w:r w:rsidRPr="007A488D">
        <w:rPr>
          <w:rtl/>
        </w:rPr>
        <w:t xml:space="preserve">עוסק בתכנון ופיתוח </w:t>
      </w:r>
      <w:r w:rsidRPr="007A488D">
        <w:rPr>
          <w:rtl/>
        </w:rPr>
        <w:t>תוכניות</w:t>
      </w:r>
      <w:r w:rsidRPr="007A488D">
        <w:rPr>
          <w:rtl/>
        </w:rPr>
        <w:t xml:space="preserve"> ושירותים, כלל-ארציים ומקומיים, עבור האוכלוסייה המבוגרת בישראל ובשיפור השירותים הקיימים לאוכלוסייה זו.</w:t>
      </w:r>
    </w:p>
  </w:footnote>
  <w:footnote w:id="76">
    <w:p w:rsidR="00CC16EC" w:rsidP="00861D72">
      <w:pPr>
        <w:pStyle w:val="FootnoteText"/>
      </w:pPr>
      <w:r>
        <w:rPr>
          <w:rStyle w:val="FootnoteReference1"/>
        </w:rPr>
        <w:footnoteRef/>
      </w:r>
      <w:r>
        <w:rPr>
          <w:rtl/>
        </w:rPr>
        <w:t xml:space="preserve"> </w:t>
      </w:r>
      <w:r>
        <w:rPr>
          <w:rtl/>
        </w:rPr>
        <w:tab/>
      </w:r>
      <w:r>
        <w:rPr>
          <w:rFonts w:hint="cs"/>
          <w:rtl/>
        </w:rPr>
        <w:t xml:space="preserve">מדד </w:t>
      </w:r>
      <w:r w:rsidRPr="00586848">
        <w:rPr>
          <w:lang w:eastAsia="he-IL"/>
        </w:rPr>
        <w:t>International Classification of Functioning, Disability and Health</w:t>
      </w:r>
      <w:r>
        <w:rPr>
          <w:lang w:eastAsia="he-IL"/>
        </w:rPr>
        <w:t xml:space="preserve">, </w:t>
      </w:r>
      <w:r w:rsidRPr="006B57DE">
        <w:rPr>
          <w:rFonts w:hint="cs"/>
          <w:lang w:eastAsia="he-IL"/>
        </w:rPr>
        <w:t>IC</w:t>
      </w:r>
      <w:r w:rsidRPr="006B57DE">
        <w:rPr>
          <w:lang w:eastAsia="he-IL"/>
        </w:rPr>
        <w:t>F</w:t>
      </w:r>
      <w:r>
        <w:rPr>
          <w:rFonts w:hint="cs"/>
          <w:rtl/>
          <w:lang w:eastAsia="he-IL"/>
        </w:rPr>
        <w:t>.</w:t>
      </w:r>
    </w:p>
  </w:footnote>
  <w:footnote w:id="77">
    <w:p w:rsidR="00CC16EC" w:rsidP="00861D72">
      <w:pPr>
        <w:pStyle w:val="FootnoteText"/>
      </w:pPr>
      <w:r>
        <w:rPr>
          <w:rStyle w:val="FootnoteReference1"/>
        </w:rPr>
        <w:footnoteRef/>
      </w:r>
      <w:r>
        <w:rPr>
          <w:rtl/>
        </w:rPr>
        <w:t xml:space="preserve"> </w:t>
      </w:r>
      <w:r>
        <w:rPr>
          <w:rtl/>
        </w:rPr>
        <w:tab/>
      </w:r>
      <w:r>
        <w:rPr>
          <w:rFonts w:hint="cs"/>
          <w:rtl/>
        </w:rPr>
        <w:t xml:space="preserve">ריטה </w:t>
      </w:r>
      <w:r>
        <w:rPr>
          <w:rFonts w:hint="cs"/>
          <w:rtl/>
        </w:rPr>
        <w:t>גולשטיין-גלפרין</w:t>
      </w:r>
      <w:r>
        <w:rPr>
          <w:rFonts w:hint="cs"/>
          <w:rtl/>
        </w:rPr>
        <w:t>, ושי עמית, המדינה האסטרטגית 2048: כיצד מטמיעים תכנון אסטרטגי ארוך טווח בישראל?, כנס אלי הורביץ לכלכלה וחברה 2025 של המכון הישראלי לדמוקרטיה, עמ' 19 - 20].</w:t>
      </w:r>
    </w:p>
  </w:footnote>
  <w:footnote w:id="78">
    <w:p w:rsidR="00CC16EC" w:rsidP="00861D72">
      <w:pPr>
        <w:pStyle w:val="FootnoteText"/>
      </w:pPr>
      <w:r>
        <w:rPr>
          <w:rStyle w:val="FootnoteReference1"/>
        </w:rPr>
        <w:footnoteRef/>
      </w:r>
      <w:r>
        <w:rPr>
          <w:rtl/>
        </w:rPr>
        <w:t xml:space="preserve"> </w:t>
      </w:r>
      <w:r>
        <w:rPr>
          <w:rtl/>
        </w:rPr>
        <w:tab/>
      </w:r>
      <w:r>
        <w:rPr>
          <w:rFonts w:hint="cs"/>
          <w:rtl/>
        </w:rPr>
        <w:t xml:space="preserve">היעד נקבע לקבוצת הגילים 65 </w:t>
      </w:r>
      <w:r>
        <w:rPr>
          <w:rtl/>
        </w:rPr>
        <w:t>-</w:t>
      </w:r>
      <w:r>
        <w:rPr>
          <w:rFonts w:hint="cs"/>
          <w:rtl/>
        </w:rPr>
        <w:t xml:space="preserve"> 74, הן לנשים והן לגברים. </w:t>
      </w:r>
    </w:p>
  </w:footnote>
  <w:footnote w:id="79">
    <w:p w:rsidR="00CC16EC" w:rsidP="00861D72">
      <w:pPr>
        <w:pStyle w:val="FootnoteText"/>
        <w:rPr>
          <w:rtl/>
        </w:rPr>
      </w:pPr>
      <w:r>
        <w:rPr>
          <w:rStyle w:val="FootnoteReference1"/>
        </w:rPr>
        <w:footnoteRef/>
      </w:r>
      <w:r>
        <w:rPr>
          <w:rtl/>
        </w:rPr>
        <w:t xml:space="preserve"> </w:t>
      </w:r>
      <w:r>
        <w:rPr>
          <w:rtl/>
        </w:rPr>
        <w:tab/>
      </w:r>
      <w:r>
        <w:rPr>
          <w:rFonts w:hint="cs"/>
          <w:rtl/>
        </w:rPr>
        <w:t>החלטת הממשלה 550, "התוכנית הכלכלית לצמצום פערים בחברה הערבית עד לשנת 2026" (24.10.21).</w:t>
      </w:r>
    </w:p>
  </w:footnote>
  <w:footnote w:id="80">
    <w:p w:rsidR="00CC16EC" w:rsidP="00861D72">
      <w:pPr>
        <w:pStyle w:val="FootnoteText"/>
        <w:rPr>
          <w:rtl/>
        </w:rPr>
      </w:pPr>
      <w:r>
        <w:rPr>
          <w:rStyle w:val="FootnoteReference1"/>
        </w:rPr>
        <w:footnoteRef/>
      </w:r>
      <w:r>
        <w:rPr>
          <w:rtl/>
        </w:rPr>
        <w:t xml:space="preserve"> </w:t>
      </w:r>
      <w:r>
        <w:rPr>
          <w:rtl/>
        </w:rPr>
        <w:tab/>
      </w:r>
      <w:r>
        <w:rPr>
          <w:rFonts w:hint="cs"/>
          <w:rtl/>
        </w:rPr>
        <w:t>כנסת ישראל, מרכז המחקר והמידע, "תכניות לאומיות להתמודדות עם הזדקנות האוכלוסייה במדינות שונות" (2017).</w:t>
      </w:r>
    </w:p>
  </w:footnote>
  <w:footnote w:id="81">
    <w:p w:rsidR="00CC16EC" w:rsidP="00861D72">
      <w:pPr>
        <w:pStyle w:val="FootnoteText"/>
      </w:pPr>
      <w:r>
        <w:rPr>
          <w:rStyle w:val="FootnoteReference1"/>
        </w:rPr>
        <w:footnoteRef/>
      </w:r>
      <w:r>
        <w:rPr>
          <w:rtl/>
        </w:rPr>
        <w:t xml:space="preserve"> </w:t>
      </w:r>
      <w:r>
        <w:rPr>
          <w:rtl/>
        </w:rPr>
        <w:tab/>
      </w:r>
      <w:r>
        <w:rPr>
          <w:rFonts w:hint="cs"/>
          <w:rtl/>
        </w:rPr>
        <w:t>החלטת הממשלה 127, "מפת מדדים לאומיים להזדקנות מיטבית" (19.7.21).</w:t>
      </w:r>
    </w:p>
  </w:footnote>
  <w:footnote w:id="82">
    <w:p w:rsidR="00CC16EC" w:rsidP="00861D72">
      <w:pPr>
        <w:pStyle w:val="FootnoteText"/>
        <w:rPr>
          <w:rtl/>
        </w:rPr>
      </w:pPr>
      <w:r>
        <w:rPr>
          <w:rStyle w:val="FootnoteReference1"/>
        </w:rPr>
        <w:footnoteRef/>
      </w:r>
      <w:r>
        <w:rPr>
          <w:rtl/>
        </w:rPr>
        <w:t xml:space="preserve"> </w:t>
      </w:r>
      <w:r>
        <w:rPr>
          <w:rtl/>
        </w:rPr>
        <w:tab/>
      </w:r>
      <w:r w:rsidRPr="00A622F8">
        <w:rPr>
          <w:rtl/>
        </w:rPr>
        <w:t xml:space="preserve">במטרה לחזק את התיאום הבין-משרדי ולהגביר את ההשפעות של הפעולות הממשלתיות, החל אגף ממשל וחברה במשרד </w:t>
      </w:r>
      <w:r>
        <w:rPr>
          <w:rFonts w:hint="cs"/>
          <w:rtl/>
        </w:rPr>
        <w:t>רה"</w:t>
      </w:r>
      <w:r w:rsidRPr="00A622F8">
        <w:rPr>
          <w:rtl/>
        </w:rPr>
        <w:t>ם</w:t>
      </w:r>
      <w:r w:rsidRPr="00A622F8">
        <w:rPr>
          <w:rtl/>
        </w:rPr>
        <w:t xml:space="preserve"> במהלך התנסותי של תכנון משותף סביב סוגיית הליבה של הזדקנות מיטבית בישראל.</w:t>
      </w:r>
      <w:r>
        <w:rPr>
          <w:rFonts w:hint="cs"/>
          <w:rtl/>
        </w:rPr>
        <w:t>.</w:t>
      </w:r>
    </w:p>
  </w:footnote>
  <w:footnote w:id="83">
    <w:p w:rsidR="00CC16EC" w:rsidP="00861D72">
      <w:pPr>
        <w:pStyle w:val="FootnoteText"/>
      </w:pPr>
      <w:r>
        <w:rPr>
          <w:rStyle w:val="FootnoteReference1"/>
        </w:rPr>
        <w:footnoteRef/>
      </w:r>
      <w:r>
        <w:rPr>
          <w:rtl/>
        </w:rPr>
        <w:t xml:space="preserve"> </w:t>
      </w:r>
      <w:r>
        <w:rPr>
          <w:rtl/>
        </w:rPr>
        <w:tab/>
      </w:r>
      <w:r w:rsidRPr="00A622F8">
        <w:rPr>
          <w:rtl/>
        </w:rPr>
        <w:t>כולל נציגים ממשרדי ממשלה, מרשויות מקומיות, מארגונים חברתיים ומעמותות, ומתמקד בקידום של הזדקנות מיטבית בישראל.</w:t>
      </w:r>
    </w:p>
  </w:footnote>
  <w:footnote w:id="84">
    <w:p w:rsidR="00CC16EC" w:rsidP="00861D72">
      <w:pPr>
        <w:pStyle w:val="FootnoteText"/>
      </w:pPr>
      <w:r>
        <w:rPr>
          <w:rFonts w:hint="cs"/>
          <w:rtl/>
        </w:rPr>
        <w:t xml:space="preserve"> </w:t>
      </w:r>
      <w:r>
        <w:rPr>
          <w:rStyle w:val="FootnoteReference1"/>
        </w:rPr>
        <w:footnoteRef/>
      </w:r>
      <w:r>
        <w:rPr>
          <w:rtl/>
        </w:rPr>
        <w:t xml:space="preserve"> </w:t>
      </w:r>
      <w:r>
        <w:rPr>
          <w:rtl/>
        </w:rPr>
        <w:tab/>
      </w:r>
      <w:r>
        <w:rPr>
          <w:rtl/>
        </w:rPr>
        <w:t>ההישגים הרחבים</w:t>
      </w:r>
      <w:r>
        <w:rPr>
          <w:rFonts w:hint="cs"/>
          <w:rtl/>
        </w:rPr>
        <w:t xml:space="preserve"> ש</w:t>
      </w:r>
      <w:r>
        <w:rPr>
          <w:rtl/>
        </w:rPr>
        <w:t>אליהם מכוו</w:t>
      </w:r>
      <w:r>
        <w:rPr>
          <w:rFonts w:hint="cs"/>
          <w:rtl/>
        </w:rPr>
        <w:t>נים</w:t>
      </w:r>
      <w:r>
        <w:rPr>
          <w:rtl/>
        </w:rPr>
        <w:t>.</w:t>
      </w:r>
      <w:r>
        <w:rPr>
          <w:rFonts w:hint="cs"/>
          <w:rtl/>
        </w:rPr>
        <w:t xml:space="preserve"> </w:t>
      </w:r>
      <w:r>
        <w:rPr>
          <w:rtl/>
        </w:rPr>
        <w:t>המטרות משקפות</w:t>
      </w:r>
      <w:r>
        <w:rPr>
          <w:rFonts w:hint="cs"/>
          <w:rtl/>
        </w:rPr>
        <w:t xml:space="preserve"> </w:t>
      </w:r>
      <w:r>
        <w:rPr>
          <w:rtl/>
        </w:rPr>
        <w:t>כיוון פעולה רצוי</w:t>
      </w:r>
      <w:r>
        <w:rPr>
          <w:rFonts w:hint="cs"/>
          <w:rtl/>
        </w:rPr>
        <w:t xml:space="preserve"> </w:t>
      </w:r>
      <w:r>
        <w:rPr>
          <w:rtl/>
        </w:rPr>
        <w:t>למימוש חזון, המביא</w:t>
      </w:r>
      <w:r>
        <w:rPr>
          <w:rFonts w:hint="cs"/>
          <w:rtl/>
        </w:rPr>
        <w:t xml:space="preserve"> </w:t>
      </w:r>
      <w:r>
        <w:rPr>
          <w:rtl/>
        </w:rPr>
        <w:t>בחשבון את מגבלות</w:t>
      </w:r>
      <w:r>
        <w:rPr>
          <w:rFonts w:hint="cs"/>
          <w:rtl/>
        </w:rPr>
        <w:t xml:space="preserve"> </w:t>
      </w:r>
      <w:r>
        <w:rPr>
          <w:rtl/>
        </w:rPr>
        <w:t>המציאות</w:t>
      </w:r>
      <w:r>
        <w:rPr>
          <w:rFonts w:hint="cs"/>
          <w:rtl/>
        </w:rPr>
        <w:t xml:space="preserve">. </w:t>
      </w:r>
      <w:r>
        <w:rPr>
          <w:rtl/>
        </w:rPr>
        <w:t xml:space="preserve">בשלב </w:t>
      </w:r>
      <w:r>
        <w:rPr>
          <w:rFonts w:hint="cs"/>
          <w:rtl/>
        </w:rPr>
        <w:t xml:space="preserve">של </w:t>
      </w:r>
      <w:r>
        <w:rPr>
          <w:rtl/>
        </w:rPr>
        <w:t>קביעת</w:t>
      </w:r>
      <w:r>
        <w:rPr>
          <w:rFonts w:hint="cs"/>
          <w:rtl/>
        </w:rPr>
        <w:t xml:space="preserve"> </w:t>
      </w:r>
      <w:r>
        <w:rPr>
          <w:rtl/>
        </w:rPr>
        <w:t>המטרות המיקוד</w:t>
      </w:r>
      <w:r>
        <w:rPr>
          <w:rFonts w:hint="cs"/>
          <w:rtl/>
        </w:rPr>
        <w:t xml:space="preserve"> </w:t>
      </w:r>
      <w:r>
        <w:rPr>
          <w:rtl/>
        </w:rPr>
        <w:t>הוא ב"לאן אנחנו</w:t>
      </w:r>
      <w:r>
        <w:rPr>
          <w:rFonts w:hint="cs"/>
          <w:rtl/>
        </w:rPr>
        <w:t xml:space="preserve"> </w:t>
      </w:r>
      <w:r>
        <w:rPr>
          <w:rtl/>
        </w:rPr>
        <w:t>שואפים להגיע"</w:t>
      </w:r>
      <w:r>
        <w:rPr>
          <w:rFonts w:hint="cs"/>
          <w:rtl/>
        </w:rPr>
        <w:t xml:space="preserve"> </w:t>
      </w:r>
      <w:r>
        <w:rPr>
          <w:rtl/>
        </w:rPr>
        <w:t>בכל הנוגע לתחום</w:t>
      </w:r>
      <w:r>
        <w:rPr>
          <w:rFonts w:hint="cs"/>
          <w:rtl/>
        </w:rPr>
        <w:t xml:space="preserve"> ה</w:t>
      </w:r>
      <w:r>
        <w:rPr>
          <w:rtl/>
        </w:rPr>
        <w:t>פעילות</w:t>
      </w:r>
      <w:r>
        <w:rPr>
          <w:rFonts w:hint="cs"/>
          <w:rtl/>
        </w:rPr>
        <w:t>.</w:t>
      </w:r>
    </w:p>
  </w:footnote>
  <w:footnote w:id="85">
    <w:p w:rsidR="00CC16EC" w:rsidP="00861D72">
      <w:pPr>
        <w:pStyle w:val="FootnoteText"/>
      </w:pPr>
      <w:r>
        <w:rPr>
          <w:rStyle w:val="FootnoteReference1"/>
        </w:rPr>
        <w:footnoteRef/>
      </w:r>
      <w:r>
        <w:rPr>
          <w:rtl/>
        </w:rPr>
        <w:t xml:space="preserve"> </w:t>
      </w:r>
      <w:r>
        <w:rPr>
          <w:rtl/>
        </w:rPr>
        <w:tab/>
      </w:r>
      <w:r>
        <w:rPr>
          <w:rFonts w:hint="cs"/>
          <w:rtl/>
        </w:rPr>
        <w:t xml:space="preserve">היעדים הם </w:t>
      </w:r>
      <w:r>
        <w:rPr>
          <w:rtl/>
        </w:rPr>
        <w:t>הישגי הביניים המקרבים</w:t>
      </w:r>
      <w:r>
        <w:rPr>
          <w:rFonts w:hint="cs"/>
          <w:rtl/>
        </w:rPr>
        <w:t xml:space="preserve"> </w:t>
      </w:r>
      <w:r>
        <w:rPr>
          <w:rtl/>
        </w:rPr>
        <w:t>למטרה. היעדים נדרשים להיות</w:t>
      </w:r>
      <w:r>
        <w:rPr>
          <w:rFonts w:hint="cs"/>
          <w:rtl/>
        </w:rPr>
        <w:t xml:space="preserve"> </w:t>
      </w:r>
      <w:r>
        <w:rPr>
          <w:rtl/>
        </w:rPr>
        <w:t>קונקרטיים, מדידים</w:t>
      </w:r>
      <w:r>
        <w:rPr>
          <w:rFonts w:hint="cs"/>
          <w:rtl/>
        </w:rPr>
        <w:t xml:space="preserve"> </w:t>
      </w:r>
      <w:r>
        <w:rPr>
          <w:rtl/>
        </w:rPr>
        <w:t>ובני השגה</w:t>
      </w:r>
      <w:r>
        <w:rPr>
          <w:rFonts w:hint="cs"/>
          <w:rtl/>
        </w:rPr>
        <w:t xml:space="preserve">. </w:t>
      </w:r>
      <w:r>
        <w:rPr>
          <w:rtl/>
        </w:rPr>
        <w:t>בשלב</w:t>
      </w:r>
      <w:r>
        <w:rPr>
          <w:rFonts w:hint="cs"/>
          <w:rtl/>
        </w:rPr>
        <w:t xml:space="preserve"> של</w:t>
      </w:r>
      <w:r>
        <w:rPr>
          <w:rtl/>
        </w:rPr>
        <w:t xml:space="preserve"> קביעת היעדים</w:t>
      </w:r>
      <w:r>
        <w:rPr>
          <w:rFonts w:hint="cs"/>
          <w:rtl/>
        </w:rPr>
        <w:t xml:space="preserve"> </w:t>
      </w:r>
      <w:r>
        <w:rPr>
          <w:rtl/>
        </w:rPr>
        <w:t>המיקוד הוא ב"מה אנחנו</w:t>
      </w:r>
      <w:r>
        <w:rPr>
          <w:rFonts w:hint="cs"/>
          <w:rtl/>
        </w:rPr>
        <w:t xml:space="preserve"> </w:t>
      </w:r>
      <w:r>
        <w:rPr>
          <w:rtl/>
        </w:rPr>
        <w:t>רוצים להשיג", כדי</w:t>
      </w:r>
      <w:r>
        <w:rPr>
          <w:rFonts w:hint="cs"/>
          <w:rtl/>
        </w:rPr>
        <w:t xml:space="preserve"> </w:t>
      </w:r>
      <w:r>
        <w:rPr>
          <w:rtl/>
        </w:rPr>
        <w:t>להגשים את המטרות</w:t>
      </w:r>
      <w:r>
        <w:rPr>
          <w:rFonts w:hint="cs"/>
          <w:rtl/>
        </w:rPr>
        <w:t>.</w:t>
      </w:r>
    </w:p>
  </w:footnote>
  <w:footnote w:id="86">
    <w:p w:rsidR="00CC16EC" w:rsidP="00861D72">
      <w:pPr>
        <w:pStyle w:val="FootnoteText"/>
        <w:rPr>
          <w:rtl/>
        </w:rPr>
      </w:pPr>
      <w:r>
        <w:rPr>
          <w:rStyle w:val="FootnoteReference1"/>
        </w:rPr>
        <w:footnoteRef/>
      </w:r>
      <w:r>
        <w:rPr>
          <w:rtl/>
        </w:rPr>
        <w:t xml:space="preserve"> </w:t>
      </w:r>
      <w:r>
        <w:rPr>
          <w:rtl/>
        </w:rPr>
        <w:tab/>
      </w:r>
      <w:r>
        <w:rPr>
          <w:rtl/>
        </w:rPr>
        <w:t xml:space="preserve">הפעולות </w:t>
      </w:r>
      <w:r>
        <w:rPr>
          <w:rFonts w:hint="cs"/>
          <w:rtl/>
        </w:rPr>
        <w:t>שיש ל</w:t>
      </w:r>
      <w:r>
        <w:rPr>
          <w:rtl/>
        </w:rPr>
        <w:t>בצע כדי להשיג את</w:t>
      </w:r>
      <w:r>
        <w:rPr>
          <w:rFonts w:hint="cs"/>
          <w:rtl/>
        </w:rPr>
        <w:t xml:space="preserve"> </w:t>
      </w:r>
      <w:r>
        <w:rPr>
          <w:rtl/>
        </w:rPr>
        <w:t>היעדים שהוגדרו</w:t>
      </w:r>
      <w:r>
        <w:rPr>
          <w:rFonts w:hint="cs"/>
          <w:rtl/>
        </w:rPr>
        <w:t>.</w:t>
      </w:r>
    </w:p>
  </w:footnote>
  <w:footnote w:id="87">
    <w:p w:rsidR="00CC16EC" w:rsidP="00861D72">
      <w:pPr>
        <w:pStyle w:val="FootnoteText"/>
      </w:pPr>
      <w:r>
        <w:rPr>
          <w:rStyle w:val="FootnoteReference1"/>
        </w:rPr>
        <w:footnoteRef/>
      </w:r>
      <w:r>
        <w:rPr>
          <w:rtl/>
        </w:rPr>
        <w:t xml:space="preserve"> </w:t>
      </w:r>
      <w:r>
        <w:rPr>
          <w:rtl/>
        </w:rPr>
        <w:tab/>
      </w:r>
      <w:r>
        <w:rPr>
          <w:rFonts w:hint="cs"/>
          <w:rtl/>
        </w:rPr>
        <w:t xml:space="preserve">משרד ראש הממשלה, </w:t>
      </w:r>
      <w:r w:rsidRPr="00D63275">
        <w:rPr>
          <w:rFonts w:hint="eastAsia"/>
          <w:b/>
          <w:bCs/>
          <w:rtl/>
        </w:rPr>
        <w:t>מדריך</w:t>
      </w:r>
      <w:r w:rsidRPr="00D63275">
        <w:rPr>
          <w:b/>
          <w:bCs/>
          <w:rtl/>
        </w:rPr>
        <w:t xml:space="preserve"> </w:t>
      </w:r>
      <w:r w:rsidRPr="00D63275">
        <w:rPr>
          <w:rFonts w:hint="eastAsia"/>
          <w:b/>
          <w:bCs/>
          <w:rtl/>
        </w:rPr>
        <w:t>התכנון</w:t>
      </w:r>
      <w:r w:rsidRPr="00D63275">
        <w:rPr>
          <w:b/>
          <w:bCs/>
          <w:rtl/>
        </w:rPr>
        <w:t xml:space="preserve"> </w:t>
      </w:r>
      <w:r w:rsidRPr="00D63275">
        <w:rPr>
          <w:rFonts w:hint="eastAsia"/>
          <w:b/>
          <w:bCs/>
          <w:rtl/>
        </w:rPr>
        <w:t>הממשלתי</w:t>
      </w:r>
      <w:r w:rsidRPr="002F2FF2">
        <w:rPr>
          <w:rFonts w:hint="cs"/>
          <w:rtl/>
        </w:rPr>
        <w:t xml:space="preserve"> (2010</w:t>
      </w:r>
      <w:r w:rsidRPr="002F2FF2">
        <w:rPr>
          <w:rtl/>
        </w:rPr>
        <w:t>).</w:t>
      </w:r>
    </w:p>
  </w:footnote>
  <w:footnote w:id="88">
    <w:p w:rsidR="00CC16EC" w:rsidP="00861D72">
      <w:pPr>
        <w:pStyle w:val="FootnoteText"/>
        <w:rPr>
          <w:rtl/>
        </w:rPr>
      </w:pPr>
      <w:r>
        <w:rPr>
          <w:rStyle w:val="FootnoteReference1"/>
        </w:rPr>
        <w:footnoteRef/>
      </w:r>
      <w:r>
        <w:rPr>
          <w:rtl/>
        </w:rPr>
        <w:t xml:space="preserve"> </w:t>
      </w:r>
      <w:r>
        <w:rPr>
          <w:rtl/>
        </w:rPr>
        <w:tab/>
      </w:r>
      <w:r>
        <w:rPr>
          <w:rFonts w:hint="cs"/>
          <w:rtl/>
        </w:rPr>
        <w:t xml:space="preserve">הלשכה המרכזית לסטטיסטיקה, </w:t>
      </w:r>
      <w:r w:rsidRPr="00D63275">
        <w:rPr>
          <w:rFonts w:hint="eastAsia"/>
          <w:b/>
          <w:bCs/>
          <w:rtl/>
        </w:rPr>
        <w:t>מדדים</w:t>
      </w:r>
      <w:r w:rsidRPr="00D63275">
        <w:rPr>
          <w:b/>
          <w:bCs/>
          <w:rtl/>
        </w:rPr>
        <w:t xml:space="preserve"> לאומיים להזדקנות </w:t>
      </w:r>
      <w:r w:rsidRPr="00D63275">
        <w:rPr>
          <w:rFonts w:hint="eastAsia"/>
          <w:b/>
          <w:bCs/>
          <w:rtl/>
        </w:rPr>
        <w:t>מיטבית</w:t>
      </w:r>
      <w:r>
        <w:rPr>
          <w:rFonts w:hint="cs"/>
          <w:rtl/>
        </w:rPr>
        <w:t xml:space="preserve"> (2022).</w:t>
      </w:r>
    </w:p>
  </w:footnote>
  <w:footnote w:id="89">
    <w:p w:rsidR="00CC16EC" w:rsidP="00861D72">
      <w:pPr>
        <w:pStyle w:val="FootnoteText"/>
      </w:pPr>
      <w:r>
        <w:rPr>
          <w:rStyle w:val="FootnoteReference1"/>
        </w:rPr>
        <w:footnoteRef/>
      </w:r>
      <w:r>
        <w:rPr>
          <w:rtl/>
        </w:rPr>
        <w:t xml:space="preserve"> </w:t>
      </w:r>
      <w:r>
        <w:rPr>
          <w:rtl/>
        </w:rPr>
        <w:tab/>
      </w:r>
      <w:r w:rsidRPr="00970258">
        <w:rPr>
          <w:rtl/>
        </w:rPr>
        <w:t xml:space="preserve">החלטת הממשלה </w:t>
      </w:r>
      <w:r>
        <w:rPr>
          <w:rFonts w:hint="cs"/>
          <w:rtl/>
        </w:rPr>
        <w:t>127, "מפת מדדים לאומיים להזדקנות מיטבית" 19.7.21.</w:t>
      </w:r>
    </w:p>
  </w:footnote>
  <w:footnote w:id="90">
    <w:p w:rsidR="00CC16EC" w:rsidP="00861D72">
      <w:pPr>
        <w:pStyle w:val="FootnoteText"/>
      </w:pPr>
      <w:r>
        <w:rPr>
          <w:rStyle w:val="FootnoteReference1"/>
        </w:rPr>
        <w:footnoteRef/>
      </w:r>
      <w:r>
        <w:rPr>
          <w:rtl/>
        </w:rPr>
        <w:t xml:space="preserve"> </w:t>
      </w:r>
      <w:r>
        <w:rPr>
          <w:rtl/>
        </w:rPr>
        <w:tab/>
      </w:r>
      <w:r>
        <w:rPr>
          <w:rFonts w:hint="cs"/>
          <w:rtl/>
        </w:rPr>
        <w:t>הלמ"ס</w:t>
      </w:r>
      <w:r>
        <w:rPr>
          <w:rFonts w:hint="cs"/>
          <w:rtl/>
        </w:rPr>
        <w:t xml:space="preserve"> מגדירה </w:t>
      </w:r>
      <w:r>
        <w:rPr>
          <w:rtl/>
        </w:rPr>
        <w:t xml:space="preserve">מדד מנבא להזדקנות מיטבית </w:t>
      </w:r>
      <w:r>
        <w:rPr>
          <w:rFonts w:hint="cs"/>
          <w:rtl/>
        </w:rPr>
        <w:t>כ</w:t>
      </w:r>
      <w:r>
        <w:rPr>
          <w:rtl/>
        </w:rPr>
        <w:t xml:space="preserve">מדד התנהגותי או תפיסתי </w:t>
      </w:r>
      <w:r>
        <w:rPr>
          <w:rFonts w:hint="cs"/>
          <w:rtl/>
        </w:rPr>
        <w:t>(</w:t>
      </w:r>
      <w:r>
        <w:rPr>
          <w:rtl/>
        </w:rPr>
        <w:t>בשונה ממדדים קשיחים</w:t>
      </w:r>
      <w:r>
        <w:rPr>
          <w:rFonts w:hint="cs"/>
          <w:rtl/>
        </w:rPr>
        <w:t>,</w:t>
      </w:r>
      <w:r>
        <w:rPr>
          <w:rtl/>
        </w:rPr>
        <w:t xml:space="preserve"> כגון מין</w:t>
      </w:r>
      <w:r>
        <w:rPr>
          <w:rFonts w:hint="cs"/>
          <w:rtl/>
        </w:rPr>
        <w:t xml:space="preserve"> </w:t>
      </w:r>
      <w:r>
        <w:rPr>
          <w:rtl/>
        </w:rPr>
        <w:t>והשכלה</w:t>
      </w:r>
      <w:r>
        <w:rPr>
          <w:rFonts w:hint="cs"/>
          <w:rtl/>
        </w:rPr>
        <w:t>) ה</w:t>
      </w:r>
      <w:r>
        <w:rPr>
          <w:rtl/>
        </w:rPr>
        <w:t>נמצא בספרות המחקרית כבעל השפעה להשגת הזדקנות מיטבית. נמצא כי</w:t>
      </w:r>
      <w:r>
        <w:rPr>
          <w:rFonts w:hint="cs"/>
          <w:rtl/>
        </w:rPr>
        <w:t xml:space="preserve"> </w:t>
      </w:r>
      <w:r>
        <w:rPr>
          <w:rtl/>
        </w:rPr>
        <w:t xml:space="preserve">התערבות במדדים הללו בכל גיל תהיה בעלת השפעה חיובית מובהקת על ההזדקנות המיטבית. </w:t>
      </w:r>
      <w:r>
        <w:rPr>
          <w:rFonts w:hint="cs"/>
          <w:rtl/>
        </w:rPr>
        <w:t xml:space="preserve">משמעות </w:t>
      </w:r>
      <w:r>
        <w:rPr>
          <w:rtl/>
        </w:rPr>
        <w:t>העובדה שמדד מנבא הוא התנהגותי או תפיסתי</w:t>
      </w:r>
      <w:r>
        <w:rPr>
          <w:rFonts w:hint="cs"/>
          <w:rtl/>
        </w:rPr>
        <w:t xml:space="preserve"> היא שאפשר</w:t>
      </w:r>
      <w:r>
        <w:rPr>
          <w:rtl/>
        </w:rPr>
        <w:t xml:space="preserve"> להשפיע עליו באמצעות</w:t>
      </w:r>
      <w:r>
        <w:rPr>
          <w:rFonts w:hint="cs"/>
          <w:rtl/>
        </w:rPr>
        <w:t xml:space="preserve"> </w:t>
      </w:r>
      <w:r>
        <w:rPr>
          <w:rtl/>
        </w:rPr>
        <w:t>תוכניות</w:t>
      </w:r>
      <w:r>
        <w:rPr>
          <w:rtl/>
        </w:rPr>
        <w:t xml:space="preserve"> התערבות ו</w:t>
      </w:r>
      <w:r>
        <w:rPr>
          <w:rFonts w:hint="cs"/>
          <w:rtl/>
        </w:rPr>
        <w:t xml:space="preserve">באמצעות </w:t>
      </w:r>
      <w:r>
        <w:rPr>
          <w:rtl/>
        </w:rPr>
        <w:t>שירותים וקביעת מדיניות</w:t>
      </w:r>
      <w:r>
        <w:rPr>
          <w:rFonts w:hint="cs"/>
          <w:rtl/>
        </w:rPr>
        <w:t>,</w:t>
      </w:r>
      <w:r>
        <w:rPr>
          <w:rtl/>
        </w:rPr>
        <w:t xml:space="preserve"> כגון רגולציה וחקיקה, ו</w:t>
      </w:r>
      <w:r>
        <w:rPr>
          <w:rFonts w:hint="cs"/>
          <w:rtl/>
        </w:rPr>
        <w:t xml:space="preserve">באמצעות </w:t>
      </w:r>
      <w:r>
        <w:rPr>
          <w:rtl/>
        </w:rPr>
        <w:t>תקציבים לאומיים.</w:t>
      </w:r>
      <w:r>
        <w:rPr>
          <w:rFonts w:hint="cs"/>
          <w:rtl/>
        </w:rPr>
        <w:t xml:space="preserve"> במסגרת מפת המדדים נקבעו תחת מדדי-העל 32 מדדים מנבאים, צוות הביקורת בחן את חלקם, בהתבסס על הפרקים ועל הנושאים שבהם עוסק דוח ביקורת זה.</w:t>
      </w:r>
    </w:p>
  </w:footnote>
  <w:footnote w:id="91">
    <w:p w:rsidR="00CC16EC" w:rsidP="00861D72">
      <w:pPr>
        <w:pStyle w:val="FootnoteText"/>
        <w:rPr>
          <w:rtl/>
        </w:rPr>
      </w:pPr>
      <w:r>
        <w:rPr>
          <w:rStyle w:val="FootnoteReference1"/>
        </w:rPr>
        <w:footnoteRef/>
      </w:r>
      <w:r>
        <w:rPr>
          <w:rtl/>
        </w:rPr>
        <w:t xml:space="preserve"> </w:t>
      </w:r>
      <w:r>
        <w:rPr>
          <w:rtl/>
        </w:rPr>
        <w:tab/>
      </w:r>
      <w:r>
        <w:rPr>
          <w:rFonts w:hint="cs"/>
          <w:rtl/>
        </w:rPr>
        <w:t>ראו פירוט בפרק על היערכות מערכת הבריאות בישראל להזדקנות האוכלוסייה.</w:t>
      </w:r>
    </w:p>
  </w:footnote>
  <w:footnote w:id="92">
    <w:p w:rsidR="00CC16EC" w:rsidP="00861D72">
      <w:pPr>
        <w:pStyle w:val="FootnoteText"/>
        <w:rPr>
          <w:rtl/>
        </w:rPr>
      </w:pPr>
      <w:r>
        <w:rPr>
          <w:rStyle w:val="FootnoteReference1"/>
        </w:rPr>
        <w:footnoteRef/>
      </w:r>
      <w:r>
        <w:rPr>
          <w:rtl/>
        </w:rPr>
        <w:t xml:space="preserve"> </w:t>
      </w:r>
      <w:r>
        <w:rPr>
          <w:rtl/>
        </w:rPr>
        <w:tab/>
      </w:r>
      <w:r>
        <w:rPr>
          <w:rFonts w:hint="cs"/>
          <w:rtl/>
        </w:rPr>
        <w:t xml:space="preserve">מדד </w:t>
      </w:r>
      <w:r>
        <w:rPr>
          <w:rFonts w:hint="cs"/>
        </w:rPr>
        <w:t>ADL</w:t>
      </w:r>
      <w:r>
        <w:rPr>
          <w:rFonts w:hint="cs"/>
          <w:rtl/>
        </w:rPr>
        <w:t xml:space="preserve"> (</w:t>
      </w:r>
      <w:r>
        <w:t>Activities of Daily Living</w:t>
      </w:r>
      <w:r>
        <w:rPr>
          <w:rFonts w:hint="cs"/>
          <w:rtl/>
        </w:rPr>
        <w:t xml:space="preserve">) בוחן את יכולתו של אדם לבצע פעולות בסיסיות יום-יומיות, שהן בסיס לשגרת חייו ולעצמאותו הגופנית. מדד </w:t>
      </w:r>
      <w:r>
        <w:rPr>
          <w:rFonts w:hint="cs"/>
        </w:rPr>
        <w:t>IADL</w:t>
      </w:r>
      <w:r>
        <w:rPr>
          <w:rFonts w:hint="cs"/>
          <w:rtl/>
        </w:rPr>
        <w:t xml:space="preserve"> (</w:t>
      </w:r>
      <w:r>
        <w:t>Instrumental Activities of Daily Living</w:t>
      </w:r>
      <w:r>
        <w:rPr>
          <w:rFonts w:hint="cs"/>
          <w:rtl/>
        </w:rPr>
        <w:t>) בוחן את יכולתו של אדם לבצע פעולות יום-יומיות שאינן הכרחיות לתפקודו הבסיסי, אך מועילות ורלוונטיות לקביעת מידת התלות בזולת.</w:t>
      </w:r>
    </w:p>
  </w:footnote>
  <w:footnote w:id="93">
    <w:p w:rsidR="00CC16EC" w:rsidP="00861D72">
      <w:pPr>
        <w:pStyle w:val="FootnoteText"/>
      </w:pPr>
      <w:r>
        <w:rPr>
          <w:rStyle w:val="FootnoteReference1"/>
        </w:rPr>
        <w:footnoteRef/>
      </w:r>
      <w:r>
        <w:rPr>
          <w:rtl/>
        </w:rPr>
        <w:t xml:space="preserve"> </w:t>
      </w:r>
      <w:r>
        <w:rPr>
          <w:rtl/>
        </w:rPr>
        <w:tab/>
      </w:r>
      <w:r>
        <w:rPr>
          <w:rFonts w:hint="cs"/>
          <w:rtl/>
        </w:rPr>
        <w:t xml:space="preserve">מדי שנה בשנה משרד </w:t>
      </w:r>
      <w:r>
        <w:rPr>
          <w:rFonts w:hint="cs"/>
          <w:rtl/>
        </w:rPr>
        <w:t>רה"ם</w:t>
      </w:r>
      <w:r>
        <w:rPr>
          <w:rFonts w:hint="cs"/>
          <w:rtl/>
        </w:rPr>
        <w:t xml:space="preserve"> מפרסם את ספר עיקרי </w:t>
      </w:r>
      <w:r>
        <w:rPr>
          <w:rFonts w:hint="cs"/>
          <w:rtl/>
        </w:rPr>
        <w:t>תוכניות</w:t>
      </w:r>
      <w:r>
        <w:rPr>
          <w:rFonts w:hint="cs"/>
          <w:rtl/>
        </w:rPr>
        <w:t xml:space="preserve"> העבודה של משרדי הממשלה ויחידות הסמך. בתוכניות מפורטים היעדים שנקבעו לכל אחד מהמשרדים לשנה הקודמת, את היעד לשנה הנוכחית (של הספר) ואת היעדים לשנים קדימה.</w:t>
      </w:r>
    </w:p>
  </w:footnote>
  <w:footnote w:id="94">
    <w:p w:rsidR="00CC16EC" w:rsidP="00861D72">
      <w:pPr>
        <w:pStyle w:val="FootnoteText"/>
      </w:pPr>
      <w:r>
        <w:rPr>
          <w:rStyle w:val="FootnoteReference1"/>
        </w:rPr>
        <w:footnoteRef/>
      </w:r>
      <w:r>
        <w:rPr>
          <w:rtl/>
        </w:rPr>
        <w:t xml:space="preserve"> </w:t>
      </w:r>
      <w:r>
        <w:rPr>
          <w:rtl/>
        </w:rPr>
        <w:tab/>
      </w:r>
      <w:r>
        <w:rPr>
          <w:rFonts w:hint="cs"/>
          <w:rtl/>
        </w:rPr>
        <w:t xml:space="preserve">משרד ראש הממשלה, </w:t>
      </w:r>
      <w:r w:rsidRPr="00D63275">
        <w:rPr>
          <w:rFonts w:hint="eastAsia"/>
          <w:b/>
          <w:bCs/>
          <w:rtl/>
        </w:rPr>
        <w:t>עיקרי</w:t>
      </w:r>
      <w:r w:rsidRPr="00D63275">
        <w:rPr>
          <w:b/>
          <w:bCs/>
          <w:rtl/>
        </w:rPr>
        <w:t xml:space="preserve"> </w:t>
      </w:r>
      <w:r w:rsidRPr="00D63275">
        <w:rPr>
          <w:rFonts w:hint="eastAsia"/>
          <w:b/>
          <w:bCs/>
          <w:rtl/>
        </w:rPr>
        <w:t>תוכניות</w:t>
      </w:r>
      <w:r w:rsidRPr="00D63275">
        <w:rPr>
          <w:b/>
          <w:bCs/>
          <w:rtl/>
        </w:rPr>
        <w:t xml:space="preserve"> </w:t>
      </w:r>
      <w:r w:rsidRPr="00D63275">
        <w:rPr>
          <w:rFonts w:hint="eastAsia"/>
          <w:b/>
          <w:bCs/>
          <w:rtl/>
        </w:rPr>
        <w:t>העבודה</w:t>
      </w:r>
      <w:r w:rsidRPr="00D63275">
        <w:rPr>
          <w:b/>
          <w:bCs/>
          <w:rtl/>
        </w:rPr>
        <w:t xml:space="preserve"> </w:t>
      </w:r>
      <w:r w:rsidRPr="00D63275">
        <w:rPr>
          <w:rFonts w:hint="eastAsia"/>
          <w:b/>
          <w:bCs/>
          <w:rtl/>
        </w:rPr>
        <w:t>לשנת</w:t>
      </w:r>
      <w:r w:rsidRPr="00D63275">
        <w:rPr>
          <w:b/>
          <w:bCs/>
          <w:rtl/>
        </w:rPr>
        <w:t xml:space="preserve"> 2025 </w:t>
      </w:r>
      <w:r w:rsidRPr="00D63275">
        <w:rPr>
          <w:rFonts w:hint="eastAsia"/>
          <w:b/>
          <w:bCs/>
          <w:rtl/>
        </w:rPr>
        <w:t>משרדי</w:t>
      </w:r>
      <w:r w:rsidRPr="00D63275">
        <w:rPr>
          <w:b/>
          <w:bCs/>
          <w:rtl/>
        </w:rPr>
        <w:t xml:space="preserve"> </w:t>
      </w:r>
      <w:r w:rsidRPr="00D63275">
        <w:rPr>
          <w:rFonts w:hint="eastAsia"/>
          <w:b/>
          <w:bCs/>
          <w:rtl/>
        </w:rPr>
        <w:t>הממשלה</w:t>
      </w:r>
      <w:r w:rsidRPr="00D63275">
        <w:rPr>
          <w:b/>
          <w:bCs/>
          <w:rtl/>
        </w:rPr>
        <w:t xml:space="preserve"> </w:t>
      </w:r>
      <w:r w:rsidRPr="00D63275">
        <w:rPr>
          <w:rFonts w:hint="eastAsia"/>
          <w:b/>
          <w:bCs/>
          <w:rtl/>
        </w:rPr>
        <w:t>ויחידות</w:t>
      </w:r>
      <w:r w:rsidRPr="00D63275">
        <w:rPr>
          <w:b/>
          <w:bCs/>
          <w:rtl/>
        </w:rPr>
        <w:t xml:space="preserve"> </w:t>
      </w:r>
      <w:r w:rsidRPr="00D63275">
        <w:rPr>
          <w:rFonts w:hint="eastAsia"/>
          <w:b/>
          <w:bCs/>
          <w:rtl/>
        </w:rPr>
        <w:t>הסמך</w:t>
      </w:r>
      <w:r>
        <w:rPr>
          <w:rFonts w:hint="cs"/>
          <w:rtl/>
        </w:rPr>
        <w:t xml:space="preserve"> (תשפ"ה), עמ' 129.</w:t>
      </w:r>
    </w:p>
  </w:footnote>
  <w:footnote w:id="95">
    <w:p w:rsidR="00CC16EC" w:rsidP="00861D72">
      <w:pPr>
        <w:pStyle w:val="FootnoteText"/>
        <w:rPr>
          <w:rtl/>
        </w:rPr>
      </w:pPr>
      <w:r>
        <w:rPr>
          <w:rStyle w:val="FootnoteReference1"/>
        </w:rPr>
        <w:footnoteRef/>
      </w:r>
      <w:r>
        <w:rPr>
          <w:rtl/>
        </w:rPr>
        <w:t xml:space="preserve"> </w:t>
      </w:r>
      <w:r>
        <w:rPr>
          <w:rtl/>
        </w:rPr>
        <w:tab/>
      </w:r>
      <w:r>
        <w:rPr>
          <w:rFonts w:hint="cs"/>
          <w:rtl/>
        </w:rPr>
        <w:t xml:space="preserve">משרד ראש הממשלה, </w:t>
      </w:r>
      <w:r w:rsidRPr="00D63275">
        <w:rPr>
          <w:rFonts w:hint="eastAsia"/>
          <w:b/>
          <w:bCs/>
          <w:rtl/>
        </w:rPr>
        <w:t>עיקרי</w:t>
      </w:r>
      <w:r w:rsidRPr="00D63275">
        <w:rPr>
          <w:b/>
          <w:bCs/>
          <w:rtl/>
        </w:rPr>
        <w:t xml:space="preserve"> </w:t>
      </w:r>
      <w:r w:rsidRPr="00D63275">
        <w:rPr>
          <w:rFonts w:hint="eastAsia"/>
          <w:b/>
          <w:bCs/>
          <w:rtl/>
        </w:rPr>
        <w:t>תוכניות</w:t>
      </w:r>
      <w:r w:rsidRPr="00D63275">
        <w:rPr>
          <w:b/>
          <w:bCs/>
          <w:rtl/>
        </w:rPr>
        <w:t xml:space="preserve"> </w:t>
      </w:r>
      <w:r w:rsidRPr="00D63275">
        <w:rPr>
          <w:rFonts w:hint="eastAsia"/>
          <w:b/>
          <w:bCs/>
          <w:rtl/>
        </w:rPr>
        <w:t>העבודה</w:t>
      </w:r>
      <w:r w:rsidRPr="00D63275">
        <w:rPr>
          <w:b/>
          <w:bCs/>
          <w:rtl/>
        </w:rPr>
        <w:t xml:space="preserve"> </w:t>
      </w:r>
      <w:r w:rsidRPr="00D63275">
        <w:rPr>
          <w:rFonts w:hint="eastAsia"/>
          <w:b/>
          <w:bCs/>
          <w:rtl/>
        </w:rPr>
        <w:t>לשנת</w:t>
      </w:r>
      <w:r w:rsidRPr="00D63275">
        <w:rPr>
          <w:b/>
          <w:bCs/>
          <w:rtl/>
        </w:rPr>
        <w:t xml:space="preserve"> 2025 </w:t>
      </w:r>
      <w:r w:rsidRPr="00D63275">
        <w:rPr>
          <w:rFonts w:hint="eastAsia"/>
          <w:b/>
          <w:bCs/>
          <w:rtl/>
        </w:rPr>
        <w:t>משרדי</w:t>
      </w:r>
      <w:r w:rsidRPr="00D63275">
        <w:rPr>
          <w:b/>
          <w:bCs/>
          <w:rtl/>
        </w:rPr>
        <w:t xml:space="preserve"> </w:t>
      </w:r>
      <w:r w:rsidRPr="00D63275">
        <w:rPr>
          <w:rFonts w:hint="eastAsia"/>
          <w:b/>
          <w:bCs/>
          <w:rtl/>
        </w:rPr>
        <w:t>הממשלה</w:t>
      </w:r>
      <w:r w:rsidRPr="00D63275">
        <w:rPr>
          <w:b/>
          <w:bCs/>
          <w:rtl/>
        </w:rPr>
        <w:t xml:space="preserve"> </w:t>
      </w:r>
      <w:r w:rsidRPr="00D63275">
        <w:rPr>
          <w:rFonts w:hint="eastAsia"/>
          <w:b/>
          <w:bCs/>
          <w:rtl/>
        </w:rPr>
        <w:t>ויחידות</w:t>
      </w:r>
      <w:r w:rsidRPr="00D63275">
        <w:rPr>
          <w:b/>
          <w:bCs/>
          <w:rtl/>
        </w:rPr>
        <w:t xml:space="preserve"> </w:t>
      </w:r>
      <w:r w:rsidRPr="00D63275">
        <w:rPr>
          <w:rFonts w:hint="eastAsia"/>
          <w:b/>
          <w:bCs/>
          <w:rtl/>
        </w:rPr>
        <w:t>הסמך</w:t>
      </w:r>
      <w:r>
        <w:rPr>
          <w:rFonts w:hint="cs"/>
          <w:rtl/>
        </w:rPr>
        <w:t>,ֿ(תשפ"ה), עמ' 771.</w:t>
      </w:r>
    </w:p>
  </w:footnote>
  <w:footnote w:id="96">
    <w:p w:rsidR="00CC16EC" w:rsidP="00861D72">
      <w:pPr>
        <w:pStyle w:val="FootnoteText"/>
        <w:rPr>
          <w:rtl/>
        </w:rPr>
      </w:pPr>
      <w:r>
        <w:rPr>
          <w:rStyle w:val="FootnoteReference1"/>
        </w:rPr>
        <w:footnoteRef/>
      </w:r>
      <w:r>
        <w:tab/>
        <w:t>OECD, "whole-of -government development co-operation", (2022); OECD, "Government at a Glance 2025", (19/6/2025).</w:t>
      </w:r>
      <w:r>
        <w:tab/>
      </w:r>
    </w:p>
  </w:footnote>
  <w:footnote w:id="97">
    <w:p w:rsidR="00CC16EC" w:rsidP="00861D72">
      <w:pPr>
        <w:pStyle w:val="FootnoteText"/>
        <w:rPr>
          <w:rtl/>
        </w:rPr>
      </w:pPr>
      <w:r>
        <w:rPr>
          <w:rStyle w:val="FootnoteReference1"/>
        </w:rPr>
        <w:footnoteRef/>
      </w:r>
      <w:r>
        <w:rPr>
          <w:rtl/>
        </w:rPr>
        <w:t xml:space="preserve"> </w:t>
      </w:r>
      <w:r>
        <w:tab/>
        <w:t>UN Decade of Healthy Ageing: Plan of Action 2021-2030, page 23.</w:t>
      </w:r>
      <w:r>
        <w:rPr>
          <w:rFonts w:hint="cs"/>
          <w:rtl/>
        </w:rPr>
        <w:t xml:space="preserve"> </w:t>
      </w:r>
    </w:p>
  </w:footnote>
  <w:footnote w:id="98">
    <w:p w:rsidR="00CC16EC" w:rsidP="00861D72">
      <w:pPr>
        <w:pStyle w:val="FootnoteText"/>
        <w:rPr>
          <w:rtl/>
        </w:rPr>
      </w:pPr>
      <w:r>
        <w:rPr>
          <w:rStyle w:val="FootnoteReference1"/>
        </w:rPr>
        <w:footnoteRef/>
      </w:r>
      <w:r>
        <w:rPr>
          <w:rtl/>
        </w:rPr>
        <w:t xml:space="preserve"> </w:t>
      </w:r>
      <w:r>
        <w:tab/>
      </w:r>
      <w:hyperlink r:id="rId11" w:history="1">
        <w:r w:rsidRPr="00B777D0">
          <w:rPr>
            <w:rStyle w:val="Hyperlink"/>
          </w:rPr>
          <w:t>https://unece.org/info/Population/events/392469?utm_source=chatgpt.com</w:t>
        </w:r>
      </w:hyperlink>
    </w:p>
  </w:footnote>
  <w:footnote w:id="99">
    <w:p w:rsidR="00CC16EC" w:rsidP="00861D72">
      <w:pPr>
        <w:pStyle w:val="FootnoteText"/>
      </w:pPr>
      <w:r>
        <w:rPr>
          <w:rStyle w:val="FootnoteReference1"/>
        </w:rPr>
        <w:footnoteRef/>
      </w:r>
      <w:r>
        <w:rPr>
          <w:rtl/>
        </w:rPr>
        <w:t xml:space="preserve"> </w:t>
      </w:r>
      <w:r>
        <w:rPr>
          <w:rtl/>
        </w:rPr>
        <w:tab/>
      </w:r>
      <w:r>
        <w:rPr>
          <w:rFonts w:hint="cs"/>
          <w:rtl/>
        </w:rPr>
        <w:t>החלטת הממשלה 4079, "</w:t>
      </w:r>
      <w:r w:rsidRPr="00134147">
        <w:rPr>
          <w:rtl/>
        </w:rPr>
        <w:t>היערכות ישראל להסתגלות לשינויי אקלים: יישום ההמלצות לממשלה לאסטרטגיה ותכנית פעולה לאומית</w:t>
      </w:r>
      <w:r>
        <w:rPr>
          <w:rFonts w:hint="cs"/>
          <w:rtl/>
        </w:rPr>
        <w:t>" (29.7.18).</w:t>
      </w:r>
    </w:p>
  </w:footnote>
  <w:footnote w:id="100">
    <w:p w:rsidR="00CC16EC" w:rsidP="00861D72">
      <w:pPr>
        <w:pStyle w:val="FootnoteText"/>
      </w:pPr>
      <w:r>
        <w:rPr>
          <w:rStyle w:val="FootnoteReference1"/>
        </w:rPr>
        <w:footnoteRef/>
      </w:r>
      <w:r>
        <w:rPr>
          <w:rtl/>
        </w:rPr>
        <w:t xml:space="preserve"> </w:t>
      </w:r>
      <w:r>
        <w:rPr>
          <w:rtl/>
        </w:rPr>
        <w:tab/>
      </w:r>
      <w:r>
        <w:rPr>
          <w:rFonts w:hint="cs"/>
          <w:rtl/>
        </w:rPr>
        <w:t>החלטת הממשלה 1204, "</w:t>
      </w:r>
      <w:r w:rsidRPr="00134147">
        <w:rPr>
          <w:rtl/>
        </w:rPr>
        <w:t>הקמת רשות לפיתוח כלכלי במגזר המיעוטים</w:t>
      </w:r>
      <w:r>
        <w:rPr>
          <w:rFonts w:hint="cs"/>
          <w:rtl/>
        </w:rPr>
        <w:t>" (28.1.07, 15.2.07).</w:t>
      </w:r>
    </w:p>
  </w:footnote>
  <w:footnote w:id="101">
    <w:p w:rsidR="00CC16EC" w:rsidP="00861D72">
      <w:pPr>
        <w:pStyle w:val="FootnoteText"/>
      </w:pPr>
      <w:r>
        <w:rPr>
          <w:rStyle w:val="FootnoteReference1"/>
        </w:rPr>
        <w:footnoteRef/>
      </w:r>
      <w:r>
        <w:rPr>
          <w:rtl/>
        </w:rPr>
        <w:t xml:space="preserve"> </w:t>
      </w:r>
      <w:r>
        <w:rPr>
          <w:rtl/>
        </w:rPr>
        <w:tab/>
      </w:r>
      <w:r>
        <w:rPr>
          <w:rFonts w:hint="cs"/>
          <w:rtl/>
        </w:rPr>
        <w:t xml:space="preserve">ראו: </w:t>
      </w:r>
      <w:hyperlink r:id="rId12" w:history="1">
        <w:r w:rsidRPr="001F145C">
          <w:rPr>
            <w:rStyle w:val="Hyperlink"/>
          </w:rPr>
          <w:t>https://www.canada.ca/en/national-seniors-council.html?utm_source=chatgpt.com</w:t>
        </w:r>
      </w:hyperlink>
    </w:p>
  </w:footnote>
  <w:footnote w:id="102">
    <w:p w:rsidR="00CC16EC" w:rsidRPr="001F145C" w:rsidP="00861D72">
      <w:pPr>
        <w:pStyle w:val="FootnoteText"/>
        <w:rPr>
          <w:rtl/>
        </w:rPr>
      </w:pPr>
      <w:r>
        <w:rPr>
          <w:rStyle w:val="FootnoteReference1"/>
        </w:rPr>
        <w:footnoteRef/>
      </w:r>
      <w:r>
        <w:rPr>
          <w:rtl/>
        </w:rPr>
        <w:t xml:space="preserve"> </w:t>
      </w:r>
      <w:r>
        <w:rPr>
          <w:rtl/>
        </w:rPr>
        <w:tab/>
      </w:r>
      <w:r>
        <w:rPr>
          <w:rFonts w:hint="cs"/>
          <w:rtl/>
        </w:rPr>
        <w:t xml:space="preserve">ראו: </w:t>
      </w:r>
      <w:hyperlink r:id="rId13" w:history="1">
        <w:r w:rsidRPr="001F145C">
          <w:rPr>
            <w:rStyle w:val="Hyperlink"/>
          </w:rPr>
          <w:t>https://www.gov.ie/en/department-of-health/publications/national-positive-ageing-strategy/?utm_source=chatgpt.com</w:t>
        </w:r>
      </w:hyperlink>
    </w:p>
  </w:footnote>
  <w:footnote w:id="103">
    <w:p w:rsidR="00CC16EC" w:rsidRPr="007A5565" w:rsidP="00861D72">
      <w:pPr>
        <w:pStyle w:val="FootnoteText"/>
        <w:rPr>
          <w:rtl/>
        </w:rPr>
      </w:pPr>
      <w:r>
        <w:rPr>
          <w:rStyle w:val="FootnoteReference1"/>
        </w:rPr>
        <w:footnoteRef/>
      </w:r>
      <w:r>
        <w:rPr>
          <w:rtl/>
        </w:rPr>
        <w:t xml:space="preserve"> </w:t>
      </w:r>
      <w:r>
        <w:rPr>
          <w:rtl/>
        </w:rPr>
        <w:tab/>
      </w:r>
      <w:r w:rsidRPr="007A5565">
        <w:rPr>
          <w:rFonts w:hint="cs"/>
          <w:rtl/>
        </w:rPr>
        <w:t xml:space="preserve">החלטת </w:t>
      </w:r>
      <w:r>
        <w:rPr>
          <w:rFonts w:hint="cs"/>
          <w:rtl/>
        </w:rPr>
        <w:t>ה</w:t>
      </w:r>
      <w:r w:rsidRPr="007A5565">
        <w:rPr>
          <w:rFonts w:hint="cs"/>
          <w:rtl/>
        </w:rPr>
        <w:t>ממשלה 431, "</w:t>
      </w:r>
      <w:r w:rsidRPr="007A5565">
        <w:rPr>
          <w:rtl/>
        </w:rPr>
        <w:t>"הקמת יחידת סמך לענייני גמלאים במשרד ראש הממשלה" (10.9.06)</w:t>
      </w:r>
      <w:r>
        <w:rPr>
          <w:rFonts w:hint="cs"/>
          <w:rtl/>
        </w:rPr>
        <w:t xml:space="preserve">; </w:t>
      </w:r>
      <w:r w:rsidRPr="007A5565">
        <w:rPr>
          <w:rFonts w:hint="cs"/>
          <w:rtl/>
        </w:rPr>
        <w:t>החלטת</w:t>
      </w:r>
      <w:r>
        <w:rPr>
          <w:rFonts w:hint="cs"/>
          <w:rtl/>
        </w:rPr>
        <w:t>ה</w:t>
      </w:r>
      <w:r w:rsidRPr="007A5565">
        <w:rPr>
          <w:rFonts w:hint="cs"/>
          <w:rtl/>
        </w:rPr>
        <w:t xml:space="preserve"> ממשלה 2068, "1) הקמת המשרד לענייני גמלאים 2) הפקדת ענייני ירושלים בידי השר רפי איתן" (22.7.07)</w:t>
      </w:r>
      <w:r>
        <w:rPr>
          <w:rFonts w:hint="cs"/>
          <w:rtl/>
        </w:rPr>
        <w:t xml:space="preserve">; </w:t>
      </w:r>
      <w:r w:rsidRPr="007A5565">
        <w:rPr>
          <w:rFonts w:hint="cs"/>
          <w:rtl/>
        </w:rPr>
        <w:t xml:space="preserve">החלטת </w:t>
      </w:r>
      <w:r>
        <w:rPr>
          <w:rFonts w:hint="cs"/>
          <w:rtl/>
        </w:rPr>
        <w:t>ה</w:t>
      </w:r>
      <w:r w:rsidRPr="007A5565">
        <w:rPr>
          <w:rFonts w:hint="cs"/>
          <w:rtl/>
        </w:rPr>
        <w:t xml:space="preserve">ממשלה 2246, "שינוי שם המשרד לענייני גמלאים </w:t>
      </w:r>
      <w:r w:rsidRPr="007A5565">
        <w:rPr>
          <w:rFonts w:hint="cs"/>
          <w:rtl/>
        </w:rPr>
        <w:t>ל</w:t>
      </w:r>
      <w:r>
        <w:rPr>
          <w:rFonts w:hint="cs"/>
          <w:rtl/>
        </w:rPr>
        <w:t>׳</w:t>
      </w:r>
      <w:r w:rsidRPr="007A5565">
        <w:rPr>
          <w:rFonts w:hint="cs"/>
          <w:rtl/>
        </w:rPr>
        <w:t>המשרד</w:t>
      </w:r>
      <w:r w:rsidRPr="007A5565">
        <w:rPr>
          <w:rFonts w:hint="cs"/>
          <w:rtl/>
        </w:rPr>
        <w:t xml:space="preserve"> לאזרחים ותיקים</w:t>
      </w:r>
      <w:r>
        <w:rPr>
          <w:rFonts w:hint="cs"/>
          <w:rtl/>
        </w:rPr>
        <w:t>׳</w:t>
      </w:r>
      <w:r w:rsidRPr="007A5565">
        <w:rPr>
          <w:rFonts w:hint="cs"/>
          <w:rtl/>
        </w:rPr>
        <w:t>" (2.9.10).</w:t>
      </w:r>
    </w:p>
    <w:p w:rsidR="00CC16EC" w:rsidP="00861D72">
      <w:pPr>
        <w:pStyle w:val="FootnoteText"/>
        <w:rPr>
          <w:rtl/>
        </w:rPr>
      </w:pPr>
    </w:p>
  </w:footnote>
  <w:footnote w:id="104">
    <w:p w:rsidR="00CC16EC" w:rsidP="00861D72">
      <w:pPr>
        <w:pStyle w:val="FootnoteText"/>
      </w:pPr>
      <w:r>
        <w:rPr>
          <w:rStyle w:val="FootnoteReference1"/>
        </w:rPr>
        <w:footnoteRef/>
      </w:r>
      <w:r>
        <w:rPr>
          <w:rtl/>
        </w:rPr>
        <w:t xml:space="preserve"> </w:t>
      </w:r>
      <w:r>
        <w:rPr>
          <w:rtl/>
        </w:rPr>
        <w:tab/>
      </w:r>
      <w:r>
        <w:rPr>
          <w:rFonts w:hint="cs"/>
          <w:rtl/>
        </w:rPr>
        <w:t>החלטת הממשלה 109, "</w:t>
      </w:r>
      <w:r w:rsidRPr="00A36E26">
        <w:rPr>
          <w:rtl/>
        </w:rPr>
        <w:t xml:space="preserve">שינוי שם המשרד לפיתוח הפריפריה, הנגב והגליל </w:t>
      </w:r>
      <w:r w:rsidRPr="00A36E26">
        <w:rPr>
          <w:rtl/>
        </w:rPr>
        <w:t>ל</w:t>
      </w:r>
      <w:r>
        <w:rPr>
          <w:rFonts w:hint="cs"/>
          <w:rtl/>
        </w:rPr>
        <w:t>׳</w:t>
      </w:r>
      <w:r w:rsidRPr="00A36E26">
        <w:rPr>
          <w:rtl/>
        </w:rPr>
        <w:t>משרד</w:t>
      </w:r>
      <w:r w:rsidRPr="00A36E26">
        <w:rPr>
          <w:rtl/>
        </w:rPr>
        <w:t xml:space="preserve"> הנגב, הגליל והחוסן הלאומי</w:t>
      </w:r>
      <w:r>
        <w:rPr>
          <w:rFonts w:hint="cs"/>
          <w:rtl/>
        </w:rPr>
        <w:t>׳</w:t>
      </w:r>
      <w:r w:rsidRPr="00A36E26">
        <w:rPr>
          <w:rtl/>
        </w:rPr>
        <w:t>; העברת שטחי פעולה; העברת סמכויות משר לשר ותיקון החלטות ממשלה</w:t>
      </w:r>
      <w:r>
        <w:rPr>
          <w:rFonts w:hint="cs"/>
          <w:rtl/>
        </w:rPr>
        <w:t>" (5.2.23); החלטת הממשלה 1316, "</w:t>
      </w:r>
      <w:r w:rsidRPr="00A36E26">
        <w:rPr>
          <w:rtl/>
        </w:rPr>
        <w:t>העברת שטחי פעולה, העברת סמכויות הנתונות לפי חוק, שינוי בחלוקת התפקידים בין השרים, ביטול המשרד לקידום מעמד האישה, שינוי שם משרד ותיקון החלטות ממשלה</w:t>
      </w:r>
      <w:r>
        <w:rPr>
          <w:rFonts w:hint="cs"/>
          <w:rtl/>
        </w:rPr>
        <w:t>" (21.1.24).</w:t>
      </w:r>
    </w:p>
  </w:footnote>
  <w:footnote w:id="105">
    <w:p w:rsidR="00CC16EC" w:rsidRPr="007A5565" w:rsidP="00861D72">
      <w:pPr>
        <w:pStyle w:val="FootnoteText"/>
        <w:rPr>
          <w:rtl/>
        </w:rPr>
      </w:pPr>
      <w:r w:rsidRPr="007A5565">
        <w:rPr>
          <w:rStyle w:val="FootnoteReference1"/>
        </w:rPr>
        <w:footnoteRef/>
      </w:r>
      <w:r w:rsidRPr="007A5565">
        <w:rPr>
          <w:rtl/>
        </w:rPr>
        <w:t xml:space="preserve"> </w:t>
      </w:r>
      <w:r w:rsidRPr="007A5565">
        <w:rPr>
          <w:rtl/>
        </w:rPr>
        <w:tab/>
      </w:r>
      <w:r w:rsidRPr="007A5565">
        <w:rPr>
          <w:rFonts w:hint="cs"/>
          <w:rtl/>
        </w:rPr>
        <w:t xml:space="preserve">מבקר המדינה, </w:t>
      </w:r>
      <w:r w:rsidRPr="00D63275">
        <w:rPr>
          <w:rFonts w:hint="eastAsia"/>
          <w:b/>
          <w:bCs/>
          <w:rtl/>
        </w:rPr>
        <w:t>דוח</w:t>
      </w:r>
      <w:r w:rsidRPr="00D63275">
        <w:rPr>
          <w:b/>
          <w:bCs/>
          <w:rtl/>
        </w:rPr>
        <w:t xml:space="preserve"> ביקורת מיוחד - </w:t>
      </w:r>
      <w:r w:rsidRPr="00D63275">
        <w:rPr>
          <w:rFonts w:hint="eastAsia"/>
          <w:b/>
          <w:bCs/>
          <w:rtl/>
        </w:rPr>
        <w:t>פעולות</w:t>
      </w:r>
      <w:r w:rsidRPr="00D63275">
        <w:rPr>
          <w:b/>
          <w:bCs/>
          <w:rtl/>
        </w:rPr>
        <w:t xml:space="preserve"> </w:t>
      </w:r>
      <w:r w:rsidRPr="00D63275">
        <w:rPr>
          <w:rFonts w:hint="eastAsia"/>
          <w:b/>
          <w:bCs/>
          <w:rtl/>
        </w:rPr>
        <w:t>ממשלת</w:t>
      </w:r>
      <w:r w:rsidRPr="00D63275">
        <w:rPr>
          <w:b/>
          <w:bCs/>
          <w:rtl/>
        </w:rPr>
        <w:t xml:space="preserve"> </w:t>
      </w:r>
      <w:r w:rsidRPr="00D63275">
        <w:rPr>
          <w:rFonts w:hint="eastAsia"/>
          <w:b/>
          <w:bCs/>
          <w:rtl/>
        </w:rPr>
        <w:t>ישראל</w:t>
      </w:r>
      <w:r w:rsidRPr="00D63275">
        <w:rPr>
          <w:b/>
          <w:bCs/>
          <w:rtl/>
        </w:rPr>
        <w:t xml:space="preserve"> </w:t>
      </w:r>
      <w:r w:rsidRPr="00D63275">
        <w:rPr>
          <w:rFonts w:hint="eastAsia"/>
          <w:b/>
          <w:bCs/>
          <w:rtl/>
        </w:rPr>
        <w:t>והיערכותה</w:t>
      </w:r>
      <w:r w:rsidRPr="00D63275">
        <w:rPr>
          <w:b/>
          <w:bCs/>
          <w:rtl/>
        </w:rPr>
        <w:t xml:space="preserve"> </w:t>
      </w:r>
      <w:r w:rsidRPr="00D63275">
        <w:rPr>
          <w:rFonts w:hint="eastAsia"/>
          <w:b/>
          <w:bCs/>
          <w:rtl/>
        </w:rPr>
        <w:t>למשבר</w:t>
      </w:r>
      <w:r w:rsidRPr="00D63275">
        <w:rPr>
          <w:b/>
          <w:bCs/>
          <w:rtl/>
        </w:rPr>
        <w:t xml:space="preserve"> </w:t>
      </w:r>
      <w:r w:rsidRPr="00D63275">
        <w:rPr>
          <w:rFonts w:hint="eastAsia"/>
          <w:b/>
          <w:bCs/>
          <w:rtl/>
        </w:rPr>
        <w:t>האקלים</w:t>
      </w:r>
      <w:r w:rsidRPr="00226133">
        <w:rPr>
          <w:rFonts w:hint="cs"/>
          <w:rtl/>
        </w:rPr>
        <w:t xml:space="preserve"> (2024</w:t>
      </w:r>
      <w:r>
        <w:rPr>
          <w:rFonts w:hint="cs"/>
          <w:rtl/>
        </w:rPr>
        <w:t>),</w:t>
      </w:r>
      <w:r w:rsidRPr="007A5565">
        <w:rPr>
          <w:rFonts w:hint="cs"/>
          <w:rtl/>
        </w:rPr>
        <w:t xml:space="preserve"> עמ' </w:t>
      </w:r>
      <w:r w:rsidR="005167AC">
        <w:rPr>
          <w:rtl/>
        </w:rPr>
        <w:br/>
      </w:r>
      <w:r>
        <w:rPr>
          <w:rFonts w:hint="cs"/>
          <w:rtl/>
        </w:rPr>
        <w:t>319</w:t>
      </w:r>
      <w:r w:rsidR="005167AC">
        <w:rPr>
          <w:rFonts w:hint="cs"/>
          <w:rtl/>
        </w:rPr>
        <w:t xml:space="preserve"> </w:t>
      </w:r>
      <w:r>
        <w:rPr>
          <w:rFonts w:hint="cs"/>
          <w:rtl/>
        </w:rPr>
        <w:t>-</w:t>
      </w:r>
      <w:r w:rsidR="005167AC">
        <w:rPr>
          <w:rFonts w:hint="cs"/>
          <w:rtl/>
        </w:rPr>
        <w:t xml:space="preserve"> </w:t>
      </w:r>
      <w:r w:rsidRPr="007A5565">
        <w:rPr>
          <w:rFonts w:hint="cs"/>
          <w:rtl/>
        </w:rPr>
        <w:t>370.</w:t>
      </w:r>
    </w:p>
  </w:footnote>
  <w:footnote w:id="106">
    <w:p w:rsidR="00CC16EC" w:rsidP="00861D72">
      <w:pPr>
        <w:pStyle w:val="FootnoteText"/>
      </w:pPr>
      <w:r w:rsidRPr="007A5565">
        <w:rPr>
          <w:rStyle w:val="FootnoteReference1"/>
        </w:rPr>
        <w:footnoteRef/>
      </w:r>
      <w:r w:rsidRPr="007A5565">
        <w:rPr>
          <w:rtl/>
        </w:rPr>
        <w:t xml:space="preserve"> </w:t>
      </w:r>
      <w:r w:rsidRPr="007A5565">
        <w:rPr>
          <w:rtl/>
        </w:rPr>
        <w:tab/>
      </w:r>
      <w:r w:rsidRPr="007A5565">
        <w:rPr>
          <w:rtl/>
        </w:rPr>
        <w:t>בְּסִיס תַּקְצִיב (תקציב</w:t>
      </w:r>
      <w:r>
        <w:rPr>
          <w:rFonts w:hint="cs"/>
          <w:rtl/>
        </w:rPr>
        <w:t>-</w:t>
      </w:r>
      <w:r w:rsidRPr="007A5565">
        <w:rPr>
          <w:rtl/>
        </w:rPr>
        <w:t>בָּסִיס) הוא נקודת המוצא הקבועה של תקציב המדינה לכל שנה</w:t>
      </w:r>
      <w:r>
        <w:rPr>
          <w:rFonts w:hint="cs"/>
          <w:rtl/>
        </w:rPr>
        <w:t xml:space="preserve"> או </w:t>
      </w:r>
      <w:r w:rsidRPr="007A5565">
        <w:rPr>
          <w:rtl/>
        </w:rPr>
        <w:t xml:space="preserve">מחזור תקציבי: סכום מובנה וחוזר </w:t>
      </w:r>
      <w:r>
        <w:rPr>
          <w:rFonts w:hint="cs"/>
          <w:rtl/>
        </w:rPr>
        <w:t>ה</w:t>
      </w:r>
      <w:r w:rsidRPr="007A5565">
        <w:rPr>
          <w:rtl/>
        </w:rPr>
        <w:t>מוגדר בסעיף התקציבי של המשרד ומשקף הוצאות שוטפות ומתמשכות (כוח אדם, תפעול, חוזים רב</w:t>
      </w:r>
      <w:r>
        <w:rPr>
          <w:rtl/>
        </w:rPr>
        <w:t>-</w:t>
      </w:r>
      <w:r w:rsidRPr="007A5565">
        <w:rPr>
          <w:rtl/>
        </w:rPr>
        <w:t>שנתיים וכד</w:t>
      </w:r>
      <w:r>
        <w:rPr>
          <w:rFonts w:hint="cs"/>
          <w:rtl/>
        </w:rPr>
        <w:t>׳</w:t>
      </w:r>
      <w:r w:rsidRPr="007A5565">
        <w:rPr>
          <w:rtl/>
        </w:rPr>
        <w:t xml:space="preserve">). כל תוספת חדשה נבנית </w:t>
      </w:r>
      <w:r>
        <w:rPr>
          <w:rFonts w:hint="cs"/>
          <w:rtl/>
        </w:rPr>
        <w:t>״</w:t>
      </w:r>
      <w:r w:rsidRPr="007A5565">
        <w:rPr>
          <w:rtl/>
        </w:rPr>
        <w:t>על בסיס הבסיס</w:t>
      </w:r>
      <w:r>
        <w:rPr>
          <w:rFonts w:hint="cs"/>
          <w:rtl/>
        </w:rPr>
        <w:t>״,</w:t>
      </w:r>
      <w:r w:rsidRPr="007A5565">
        <w:rPr>
          <w:rtl/>
        </w:rPr>
        <w:t xml:space="preserve"> </w:t>
      </w:r>
      <w:r>
        <w:rPr>
          <w:rFonts w:hint="cs"/>
          <w:rtl/>
        </w:rPr>
        <w:t xml:space="preserve">ואילו </w:t>
      </w:r>
      <w:r w:rsidRPr="007A5565">
        <w:rPr>
          <w:rtl/>
        </w:rPr>
        <w:t>העברות חד</w:t>
      </w:r>
      <w:r>
        <w:rPr>
          <w:rFonts w:hint="cs"/>
          <w:rtl/>
        </w:rPr>
        <w:t>-</w:t>
      </w:r>
      <w:r w:rsidRPr="007A5565">
        <w:rPr>
          <w:rtl/>
        </w:rPr>
        <w:t xml:space="preserve">פעמיות או ייעודיות אינן מגדילות אותו </w:t>
      </w:r>
      <w:r>
        <w:rPr>
          <w:rFonts w:hint="cs"/>
          <w:rtl/>
        </w:rPr>
        <w:t xml:space="preserve">באופן </w:t>
      </w:r>
      <w:r w:rsidRPr="007A5565">
        <w:rPr>
          <w:rtl/>
        </w:rPr>
        <w:t>קבוע</w:t>
      </w:r>
      <w:r w:rsidRPr="007A5565">
        <w:t>.</w:t>
      </w:r>
      <w:r w:rsidRPr="007A5565">
        <w:rPr>
          <w:rFonts w:hint="cs"/>
          <w:rtl/>
        </w:rPr>
        <w:t xml:space="preserve"> </w:t>
      </w:r>
      <w:r w:rsidRPr="007A5565">
        <w:rPr>
          <w:rtl/>
        </w:rPr>
        <w:t xml:space="preserve">למשרד לשוויון חברתי אין בסיס תקציבי עצמאי, והוא פועל במידה רבה מכספים </w:t>
      </w:r>
      <w:r>
        <w:rPr>
          <w:rFonts w:hint="cs"/>
          <w:rtl/>
        </w:rPr>
        <w:t>ה</w:t>
      </w:r>
      <w:r w:rsidRPr="007A5565">
        <w:rPr>
          <w:rtl/>
        </w:rPr>
        <w:t>מועברים מסעיף משרד ראש הממשלה. מצב כזה מקשה על תכנון רב</w:t>
      </w:r>
      <w:r>
        <w:rPr>
          <w:rFonts w:hint="cs"/>
          <w:rtl/>
        </w:rPr>
        <w:t>-</w:t>
      </w:r>
      <w:r w:rsidRPr="007A5565">
        <w:rPr>
          <w:rtl/>
        </w:rPr>
        <w:t xml:space="preserve">שנתי, </w:t>
      </w:r>
      <w:r>
        <w:rPr>
          <w:rFonts w:hint="cs"/>
          <w:rtl/>
        </w:rPr>
        <w:t xml:space="preserve">על </w:t>
      </w:r>
      <w:r w:rsidRPr="007A5565">
        <w:rPr>
          <w:rtl/>
        </w:rPr>
        <w:t>יציבות פרויקטים ו</w:t>
      </w:r>
      <w:r>
        <w:rPr>
          <w:rFonts w:hint="cs"/>
          <w:rtl/>
        </w:rPr>
        <w:t xml:space="preserve">על </w:t>
      </w:r>
      <w:r w:rsidRPr="007A5565">
        <w:rPr>
          <w:rtl/>
        </w:rPr>
        <w:t>קליטת התחייבויות ארוכות טווח (למשל תקני כוח</w:t>
      </w:r>
      <w:r>
        <w:rPr>
          <w:rFonts w:hint="cs"/>
          <w:rtl/>
        </w:rPr>
        <w:t xml:space="preserve"> </w:t>
      </w:r>
      <w:r w:rsidRPr="007A5565">
        <w:rPr>
          <w:rtl/>
        </w:rPr>
        <w:t>אדם או התקשרויות רב</w:t>
      </w:r>
      <w:r>
        <w:rPr>
          <w:rtl/>
        </w:rPr>
        <w:t>-</w:t>
      </w:r>
      <w:r w:rsidRPr="007A5565">
        <w:rPr>
          <w:rtl/>
        </w:rPr>
        <w:t>שנתיות) ומגדיל אי</w:t>
      </w:r>
      <w:r>
        <w:rPr>
          <w:rFonts w:hint="cs"/>
          <w:rtl/>
        </w:rPr>
        <w:t>-</w:t>
      </w:r>
      <w:r w:rsidRPr="007A5565">
        <w:rPr>
          <w:rtl/>
        </w:rPr>
        <w:t>ודאות תפעולית</w:t>
      </w:r>
      <w:r>
        <w:rPr>
          <w:rFonts w:hint="cs"/>
          <w:rtl/>
        </w:rPr>
        <w:t>,</w:t>
      </w:r>
      <w:r w:rsidRPr="007A5565">
        <w:rPr>
          <w:rtl/>
        </w:rPr>
        <w:t xml:space="preserve"> משום שהמימון תלוי בהחלטות ו</w:t>
      </w:r>
      <w:r>
        <w:rPr>
          <w:rFonts w:hint="cs"/>
          <w:rtl/>
        </w:rPr>
        <w:t>ב</w:t>
      </w:r>
      <w:r w:rsidRPr="007A5565">
        <w:rPr>
          <w:rtl/>
        </w:rPr>
        <w:t>העברות תקופתיות ולא בעוגן תקציבי קבוע</w:t>
      </w:r>
      <w:r w:rsidRPr="007A5565">
        <w:t>.</w:t>
      </w:r>
      <w:r w:rsidRPr="007A5565">
        <w:rPr>
          <w:rFonts w:hint="eastAsia"/>
          <w:rtl/>
        </w:rPr>
        <w:t xml:space="preserve"> </w:t>
      </w:r>
    </w:p>
  </w:footnote>
  <w:footnote w:id="107">
    <w:p w:rsidR="00CC16EC" w:rsidRPr="00A96996" w:rsidP="00861D72">
      <w:pPr>
        <w:pStyle w:val="FootnoteText"/>
      </w:pPr>
      <w:r>
        <w:rPr>
          <w:rStyle w:val="FootnoteReference1"/>
        </w:rPr>
        <w:footnoteRef/>
      </w:r>
      <w:r>
        <w:rPr>
          <w:rtl/>
        </w:rPr>
        <w:t xml:space="preserve"> </w:t>
      </w:r>
      <w:r>
        <w:rPr>
          <w:rtl/>
        </w:rPr>
        <w:tab/>
      </w:r>
      <w:r>
        <w:rPr>
          <w:rFonts w:hint="cs"/>
          <w:rtl/>
        </w:rPr>
        <w:t>החלטת הממשלה 1204, "</w:t>
      </w:r>
      <w:r w:rsidRPr="00134147">
        <w:rPr>
          <w:rtl/>
        </w:rPr>
        <w:t>הקמת רשות לפיתוח כלכלי במגזר המיעוטים</w:t>
      </w:r>
      <w:r>
        <w:rPr>
          <w:rFonts w:hint="cs"/>
          <w:rtl/>
        </w:rPr>
        <w:t>" (28.1.07, 15.2.07).</w:t>
      </w:r>
    </w:p>
  </w:footnote>
  <w:footnote w:id="108">
    <w:p w:rsidR="00CC16EC" w:rsidP="00861D72">
      <w:pPr>
        <w:pStyle w:val="FootnoteText"/>
      </w:pPr>
      <w:r>
        <w:rPr>
          <w:rStyle w:val="FootnoteReference1"/>
        </w:rPr>
        <w:footnoteRef/>
      </w:r>
      <w:r>
        <w:rPr>
          <w:rtl/>
        </w:rPr>
        <w:t xml:space="preserve"> </w:t>
      </w:r>
      <w:r>
        <w:rPr>
          <w:rtl/>
        </w:rPr>
        <w:tab/>
      </w:r>
      <w:r>
        <w:rPr>
          <w:rFonts w:hint="cs"/>
          <w:rtl/>
        </w:rPr>
        <w:t xml:space="preserve">הכוונה למשיבים שאינם מהמשרד לשוויון חברתי (כלומר, משיבים מהגופים הבאים: משרד הבריאות, משרד הרווחה, משרד </w:t>
      </w:r>
      <w:r>
        <w:rPr>
          <w:rFonts w:hint="cs"/>
          <w:rtl/>
        </w:rPr>
        <w:t>רה"ם</w:t>
      </w:r>
      <w:r>
        <w:rPr>
          <w:rFonts w:hint="cs"/>
          <w:rtl/>
        </w:rPr>
        <w:t xml:space="preserve">, קופות החולים, </w:t>
      </w:r>
      <w:r>
        <w:rPr>
          <w:rFonts w:hint="cs"/>
          <w:rtl/>
        </w:rPr>
        <w:t>בט"ל</w:t>
      </w:r>
      <w:r>
        <w:rPr>
          <w:rFonts w:hint="cs"/>
          <w:rtl/>
        </w:rPr>
        <w:t xml:space="preserve"> והמרכז לשלטון מקומי) בשאלה: </w:t>
      </w:r>
      <w:r w:rsidRPr="00534C53">
        <w:rPr>
          <w:rtl/>
        </w:rPr>
        <w:t xml:space="preserve">מי מהגופים הבאים מוביל </w:t>
      </w:r>
      <w:r w:rsidRPr="00534C53">
        <w:rPr>
          <w:rtl/>
        </w:rPr>
        <w:t>ומתכלל</w:t>
      </w:r>
      <w:r w:rsidRPr="00534C53">
        <w:rPr>
          <w:rtl/>
        </w:rPr>
        <w:t xml:space="preserve"> את נושא ההיערכות להזדקנות האוכלוסייה</w:t>
      </w:r>
      <w:r>
        <w:rPr>
          <w:rFonts w:hint="cs"/>
          <w:rtl/>
        </w:rPr>
        <w:t>?</w:t>
      </w:r>
    </w:p>
  </w:footnote>
  <w:footnote w:id="109">
    <w:p w:rsidR="00CC16EC" w:rsidP="00861D72">
      <w:pPr>
        <w:pStyle w:val="FootnoteText"/>
        <w:rPr>
          <w:rtl/>
        </w:rPr>
      </w:pPr>
      <w:r>
        <w:rPr>
          <w:rStyle w:val="FootnoteReference1"/>
        </w:rPr>
        <w:footnoteRef/>
      </w:r>
      <w:r>
        <w:rPr>
          <w:rtl/>
        </w:rPr>
        <w:t xml:space="preserve"> </w:t>
      </w:r>
      <w:r>
        <w:rPr>
          <w:rtl/>
        </w:rPr>
        <w:tab/>
      </w:r>
      <w:r>
        <w:rPr>
          <w:rFonts w:hint="cs"/>
          <w:rtl/>
        </w:rPr>
        <w:t xml:space="preserve">אתר משרד ראש הממשלה: </w:t>
      </w:r>
      <w:hyperlink r:id="rId14" w:history="1">
        <w:r w:rsidRPr="003837EF">
          <w:rPr>
            <w:rStyle w:val="Hyperlink"/>
          </w:rPr>
          <w:t>https://www.gov.il/he/pages/about_pm_office</w:t>
        </w:r>
      </w:hyperlink>
    </w:p>
  </w:footnote>
  <w:footnote w:id="110">
    <w:p w:rsidR="00CC16EC" w:rsidP="00861D72">
      <w:pPr>
        <w:pStyle w:val="FootnoteText"/>
      </w:pPr>
      <w:r>
        <w:rPr>
          <w:rStyle w:val="FootnoteReference1"/>
        </w:rPr>
        <w:footnoteRef/>
      </w:r>
      <w:r>
        <w:rPr>
          <w:rtl/>
        </w:rPr>
        <w:t xml:space="preserve"> </w:t>
      </w:r>
      <w:r>
        <w:rPr>
          <w:rtl/>
        </w:rPr>
        <w:tab/>
      </w:r>
      <w:r>
        <w:rPr>
          <w:rFonts w:hint="cs"/>
          <w:rtl/>
        </w:rPr>
        <w:t xml:space="preserve">משרד ראש הממשלה, </w:t>
      </w:r>
      <w:r w:rsidRPr="00D63275">
        <w:rPr>
          <w:rFonts w:hint="eastAsia"/>
          <w:b/>
          <w:bCs/>
          <w:rtl/>
        </w:rPr>
        <w:t>עיקרי</w:t>
      </w:r>
      <w:r w:rsidRPr="00D63275">
        <w:rPr>
          <w:b/>
          <w:bCs/>
          <w:rtl/>
        </w:rPr>
        <w:t xml:space="preserve"> </w:t>
      </w:r>
      <w:r w:rsidRPr="00D63275">
        <w:rPr>
          <w:rFonts w:hint="eastAsia"/>
          <w:b/>
          <w:bCs/>
          <w:rtl/>
        </w:rPr>
        <w:t>תוכניות</w:t>
      </w:r>
      <w:r w:rsidRPr="00D63275">
        <w:rPr>
          <w:b/>
          <w:bCs/>
          <w:rtl/>
        </w:rPr>
        <w:t xml:space="preserve"> </w:t>
      </w:r>
      <w:r w:rsidRPr="00D63275">
        <w:rPr>
          <w:rFonts w:hint="eastAsia"/>
          <w:b/>
          <w:bCs/>
          <w:rtl/>
        </w:rPr>
        <w:t>העבודה</w:t>
      </w:r>
      <w:r w:rsidRPr="00D63275">
        <w:rPr>
          <w:b/>
          <w:bCs/>
          <w:rtl/>
        </w:rPr>
        <w:t xml:space="preserve"> </w:t>
      </w:r>
      <w:r w:rsidRPr="00D63275">
        <w:rPr>
          <w:rFonts w:hint="eastAsia"/>
          <w:b/>
          <w:bCs/>
          <w:rtl/>
        </w:rPr>
        <w:t>לשנת</w:t>
      </w:r>
      <w:r w:rsidRPr="00D63275">
        <w:rPr>
          <w:b/>
          <w:bCs/>
          <w:rtl/>
        </w:rPr>
        <w:t xml:space="preserve"> 2025</w:t>
      </w:r>
      <w:r>
        <w:rPr>
          <w:rFonts w:hint="cs"/>
          <w:rtl/>
        </w:rPr>
        <w:t xml:space="preserve"> (תשפ"ה), עמ' 115.</w:t>
      </w:r>
    </w:p>
  </w:footnote>
  <w:footnote w:id="111">
    <w:p w:rsidR="00CC16EC" w:rsidP="00861D72">
      <w:pPr>
        <w:pStyle w:val="FootnoteText"/>
      </w:pPr>
      <w:r>
        <w:rPr>
          <w:rStyle w:val="FootnoteReference1"/>
        </w:rPr>
        <w:footnoteRef/>
      </w:r>
      <w:r>
        <w:rPr>
          <w:rtl/>
        </w:rPr>
        <w:t xml:space="preserve"> </w:t>
      </w:r>
      <w:r>
        <w:rPr>
          <w:rtl/>
        </w:rPr>
        <w:tab/>
      </w:r>
      <w:r>
        <w:rPr>
          <w:rFonts w:hint="cs"/>
          <w:rtl/>
          <w:lang w:eastAsia="he-IL"/>
        </w:rPr>
        <w:t xml:space="preserve">פורום משותף של </w:t>
      </w:r>
      <w:r>
        <w:rPr>
          <w:rFonts w:hint="cs"/>
          <w:rtl/>
          <w:lang w:eastAsia="he-IL"/>
        </w:rPr>
        <w:t>בט"ל</w:t>
      </w:r>
      <w:r>
        <w:rPr>
          <w:rFonts w:hint="cs"/>
          <w:rtl/>
          <w:lang w:eastAsia="he-IL"/>
        </w:rPr>
        <w:t>, משרד הרווחה וקופות החולים בנושא הזדקנות.</w:t>
      </w:r>
    </w:p>
  </w:footnote>
  <w:footnote w:id="112">
    <w:p w:rsidR="00CC16EC" w:rsidP="00861D72">
      <w:pPr>
        <w:pStyle w:val="FootnoteText"/>
        <w:rPr>
          <w:rtl/>
        </w:rPr>
      </w:pPr>
      <w:r>
        <w:rPr>
          <w:rStyle w:val="FootnoteReference1"/>
        </w:rPr>
        <w:footnoteRef/>
      </w:r>
      <w:r>
        <w:rPr>
          <w:rtl/>
        </w:rPr>
        <w:t xml:space="preserve"> </w:t>
      </w:r>
      <w:r>
        <w:rPr>
          <w:rtl/>
        </w:rPr>
        <w:tab/>
      </w:r>
      <w:r>
        <w:rPr>
          <w:rFonts w:hint="cs"/>
          <w:rtl/>
        </w:rPr>
        <w:t xml:space="preserve">משרד ראש הממשלה, </w:t>
      </w:r>
      <w:r w:rsidRPr="00D63275">
        <w:rPr>
          <w:rFonts w:hint="eastAsia"/>
          <w:b/>
          <w:bCs/>
          <w:rtl/>
        </w:rPr>
        <w:t>עיקרי</w:t>
      </w:r>
      <w:r w:rsidRPr="00D63275">
        <w:rPr>
          <w:b/>
          <w:bCs/>
          <w:rtl/>
        </w:rPr>
        <w:t xml:space="preserve"> </w:t>
      </w:r>
      <w:r w:rsidRPr="00D63275">
        <w:rPr>
          <w:rFonts w:hint="eastAsia"/>
          <w:b/>
          <w:bCs/>
          <w:rtl/>
        </w:rPr>
        <w:t>תוכניות</w:t>
      </w:r>
      <w:r w:rsidRPr="00D63275">
        <w:rPr>
          <w:b/>
          <w:bCs/>
          <w:rtl/>
        </w:rPr>
        <w:t xml:space="preserve"> </w:t>
      </w:r>
      <w:r w:rsidRPr="00D63275">
        <w:rPr>
          <w:rFonts w:hint="eastAsia"/>
          <w:b/>
          <w:bCs/>
          <w:rtl/>
        </w:rPr>
        <w:t>העבודה</w:t>
      </w:r>
      <w:r w:rsidRPr="00D63275">
        <w:rPr>
          <w:b/>
          <w:bCs/>
          <w:rtl/>
        </w:rPr>
        <w:t xml:space="preserve"> </w:t>
      </w:r>
      <w:r w:rsidRPr="00D63275">
        <w:rPr>
          <w:rFonts w:hint="eastAsia"/>
          <w:b/>
          <w:bCs/>
          <w:rtl/>
        </w:rPr>
        <w:t>לשנת</w:t>
      </w:r>
      <w:r w:rsidRPr="00D63275">
        <w:rPr>
          <w:b/>
          <w:bCs/>
          <w:rtl/>
        </w:rPr>
        <w:t xml:space="preserve"> 2025 </w:t>
      </w:r>
      <w:r w:rsidRPr="00D63275">
        <w:rPr>
          <w:rFonts w:hint="eastAsia"/>
          <w:b/>
          <w:bCs/>
          <w:rtl/>
        </w:rPr>
        <w:t>משרדי</w:t>
      </w:r>
      <w:r w:rsidRPr="00D63275">
        <w:rPr>
          <w:b/>
          <w:bCs/>
          <w:rtl/>
        </w:rPr>
        <w:t xml:space="preserve"> </w:t>
      </w:r>
      <w:r w:rsidRPr="00D63275">
        <w:rPr>
          <w:rFonts w:hint="eastAsia"/>
          <w:b/>
          <w:bCs/>
          <w:rtl/>
        </w:rPr>
        <w:t>הממשלה</w:t>
      </w:r>
      <w:r w:rsidRPr="00D63275">
        <w:rPr>
          <w:b/>
          <w:bCs/>
          <w:rtl/>
        </w:rPr>
        <w:t xml:space="preserve"> </w:t>
      </w:r>
      <w:r w:rsidRPr="00D63275">
        <w:rPr>
          <w:rFonts w:hint="eastAsia"/>
          <w:b/>
          <w:bCs/>
          <w:rtl/>
        </w:rPr>
        <w:t>ויחידות</w:t>
      </w:r>
      <w:r w:rsidRPr="00D63275">
        <w:rPr>
          <w:b/>
          <w:bCs/>
          <w:rtl/>
        </w:rPr>
        <w:t xml:space="preserve"> </w:t>
      </w:r>
      <w:r w:rsidRPr="00D63275">
        <w:rPr>
          <w:rFonts w:hint="eastAsia"/>
          <w:b/>
          <w:bCs/>
          <w:rtl/>
        </w:rPr>
        <w:t>הסמך</w:t>
      </w:r>
      <w:r>
        <w:rPr>
          <w:rFonts w:hint="cs"/>
          <w:rtl/>
        </w:rPr>
        <w:t xml:space="preserve"> (2025), עמ' 116.</w:t>
      </w:r>
    </w:p>
  </w:footnote>
  <w:footnote w:id="113">
    <w:p w:rsidR="00CC16EC" w:rsidP="00861D72">
      <w:pPr>
        <w:pStyle w:val="FootnoteText"/>
        <w:rPr>
          <w:rtl/>
        </w:rPr>
      </w:pPr>
      <w:r>
        <w:rPr>
          <w:rStyle w:val="FootnoteReference1"/>
        </w:rPr>
        <w:footnoteRef/>
      </w:r>
      <w:r>
        <w:rPr>
          <w:rtl/>
        </w:rPr>
        <w:t xml:space="preserve"> </w:t>
      </w:r>
      <w:r>
        <w:rPr>
          <w:rtl/>
        </w:rPr>
        <w:tab/>
      </w:r>
      <w:r>
        <w:rPr>
          <w:rFonts w:hint="cs"/>
          <w:rtl/>
        </w:rPr>
        <w:t>נציבות שירות המדינה וג'וינט ישראל</w:t>
      </w:r>
      <w:r w:rsidRPr="00D63275">
        <w:rPr>
          <w:b/>
          <w:bCs/>
          <w:rtl/>
        </w:rPr>
        <w:t xml:space="preserve">, </w:t>
      </w:r>
      <w:r w:rsidRPr="00D63275">
        <w:rPr>
          <w:rFonts w:hint="eastAsia"/>
          <w:b/>
          <w:bCs/>
          <w:rtl/>
        </w:rPr>
        <w:t>מודל</w:t>
      </w:r>
      <w:r w:rsidRPr="00D63275">
        <w:rPr>
          <w:b/>
          <w:bCs/>
          <w:rtl/>
        </w:rPr>
        <w:t xml:space="preserve"> </w:t>
      </w:r>
      <w:r w:rsidRPr="00D63275">
        <w:rPr>
          <w:rFonts w:hint="eastAsia"/>
          <w:b/>
          <w:bCs/>
          <w:rtl/>
        </w:rPr>
        <w:t>לשיתופי</w:t>
      </w:r>
      <w:r w:rsidRPr="00D63275">
        <w:rPr>
          <w:b/>
          <w:bCs/>
          <w:rtl/>
        </w:rPr>
        <w:t xml:space="preserve"> </w:t>
      </w:r>
      <w:r w:rsidRPr="00D63275">
        <w:rPr>
          <w:rFonts w:hint="eastAsia"/>
          <w:b/>
          <w:bCs/>
          <w:rtl/>
        </w:rPr>
        <w:t>פעולה</w:t>
      </w:r>
      <w:r w:rsidRPr="00D63275">
        <w:rPr>
          <w:b/>
          <w:bCs/>
          <w:rtl/>
        </w:rPr>
        <w:t xml:space="preserve"> </w:t>
      </w:r>
      <w:r w:rsidRPr="00D63275">
        <w:rPr>
          <w:rFonts w:hint="eastAsia"/>
          <w:b/>
          <w:bCs/>
          <w:rtl/>
        </w:rPr>
        <w:t>בין</w:t>
      </w:r>
      <w:r w:rsidRPr="00D63275">
        <w:rPr>
          <w:b/>
          <w:bCs/>
          <w:rtl/>
        </w:rPr>
        <w:t xml:space="preserve"> </w:t>
      </w:r>
      <w:r w:rsidRPr="00D63275">
        <w:rPr>
          <w:rFonts w:hint="eastAsia"/>
          <w:b/>
          <w:bCs/>
          <w:rtl/>
        </w:rPr>
        <w:t>משרדי</w:t>
      </w:r>
      <w:r w:rsidRPr="00D63275">
        <w:rPr>
          <w:b/>
          <w:bCs/>
          <w:rtl/>
        </w:rPr>
        <w:t xml:space="preserve"> </w:t>
      </w:r>
      <w:r w:rsidRPr="00D63275">
        <w:rPr>
          <w:rFonts w:hint="eastAsia"/>
          <w:b/>
          <w:bCs/>
          <w:rtl/>
        </w:rPr>
        <w:t>ממשלה</w:t>
      </w:r>
      <w:r>
        <w:rPr>
          <w:rFonts w:hint="cs"/>
          <w:b/>
          <w:bCs/>
          <w:rtl/>
        </w:rPr>
        <w:t>,</w:t>
      </w:r>
      <w:r>
        <w:rPr>
          <w:rFonts w:hint="cs"/>
          <w:rtl/>
        </w:rPr>
        <w:t xml:space="preserve"> (ספטמבר 2013).</w:t>
      </w:r>
    </w:p>
  </w:footnote>
  <w:footnote w:id="114">
    <w:p w:rsidR="00CC16EC" w:rsidP="00861D72">
      <w:pPr>
        <w:pStyle w:val="FootnoteText"/>
        <w:rPr>
          <w:rtl/>
        </w:rPr>
      </w:pPr>
      <w:r>
        <w:rPr>
          <w:rStyle w:val="FootnoteReference1"/>
        </w:rPr>
        <w:footnoteRef/>
      </w:r>
      <w:r>
        <w:rPr>
          <w:rtl/>
        </w:rPr>
        <w:t xml:space="preserve"> </w:t>
      </w:r>
      <w:r>
        <w:rPr>
          <w:rtl/>
        </w:rPr>
        <w:tab/>
      </w:r>
      <w:r>
        <w:rPr>
          <w:rFonts w:hint="cs"/>
          <w:rtl/>
        </w:rPr>
        <w:t xml:space="preserve">נציבות שירות המדינה וג'וינט ישראל, </w:t>
      </w:r>
      <w:r w:rsidRPr="00D63275">
        <w:rPr>
          <w:rFonts w:hint="eastAsia"/>
          <w:b/>
          <w:bCs/>
          <w:rtl/>
        </w:rPr>
        <w:t>מודל</w:t>
      </w:r>
      <w:r w:rsidRPr="00D63275">
        <w:rPr>
          <w:b/>
          <w:bCs/>
          <w:rtl/>
        </w:rPr>
        <w:t xml:space="preserve"> </w:t>
      </w:r>
      <w:r w:rsidRPr="00D63275">
        <w:rPr>
          <w:rFonts w:hint="eastAsia"/>
          <w:b/>
          <w:bCs/>
          <w:rtl/>
        </w:rPr>
        <w:t>לשיתופי</w:t>
      </w:r>
      <w:r w:rsidRPr="00D63275">
        <w:rPr>
          <w:b/>
          <w:bCs/>
          <w:rtl/>
        </w:rPr>
        <w:t xml:space="preserve"> </w:t>
      </w:r>
      <w:r w:rsidRPr="00D63275">
        <w:rPr>
          <w:rFonts w:hint="eastAsia"/>
          <w:b/>
          <w:bCs/>
          <w:rtl/>
        </w:rPr>
        <w:t>פעולה</w:t>
      </w:r>
      <w:r w:rsidRPr="00D63275">
        <w:rPr>
          <w:b/>
          <w:bCs/>
          <w:rtl/>
        </w:rPr>
        <w:t xml:space="preserve"> </w:t>
      </w:r>
      <w:r w:rsidRPr="00D63275">
        <w:rPr>
          <w:rFonts w:hint="eastAsia"/>
          <w:b/>
          <w:bCs/>
          <w:rtl/>
        </w:rPr>
        <w:t>בין</w:t>
      </w:r>
      <w:r w:rsidRPr="00D63275">
        <w:rPr>
          <w:b/>
          <w:bCs/>
          <w:rtl/>
        </w:rPr>
        <w:t xml:space="preserve"> </w:t>
      </w:r>
      <w:r w:rsidRPr="00D63275">
        <w:rPr>
          <w:rFonts w:hint="eastAsia"/>
          <w:b/>
          <w:bCs/>
          <w:rtl/>
        </w:rPr>
        <w:t>משרדי</w:t>
      </w:r>
      <w:r w:rsidRPr="00D63275">
        <w:rPr>
          <w:b/>
          <w:bCs/>
          <w:rtl/>
        </w:rPr>
        <w:t xml:space="preserve"> </w:t>
      </w:r>
      <w:r w:rsidRPr="00D63275">
        <w:rPr>
          <w:rFonts w:hint="eastAsia"/>
          <w:b/>
          <w:bCs/>
          <w:rtl/>
        </w:rPr>
        <w:t>ממשלה</w:t>
      </w:r>
      <w:r>
        <w:rPr>
          <w:rFonts w:hint="cs"/>
          <w:rtl/>
        </w:rPr>
        <w:t xml:space="preserve"> (ספטמבר 2013).</w:t>
      </w:r>
    </w:p>
  </w:footnote>
  <w:footnote w:id="115">
    <w:p w:rsidR="00CC16EC" w:rsidP="00861D72">
      <w:pPr>
        <w:pStyle w:val="FootnoteText"/>
        <w:rPr>
          <w:rtl/>
        </w:rPr>
      </w:pPr>
      <w:r>
        <w:rPr>
          <w:rStyle w:val="FootnoteReference1"/>
        </w:rPr>
        <w:footnoteRef/>
      </w:r>
      <w:r>
        <w:rPr>
          <w:rtl/>
        </w:rPr>
        <w:t xml:space="preserve"> </w:t>
      </w:r>
      <w:r>
        <w:rPr>
          <w:rtl/>
        </w:rPr>
        <w:tab/>
      </w:r>
      <w:r>
        <w:rPr>
          <w:rFonts w:hint="cs"/>
          <w:rtl/>
        </w:rPr>
        <w:t xml:space="preserve">הוועדה המשותפת לוועדת העבודה, הרווחה והבריאות ולוועדת הכלכלה לדיון בהצעה לסדר היום בנושא: בניית </w:t>
      </w:r>
      <w:r>
        <w:rPr>
          <w:rFonts w:hint="cs"/>
          <w:rtl/>
        </w:rPr>
        <w:t>תוכנית</w:t>
      </w:r>
      <w:r>
        <w:rPr>
          <w:rFonts w:hint="cs"/>
          <w:rtl/>
        </w:rPr>
        <w:t xml:space="preserve">-אב לאומית בתחום הזקנה, בראשות חברת הכנסת טלי </w:t>
      </w:r>
      <w:r>
        <w:rPr>
          <w:rFonts w:hint="cs"/>
          <w:rtl/>
        </w:rPr>
        <w:t>פלוסקוב</w:t>
      </w:r>
      <w:r>
        <w:rPr>
          <w:rFonts w:hint="cs"/>
          <w:rtl/>
        </w:rPr>
        <w:t>, אוקטובר 2017 - דצמבר 2018.</w:t>
      </w:r>
    </w:p>
  </w:footnote>
  <w:footnote w:id="116">
    <w:p w:rsidR="00CC16EC" w:rsidP="00861D72">
      <w:pPr>
        <w:pStyle w:val="FootnoteText"/>
        <w:rPr>
          <w:rtl/>
        </w:rPr>
      </w:pPr>
      <w:r>
        <w:rPr>
          <w:rStyle w:val="FootnoteReference1"/>
        </w:rPr>
        <w:footnoteRef/>
      </w:r>
      <w:r>
        <w:rPr>
          <w:rtl/>
        </w:rPr>
        <w:t xml:space="preserve"> </w:t>
      </w:r>
      <w:r>
        <w:rPr>
          <w:rtl/>
        </w:rPr>
        <w:tab/>
      </w:r>
      <w:r>
        <w:rPr>
          <w:rFonts w:hint="cs"/>
          <w:rtl/>
        </w:rPr>
        <w:t xml:space="preserve">מבקר המדינה, </w:t>
      </w:r>
      <w:r w:rsidRPr="00D63275">
        <w:rPr>
          <w:rFonts w:hint="eastAsia"/>
          <w:b/>
          <w:bCs/>
          <w:rtl/>
        </w:rPr>
        <w:t>דוח</w:t>
      </w:r>
      <w:r w:rsidRPr="00D63275">
        <w:rPr>
          <w:b/>
          <w:bCs/>
          <w:rtl/>
        </w:rPr>
        <w:t xml:space="preserve"> </w:t>
      </w:r>
      <w:r w:rsidRPr="00D63275">
        <w:rPr>
          <w:rFonts w:hint="eastAsia"/>
          <w:b/>
          <w:bCs/>
          <w:rtl/>
        </w:rPr>
        <w:t>על</w:t>
      </w:r>
      <w:r w:rsidRPr="00D63275">
        <w:rPr>
          <w:b/>
          <w:bCs/>
          <w:rtl/>
        </w:rPr>
        <w:t xml:space="preserve"> </w:t>
      </w:r>
      <w:r w:rsidRPr="00D63275">
        <w:rPr>
          <w:rFonts w:hint="eastAsia"/>
          <w:b/>
          <w:bCs/>
          <w:rtl/>
        </w:rPr>
        <w:t>הביקורת</w:t>
      </w:r>
      <w:r w:rsidRPr="00D63275">
        <w:rPr>
          <w:b/>
          <w:bCs/>
          <w:rtl/>
        </w:rPr>
        <w:t xml:space="preserve"> </w:t>
      </w:r>
      <w:r w:rsidRPr="00D63275">
        <w:rPr>
          <w:rFonts w:hint="eastAsia"/>
          <w:b/>
          <w:bCs/>
          <w:rtl/>
        </w:rPr>
        <w:t>בשלטון</w:t>
      </w:r>
      <w:r w:rsidRPr="00D63275">
        <w:rPr>
          <w:b/>
          <w:bCs/>
          <w:rtl/>
        </w:rPr>
        <w:t xml:space="preserve"> </w:t>
      </w:r>
      <w:r w:rsidRPr="00D63275">
        <w:rPr>
          <w:rFonts w:hint="eastAsia"/>
          <w:b/>
          <w:bCs/>
          <w:rtl/>
        </w:rPr>
        <w:t>המקומי</w:t>
      </w:r>
      <w:r w:rsidRPr="00D63275">
        <w:rPr>
          <w:b/>
          <w:bCs/>
          <w:rtl/>
        </w:rPr>
        <w:t xml:space="preserve"> - </w:t>
      </w:r>
      <w:r w:rsidRPr="00D63275">
        <w:rPr>
          <w:rFonts w:hint="eastAsia"/>
          <w:b/>
          <w:bCs/>
          <w:rtl/>
        </w:rPr>
        <w:t>טיפול</w:t>
      </w:r>
      <w:r w:rsidRPr="00D63275">
        <w:rPr>
          <w:b/>
          <w:bCs/>
          <w:rtl/>
        </w:rPr>
        <w:t xml:space="preserve"> </w:t>
      </w:r>
      <w:r w:rsidRPr="00D63275">
        <w:rPr>
          <w:rFonts w:hint="eastAsia"/>
          <w:b/>
          <w:bCs/>
          <w:rtl/>
        </w:rPr>
        <w:t>הרשויות</w:t>
      </w:r>
      <w:r w:rsidRPr="00D63275">
        <w:rPr>
          <w:b/>
          <w:bCs/>
          <w:rtl/>
        </w:rPr>
        <w:t xml:space="preserve"> </w:t>
      </w:r>
      <w:r w:rsidRPr="00D63275">
        <w:rPr>
          <w:rFonts w:hint="eastAsia"/>
          <w:b/>
          <w:bCs/>
          <w:rtl/>
        </w:rPr>
        <w:t>המקומיות</w:t>
      </w:r>
      <w:r w:rsidRPr="00D63275">
        <w:rPr>
          <w:b/>
          <w:bCs/>
          <w:rtl/>
        </w:rPr>
        <w:t xml:space="preserve"> </w:t>
      </w:r>
      <w:r w:rsidRPr="00D63275">
        <w:rPr>
          <w:rFonts w:hint="eastAsia"/>
          <w:b/>
          <w:bCs/>
          <w:rtl/>
        </w:rPr>
        <w:t>באזרחים</w:t>
      </w:r>
      <w:r w:rsidRPr="00D63275">
        <w:rPr>
          <w:b/>
          <w:bCs/>
          <w:rtl/>
        </w:rPr>
        <w:t xml:space="preserve"> </w:t>
      </w:r>
      <w:r w:rsidRPr="00D63275">
        <w:rPr>
          <w:rFonts w:hint="eastAsia"/>
          <w:b/>
          <w:bCs/>
          <w:rtl/>
        </w:rPr>
        <w:t>הוותיקים</w:t>
      </w:r>
      <w:r w:rsidRPr="00D63275">
        <w:rPr>
          <w:b/>
          <w:bCs/>
          <w:rtl/>
        </w:rPr>
        <w:t xml:space="preserve"> </w:t>
      </w:r>
      <w:r w:rsidRPr="00D63275">
        <w:rPr>
          <w:rFonts w:hint="eastAsia"/>
          <w:b/>
          <w:bCs/>
          <w:rtl/>
        </w:rPr>
        <w:t>שבתחום</w:t>
      </w:r>
      <w:r w:rsidRPr="00D63275">
        <w:rPr>
          <w:b/>
          <w:bCs/>
          <w:rtl/>
        </w:rPr>
        <w:t xml:space="preserve"> </w:t>
      </w:r>
      <w:r w:rsidRPr="00D63275">
        <w:rPr>
          <w:rFonts w:hint="eastAsia"/>
          <w:b/>
          <w:bCs/>
          <w:rtl/>
        </w:rPr>
        <w:t>שיפוטן</w:t>
      </w:r>
      <w:r>
        <w:rPr>
          <w:rFonts w:hint="cs"/>
          <w:rtl/>
        </w:rPr>
        <w:t xml:space="preserve"> (2023) עמ' 645</w:t>
      </w:r>
      <w:r w:rsidRPr="00102744">
        <w:rPr>
          <w:rFonts w:hint="cs"/>
          <w:rtl/>
        </w:rPr>
        <w:t>.</w:t>
      </w:r>
    </w:p>
  </w:footnote>
  <w:footnote w:id="117">
    <w:p w:rsidR="00CC16EC" w:rsidRPr="008D20CD" w:rsidP="00861D72">
      <w:pPr>
        <w:pStyle w:val="FootnoteText"/>
      </w:pPr>
      <w:r>
        <w:rPr>
          <w:rStyle w:val="FootnoteReference1"/>
        </w:rPr>
        <w:footnoteRef/>
      </w:r>
      <w:r>
        <w:rPr>
          <w:rtl/>
        </w:rPr>
        <w:t xml:space="preserve"> </w:t>
      </w:r>
      <w:r>
        <w:rPr>
          <w:rtl/>
        </w:rPr>
        <w:tab/>
      </w:r>
      <w:r>
        <w:rPr>
          <w:rFonts w:hint="cs"/>
          <w:rtl/>
        </w:rPr>
        <w:t>החלטת הממשלה 145, "</w:t>
      </w:r>
      <w:r w:rsidRPr="008D20CD">
        <w:rPr>
          <w:rtl/>
        </w:rPr>
        <w:t>אימוץ הערכת המצב האסטרטגית כלכלית-חברתית לממשלה ה-34</w:t>
      </w:r>
      <w:r w:rsidRPr="00EB43F0">
        <w:rPr>
          <w:rtl/>
        </w:rPr>
        <w:t>" (</w:t>
      </w:r>
      <w:r>
        <w:rPr>
          <w:rFonts w:hint="cs"/>
          <w:rtl/>
        </w:rPr>
        <w:t>28.06.15</w:t>
      </w:r>
      <w:r w:rsidRPr="00EB43F0">
        <w:rPr>
          <w:rtl/>
        </w:rPr>
        <w:t>).</w:t>
      </w:r>
      <w:r>
        <w:rPr>
          <w:rFonts w:hint="cs"/>
          <w:rtl/>
        </w:rPr>
        <w:t xml:space="preserve"> </w:t>
      </w:r>
    </w:p>
  </w:footnote>
  <w:footnote w:id="118">
    <w:p w:rsidR="00CC16EC" w:rsidP="00861D72">
      <w:pPr>
        <w:pStyle w:val="FootnoteText"/>
        <w:rPr>
          <w:rtl/>
        </w:rPr>
      </w:pPr>
      <w:r>
        <w:rPr>
          <w:rStyle w:val="FootnoteReference1"/>
        </w:rPr>
        <w:footnoteRef/>
      </w:r>
      <w:r>
        <w:rPr>
          <w:rtl/>
        </w:rPr>
        <w:t xml:space="preserve"> </w:t>
      </w:r>
      <w:r>
        <w:rPr>
          <w:rtl/>
        </w:rPr>
        <w:tab/>
      </w:r>
      <w:r>
        <w:rPr>
          <w:rtl/>
        </w:rPr>
        <w:t xml:space="preserve">בנק ישראל, </w:t>
      </w:r>
      <w:r w:rsidRPr="00D63275">
        <w:rPr>
          <w:b/>
          <w:bCs/>
          <w:rtl/>
        </w:rPr>
        <w:t>דין וחשבון</w:t>
      </w:r>
      <w:r>
        <w:rPr>
          <w:rtl/>
        </w:rPr>
        <w:t xml:space="preserve"> 2011</w:t>
      </w:r>
      <w:r>
        <w:rPr>
          <w:rFonts w:hint="cs"/>
          <w:rtl/>
        </w:rPr>
        <w:t>,</w:t>
      </w:r>
      <w:r>
        <w:rPr>
          <w:rtl/>
        </w:rPr>
        <w:t xml:space="preserve"> עמ' </w:t>
      </w:r>
      <w:r>
        <w:rPr>
          <w:rFonts w:hint="cs"/>
          <w:rtl/>
        </w:rPr>
        <w:t>321.</w:t>
      </w:r>
    </w:p>
  </w:footnote>
  <w:footnote w:id="119">
    <w:p w:rsidR="00CC16EC" w:rsidP="00861D72">
      <w:pPr>
        <w:pStyle w:val="FootnoteText"/>
        <w:rPr>
          <w:rtl/>
        </w:rPr>
      </w:pPr>
      <w:r>
        <w:rPr>
          <w:rStyle w:val="FootnoteReference1"/>
        </w:rPr>
        <w:footnoteRef/>
      </w:r>
      <w:r>
        <w:rPr>
          <w:rtl/>
        </w:rPr>
        <w:t xml:space="preserve"> </w:t>
      </w:r>
      <w:r>
        <w:rPr>
          <w:rtl/>
        </w:rPr>
        <w:tab/>
      </w:r>
      <w:r>
        <w:rPr>
          <w:rFonts w:hint="cs"/>
          <w:rtl/>
        </w:rPr>
        <w:t>הג'וינט והמכון הישראלי לדמוקרטיה (ל</w:t>
      </w:r>
      <w:r w:rsidR="00011037">
        <w:rPr>
          <w:rFonts w:hint="cs"/>
          <w:rtl/>
        </w:rPr>
        <w:t xml:space="preserve">' </w:t>
      </w:r>
      <w:r>
        <w:rPr>
          <w:rFonts w:hint="cs"/>
          <w:rtl/>
        </w:rPr>
        <w:t>ממן, ר</w:t>
      </w:r>
      <w:r w:rsidR="00011037">
        <w:rPr>
          <w:rFonts w:hint="cs"/>
          <w:rtl/>
        </w:rPr>
        <w:t xml:space="preserve">' </w:t>
      </w:r>
      <w:r>
        <w:rPr>
          <w:rFonts w:hint="cs"/>
          <w:rtl/>
        </w:rPr>
        <w:t>גולשטיין-גלפרין</w:t>
      </w:r>
      <w:r>
        <w:rPr>
          <w:rFonts w:hint="cs"/>
          <w:rtl/>
        </w:rPr>
        <w:t>, ל</w:t>
      </w:r>
      <w:r w:rsidR="00011037">
        <w:rPr>
          <w:rFonts w:hint="cs"/>
          <w:rtl/>
        </w:rPr>
        <w:t xml:space="preserve">' </w:t>
      </w:r>
      <w:r>
        <w:rPr>
          <w:rFonts w:hint="cs"/>
          <w:rtl/>
        </w:rPr>
        <w:t>לישינסקי</w:t>
      </w:r>
      <w:r>
        <w:rPr>
          <w:rFonts w:hint="cs"/>
          <w:rtl/>
        </w:rPr>
        <w:t>-פישר, נ</w:t>
      </w:r>
      <w:r w:rsidR="00011037">
        <w:rPr>
          <w:rFonts w:hint="cs"/>
          <w:rtl/>
        </w:rPr>
        <w:t xml:space="preserve">' </w:t>
      </w:r>
      <w:r>
        <w:rPr>
          <w:rFonts w:hint="cs"/>
          <w:rtl/>
        </w:rPr>
        <w:t xml:space="preserve">שקד), </w:t>
      </w:r>
      <w:r w:rsidRPr="00D63275">
        <w:rPr>
          <w:rFonts w:hint="eastAsia"/>
          <w:b/>
          <w:bCs/>
          <w:rtl/>
        </w:rPr>
        <w:t>מפת</w:t>
      </w:r>
      <w:r w:rsidRPr="00D63275">
        <w:rPr>
          <w:b/>
          <w:bCs/>
          <w:rtl/>
        </w:rPr>
        <w:t xml:space="preserve"> </w:t>
      </w:r>
      <w:r w:rsidRPr="00D63275">
        <w:rPr>
          <w:rFonts w:hint="eastAsia"/>
          <w:b/>
          <w:bCs/>
          <w:rtl/>
        </w:rPr>
        <w:t>המדדים</w:t>
      </w:r>
      <w:r w:rsidRPr="00D63275">
        <w:rPr>
          <w:b/>
          <w:bCs/>
          <w:rtl/>
        </w:rPr>
        <w:t xml:space="preserve"> </w:t>
      </w:r>
      <w:r w:rsidRPr="00D63275">
        <w:rPr>
          <w:rFonts w:hint="eastAsia"/>
          <w:b/>
          <w:bCs/>
          <w:rtl/>
        </w:rPr>
        <w:t>לטיוב</w:t>
      </w:r>
      <w:r w:rsidRPr="00D63275">
        <w:rPr>
          <w:b/>
          <w:bCs/>
          <w:rtl/>
        </w:rPr>
        <w:t xml:space="preserve"> </w:t>
      </w:r>
      <w:r w:rsidRPr="00D63275">
        <w:rPr>
          <w:rFonts w:hint="eastAsia"/>
          <w:b/>
          <w:bCs/>
          <w:rtl/>
        </w:rPr>
        <w:t>השירות</w:t>
      </w:r>
      <w:r w:rsidRPr="00D63275">
        <w:rPr>
          <w:b/>
          <w:bCs/>
          <w:rtl/>
        </w:rPr>
        <w:t xml:space="preserve"> </w:t>
      </w:r>
      <w:r w:rsidRPr="00D63275">
        <w:rPr>
          <w:rFonts w:hint="eastAsia"/>
          <w:b/>
          <w:bCs/>
          <w:rtl/>
        </w:rPr>
        <w:t>הציבורי</w:t>
      </w:r>
      <w:r w:rsidRPr="00D63275">
        <w:rPr>
          <w:b/>
          <w:bCs/>
          <w:rtl/>
        </w:rPr>
        <w:t xml:space="preserve"> </w:t>
      </w:r>
      <w:r w:rsidRPr="00D63275">
        <w:rPr>
          <w:rFonts w:hint="eastAsia"/>
          <w:b/>
          <w:bCs/>
          <w:rtl/>
        </w:rPr>
        <w:t>בישראל</w:t>
      </w:r>
      <w:r>
        <w:rPr>
          <w:rFonts w:hint="cs"/>
          <w:rtl/>
        </w:rPr>
        <w:t xml:space="preserve"> (2025). מערכתיות מוגדרת כ</w:t>
      </w:r>
      <w:r>
        <w:rPr>
          <w:rtl/>
        </w:rPr>
        <w:t>אופן שבו הארגון</w:t>
      </w:r>
      <w:r>
        <w:rPr>
          <w:rFonts w:hint="cs"/>
          <w:rtl/>
        </w:rPr>
        <w:t xml:space="preserve"> או</w:t>
      </w:r>
      <w:r>
        <w:t xml:space="preserve"> </w:t>
      </w:r>
      <w:r>
        <w:rPr>
          <w:rtl/>
        </w:rPr>
        <w:t>המנגנון פועל כמכלול</w:t>
      </w:r>
      <w:r>
        <w:t xml:space="preserve"> </w:t>
      </w:r>
      <w:r>
        <w:rPr>
          <w:rFonts w:hint="cs"/>
          <w:rtl/>
        </w:rPr>
        <w:t>בשיתוף</w:t>
      </w:r>
      <w:r>
        <w:rPr>
          <w:rtl/>
        </w:rPr>
        <w:t xml:space="preserve"> פעולה ו</w:t>
      </w:r>
      <w:r>
        <w:rPr>
          <w:rFonts w:hint="cs"/>
          <w:rtl/>
        </w:rPr>
        <w:t>ב</w:t>
      </w:r>
      <w:r>
        <w:rPr>
          <w:rtl/>
        </w:rPr>
        <w:t xml:space="preserve">יידוע בין משרדים, </w:t>
      </w:r>
      <w:r>
        <w:rPr>
          <w:rFonts w:hint="cs"/>
          <w:rtl/>
        </w:rPr>
        <w:t>ב</w:t>
      </w:r>
      <w:r>
        <w:rPr>
          <w:rtl/>
        </w:rPr>
        <w:t>שיתופיות עם כלל המגזר הציבורי ומקיים שיתוף ציבור בתהליכי עיצוב מדיניות ובקבלת ההחלטות</w:t>
      </w:r>
      <w:r>
        <w:rPr>
          <w:rFonts w:hint="cs"/>
          <w:rtl/>
        </w:rPr>
        <w:t>; שיתוף פעולה בין-משרדי הוגדר כ</w:t>
      </w:r>
      <w:r>
        <w:rPr>
          <w:rtl/>
        </w:rPr>
        <w:t>אופן שבו הארגון</w:t>
      </w:r>
      <w:r>
        <w:rPr>
          <w:rFonts w:hint="cs"/>
          <w:rtl/>
        </w:rPr>
        <w:t xml:space="preserve"> או </w:t>
      </w:r>
      <w:r>
        <w:rPr>
          <w:rtl/>
        </w:rPr>
        <w:t>המנגנון מעביר מידע</w:t>
      </w:r>
      <w:r>
        <w:rPr>
          <w:rFonts w:hint="cs"/>
          <w:rtl/>
        </w:rPr>
        <w:t xml:space="preserve"> ומשתף</w:t>
      </w:r>
      <w:r>
        <w:rPr>
          <w:rtl/>
        </w:rPr>
        <w:t xml:space="preserve"> פעולה עם משרדי ממשלה אחרים,</w:t>
      </w:r>
      <w:r>
        <w:rPr>
          <w:rFonts w:hint="cs"/>
          <w:rtl/>
        </w:rPr>
        <w:t xml:space="preserve"> </w:t>
      </w:r>
      <w:r>
        <w:rPr>
          <w:rtl/>
        </w:rPr>
        <w:t>באופן פורמלי ובלתי</w:t>
      </w:r>
      <w:r>
        <w:rPr>
          <w:rFonts w:hint="cs"/>
          <w:rtl/>
        </w:rPr>
        <w:t xml:space="preserve"> </w:t>
      </w:r>
      <w:r>
        <w:rPr>
          <w:rtl/>
        </w:rPr>
        <w:t>פורמלי</w:t>
      </w:r>
      <w:r>
        <w:rPr>
          <w:rFonts w:hint="cs"/>
          <w:rtl/>
        </w:rPr>
        <w:t>; שיתוף פעולה רב-מגזרי מוגדר כ</w:t>
      </w:r>
      <w:r>
        <w:rPr>
          <w:rtl/>
        </w:rPr>
        <w:t>אופן שבו הארגון</w:t>
      </w:r>
      <w:r>
        <w:rPr>
          <w:rFonts w:hint="cs"/>
          <w:rtl/>
        </w:rPr>
        <w:t xml:space="preserve"> או </w:t>
      </w:r>
      <w:r>
        <w:rPr>
          <w:rtl/>
        </w:rPr>
        <w:t xml:space="preserve">המנגנון פועל </w:t>
      </w:r>
      <w:r>
        <w:rPr>
          <w:rFonts w:hint="cs"/>
          <w:rtl/>
        </w:rPr>
        <w:t>ב</w:t>
      </w:r>
      <w:r>
        <w:rPr>
          <w:rtl/>
        </w:rPr>
        <w:t>ראייה</w:t>
      </w:r>
      <w:r>
        <w:rPr>
          <w:rFonts w:hint="cs"/>
          <w:rtl/>
        </w:rPr>
        <w:t xml:space="preserve"> </w:t>
      </w:r>
      <w:r>
        <w:rPr>
          <w:rtl/>
        </w:rPr>
        <w:t>רחבה ו</w:t>
      </w:r>
      <w:r>
        <w:rPr>
          <w:rFonts w:hint="cs"/>
          <w:rtl/>
        </w:rPr>
        <w:t>ב</w:t>
      </w:r>
      <w:r>
        <w:rPr>
          <w:rtl/>
        </w:rPr>
        <w:t>שיתוף פעולה בין כל הגורמים הנוגעים</w:t>
      </w:r>
      <w:r>
        <w:rPr>
          <w:rFonts w:hint="cs"/>
          <w:rtl/>
        </w:rPr>
        <w:t xml:space="preserve"> </w:t>
      </w:r>
      <w:r>
        <w:rPr>
          <w:rtl/>
        </w:rPr>
        <w:t>בדבר בשירות הציבורי הרחב.</w:t>
      </w:r>
    </w:p>
  </w:footnote>
  <w:footnote w:id="120">
    <w:p w:rsidR="00CC16EC" w:rsidP="00861D72">
      <w:pPr>
        <w:pStyle w:val="FootnoteText"/>
      </w:pPr>
      <w:r>
        <w:rPr>
          <w:rStyle w:val="FootnoteReference1"/>
        </w:rPr>
        <w:footnoteRef/>
      </w:r>
      <w:r>
        <w:rPr>
          <w:rtl/>
        </w:rPr>
        <w:tab/>
      </w:r>
      <w:r>
        <w:rPr>
          <w:rFonts w:hint="cs"/>
          <w:rtl/>
        </w:rPr>
        <w:t xml:space="preserve">המנכ"לים בפורום: </w:t>
      </w:r>
      <w:r>
        <w:rPr>
          <w:rtl/>
        </w:rPr>
        <w:t>מנכ"ל משרד הרווחה, מנכ"ל משרד הבריאות,</w:t>
      </w:r>
      <w:r>
        <w:rPr>
          <w:rFonts w:hint="cs"/>
          <w:rtl/>
        </w:rPr>
        <w:t xml:space="preserve"> </w:t>
      </w:r>
      <w:r>
        <w:rPr>
          <w:rtl/>
        </w:rPr>
        <w:t xml:space="preserve">מנכ"ל </w:t>
      </w:r>
      <w:r>
        <w:rPr>
          <w:rFonts w:hint="cs"/>
          <w:rtl/>
        </w:rPr>
        <w:t>בט"ל</w:t>
      </w:r>
      <w:r>
        <w:rPr>
          <w:rtl/>
        </w:rPr>
        <w:t>,</w:t>
      </w:r>
      <w:r>
        <w:rPr>
          <w:rFonts w:hint="cs"/>
          <w:rtl/>
        </w:rPr>
        <w:t xml:space="preserve"> מנכ"ל </w:t>
      </w:r>
      <w:r>
        <w:rPr>
          <w:rtl/>
        </w:rPr>
        <w:t xml:space="preserve">משרד </w:t>
      </w:r>
      <w:r>
        <w:rPr>
          <w:rtl/>
        </w:rPr>
        <w:t>רה"</w:t>
      </w:r>
      <w:r>
        <w:rPr>
          <w:rFonts w:hint="cs"/>
          <w:rtl/>
        </w:rPr>
        <w:t>ם</w:t>
      </w:r>
      <w:r>
        <w:rPr>
          <w:rFonts w:hint="cs"/>
          <w:rtl/>
        </w:rPr>
        <w:t>, מנכ"ל</w:t>
      </w:r>
      <w:r>
        <w:rPr>
          <w:rtl/>
        </w:rPr>
        <w:t xml:space="preserve"> </w:t>
      </w:r>
      <w:r>
        <w:rPr>
          <w:rFonts w:hint="cs"/>
          <w:rtl/>
        </w:rPr>
        <w:t>משרד ה</w:t>
      </w:r>
      <w:r>
        <w:rPr>
          <w:rtl/>
        </w:rPr>
        <w:t>אוצר</w:t>
      </w:r>
      <w:r>
        <w:rPr>
          <w:rFonts w:hint="cs"/>
          <w:rtl/>
        </w:rPr>
        <w:t xml:space="preserve"> ו</w:t>
      </w:r>
      <w:r>
        <w:rPr>
          <w:rtl/>
        </w:rPr>
        <w:t>סמנכ"לי קופ"ח</w:t>
      </w:r>
      <w:r>
        <w:rPr>
          <w:rFonts w:hint="cs"/>
          <w:rtl/>
        </w:rPr>
        <w:t>.</w:t>
      </w:r>
    </w:p>
  </w:footnote>
  <w:footnote w:id="121">
    <w:p w:rsidR="00CC16EC" w:rsidP="00861D72">
      <w:pPr>
        <w:pStyle w:val="FootnoteText"/>
      </w:pPr>
      <w:r>
        <w:rPr>
          <w:rStyle w:val="FootnoteReference1"/>
        </w:rPr>
        <w:footnoteRef/>
      </w:r>
      <w:r>
        <w:rPr>
          <w:rFonts w:hint="cs"/>
          <w:rtl/>
        </w:rPr>
        <w:t xml:space="preserve"> </w:t>
      </w:r>
      <w:r>
        <w:rPr>
          <w:rtl/>
        </w:rPr>
        <w:tab/>
      </w:r>
      <w:r>
        <w:rPr>
          <w:rFonts w:hint="cs"/>
          <w:rtl/>
        </w:rPr>
        <w:t>השותפים בפורום:</w:t>
      </w:r>
      <w:r>
        <w:rPr>
          <w:rFonts w:hint="cs"/>
        </w:rPr>
        <w:t xml:space="preserve"> </w:t>
      </w:r>
      <w:r w:rsidRPr="005E59CB">
        <w:rPr>
          <w:rtl/>
        </w:rPr>
        <w:t>משרד ראש ממשלה, משרד האוצר, משרד הבריאות, משרד הרווחה והביטחון החברתי, המשרד</w:t>
      </w:r>
      <w:r>
        <w:rPr>
          <w:rFonts w:hint="cs"/>
          <w:rtl/>
        </w:rPr>
        <w:t xml:space="preserve"> </w:t>
      </w:r>
      <w:r w:rsidRPr="005E59CB">
        <w:rPr>
          <w:rtl/>
        </w:rPr>
        <w:t>לשוויון חברתי וקידום מעמד האישה, משרד העבודה, משרד הפנים, משרד העלייה והקליטה, משרד המשפטים, משרד החדשנות, המדע</w:t>
      </w:r>
      <w:r w:rsidRPr="005E59CB">
        <w:rPr>
          <w:rFonts w:hint="cs"/>
          <w:rtl/>
        </w:rPr>
        <w:t xml:space="preserve"> </w:t>
      </w:r>
      <w:r w:rsidRPr="005E59CB">
        <w:rPr>
          <w:rtl/>
        </w:rPr>
        <w:t xml:space="preserve">והטכנולוגיה, משרד הבינוי והשיכון, </w:t>
      </w:r>
      <w:r>
        <w:rPr>
          <w:rFonts w:hint="cs"/>
          <w:rtl/>
        </w:rPr>
        <w:t>בט״ל</w:t>
      </w:r>
      <w:r w:rsidRPr="005E59CB">
        <w:rPr>
          <w:rtl/>
        </w:rPr>
        <w:t xml:space="preserve">, </w:t>
      </w:r>
      <w:r w:rsidRPr="005E59CB">
        <w:rPr>
          <w:rtl/>
        </w:rPr>
        <w:t>למ"ס</w:t>
      </w:r>
      <w:r w:rsidRPr="005E59CB">
        <w:rPr>
          <w:rtl/>
        </w:rPr>
        <w:t xml:space="preserve">, </w:t>
      </w:r>
      <w:r w:rsidRPr="005E59CB">
        <w:rPr>
          <w:rtl/>
        </w:rPr>
        <w:t>מינהל</w:t>
      </w:r>
      <w:r w:rsidRPr="005E59CB">
        <w:rPr>
          <w:rtl/>
        </w:rPr>
        <w:t xml:space="preserve"> התכנון, הרשות הארצית לתחבורה ציבורית, </w:t>
      </w:r>
      <w:r w:rsidRPr="0039260E">
        <w:rPr>
          <w:rFonts w:hint="cs"/>
          <w:rtl/>
        </w:rPr>
        <w:t>קופות חולים</w:t>
      </w:r>
      <w:r w:rsidRPr="0039260E">
        <w:rPr>
          <w:rtl/>
        </w:rPr>
        <w:t xml:space="preserve">, רשויות, ארגוני חברה אזרחית ומכוני מחקר, כגון </w:t>
      </w:r>
      <w:r>
        <w:rPr>
          <w:rFonts w:hint="cs"/>
          <w:rtl/>
        </w:rPr>
        <w:t>מרכז</w:t>
      </w:r>
      <w:r w:rsidRPr="0039260E">
        <w:rPr>
          <w:rtl/>
        </w:rPr>
        <w:t xml:space="preserve"> </w:t>
      </w:r>
      <w:r w:rsidRPr="0039260E">
        <w:rPr>
          <w:rtl/>
        </w:rPr>
        <w:t>טאוב</w:t>
      </w:r>
      <w:r w:rsidRPr="0039260E">
        <w:rPr>
          <w:rtl/>
        </w:rPr>
        <w:t xml:space="preserve"> ומכון </w:t>
      </w:r>
      <w:r w:rsidRPr="0039260E">
        <w:rPr>
          <w:rtl/>
        </w:rPr>
        <w:t>ברוקדייל</w:t>
      </w:r>
      <w:r w:rsidRPr="0039260E">
        <w:rPr>
          <w:rtl/>
        </w:rPr>
        <w:t>.</w:t>
      </w:r>
    </w:p>
  </w:footnote>
  <w:footnote w:id="122">
    <w:p w:rsidR="00CC16EC" w:rsidP="00861D72">
      <w:pPr>
        <w:pStyle w:val="FootnoteText"/>
        <w:rPr>
          <w:rtl/>
        </w:rPr>
      </w:pPr>
      <w:r>
        <w:rPr>
          <w:rStyle w:val="FootnoteReference1"/>
        </w:rPr>
        <w:footnoteRef/>
      </w:r>
      <w:r>
        <w:rPr>
          <w:rtl/>
        </w:rPr>
        <w:t xml:space="preserve"> </w:t>
      </w:r>
      <w:r>
        <w:rPr>
          <w:rtl/>
        </w:rPr>
        <w:tab/>
      </w:r>
      <w:r>
        <w:rPr>
          <w:rFonts w:hint="cs"/>
          <w:rtl/>
        </w:rPr>
        <w:t xml:space="preserve">נציבות שירות המדינה, זמן עתיד. </w:t>
      </w:r>
      <w:r w:rsidRPr="00CB1747">
        <w:rPr>
          <w:rtl/>
          <w:lang w:eastAsia="he-IL"/>
        </w:rPr>
        <w:t>התוכנית מיועדת למנהלים בעמדות מפתח וכ</w:t>
      </w:r>
      <w:r>
        <w:rPr>
          <w:rFonts w:hint="cs"/>
          <w:rtl/>
          <w:lang w:eastAsia="he-IL"/>
        </w:rPr>
        <w:t>ו</w:t>
      </w:r>
      <w:r w:rsidRPr="00CB1747">
        <w:rPr>
          <w:rtl/>
          <w:lang w:eastAsia="he-IL"/>
        </w:rPr>
        <w:t>ללת כ-300 שעות הכשרה</w:t>
      </w:r>
      <w:r>
        <w:rPr>
          <w:rFonts w:hint="cs"/>
          <w:rtl/>
        </w:rPr>
        <w:t>. [</w:t>
      </w:r>
      <w:hyperlink r:id="rId15" w:history="1">
        <w:r w:rsidRPr="001F145C">
          <w:rPr>
            <w:rStyle w:val="Hyperlink"/>
          </w:rPr>
          <w:t>https://www.gov.il/he/pages/future-time</w:t>
        </w:r>
      </w:hyperlink>
      <w:r>
        <w:rPr>
          <w:rFonts w:hint="cs"/>
          <w:rtl/>
        </w:rPr>
        <w:t>].</w:t>
      </w:r>
    </w:p>
  </w:footnote>
  <w:footnote w:id="123">
    <w:p w:rsidR="00CC16EC" w:rsidP="00861D72">
      <w:pPr>
        <w:pStyle w:val="FootnoteText"/>
      </w:pPr>
      <w:r>
        <w:rPr>
          <w:rStyle w:val="FootnoteReference1"/>
        </w:rPr>
        <w:footnoteRef/>
      </w:r>
      <w:r>
        <w:rPr>
          <w:rtl/>
        </w:rPr>
        <w:t xml:space="preserve"> </w:t>
      </w:r>
      <w:r>
        <w:rPr>
          <w:rtl/>
        </w:rPr>
        <w:tab/>
      </w:r>
      <w:r>
        <w:rPr>
          <w:rFonts w:hint="cs"/>
          <w:rtl/>
        </w:rPr>
        <w:t xml:space="preserve">משרד ראש הממשלה, ״עיקרי </w:t>
      </w:r>
      <w:r>
        <w:rPr>
          <w:rFonts w:hint="cs"/>
          <w:rtl/>
        </w:rPr>
        <w:t>תוכניות</w:t>
      </w:r>
      <w:r>
        <w:rPr>
          <w:rFonts w:hint="cs"/>
          <w:rtl/>
        </w:rPr>
        <w:t xml:space="preserve"> העבודה לשנת 2025״ (תשפ"ה) עמ' 115, 119.</w:t>
      </w:r>
    </w:p>
  </w:footnote>
  <w:footnote w:id="124">
    <w:p w:rsidR="00CC16EC" w:rsidP="00861D72">
      <w:pPr>
        <w:pStyle w:val="FootnoteText"/>
        <w:rPr>
          <w:rtl/>
        </w:rPr>
      </w:pPr>
      <w:r>
        <w:rPr>
          <w:rStyle w:val="FootnoteReference1"/>
        </w:rPr>
        <w:footnoteRef/>
      </w:r>
      <w:r>
        <w:rPr>
          <w:rtl/>
        </w:rPr>
        <w:t xml:space="preserve"> </w:t>
      </w:r>
      <w:r>
        <w:rPr>
          <w:rtl/>
        </w:rPr>
        <w:tab/>
      </w:r>
      <w:r>
        <w:rPr>
          <w:rFonts w:hint="cs"/>
          <w:rtl/>
        </w:rPr>
        <w:t xml:space="preserve">משרד ראש הממשלה, </w:t>
      </w:r>
      <w:r w:rsidRPr="00D63275">
        <w:rPr>
          <w:rFonts w:hint="eastAsia"/>
          <w:b/>
          <w:bCs/>
          <w:rtl/>
        </w:rPr>
        <w:t>עיקרי</w:t>
      </w:r>
      <w:r w:rsidRPr="00D63275">
        <w:rPr>
          <w:b/>
          <w:bCs/>
          <w:rtl/>
        </w:rPr>
        <w:t xml:space="preserve"> </w:t>
      </w:r>
      <w:r w:rsidRPr="00D63275">
        <w:rPr>
          <w:rFonts w:hint="eastAsia"/>
          <w:b/>
          <w:bCs/>
          <w:rtl/>
        </w:rPr>
        <w:t>תוכניות</w:t>
      </w:r>
      <w:r w:rsidRPr="00D63275">
        <w:rPr>
          <w:b/>
          <w:bCs/>
          <w:rtl/>
        </w:rPr>
        <w:t xml:space="preserve"> </w:t>
      </w:r>
      <w:r w:rsidRPr="00D63275">
        <w:rPr>
          <w:rFonts w:hint="eastAsia"/>
          <w:b/>
          <w:bCs/>
          <w:rtl/>
        </w:rPr>
        <w:t>העבודה</w:t>
      </w:r>
      <w:r w:rsidRPr="00D63275">
        <w:rPr>
          <w:b/>
          <w:bCs/>
          <w:rtl/>
        </w:rPr>
        <w:t xml:space="preserve"> </w:t>
      </w:r>
      <w:r w:rsidRPr="00D63275">
        <w:rPr>
          <w:rFonts w:hint="eastAsia"/>
          <w:b/>
          <w:bCs/>
          <w:rtl/>
        </w:rPr>
        <w:t>לשנת</w:t>
      </w:r>
      <w:r w:rsidRPr="00D63275">
        <w:rPr>
          <w:b/>
          <w:bCs/>
          <w:rtl/>
        </w:rPr>
        <w:t xml:space="preserve"> 2025</w:t>
      </w:r>
      <w:r>
        <w:rPr>
          <w:rFonts w:hint="cs"/>
          <w:rtl/>
        </w:rPr>
        <w:t xml:space="preserve"> (תשפ"ה).</w:t>
      </w:r>
    </w:p>
  </w:footnote>
  <w:footnote w:id="125">
    <w:p w:rsidR="00CC16EC" w:rsidP="00861D72">
      <w:pPr>
        <w:pStyle w:val="FootnoteText"/>
      </w:pPr>
      <w:r>
        <w:rPr>
          <w:rStyle w:val="FootnoteReference1"/>
        </w:rPr>
        <w:footnoteRef/>
      </w:r>
      <w:r>
        <w:rPr>
          <w:rtl/>
        </w:rPr>
        <w:t xml:space="preserve"> </w:t>
      </w:r>
      <w:r>
        <w:rPr>
          <w:rtl/>
        </w:rPr>
        <w:tab/>
      </w:r>
      <w:r>
        <w:rPr>
          <w:rFonts w:hint="cs"/>
          <w:rtl/>
        </w:rPr>
        <w:t>משרד הרווחה והביטחון החברתי, המוסד לביטוח לאומי ומשרד הבריאות, "המלצות הצוות למניעת הידרדרות תפקודית של אזרחים ותיקים" (ספטמבר 2022).</w:t>
      </w:r>
    </w:p>
  </w:footnote>
  <w:footnote w:id="126">
    <w:p w:rsidR="00CC16EC" w:rsidP="00861D72">
      <w:pPr>
        <w:pStyle w:val="FootnoteText"/>
      </w:pPr>
      <w:r>
        <w:rPr>
          <w:rStyle w:val="FootnoteReference1"/>
        </w:rPr>
        <w:footnoteRef/>
      </w:r>
      <w:r>
        <w:rPr>
          <w:rtl/>
        </w:rPr>
        <w:t xml:space="preserve"> </w:t>
      </w:r>
      <w:r>
        <w:rPr>
          <w:rtl/>
        </w:rPr>
        <w:tab/>
      </w:r>
      <w:r>
        <w:rPr>
          <w:rFonts w:hint="cs"/>
          <w:rtl/>
        </w:rPr>
        <w:t xml:space="preserve">לדוגמה </w:t>
      </w:r>
      <w:r>
        <w:rPr>
          <w:rFonts w:hint="cs"/>
          <w:rtl/>
        </w:rPr>
        <w:t>תוכנית</w:t>
      </w:r>
      <w:r>
        <w:rPr>
          <w:rFonts w:hint="cs"/>
          <w:rtl/>
        </w:rPr>
        <w:t xml:space="preserve"> מחוברים והפגת בדידות לניצולי שואה, משרד הרווחה. סעיף תקציבי: </w:t>
      </w:r>
      <w:r>
        <w:rPr>
          <w:rFonts w:hint="cs"/>
          <w:rtl/>
        </w:rPr>
        <w:t>תוכניות</w:t>
      </w:r>
      <w:r>
        <w:rPr>
          <w:rFonts w:hint="cs"/>
          <w:rtl/>
        </w:rPr>
        <w:t xml:space="preserve"> חברתיות ושירותים רחבים לאזרחים ותיקים (23024343).</w:t>
      </w:r>
    </w:p>
  </w:footnote>
  <w:footnote w:id="127">
    <w:p w:rsidR="00CC16EC" w:rsidP="00861D72">
      <w:pPr>
        <w:pStyle w:val="FootnoteText"/>
        <w:rPr>
          <w:rtl/>
        </w:rPr>
      </w:pPr>
      <w:r>
        <w:rPr>
          <w:rStyle w:val="FootnoteReference1"/>
        </w:rPr>
        <w:footnoteRef/>
      </w:r>
      <w:r>
        <w:rPr>
          <w:rtl/>
        </w:rPr>
        <w:t xml:space="preserve"> </w:t>
      </w:r>
      <w:r>
        <w:rPr>
          <w:rtl/>
        </w:rPr>
        <w:tab/>
      </w:r>
      <w:r>
        <w:rPr>
          <w:rFonts w:hint="cs"/>
          <w:rtl/>
        </w:rPr>
        <w:t xml:space="preserve">לדוגמה </w:t>
      </w:r>
      <w:r>
        <w:rPr>
          <w:rFonts w:hint="cs"/>
          <w:rtl/>
        </w:rPr>
        <w:t>תוכנית</w:t>
      </w:r>
      <w:r>
        <w:rPr>
          <w:rFonts w:hint="cs"/>
          <w:rtl/>
        </w:rPr>
        <w:t xml:space="preserve"> להפגת בדידות ולחיזוק החוסן של אוכלוסיית האזרחים הוותיקים, </w:t>
      </w:r>
      <w:r>
        <w:rPr>
          <w:rFonts w:hint="cs"/>
          <w:rtl/>
        </w:rPr>
        <w:t>רה"ם</w:t>
      </w:r>
      <w:r>
        <w:rPr>
          <w:rFonts w:hint="cs"/>
          <w:rtl/>
        </w:rPr>
        <w:t xml:space="preserve"> - המשרד לשוויון חברתי. סעיף תקציבי: פרויקטים לאזרחים ותיקים (04570117).</w:t>
      </w:r>
    </w:p>
  </w:footnote>
  <w:footnote w:id="128">
    <w:p w:rsidR="00CC16EC" w:rsidP="00861D72">
      <w:pPr>
        <w:pStyle w:val="FootnoteText"/>
      </w:pPr>
      <w:r>
        <w:rPr>
          <w:rStyle w:val="FootnoteReference1"/>
        </w:rPr>
        <w:footnoteRef/>
      </w:r>
      <w:r>
        <w:rPr>
          <w:rtl/>
        </w:rPr>
        <w:t xml:space="preserve"> </w:t>
      </w:r>
      <w:r>
        <w:rPr>
          <w:rtl/>
        </w:rPr>
        <w:tab/>
      </w:r>
      <w:r>
        <w:rPr>
          <w:rFonts w:hint="cs"/>
          <w:rtl/>
        </w:rPr>
        <w:t xml:space="preserve">לדוגמה </w:t>
      </w:r>
      <w:r>
        <w:rPr>
          <w:rFonts w:hint="cs"/>
          <w:rtl/>
        </w:rPr>
        <w:t>תוכנית</w:t>
      </w:r>
      <w:r>
        <w:rPr>
          <w:rFonts w:hint="cs"/>
          <w:rtl/>
        </w:rPr>
        <w:t xml:space="preserve"> להפגת בדידות ולחיזוק החוסן של אוכלוסיית האזרחים הוותיקים, רוה"מ - המשרד לשוויון חברתי. סעיף תקציבי: פרויקטים לאזרחים ותיקים (04570117); </w:t>
      </w:r>
      <w:r>
        <w:rPr>
          <w:rtl/>
        </w:rPr>
        <w:t>ובמיצוי זכאות להטבות הנלוות לגמלאות שמשלם המוסד</w:t>
      </w:r>
      <w:r>
        <w:rPr>
          <w:rFonts w:hint="cs"/>
          <w:rtl/>
        </w:rPr>
        <w:t xml:space="preserve"> </w:t>
      </w:r>
      <w:r>
        <w:rPr>
          <w:rtl/>
        </w:rPr>
        <w:t>לביטוח לאומי</w:t>
      </w:r>
      <w:r>
        <w:rPr>
          <w:rFonts w:hint="cs"/>
          <w:rtl/>
        </w:rPr>
        <w:t>" (14.10.12); החלטת הממשלה 1998, "</w:t>
      </w:r>
      <w:r w:rsidRPr="005F2CC1">
        <w:rPr>
          <w:rtl/>
        </w:rPr>
        <w:t>דיווח מקוון חודשי ושיתוף מידע בין הגופים השונים</w:t>
      </w:r>
      <w:r>
        <w:rPr>
          <w:rFonts w:hint="cs"/>
          <w:rtl/>
        </w:rPr>
        <w:t>" (15.7.10) ; החלטת הממשלה 2097(</w:t>
      </w:r>
      <w:r>
        <w:rPr>
          <w:rFonts w:hint="cs"/>
          <w:rtl/>
        </w:rPr>
        <w:t>חכ</w:t>
      </w:r>
      <w:r>
        <w:rPr>
          <w:rFonts w:hint="cs"/>
          <w:rtl/>
        </w:rPr>
        <w:t>/41) "</w:t>
      </w:r>
      <w:r w:rsidRPr="005F2CC1">
        <w:rPr>
          <w:rtl/>
        </w:rPr>
        <w:t xml:space="preserve">הרחבת תחומי פעילות התקשוב הממשלתי, עידוד חדשנות במגזר הציבורי וקידום המיזם הלאומי </w:t>
      </w:r>
      <w:r>
        <w:rPr>
          <w:rFonts w:hint="cs"/>
          <w:rtl/>
        </w:rPr>
        <w:t>׳</w:t>
      </w:r>
      <w:r w:rsidRPr="005F2CC1">
        <w:rPr>
          <w:rtl/>
        </w:rPr>
        <w:t>ישראל דיגיטלית</w:t>
      </w:r>
      <w:r>
        <w:rPr>
          <w:rFonts w:hint="cs"/>
          <w:rtl/>
        </w:rPr>
        <w:t>׳" (10.10.14).</w:t>
      </w:r>
    </w:p>
  </w:footnote>
  <w:footnote w:id="129">
    <w:p w:rsidR="00CC16EC" w:rsidP="00861D72">
      <w:pPr>
        <w:pStyle w:val="FootnoteText"/>
        <w:rPr>
          <w:rtl/>
        </w:rPr>
      </w:pPr>
      <w:r>
        <w:rPr>
          <w:rStyle w:val="FootnoteReference1"/>
        </w:rPr>
        <w:footnoteRef/>
      </w:r>
      <w:r>
        <w:rPr>
          <w:rtl/>
        </w:rPr>
        <w:t xml:space="preserve"> </w:t>
      </w:r>
      <w:r>
        <w:rPr>
          <w:rtl/>
        </w:rPr>
        <w:tab/>
      </w:r>
      <w:r>
        <w:rPr>
          <w:rtl/>
        </w:rPr>
        <w:t>חוק הגנת הפרטיות, התשמ״א-1981</w:t>
      </w:r>
      <w:r>
        <w:rPr>
          <w:rFonts w:hint="cs"/>
          <w:rtl/>
        </w:rPr>
        <w:t>.</w:t>
      </w:r>
    </w:p>
  </w:footnote>
  <w:footnote w:id="130">
    <w:p w:rsidR="00CC16EC" w:rsidP="00861D72">
      <w:pPr>
        <w:pStyle w:val="FootnoteText"/>
        <w:jc w:val="left"/>
      </w:pPr>
      <w:r>
        <w:rPr>
          <w:rStyle w:val="FootnoteReference1"/>
        </w:rPr>
        <w:footnoteRef/>
      </w:r>
      <w:r>
        <w:rPr>
          <w:rtl/>
        </w:rPr>
        <w:t xml:space="preserve"> </w:t>
      </w:r>
      <w:r>
        <w:rPr>
          <w:rtl/>
        </w:rPr>
        <w:tab/>
      </w:r>
      <w:r>
        <w:rPr>
          <w:rFonts w:hint="cs"/>
          <w:rtl/>
        </w:rPr>
        <w:t xml:space="preserve">משרד המשפטים והרשות להגנת הפרטיות, "העברת מידע בין גופים ציבוריים" </w:t>
      </w:r>
      <w:hyperlink r:id="rId16" w:history="1">
        <w:r w:rsidRPr="001B0502">
          <w:rPr>
            <w:rStyle w:val="Hyperlink"/>
          </w:rPr>
          <w:t>https://www.gov.il/BlobFolder/service/information_flow_between_public_bodies/he/info-bulletin.pdf</w:t>
        </w:r>
      </w:hyperlink>
    </w:p>
  </w:footnote>
  <w:footnote w:id="131">
    <w:p w:rsidR="00CC16EC" w:rsidP="00861D72">
      <w:pPr>
        <w:pStyle w:val="FootnoteText"/>
        <w:rPr>
          <w:rtl/>
        </w:rPr>
      </w:pPr>
      <w:r>
        <w:rPr>
          <w:rStyle w:val="FootnoteReference1"/>
        </w:rPr>
        <w:footnoteRef/>
      </w:r>
      <w:r>
        <w:rPr>
          <w:rtl/>
        </w:rPr>
        <w:t xml:space="preserve"> </w:t>
      </w:r>
      <w:r>
        <w:rPr>
          <w:rtl/>
        </w:rPr>
        <w:tab/>
      </w:r>
      <w:r>
        <w:rPr>
          <w:rFonts w:hint="cs"/>
          <w:rtl/>
        </w:rPr>
        <w:t>הנחיית המשנה ליועץ המשפטי לממשלה בנושא העברת מידע בין גופים ציבוריים (16.3.06).</w:t>
      </w:r>
    </w:p>
  </w:footnote>
  <w:footnote w:id="132">
    <w:p w:rsidR="00CC16EC" w:rsidP="00861D72">
      <w:pPr>
        <w:pStyle w:val="FootnoteText"/>
        <w:rPr>
          <w:rtl/>
        </w:rPr>
      </w:pPr>
      <w:r>
        <w:rPr>
          <w:rStyle w:val="FootnoteReference1"/>
        </w:rPr>
        <w:footnoteRef/>
      </w:r>
      <w:r>
        <w:rPr>
          <w:rtl/>
        </w:rPr>
        <w:t xml:space="preserve"> </w:t>
      </w:r>
      <w:r>
        <w:rPr>
          <w:rtl/>
        </w:rPr>
        <w:tab/>
      </w:r>
      <w:r>
        <w:rPr>
          <w:rFonts w:hint="cs"/>
          <w:rtl/>
        </w:rPr>
        <w:t xml:space="preserve">ראה לדוגמה את דוח מבקר המדינה, </w:t>
      </w:r>
      <w:r w:rsidRPr="00D63275">
        <w:rPr>
          <w:rFonts w:hint="eastAsia"/>
          <w:b/>
          <w:bCs/>
          <w:rtl/>
        </w:rPr>
        <w:t>טיפול</w:t>
      </w:r>
      <w:r w:rsidRPr="00D63275">
        <w:rPr>
          <w:b/>
          <w:bCs/>
          <w:rtl/>
        </w:rPr>
        <w:t xml:space="preserve"> </w:t>
      </w:r>
      <w:r w:rsidRPr="00D63275">
        <w:rPr>
          <w:rFonts w:hint="eastAsia"/>
          <w:b/>
          <w:bCs/>
          <w:rtl/>
        </w:rPr>
        <w:t>משרד</w:t>
      </w:r>
      <w:r w:rsidRPr="00D63275">
        <w:rPr>
          <w:b/>
          <w:bCs/>
          <w:rtl/>
        </w:rPr>
        <w:t xml:space="preserve"> </w:t>
      </w:r>
      <w:r w:rsidRPr="00D63275">
        <w:rPr>
          <w:rFonts w:hint="eastAsia"/>
          <w:b/>
          <w:bCs/>
          <w:rtl/>
        </w:rPr>
        <w:t>הרווחה</w:t>
      </w:r>
      <w:r w:rsidRPr="00D63275">
        <w:rPr>
          <w:b/>
          <w:bCs/>
          <w:rtl/>
        </w:rPr>
        <w:t xml:space="preserve"> </w:t>
      </w:r>
      <w:r w:rsidRPr="00D63275">
        <w:rPr>
          <w:rFonts w:hint="eastAsia"/>
          <w:b/>
          <w:bCs/>
          <w:rtl/>
        </w:rPr>
        <w:t>בבוגרים</w:t>
      </w:r>
      <w:r w:rsidRPr="00D63275">
        <w:rPr>
          <w:b/>
          <w:bCs/>
          <w:rtl/>
        </w:rPr>
        <w:t xml:space="preserve"> </w:t>
      </w:r>
      <w:r w:rsidRPr="00D63275">
        <w:rPr>
          <w:rFonts w:hint="eastAsia"/>
          <w:b/>
          <w:bCs/>
          <w:rtl/>
        </w:rPr>
        <w:t>עם</w:t>
      </w:r>
      <w:r w:rsidRPr="00D63275">
        <w:rPr>
          <w:b/>
          <w:bCs/>
          <w:rtl/>
        </w:rPr>
        <w:t xml:space="preserve"> </w:t>
      </w:r>
      <w:r w:rsidRPr="00D63275">
        <w:rPr>
          <w:rFonts w:hint="eastAsia"/>
          <w:b/>
          <w:bCs/>
          <w:rtl/>
        </w:rPr>
        <w:t>מוגבלות</w:t>
      </w:r>
      <w:r>
        <w:rPr>
          <w:rFonts w:hint="cs"/>
          <w:rtl/>
        </w:rPr>
        <w:t xml:space="preserve"> (2024), בו הומלץ על העברת מידע על צעירים עם מוגבלות ממשרד החינוך למשרד הרווחה לשם העלאת שיעור הבוגרים עם מוגבלות הצורכים שירותים ממשרד הרווחה.</w:t>
      </w:r>
    </w:p>
  </w:footnote>
  <w:footnote w:id="133">
    <w:p w:rsidR="00CC16EC" w:rsidP="00861D72">
      <w:pPr>
        <w:pStyle w:val="FootnoteText"/>
      </w:pPr>
      <w:r>
        <w:rPr>
          <w:rStyle w:val="FootnoteReference1"/>
        </w:rPr>
        <w:footnoteRef/>
      </w:r>
      <w:r>
        <w:rPr>
          <w:rtl/>
        </w:rPr>
        <w:t xml:space="preserve"> </w:t>
      </w:r>
      <w:r>
        <w:rPr>
          <w:rtl/>
        </w:rPr>
        <w:tab/>
      </w:r>
      <w:r>
        <w:rPr>
          <w:rFonts w:hint="cs"/>
          <w:rtl/>
        </w:rPr>
        <w:t xml:space="preserve">בדוח הביניים של הוועדה המשותפת לוועדת העבודה, הרווחה והבריאות וועדת הכלכלה לדיון בהצעה לסדר היום בנושא בניית </w:t>
      </w:r>
      <w:r>
        <w:rPr>
          <w:rFonts w:hint="cs"/>
          <w:rtl/>
        </w:rPr>
        <w:t>תוכנית</w:t>
      </w:r>
      <w:r>
        <w:rPr>
          <w:rFonts w:hint="cs"/>
          <w:rtl/>
        </w:rPr>
        <w:t xml:space="preserve"> אב-לאומית בתחום הזקנה בראשות חברת הכנסת טלי </w:t>
      </w:r>
      <w:r>
        <w:rPr>
          <w:rFonts w:hint="cs"/>
          <w:rtl/>
        </w:rPr>
        <w:t>פלוסקוב</w:t>
      </w:r>
      <w:r>
        <w:rPr>
          <w:rFonts w:hint="cs"/>
          <w:rtl/>
        </w:rPr>
        <w:t>, (2018). עמ' 57.</w:t>
      </w:r>
    </w:p>
  </w:footnote>
  <w:footnote w:id="134">
    <w:p w:rsidR="00CC16EC" w:rsidP="00861D72">
      <w:pPr>
        <w:pStyle w:val="FootnoteText"/>
        <w:rPr>
          <w:rtl/>
        </w:rPr>
      </w:pPr>
      <w:r>
        <w:rPr>
          <w:rStyle w:val="FootnoteReference1"/>
        </w:rPr>
        <w:footnoteRef/>
      </w:r>
      <w:r>
        <w:rPr>
          <w:rtl/>
        </w:rPr>
        <w:t xml:space="preserve"> </w:t>
      </w:r>
      <w:r>
        <w:rPr>
          <w:rtl/>
        </w:rPr>
        <w:tab/>
      </w:r>
      <w:r>
        <w:rPr>
          <w:rFonts w:hint="cs"/>
          <w:rtl/>
        </w:rPr>
        <w:t xml:space="preserve">משרד המשפטים, </w:t>
      </w:r>
      <w:r w:rsidRPr="00D63275">
        <w:rPr>
          <w:b/>
          <w:bCs/>
          <w:rtl/>
        </w:rPr>
        <w:t>טיוטת דו"ח להערות הציבור - הצוות הבין-משרדי לבחינה של ההסדר הראוי להעברת מידע אישי בין גופים ציבוריים</w:t>
      </w:r>
      <w:r>
        <w:rPr>
          <w:rFonts w:hint="cs"/>
          <w:rtl/>
        </w:rPr>
        <w:t xml:space="preserve"> (2025), עמ' 14 - 17.</w:t>
      </w:r>
    </w:p>
  </w:footnote>
  <w:footnote w:id="135">
    <w:p w:rsidR="00CC16EC" w:rsidP="00861D72">
      <w:pPr>
        <w:pStyle w:val="FootnoteText"/>
      </w:pPr>
      <w:r>
        <w:rPr>
          <w:rStyle w:val="FootnoteReference1"/>
        </w:rPr>
        <w:footnoteRef/>
      </w:r>
      <w:r>
        <w:rPr>
          <w:rtl/>
        </w:rPr>
        <w:t xml:space="preserve"> </w:t>
      </w:r>
      <w:r>
        <w:rPr>
          <w:rtl/>
        </w:rPr>
        <w:tab/>
      </w:r>
      <w:r>
        <w:rPr>
          <w:rFonts w:hint="cs"/>
          <w:rtl/>
        </w:rPr>
        <w:t xml:space="preserve">בהקשר זה יצוין כי </w:t>
      </w:r>
      <w:r w:rsidRPr="001E6B5C">
        <w:rPr>
          <w:rtl/>
        </w:rPr>
        <w:t xml:space="preserve">בהחלטת </w:t>
      </w:r>
      <w:r>
        <w:rPr>
          <w:rFonts w:hint="cs"/>
          <w:rtl/>
        </w:rPr>
        <w:t>ה</w:t>
      </w:r>
      <w:r w:rsidRPr="001E6B5C">
        <w:rPr>
          <w:rtl/>
        </w:rPr>
        <w:t xml:space="preserve">ממשלה 1933 </w:t>
      </w:r>
      <w:r>
        <w:rPr>
          <w:rFonts w:hint="cs"/>
          <w:rtl/>
        </w:rPr>
        <w:t>מ-</w:t>
      </w:r>
      <w:r w:rsidRPr="001E6B5C">
        <w:rPr>
          <w:rtl/>
        </w:rPr>
        <w:t xml:space="preserve">2016 </w:t>
      </w:r>
      <w:r>
        <w:rPr>
          <w:rFonts w:hint="cs"/>
          <w:rtl/>
        </w:rPr>
        <w:t xml:space="preserve">נקבע </w:t>
      </w:r>
      <w:r w:rsidRPr="001E6B5C">
        <w:rPr>
          <w:rtl/>
        </w:rPr>
        <w:t>כי ככלל, משרדי ממשלה לא יגבו תשלום ממשרדי ממשלה אחרים עבור העברת מידע, אולם בהחלטה נקבעו חריגים מסוימים, וכן היא אינה חלה על גופים ציבוריים מחוץ לממשלה</w:t>
      </w:r>
      <w:r>
        <w:rPr>
          <w:rFonts w:hint="cs"/>
          <w:rtl/>
        </w:rPr>
        <w:t>,</w:t>
      </w:r>
      <w:r w:rsidRPr="001E6B5C">
        <w:rPr>
          <w:rtl/>
        </w:rPr>
        <w:t xml:space="preserve"> כגון רשויות מקומיות ותאגידים סטטוטוריים, </w:t>
      </w:r>
      <w:r>
        <w:rPr>
          <w:rFonts w:hint="cs"/>
          <w:rtl/>
        </w:rPr>
        <w:t>ה</w:t>
      </w:r>
      <w:r w:rsidRPr="001E6B5C">
        <w:rPr>
          <w:rtl/>
        </w:rPr>
        <w:t xml:space="preserve">נדרשים במקרים רבים לשלם עבור קבלת המידע. </w:t>
      </w:r>
    </w:p>
  </w:footnote>
  <w:footnote w:id="136">
    <w:p w:rsidR="00CC16EC" w:rsidRPr="009B6206" w:rsidP="00861D72">
      <w:pPr>
        <w:pStyle w:val="FootnoteText"/>
      </w:pPr>
      <w:r>
        <w:rPr>
          <w:rStyle w:val="FootnoteReference1"/>
        </w:rPr>
        <w:footnoteRef/>
      </w:r>
      <w:r>
        <w:rPr>
          <w:rtl/>
        </w:rPr>
        <w:t xml:space="preserve"> </w:t>
      </w:r>
      <w:r>
        <w:rPr>
          <w:rtl/>
        </w:rPr>
        <w:tab/>
      </w:r>
      <w:r>
        <w:rPr>
          <w:rFonts w:hint="cs"/>
          <w:rtl/>
        </w:rPr>
        <w:t xml:space="preserve">מבקר המדינה, </w:t>
      </w:r>
      <w:r>
        <w:rPr>
          <w:rFonts w:hint="cs"/>
          <w:b/>
          <w:bCs/>
          <w:rtl/>
        </w:rPr>
        <w:t>הטיפול באזרחים הוותיקים במשבר הקורונה</w:t>
      </w:r>
      <w:r>
        <w:rPr>
          <w:rFonts w:hint="cs"/>
          <w:rtl/>
        </w:rPr>
        <w:t xml:space="preserve"> (2021), עמ' 26 - 47.</w:t>
      </w:r>
    </w:p>
  </w:footnote>
  <w:footnote w:id="137">
    <w:p w:rsidR="00CC16EC" w:rsidRPr="009B6206" w:rsidP="00861D72">
      <w:pPr>
        <w:pStyle w:val="FootnoteText"/>
      </w:pPr>
      <w:r>
        <w:rPr>
          <w:rStyle w:val="FootnoteReference1"/>
        </w:rPr>
        <w:footnoteRef/>
      </w:r>
      <w:r>
        <w:rPr>
          <w:rtl/>
        </w:rPr>
        <w:t xml:space="preserve"> </w:t>
      </w:r>
      <w:r>
        <w:rPr>
          <w:rtl/>
        </w:rPr>
        <w:tab/>
      </w:r>
      <w:r>
        <w:rPr>
          <w:rFonts w:hint="cs"/>
          <w:rtl/>
        </w:rPr>
        <w:t xml:space="preserve">מבקר המדינה, </w:t>
      </w:r>
      <w:r>
        <w:rPr>
          <w:rFonts w:hint="cs"/>
          <w:b/>
          <w:bCs/>
          <w:rtl/>
        </w:rPr>
        <w:t>טיפול רשויות מקומיות (שלא פונו) באוכלוסיות מיוחדות בשעת חירום</w:t>
      </w:r>
      <w:r>
        <w:rPr>
          <w:rFonts w:hint="cs"/>
          <w:rtl/>
        </w:rPr>
        <w:t xml:space="preserve"> (2025), עמ' 8 - 10.</w:t>
      </w:r>
    </w:p>
  </w:footnote>
  <w:footnote w:id="138">
    <w:p w:rsidR="00CC16EC" w:rsidP="00861D72">
      <w:pPr>
        <w:pStyle w:val="FootnoteText"/>
        <w:rPr>
          <w:rtl/>
        </w:rPr>
      </w:pPr>
      <w:r>
        <w:rPr>
          <w:rStyle w:val="FootnoteReference1"/>
        </w:rPr>
        <w:footnoteRef/>
      </w:r>
      <w:r>
        <w:rPr>
          <w:rtl/>
        </w:rPr>
        <w:t xml:space="preserve"> </w:t>
      </w:r>
      <w:r>
        <w:rPr>
          <w:rtl/>
        </w:rPr>
        <w:tab/>
      </w:r>
      <w:r>
        <w:rPr>
          <w:rFonts w:hint="cs"/>
          <w:rtl/>
        </w:rPr>
        <w:t xml:space="preserve">מבקר המדינה, </w:t>
      </w:r>
      <w:r w:rsidRPr="00D63275">
        <w:rPr>
          <w:rFonts w:hint="eastAsia"/>
          <w:b/>
          <w:bCs/>
          <w:rtl/>
        </w:rPr>
        <w:t>דוח</w:t>
      </w:r>
      <w:r w:rsidRPr="00D63275">
        <w:rPr>
          <w:b/>
          <w:bCs/>
          <w:rtl/>
        </w:rPr>
        <w:t xml:space="preserve"> </w:t>
      </w:r>
      <w:r w:rsidRPr="00D63275">
        <w:rPr>
          <w:rFonts w:hint="eastAsia"/>
          <w:b/>
          <w:bCs/>
          <w:rtl/>
        </w:rPr>
        <w:t>שנתי</w:t>
      </w:r>
      <w:r w:rsidRPr="00D63275">
        <w:rPr>
          <w:b/>
          <w:bCs/>
          <w:rtl/>
        </w:rPr>
        <w:t xml:space="preserve"> 65ג </w:t>
      </w:r>
      <w:r w:rsidRPr="00D63275">
        <w:rPr>
          <w:rtl/>
        </w:rPr>
        <w:t>(2015)</w:t>
      </w:r>
      <w:r>
        <w:rPr>
          <w:rFonts w:hint="cs"/>
          <w:rtl/>
        </w:rPr>
        <w:t xml:space="preserve">, </w:t>
      </w:r>
      <w:r w:rsidRPr="00C948BF">
        <w:rPr>
          <w:rFonts w:hint="cs"/>
          <w:rtl/>
        </w:rPr>
        <w:t>"אי</w:t>
      </w:r>
      <w:r>
        <w:rPr>
          <w:rFonts w:hint="cs"/>
          <w:rtl/>
        </w:rPr>
        <w:t>-</w:t>
      </w:r>
      <w:r w:rsidRPr="00C948BF">
        <w:rPr>
          <w:rFonts w:hint="cs"/>
          <w:rtl/>
        </w:rPr>
        <w:t>מיצוי של זכויות חברתיות</w:t>
      </w:r>
      <w:r>
        <w:rPr>
          <w:rFonts w:hint="cs"/>
          <w:rtl/>
        </w:rPr>
        <w:t>".</w:t>
      </w:r>
      <w:r w:rsidRPr="008C29FA">
        <w:rPr>
          <w:rFonts w:hint="cs"/>
          <w:rtl/>
        </w:rPr>
        <w:t xml:space="preserve"> </w:t>
      </w:r>
      <w:r w:rsidRPr="00DB2C31">
        <w:rPr>
          <w:rFonts w:hint="eastAsia"/>
          <w:rtl/>
        </w:rPr>
        <w:t>קיימות</w:t>
      </w:r>
      <w:r w:rsidRPr="00DB2C31">
        <w:rPr>
          <w:rtl/>
        </w:rPr>
        <w:t xml:space="preserve"> </w:t>
      </w:r>
      <w:r w:rsidRPr="00DB2C31">
        <w:rPr>
          <w:rFonts w:hint="eastAsia"/>
          <w:rtl/>
        </w:rPr>
        <w:t>זכויות</w:t>
      </w:r>
      <w:r w:rsidRPr="00DB2C31">
        <w:rPr>
          <w:rtl/>
        </w:rPr>
        <w:t xml:space="preserve"> </w:t>
      </w:r>
      <w:r w:rsidRPr="00DB2C31">
        <w:rPr>
          <w:rFonts w:hint="eastAsia"/>
          <w:rtl/>
        </w:rPr>
        <w:t>המוענקות</w:t>
      </w:r>
      <w:r w:rsidRPr="00DB2C31">
        <w:rPr>
          <w:rtl/>
        </w:rPr>
        <w:t xml:space="preserve"> </w:t>
      </w:r>
      <w:r w:rsidRPr="00DB2C31">
        <w:rPr>
          <w:rFonts w:hint="eastAsia"/>
          <w:rtl/>
        </w:rPr>
        <w:t>אוטומטי</w:t>
      </w:r>
      <w:r>
        <w:rPr>
          <w:rFonts w:hint="cs"/>
          <w:rtl/>
        </w:rPr>
        <w:t>ת</w:t>
      </w:r>
      <w:r w:rsidRPr="00DB2C31">
        <w:rPr>
          <w:rtl/>
        </w:rPr>
        <w:t xml:space="preserve"> </w:t>
      </w:r>
      <w:r w:rsidRPr="00DB2C31">
        <w:rPr>
          <w:rFonts w:hint="eastAsia"/>
          <w:rtl/>
        </w:rPr>
        <w:t>מכוח</w:t>
      </w:r>
      <w:r w:rsidRPr="00DB2C31">
        <w:rPr>
          <w:rtl/>
        </w:rPr>
        <w:t xml:space="preserve"> חוק </w:t>
      </w:r>
      <w:r w:rsidRPr="00DB2C31">
        <w:rPr>
          <w:rFonts w:hint="eastAsia"/>
          <w:rtl/>
        </w:rPr>
        <w:t>לדוגמה</w:t>
      </w:r>
      <w:r w:rsidRPr="00DB2C31">
        <w:rPr>
          <w:rtl/>
        </w:rPr>
        <w:t xml:space="preserve">: </w:t>
      </w:r>
      <w:r w:rsidRPr="00DB2C31">
        <w:rPr>
          <w:rFonts w:hint="eastAsia"/>
          <w:rtl/>
        </w:rPr>
        <w:t>קצבת</w:t>
      </w:r>
      <w:r w:rsidRPr="00DB2C31">
        <w:rPr>
          <w:rtl/>
        </w:rPr>
        <w:t xml:space="preserve"> אזרח ותיק. </w:t>
      </w:r>
      <w:r w:rsidRPr="00DB2C31">
        <w:rPr>
          <w:rFonts w:hint="eastAsia"/>
          <w:rtl/>
        </w:rPr>
        <w:t>יש</w:t>
      </w:r>
      <w:r w:rsidRPr="00DB2C31">
        <w:rPr>
          <w:rtl/>
        </w:rPr>
        <w:t xml:space="preserve"> זכויות </w:t>
      </w:r>
      <w:r w:rsidRPr="00DB2C31">
        <w:rPr>
          <w:rFonts w:hint="eastAsia"/>
          <w:rtl/>
        </w:rPr>
        <w:t>מחייבות</w:t>
      </w:r>
      <w:r w:rsidRPr="00DB2C31">
        <w:rPr>
          <w:rtl/>
        </w:rPr>
        <w:t xml:space="preserve"> </w:t>
      </w:r>
      <w:r>
        <w:rPr>
          <w:rFonts w:hint="cs"/>
          <w:rtl/>
        </w:rPr>
        <w:t>ה</w:t>
      </w:r>
      <w:r w:rsidRPr="00DB2C31">
        <w:rPr>
          <w:rFonts w:hint="eastAsia"/>
          <w:rtl/>
        </w:rPr>
        <w:t>ניתנות</w:t>
      </w:r>
      <w:r w:rsidRPr="00DB2C31">
        <w:rPr>
          <w:rtl/>
        </w:rPr>
        <w:t xml:space="preserve"> בהתאם לקריטריונים</w:t>
      </w:r>
      <w:r>
        <w:rPr>
          <w:rFonts w:hint="cs"/>
          <w:rtl/>
        </w:rPr>
        <w:t>,</w:t>
      </w:r>
      <w:r w:rsidRPr="00DB2C31">
        <w:rPr>
          <w:rtl/>
        </w:rPr>
        <w:t xml:space="preserve"> </w:t>
      </w:r>
      <w:r w:rsidRPr="00DB2C31">
        <w:rPr>
          <w:rFonts w:hint="eastAsia"/>
          <w:rtl/>
        </w:rPr>
        <w:t>כגון</w:t>
      </w:r>
      <w:r w:rsidRPr="00DB2C31">
        <w:rPr>
          <w:rtl/>
        </w:rPr>
        <w:t xml:space="preserve"> הטבות במס הכנסה. </w:t>
      </w:r>
    </w:p>
  </w:footnote>
  <w:footnote w:id="139">
    <w:p w:rsidR="00CC16EC" w:rsidP="00861D72">
      <w:pPr>
        <w:pStyle w:val="FootnoteText"/>
      </w:pPr>
      <w:r>
        <w:rPr>
          <w:rStyle w:val="FootnoteReference1"/>
        </w:rPr>
        <w:footnoteRef/>
      </w:r>
      <w:r>
        <w:rPr>
          <w:rtl/>
        </w:rPr>
        <w:t xml:space="preserve"> </w:t>
      </w:r>
      <w:r>
        <w:rPr>
          <w:rtl/>
        </w:rPr>
        <w:tab/>
      </w:r>
      <w:r>
        <w:rPr>
          <w:rFonts w:hint="cs"/>
          <w:rtl/>
        </w:rPr>
        <w:t xml:space="preserve">מבקר המדינה, , </w:t>
      </w:r>
      <w:r w:rsidRPr="00D63275">
        <w:rPr>
          <w:rFonts w:hint="eastAsia"/>
          <w:b/>
          <w:bCs/>
          <w:rtl/>
        </w:rPr>
        <w:t>דוח</w:t>
      </w:r>
      <w:r w:rsidRPr="00D63275">
        <w:rPr>
          <w:b/>
          <w:bCs/>
          <w:rtl/>
        </w:rPr>
        <w:t xml:space="preserve"> </w:t>
      </w:r>
      <w:r w:rsidRPr="00D63275">
        <w:rPr>
          <w:rFonts w:hint="eastAsia"/>
          <w:b/>
          <w:bCs/>
          <w:rtl/>
        </w:rPr>
        <w:t>שנתי</w:t>
      </w:r>
      <w:r w:rsidRPr="00D63275">
        <w:rPr>
          <w:b/>
          <w:bCs/>
          <w:rtl/>
        </w:rPr>
        <w:t xml:space="preserve"> 65ג </w:t>
      </w:r>
      <w:r w:rsidRPr="00D63275">
        <w:rPr>
          <w:rtl/>
        </w:rPr>
        <w:t>(2015)</w:t>
      </w:r>
      <w:r>
        <w:rPr>
          <w:rFonts w:hint="cs"/>
          <w:rtl/>
        </w:rPr>
        <w:t xml:space="preserve">, </w:t>
      </w:r>
      <w:r w:rsidRPr="00C948BF">
        <w:rPr>
          <w:rFonts w:hint="cs"/>
          <w:rtl/>
        </w:rPr>
        <w:t>"אי</w:t>
      </w:r>
      <w:r>
        <w:rPr>
          <w:rFonts w:hint="cs"/>
          <w:rtl/>
        </w:rPr>
        <w:t>-</w:t>
      </w:r>
      <w:r w:rsidRPr="00C948BF">
        <w:rPr>
          <w:rFonts w:hint="cs"/>
          <w:rtl/>
        </w:rPr>
        <w:t>מיצוי של זכויות חברתיות</w:t>
      </w:r>
      <w:r>
        <w:rPr>
          <w:rFonts w:hint="cs"/>
          <w:rtl/>
        </w:rPr>
        <w:t>".</w:t>
      </w:r>
    </w:p>
  </w:footnote>
  <w:footnote w:id="140">
    <w:p w:rsidR="00CC16EC" w:rsidP="00861D72">
      <w:pPr>
        <w:pStyle w:val="FootnoteText"/>
      </w:pPr>
      <w:r>
        <w:rPr>
          <w:rStyle w:val="FootnoteReference1"/>
        </w:rPr>
        <w:footnoteRef/>
      </w:r>
      <w:r>
        <w:rPr>
          <w:rtl/>
        </w:rPr>
        <w:t xml:space="preserve"> </w:t>
      </w:r>
      <w:r>
        <w:rPr>
          <w:rtl/>
        </w:rPr>
        <w:tab/>
      </w:r>
      <w:r>
        <w:rPr>
          <w:rFonts w:hint="cs"/>
          <w:rtl/>
        </w:rPr>
        <w:t xml:space="preserve">עובדים הזכאים לקצבת זקנה פטורים מתשלום דמי ביטוח מהכנסה מעבודה. </w:t>
      </w:r>
    </w:p>
  </w:footnote>
  <w:footnote w:id="141">
    <w:p w:rsidR="00CC16EC" w:rsidRPr="00BE53E4" w:rsidP="00861D72">
      <w:pPr>
        <w:pStyle w:val="FootnoteText"/>
        <w:rPr>
          <w:rtl/>
        </w:rPr>
      </w:pPr>
      <w:r>
        <w:rPr>
          <w:rStyle w:val="FootnoteReference1"/>
        </w:rPr>
        <w:footnoteRef/>
      </w:r>
      <w:r>
        <w:rPr>
          <w:rtl/>
        </w:rPr>
        <w:t xml:space="preserve"> </w:t>
      </w:r>
      <w:r>
        <w:rPr>
          <w:rtl/>
        </w:rPr>
        <w:tab/>
      </w:r>
      <w:r>
        <w:rPr>
          <w:rFonts w:hint="cs"/>
          <w:rtl/>
        </w:rPr>
        <w:t xml:space="preserve">על סוגיית אי-מיצוי הזכויות בקרב הזקנים ועל המלצות מבקר המדינה </w:t>
      </w:r>
      <w:r>
        <w:rPr>
          <w:rFonts w:hint="cs"/>
          <w:rtl/>
        </w:rPr>
        <w:t>להנגשת</w:t>
      </w:r>
      <w:r>
        <w:rPr>
          <w:rFonts w:hint="cs"/>
          <w:rtl/>
        </w:rPr>
        <w:t xml:space="preserve"> הזכויות והגברת מימושן </w:t>
      </w:r>
      <w:r>
        <w:rPr>
          <w:rtl/>
        </w:rPr>
        <w:t>-</w:t>
      </w:r>
      <w:r>
        <w:rPr>
          <w:rFonts w:hint="cs"/>
          <w:rtl/>
        </w:rPr>
        <w:t xml:space="preserve"> ראו הרחבה בדוחות מבקר המדינה: מבקר המדינה, </w:t>
      </w:r>
      <w:r>
        <w:rPr>
          <w:rFonts w:hint="cs"/>
          <w:b/>
          <w:bCs/>
          <w:rtl/>
        </w:rPr>
        <w:t xml:space="preserve">דוח מבקר המדינה </w:t>
      </w:r>
      <w:r w:rsidRPr="00C948BF">
        <w:rPr>
          <w:rFonts w:hint="cs"/>
          <w:rtl/>
        </w:rPr>
        <w:t>(יולי 2024),</w:t>
      </w:r>
      <w:r>
        <w:rPr>
          <w:rFonts w:hint="cs"/>
          <w:rtl/>
        </w:rPr>
        <w:t xml:space="preserve"> עמ' 22 ; מבקר המדינה, </w:t>
      </w:r>
      <w:r w:rsidRPr="00D63275">
        <w:rPr>
          <w:rFonts w:hint="eastAsia"/>
          <w:b/>
          <w:bCs/>
          <w:rtl/>
        </w:rPr>
        <w:t>דוח</w:t>
      </w:r>
      <w:r w:rsidRPr="00D63275">
        <w:rPr>
          <w:b/>
          <w:bCs/>
          <w:rtl/>
        </w:rPr>
        <w:t xml:space="preserve"> </w:t>
      </w:r>
      <w:r w:rsidRPr="00D63275">
        <w:rPr>
          <w:rFonts w:hint="eastAsia"/>
          <w:b/>
          <w:bCs/>
          <w:rtl/>
        </w:rPr>
        <w:t>שנתי</w:t>
      </w:r>
      <w:r w:rsidRPr="00D63275">
        <w:rPr>
          <w:b/>
          <w:bCs/>
          <w:rtl/>
        </w:rPr>
        <w:t xml:space="preserve"> 65ג </w:t>
      </w:r>
      <w:r w:rsidRPr="00D63275">
        <w:rPr>
          <w:rtl/>
        </w:rPr>
        <w:t>(2015)</w:t>
      </w:r>
      <w:r>
        <w:rPr>
          <w:rFonts w:hint="cs"/>
          <w:rtl/>
        </w:rPr>
        <w:t xml:space="preserve">, </w:t>
      </w:r>
      <w:r w:rsidRPr="00C948BF">
        <w:rPr>
          <w:rFonts w:hint="cs"/>
          <w:rtl/>
        </w:rPr>
        <w:t>"אי</w:t>
      </w:r>
      <w:r>
        <w:rPr>
          <w:rFonts w:hint="cs"/>
          <w:rtl/>
        </w:rPr>
        <w:t>-</w:t>
      </w:r>
      <w:r w:rsidRPr="00C948BF">
        <w:rPr>
          <w:rFonts w:hint="cs"/>
          <w:rtl/>
        </w:rPr>
        <w:t>מיצוי של זכויות חברתיות</w:t>
      </w:r>
      <w:r>
        <w:rPr>
          <w:rFonts w:hint="cs"/>
          <w:rtl/>
        </w:rPr>
        <w:t>",</w:t>
      </w:r>
      <w:r w:rsidRPr="008C29FA">
        <w:rPr>
          <w:rFonts w:hint="cs"/>
          <w:rtl/>
        </w:rPr>
        <w:t xml:space="preserve"> </w:t>
      </w:r>
      <w:r>
        <w:rPr>
          <w:rFonts w:hint="cs"/>
          <w:rtl/>
        </w:rPr>
        <w:t xml:space="preserve">עמ' 36.; דוח הנציבות, </w:t>
      </w:r>
      <w:r w:rsidRPr="00D63275">
        <w:rPr>
          <w:rFonts w:hint="eastAsia"/>
          <w:b/>
          <w:bCs/>
          <w:rtl/>
        </w:rPr>
        <w:t>אתגרים</w:t>
      </w:r>
      <w:r w:rsidRPr="00D63275">
        <w:rPr>
          <w:b/>
          <w:bCs/>
          <w:rtl/>
        </w:rPr>
        <w:t xml:space="preserve"> </w:t>
      </w:r>
      <w:r w:rsidRPr="00D63275">
        <w:rPr>
          <w:rFonts w:hint="eastAsia"/>
          <w:b/>
          <w:bCs/>
          <w:rtl/>
        </w:rPr>
        <w:t>ויעדים</w:t>
      </w:r>
      <w:r w:rsidRPr="00D63275">
        <w:rPr>
          <w:b/>
          <w:bCs/>
          <w:rtl/>
        </w:rPr>
        <w:t xml:space="preserve"> </w:t>
      </w:r>
      <w:r w:rsidRPr="00D63275">
        <w:rPr>
          <w:rFonts w:hint="eastAsia"/>
          <w:b/>
          <w:bCs/>
          <w:rtl/>
        </w:rPr>
        <w:t>במתן</w:t>
      </w:r>
      <w:r w:rsidRPr="00D63275">
        <w:rPr>
          <w:b/>
          <w:bCs/>
          <w:rtl/>
        </w:rPr>
        <w:t xml:space="preserve"> </w:t>
      </w:r>
      <w:r w:rsidRPr="00D63275">
        <w:rPr>
          <w:rFonts w:hint="eastAsia"/>
          <w:b/>
          <w:bCs/>
          <w:rtl/>
        </w:rPr>
        <w:t>שירות</w:t>
      </w:r>
      <w:r w:rsidRPr="00D63275">
        <w:rPr>
          <w:b/>
          <w:bCs/>
          <w:rtl/>
        </w:rPr>
        <w:t xml:space="preserve"> </w:t>
      </w:r>
      <w:r w:rsidRPr="00D63275">
        <w:rPr>
          <w:rFonts w:hint="eastAsia"/>
          <w:b/>
          <w:bCs/>
          <w:rtl/>
        </w:rPr>
        <w:t>לבני</w:t>
      </w:r>
      <w:r w:rsidRPr="00D63275">
        <w:rPr>
          <w:b/>
          <w:bCs/>
          <w:rtl/>
        </w:rPr>
        <w:t xml:space="preserve"> </w:t>
      </w:r>
      <w:r w:rsidRPr="00D63275">
        <w:rPr>
          <w:rFonts w:hint="eastAsia"/>
          <w:b/>
          <w:bCs/>
          <w:rtl/>
        </w:rPr>
        <w:t>הגיל</w:t>
      </w:r>
      <w:r w:rsidRPr="00D63275">
        <w:rPr>
          <w:b/>
          <w:bCs/>
          <w:rtl/>
        </w:rPr>
        <w:t xml:space="preserve"> </w:t>
      </w:r>
      <w:r w:rsidRPr="00D63275">
        <w:rPr>
          <w:rFonts w:hint="eastAsia"/>
          <w:b/>
          <w:bCs/>
          <w:rtl/>
        </w:rPr>
        <w:t>השלישי</w:t>
      </w:r>
      <w:r>
        <w:rPr>
          <w:rFonts w:hint="cs"/>
          <w:rtl/>
        </w:rPr>
        <w:t xml:space="preserve">, עמ' 123; </w:t>
      </w:r>
      <w:r w:rsidRPr="00C948BF">
        <w:rPr>
          <w:rFonts w:hint="eastAsia"/>
          <w:rtl/>
        </w:rPr>
        <w:t>מבקר</w:t>
      </w:r>
      <w:r w:rsidRPr="00C948BF">
        <w:rPr>
          <w:rFonts w:hint="cs"/>
          <w:rtl/>
        </w:rPr>
        <w:t xml:space="preserve"> המדינה,</w:t>
      </w:r>
      <w:r>
        <w:rPr>
          <w:rFonts w:hint="cs"/>
          <w:b/>
          <w:bCs/>
          <w:rtl/>
        </w:rPr>
        <w:t xml:space="preserve"> דוח על הביקורת בשלטון המקומי </w:t>
      </w:r>
      <w:r w:rsidRPr="00C948BF">
        <w:rPr>
          <w:rFonts w:hint="cs"/>
          <w:rtl/>
        </w:rPr>
        <w:t>(2023),</w:t>
      </w:r>
      <w:r>
        <w:rPr>
          <w:rFonts w:hint="cs"/>
          <w:b/>
          <w:bCs/>
          <w:rtl/>
        </w:rPr>
        <w:t xml:space="preserve"> "</w:t>
      </w:r>
      <w:r w:rsidRPr="00C948BF">
        <w:rPr>
          <w:rFonts w:hint="eastAsia"/>
          <w:rtl/>
        </w:rPr>
        <w:t>טיפול</w:t>
      </w:r>
      <w:r w:rsidRPr="00C948BF">
        <w:rPr>
          <w:rtl/>
        </w:rPr>
        <w:t xml:space="preserve"> </w:t>
      </w:r>
      <w:r w:rsidRPr="00C948BF">
        <w:rPr>
          <w:rFonts w:hint="eastAsia"/>
          <w:rtl/>
        </w:rPr>
        <w:t>הרשויות</w:t>
      </w:r>
      <w:r w:rsidRPr="00C948BF">
        <w:rPr>
          <w:rtl/>
        </w:rPr>
        <w:t xml:space="preserve"> </w:t>
      </w:r>
      <w:r w:rsidRPr="00C948BF">
        <w:rPr>
          <w:rFonts w:hint="eastAsia"/>
          <w:rtl/>
        </w:rPr>
        <w:t>המקומיות</w:t>
      </w:r>
      <w:r w:rsidRPr="00C948BF">
        <w:rPr>
          <w:rtl/>
        </w:rPr>
        <w:t xml:space="preserve"> </w:t>
      </w:r>
      <w:r>
        <w:rPr>
          <w:rFonts w:hint="cs"/>
          <w:rtl/>
        </w:rPr>
        <w:t>באזרחים הוותיקים ש</w:t>
      </w:r>
      <w:r w:rsidRPr="00C948BF">
        <w:rPr>
          <w:rFonts w:hint="eastAsia"/>
          <w:rtl/>
        </w:rPr>
        <w:t>בתחום</w:t>
      </w:r>
      <w:r w:rsidRPr="00C948BF">
        <w:rPr>
          <w:rtl/>
        </w:rPr>
        <w:t xml:space="preserve"> </w:t>
      </w:r>
      <w:r w:rsidRPr="00C948BF">
        <w:rPr>
          <w:rFonts w:hint="eastAsia"/>
          <w:rtl/>
        </w:rPr>
        <w:t>שיפוטן</w:t>
      </w:r>
      <w:r>
        <w:rPr>
          <w:rFonts w:hint="cs"/>
          <w:rtl/>
        </w:rPr>
        <w:t>"</w:t>
      </w:r>
      <w:r w:rsidRPr="00C948BF">
        <w:rPr>
          <w:rFonts w:hint="cs"/>
          <w:rtl/>
        </w:rPr>
        <w:t>,</w:t>
      </w:r>
      <w:r>
        <w:rPr>
          <w:rFonts w:hint="cs"/>
          <w:rtl/>
        </w:rPr>
        <w:t xml:space="preserve"> עמ' 698.</w:t>
      </w:r>
    </w:p>
  </w:footnote>
  <w:footnote w:id="142">
    <w:p w:rsidR="00CC16EC" w:rsidP="00861D72">
      <w:pPr>
        <w:pStyle w:val="FootnoteText"/>
        <w:rPr>
          <w:rtl/>
        </w:rPr>
      </w:pPr>
      <w:r>
        <w:rPr>
          <w:rStyle w:val="FootnoteReference1"/>
        </w:rPr>
        <w:footnoteRef/>
      </w:r>
      <w:r>
        <w:rPr>
          <w:rtl/>
        </w:rPr>
        <w:t xml:space="preserve"> </w:t>
      </w:r>
      <w:r>
        <w:rPr>
          <w:rtl/>
        </w:rPr>
        <w:tab/>
      </w:r>
      <w:r w:rsidRPr="003C65FF">
        <w:rPr>
          <w:rFonts w:hint="cs"/>
          <w:rtl/>
        </w:rPr>
        <w:t>מרכז</w:t>
      </w:r>
      <w:r>
        <w:rPr>
          <w:rFonts w:hint="cs"/>
          <w:rtl/>
        </w:rPr>
        <w:t xml:space="preserve"> המידע של הכנסת, </w:t>
      </w:r>
      <w:r w:rsidRPr="00D63275">
        <w:rPr>
          <w:rFonts w:hint="eastAsia"/>
          <w:b/>
          <w:bCs/>
          <w:rtl/>
        </w:rPr>
        <w:t>מדיניות</w:t>
      </w:r>
      <w:r w:rsidRPr="00D63275">
        <w:rPr>
          <w:b/>
          <w:bCs/>
          <w:rtl/>
        </w:rPr>
        <w:t xml:space="preserve"> </w:t>
      </w:r>
      <w:r w:rsidRPr="00D63275">
        <w:rPr>
          <w:rFonts w:hint="eastAsia"/>
          <w:b/>
          <w:bCs/>
          <w:rtl/>
        </w:rPr>
        <w:t>מיצוי</w:t>
      </w:r>
      <w:r w:rsidRPr="00D63275">
        <w:rPr>
          <w:b/>
          <w:bCs/>
          <w:rtl/>
        </w:rPr>
        <w:t xml:space="preserve"> </w:t>
      </w:r>
      <w:r w:rsidRPr="00D63275">
        <w:rPr>
          <w:rFonts w:hint="eastAsia"/>
          <w:b/>
          <w:bCs/>
          <w:rtl/>
        </w:rPr>
        <w:t>זכויות</w:t>
      </w:r>
      <w:r w:rsidRPr="00D63275">
        <w:rPr>
          <w:b/>
          <w:bCs/>
          <w:rtl/>
        </w:rPr>
        <w:t xml:space="preserve"> </w:t>
      </w:r>
      <w:r w:rsidRPr="00D63275">
        <w:rPr>
          <w:rFonts w:hint="eastAsia"/>
          <w:b/>
          <w:bCs/>
          <w:rtl/>
        </w:rPr>
        <w:t>אקטיבי</w:t>
      </w:r>
      <w:r>
        <w:rPr>
          <w:rFonts w:hint="cs"/>
          <w:rtl/>
        </w:rPr>
        <w:t xml:space="preserve"> (2022).</w:t>
      </w:r>
    </w:p>
  </w:footnote>
  <w:footnote w:id="143">
    <w:p w:rsidR="00CC16EC" w:rsidP="00861D72">
      <w:pPr>
        <w:pStyle w:val="FootnoteText"/>
      </w:pPr>
      <w:r>
        <w:rPr>
          <w:rStyle w:val="FootnoteReference1"/>
        </w:rPr>
        <w:footnoteRef/>
      </w:r>
      <w:r>
        <w:rPr>
          <w:rtl/>
        </w:rPr>
        <w:t xml:space="preserve"> </w:t>
      </w:r>
      <w:r>
        <w:rPr>
          <w:rtl/>
        </w:rPr>
        <w:tab/>
      </w:r>
      <w:r>
        <w:rPr>
          <w:rFonts w:hint="cs"/>
          <w:rtl/>
        </w:rPr>
        <w:t>חוק הביטוח הלאומי - פרק י' (ביטוח סיעוד).</w:t>
      </w:r>
    </w:p>
  </w:footnote>
  <w:footnote w:id="144">
    <w:p w:rsidR="00CC16EC" w:rsidP="00861D72">
      <w:pPr>
        <w:pStyle w:val="FootnoteText"/>
      </w:pPr>
      <w:r>
        <w:rPr>
          <w:rStyle w:val="FootnoteReference1"/>
        </w:rPr>
        <w:footnoteRef/>
      </w:r>
      <w:r>
        <w:rPr>
          <w:rtl/>
        </w:rPr>
        <w:t xml:space="preserve"> </w:t>
      </w:r>
      <w:r>
        <w:rPr>
          <w:rtl/>
        </w:rPr>
        <w:tab/>
      </w:r>
      <w:r>
        <w:rPr>
          <w:rFonts w:hint="cs"/>
          <w:rtl/>
        </w:rPr>
        <w:t>הפטור ניתן לפי החוק לאזרח ותיק שגילו מעל 80 שנים.</w:t>
      </w:r>
    </w:p>
  </w:footnote>
  <w:footnote w:id="145">
    <w:p w:rsidR="00CC16EC" w:rsidP="00861D72">
      <w:pPr>
        <w:pStyle w:val="FootnoteText"/>
      </w:pPr>
      <w:r>
        <w:rPr>
          <w:rStyle w:val="FootnoteReference1"/>
        </w:rPr>
        <w:footnoteRef/>
      </w:r>
      <w:r>
        <w:rPr>
          <w:rtl/>
        </w:rPr>
        <w:t xml:space="preserve"> </w:t>
      </w:r>
      <w:r>
        <w:rPr>
          <w:rtl/>
        </w:rPr>
        <w:tab/>
      </w:r>
      <w:r>
        <w:rPr>
          <w:rFonts w:hint="cs"/>
          <w:rtl/>
        </w:rPr>
        <w:t>בהתאם לזכאויות המפורטות ברשויות.</w:t>
      </w:r>
    </w:p>
  </w:footnote>
  <w:footnote w:id="146">
    <w:p w:rsidR="00CC16EC" w:rsidP="00861D72">
      <w:pPr>
        <w:pStyle w:val="FootnoteText"/>
        <w:rPr>
          <w:rtl/>
        </w:rPr>
      </w:pPr>
      <w:r>
        <w:rPr>
          <w:rStyle w:val="FootnoteReference1"/>
        </w:rPr>
        <w:footnoteRef/>
      </w:r>
      <w:r>
        <w:rPr>
          <w:rtl/>
        </w:rPr>
        <w:t xml:space="preserve"> </w:t>
      </w:r>
      <w:r>
        <w:rPr>
          <w:rtl/>
        </w:rPr>
        <w:tab/>
      </w:r>
      <w:r w:rsidRPr="001B4957">
        <w:rPr>
          <w:rFonts w:hint="cs"/>
          <w:rtl/>
        </w:rPr>
        <w:t>אבישי</w:t>
      </w:r>
      <w:r w:rsidRPr="001B4957">
        <w:rPr>
          <w:rtl/>
        </w:rPr>
        <w:t xml:space="preserve"> </w:t>
      </w:r>
      <w:r w:rsidRPr="001B4957">
        <w:rPr>
          <w:rFonts w:hint="cs"/>
          <w:rtl/>
        </w:rPr>
        <w:t>בניש</w:t>
      </w:r>
      <w:r w:rsidRPr="001B4957">
        <w:rPr>
          <w:rtl/>
        </w:rPr>
        <w:t xml:space="preserve"> </w:t>
      </w:r>
      <w:r w:rsidRPr="001B4957">
        <w:rPr>
          <w:rFonts w:hint="cs"/>
          <w:rtl/>
        </w:rPr>
        <w:t>ולירון</w:t>
      </w:r>
      <w:r w:rsidRPr="001B4957">
        <w:rPr>
          <w:rtl/>
        </w:rPr>
        <w:t xml:space="preserve"> </w:t>
      </w:r>
      <w:r w:rsidRPr="001B4957">
        <w:rPr>
          <w:rFonts w:hint="cs"/>
          <w:rtl/>
        </w:rPr>
        <w:t>דוד</w:t>
      </w:r>
      <w:r w:rsidRPr="001B4957">
        <w:rPr>
          <w:rtl/>
        </w:rPr>
        <w:t>, "</w:t>
      </w:r>
      <w:r w:rsidRPr="001B4957">
        <w:rPr>
          <w:rFonts w:hint="cs"/>
          <w:rtl/>
        </w:rPr>
        <w:t>זכות</w:t>
      </w:r>
      <w:r w:rsidRPr="001B4957">
        <w:rPr>
          <w:rtl/>
        </w:rPr>
        <w:t xml:space="preserve"> </w:t>
      </w:r>
      <w:r w:rsidRPr="001B4957">
        <w:rPr>
          <w:rFonts w:hint="cs"/>
          <w:rtl/>
        </w:rPr>
        <w:t>הגישה</w:t>
      </w:r>
      <w:r w:rsidRPr="001B4957">
        <w:rPr>
          <w:rtl/>
        </w:rPr>
        <w:t xml:space="preserve"> </w:t>
      </w:r>
      <w:r w:rsidRPr="001B4957">
        <w:rPr>
          <w:rFonts w:hint="cs"/>
          <w:rtl/>
        </w:rPr>
        <w:t>למִנהל</w:t>
      </w:r>
      <w:r w:rsidRPr="001B4957">
        <w:rPr>
          <w:rtl/>
        </w:rPr>
        <w:t xml:space="preserve"> </w:t>
      </w:r>
      <w:r w:rsidRPr="001B4957">
        <w:rPr>
          <w:rFonts w:hint="cs"/>
          <w:rtl/>
        </w:rPr>
        <w:t>במדינת</w:t>
      </w:r>
      <w:r w:rsidRPr="001B4957">
        <w:rPr>
          <w:rtl/>
        </w:rPr>
        <w:t xml:space="preserve"> </w:t>
      </w:r>
      <w:r w:rsidRPr="001B4957">
        <w:rPr>
          <w:rFonts w:hint="cs"/>
          <w:rtl/>
        </w:rPr>
        <w:t>הרווחה</w:t>
      </w:r>
      <w:r w:rsidRPr="001B4957">
        <w:rPr>
          <w:rtl/>
        </w:rPr>
        <w:t xml:space="preserve">: </w:t>
      </w:r>
      <w:r w:rsidRPr="001B4957">
        <w:rPr>
          <w:rFonts w:hint="cs"/>
          <w:rtl/>
        </w:rPr>
        <w:t>על</w:t>
      </w:r>
      <w:r w:rsidRPr="001B4957">
        <w:rPr>
          <w:rtl/>
        </w:rPr>
        <w:t xml:space="preserve"> </w:t>
      </w:r>
      <w:r>
        <w:rPr>
          <w:rFonts w:hint="cs"/>
          <w:rtl/>
        </w:rPr>
        <w:t>(</w:t>
      </w:r>
      <w:r w:rsidRPr="001B4957">
        <w:rPr>
          <w:rFonts w:hint="cs"/>
          <w:rtl/>
        </w:rPr>
        <w:t>אי</w:t>
      </w:r>
      <w:r w:rsidRPr="001B4957">
        <w:rPr>
          <w:rtl/>
        </w:rPr>
        <w:t>-</w:t>
      </w:r>
      <w:r>
        <w:rPr>
          <w:rFonts w:hint="cs"/>
          <w:rtl/>
        </w:rPr>
        <w:t>)</w:t>
      </w:r>
      <w:r w:rsidRPr="001B4957">
        <w:rPr>
          <w:rFonts w:hint="cs"/>
          <w:rtl/>
        </w:rPr>
        <w:t>מיצוי</w:t>
      </w:r>
      <w:r w:rsidRPr="001B4957">
        <w:rPr>
          <w:rtl/>
        </w:rPr>
        <w:t xml:space="preserve"> </w:t>
      </w:r>
      <w:r w:rsidRPr="001B4957">
        <w:rPr>
          <w:rFonts w:hint="cs"/>
          <w:rtl/>
        </w:rPr>
        <w:t>זכויות</w:t>
      </w:r>
      <w:r w:rsidRPr="001B4957">
        <w:rPr>
          <w:rtl/>
        </w:rPr>
        <w:t xml:space="preserve"> </w:t>
      </w:r>
      <w:r w:rsidRPr="001B4957">
        <w:rPr>
          <w:rFonts w:hint="cs"/>
          <w:rtl/>
        </w:rPr>
        <w:t>חברתיות</w:t>
      </w:r>
      <w:r w:rsidRPr="001B4957">
        <w:rPr>
          <w:rtl/>
        </w:rPr>
        <w:t xml:space="preserve"> </w:t>
      </w:r>
      <w:r w:rsidRPr="001B4957">
        <w:rPr>
          <w:rFonts w:hint="cs"/>
          <w:rtl/>
        </w:rPr>
        <w:t>וחובת</w:t>
      </w:r>
      <w:r w:rsidRPr="001B4957">
        <w:rPr>
          <w:rtl/>
        </w:rPr>
        <w:t xml:space="preserve"> </w:t>
      </w:r>
      <w:r w:rsidRPr="001B4957">
        <w:rPr>
          <w:rFonts w:hint="cs"/>
          <w:rtl/>
        </w:rPr>
        <w:t>ההנגשה</w:t>
      </w:r>
      <w:r w:rsidRPr="001B4957">
        <w:rPr>
          <w:rtl/>
        </w:rPr>
        <w:t xml:space="preserve"> </w:t>
      </w:r>
      <w:r w:rsidRPr="001B4957">
        <w:rPr>
          <w:rFonts w:hint="cs"/>
          <w:rtl/>
        </w:rPr>
        <w:t>של</w:t>
      </w:r>
      <w:r w:rsidRPr="001B4957">
        <w:rPr>
          <w:rtl/>
        </w:rPr>
        <w:t xml:space="preserve"> </w:t>
      </w:r>
      <w:r w:rsidRPr="001B4957">
        <w:rPr>
          <w:rFonts w:hint="cs"/>
          <w:rtl/>
        </w:rPr>
        <w:t>החקיקה</w:t>
      </w:r>
      <w:r w:rsidRPr="001B4957">
        <w:rPr>
          <w:rtl/>
        </w:rPr>
        <w:t xml:space="preserve"> </w:t>
      </w:r>
      <w:r w:rsidRPr="001B4957">
        <w:rPr>
          <w:rFonts w:hint="cs"/>
          <w:rtl/>
        </w:rPr>
        <w:t>החברתית</w:t>
      </w:r>
      <w:r w:rsidRPr="001B4957">
        <w:t>"</w:t>
      </w:r>
      <w:r>
        <w:rPr>
          <w:rFonts w:hint="cs"/>
          <w:rtl/>
        </w:rPr>
        <w:t xml:space="preserve"> </w:t>
      </w:r>
      <w:r w:rsidRPr="00D63275">
        <w:rPr>
          <w:rFonts w:hint="eastAsia"/>
          <w:b/>
          <w:bCs/>
          <w:rtl/>
        </w:rPr>
        <w:t>ממשל</w:t>
      </w:r>
      <w:r w:rsidRPr="00D63275">
        <w:rPr>
          <w:b/>
          <w:bCs/>
          <w:rtl/>
        </w:rPr>
        <w:t xml:space="preserve"> </w:t>
      </w:r>
      <w:r w:rsidRPr="00D63275">
        <w:rPr>
          <w:rFonts w:hint="eastAsia"/>
          <w:b/>
          <w:bCs/>
          <w:rtl/>
        </w:rPr>
        <w:t>ומשפט</w:t>
      </w:r>
      <w:r w:rsidRPr="001B4957">
        <w:rPr>
          <w:rtl/>
        </w:rPr>
        <w:t xml:space="preserve"> </w:t>
      </w:r>
      <w:r w:rsidRPr="001B4957">
        <w:rPr>
          <w:rFonts w:hint="cs"/>
          <w:rtl/>
        </w:rPr>
        <w:t>יט</w:t>
      </w:r>
      <w:r w:rsidRPr="001B4957">
        <w:rPr>
          <w:rtl/>
        </w:rPr>
        <w:t xml:space="preserve"> </w:t>
      </w:r>
      <w:r>
        <w:rPr>
          <w:rFonts w:hint="cs"/>
          <w:rtl/>
        </w:rPr>
        <w:t>(</w:t>
      </w:r>
      <w:r w:rsidRPr="001B4957">
        <w:rPr>
          <w:rtl/>
        </w:rPr>
        <w:t>2018</w:t>
      </w:r>
      <w:r>
        <w:rPr>
          <w:rFonts w:hint="cs"/>
          <w:rtl/>
        </w:rPr>
        <w:t>)</w:t>
      </w:r>
      <w:r w:rsidRPr="001B4957">
        <w:rPr>
          <w:rtl/>
        </w:rPr>
        <w:t xml:space="preserve"> </w:t>
      </w:r>
      <w:r>
        <w:rPr>
          <w:rFonts w:hint="cs"/>
          <w:rtl/>
        </w:rPr>
        <w:t>9</w:t>
      </w:r>
      <w:r w:rsidRPr="001B4957">
        <w:rPr>
          <w:rtl/>
        </w:rPr>
        <w:t xml:space="preserve">, </w:t>
      </w:r>
      <w:r w:rsidRPr="001B4957">
        <w:rPr>
          <w:rFonts w:hint="cs"/>
          <w:rtl/>
        </w:rPr>
        <w:t>עמ</w:t>
      </w:r>
      <w:r w:rsidRPr="001B4957">
        <w:rPr>
          <w:rtl/>
        </w:rPr>
        <w:t xml:space="preserve">' </w:t>
      </w:r>
      <w:r>
        <w:rPr>
          <w:rFonts w:hint="cs"/>
          <w:rtl/>
        </w:rPr>
        <w:t>3.</w:t>
      </w:r>
    </w:p>
  </w:footnote>
  <w:footnote w:id="147">
    <w:p w:rsidR="00CC16EC" w:rsidP="00861D72">
      <w:pPr>
        <w:pStyle w:val="FootnoteText"/>
        <w:rPr>
          <w:rtl/>
        </w:rPr>
      </w:pPr>
      <w:r>
        <w:rPr>
          <w:rStyle w:val="FootnoteReference1"/>
        </w:rPr>
        <w:footnoteRef/>
      </w:r>
      <w:r>
        <w:rPr>
          <w:rtl/>
        </w:rPr>
        <w:t xml:space="preserve"> </w:t>
      </w:r>
      <w:r>
        <w:rPr>
          <w:rtl/>
        </w:rPr>
        <w:tab/>
      </w:r>
      <w:r>
        <w:rPr>
          <w:rFonts w:hint="cs"/>
          <w:rtl/>
        </w:rPr>
        <w:t xml:space="preserve">מבקר המדינה, , </w:t>
      </w:r>
      <w:r w:rsidRPr="00D63275">
        <w:rPr>
          <w:rFonts w:hint="eastAsia"/>
          <w:b/>
          <w:bCs/>
          <w:rtl/>
        </w:rPr>
        <w:t>דוח</w:t>
      </w:r>
      <w:r w:rsidRPr="00D63275">
        <w:rPr>
          <w:b/>
          <w:bCs/>
          <w:rtl/>
        </w:rPr>
        <w:t xml:space="preserve"> </w:t>
      </w:r>
      <w:r w:rsidRPr="00D63275">
        <w:rPr>
          <w:rFonts w:hint="eastAsia"/>
          <w:b/>
          <w:bCs/>
          <w:rtl/>
        </w:rPr>
        <w:t>שנתי</w:t>
      </w:r>
      <w:r w:rsidRPr="00D63275">
        <w:rPr>
          <w:b/>
          <w:bCs/>
          <w:rtl/>
        </w:rPr>
        <w:t xml:space="preserve"> 65ג </w:t>
      </w:r>
      <w:r w:rsidRPr="00D63275">
        <w:rPr>
          <w:rtl/>
        </w:rPr>
        <w:t>(2015)</w:t>
      </w:r>
      <w:r>
        <w:rPr>
          <w:rFonts w:hint="cs"/>
          <w:rtl/>
        </w:rPr>
        <w:t xml:space="preserve">, </w:t>
      </w:r>
      <w:r w:rsidRPr="00C948BF">
        <w:rPr>
          <w:rFonts w:hint="cs"/>
          <w:rtl/>
        </w:rPr>
        <w:t>"אי</w:t>
      </w:r>
      <w:r>
        <w:rPr>
          <w:rFonts w:hint="cs"/>
          <w:rtl/>
        </w:rPr>
        <w:t>-</w:t>
      </w:r>
      <w:r w:rsidRPr="00C948BF">
        <w:rPr>
          <w:rFonts w:hint="cs"/>
          <w:rtl/>
        </w:rPr>
        <w:t>מיצוי של זכויות חברתיות</w:t>
      </w:r>
      <w:r>
        <w:rPr>
          <w:rFonts w:hint="cs"/>
          <w:rtl/>
        </w:rPr>
        <w:t>".</w:t>
      </w:r>
      <w:r w:rsidRPr="008C29FA">
        <w:rPr>
          <w:rFonts w:hint="cs"/>
          <w:rtl/>
        </w:rPr>
        <w:t xml:space="preserve"> </w:t>
      </w:r>
      <w:r>
        <w:rPr>
          <w:rFonts w:hint="cs"/>
          <w:rtl/>
        </w:rPr>
        <w:t xml:space="preserve">ראו גם קובץ התקנות 7165, תקנות האזרחים הוותיקים (שליחה ופרסום של חבורת מידע), התשע"ג-2012, עמ' 10 - חוק האזרחים הוותיקים והתקנות מכוחו </w:t>
      </w:r>
      <w:r w:rsidRPr="00255397">
        <w:rPr>
          <w:rFonts w:hint="cs"/>
          <w:rtl/>
        </w:rPr>
        <w:t>מחייב</w:t>
      </w:r>
      <w:r>
        <w:rPr>
          <w:rFonts w:hint="cs"/>
          <w:rtl/>
        </w:rPr>
        <w:t>ים</w:t>
      </w:r>
      <w:r w:rsidRPr="00255397">
        <w:rPr>
          <w:rFonts w:hint="cs"/>
          <w:rtl/>
        </w:rPr>
        <w:t xml:space="preserve"> יידוע </w:t>
      </w:r>
      <w:r>
        <w:rPr>
          <w:rFonts w:hint="cs"/>
          <w:rtl/>
        </w:rPr>
        <w:t xml:space="preserve">פעיל של הזקנים על זכויותיהם. </w:t>
      </w:r>
    </w:p>
  </w:footnote>
  <w:footnote w:id="148">
    <w:p w:rsidR="00CC16EC" w:rsidP="00861D72">
      <w:pPr>
        <w:pStyle w:val="FootnoteText"/>
        <w:rPr>
          <w:rtl/>
        </w:rPr>
      </w:pPr>
      <w:r>
        <w:rPr>
          <w:rStyle w:val="FootnoteReference1"/>
        </w:rPr>
        <w:footnoteRef/>
      </w:r>
      <w:r>
        <w:rPr>
          <w:rtl/>
        </w:rPr>
        <w:t xml:space="preserve"> </w:t>
      </w:r>
      <w:r>
        <w:rPr>
          <w:rtl/>
        </w:rPr>
        <w:tab/>
      </w:r>
      <w:r>
        <w:rPr>
          <w:rFonts w:hint="cs"/>
          <w:rtl/>
        </w:rPr>
        <w:t xml:space="preserve">על החסם בנוגע לחוסר מודעות וידע ראו בדוח הנציבות, אתגרים ויעדים במתן שירות לבני הגיל השלישי, עמ' 124 ; על החסם הפסיכולוגי-חברתי-תרבות ראו </w:t>
      </w:r>
      <w:r w:rsidR="00011037">
        <w:rPr>
          <w:rFonts w:hint="cs"/>
          <w:rtl/>
        </w:rPr>
        <w:t xml:space="preserve">א' </w:t>
      </w:r>
      <w:r>
        <w:rPr>
          <w:rFonts w:hint="cs"/>
          <w:rtl/>
        </w:rPr>
        <w:t>בבניש</w:t>
      </w:r>
      <w:r>
        <w:rPr>
          <w:rFonts w:hint="cs"/>
          <w:rtl/>
        </w:rPr>
        <w:t xml:space="preserve">, </w:t>
      </w:r>
      <w:r w:rsidR="00011037">
        <w:rPr>
          <w:rFonts w:hint="cs"/>
          <w:rtl/>
        </w:rPr>
        <w:t xml:space="preserve">ד' </w:t>
      </w:r>
      <w:r>
        <w:rPr>
          <w:rFonts w:hint="cs"/>
          <w:rtl/>
        </w:rPr>
        <w:t>דוד, ״</w:t>
      </w:r>
      <w:r w:rsidRPr="00D63275">
        <w:rPr>
          <w:rFonts w:hint="eastAsia"/>
          <w:rtl/>
        </w:rPr>
        <w:t>פרקטיקה</w:t>
      </w:r>
      <w:r w:rsidRPr="00D63275">
        <w:rPr>
          <w:rtl/>
        </w:rPr>
        <w:t xml:space="preserve"> </w:t>
      </w:r>
      <w:r w:rsidRPr="00D63275">
        <w:rPr>
          <w:rFonts w:hint="eastAsia"/>
          <w:rtl/>
        </w:rPr>
        <w:t>של</w:t>
      </w:r>
      <w:r w:rsidRPr="00D63275">
        <w:rPr>
          <w:rtl/>
        </w:rPr>
        <w:t xml:space="preserve"> </w:t>
      </w:r>
      <w:r w:rsidRPr="00D63275">
        <w:rPr>
          <w:rFonts w:hint="eastAsia"/>
          <w:rtl/>
        </w:rPr>
        <w:t>מיצוי</w:t>
      </w:r>
      <w:r w:rsidRPr="00D63275">
        <w:rPr>
          <w:rtl/>
        </w:rPr>
        <w:t xml:space="preserve"> </w:t>
      </w:r>
      <w:r w:rsidRPr="00D63275">
        <w:rPr>
          <w:rFonts w:hint="eastAsia"/>
          <w:rtl/>
        </w:rPr>
        <w:t>זכויות</w:t>
      </w:r>
      <w:r w:rsidRPr="00D63275">
        <w:rPr>
          <w:rtl/>
        </w:rPr>
        <w:t xml:space="preserve"> </w:t>
      </w:r>
      <w:r w:rsidRPr="00D63275">
        <w:rPr>
          <w:rFonts w:hint="eastAsia"/>
          <w:rtl/>
        </w:rPr>
        <w:t>חברתיות</w:t>
      </w:r>
      <w:r w:rsidRPr="00D63275">
        <w:rPr>
          <w:rtl/>
        </w:rPr>
        <w:t xml:space="preserve"> </w:t>
      </w:r>
      <w:r w:rsidRPr="00D63275">
        <w:rPr>
          <w:rFonts w:hint="eastAsia"/>
          <w:rtl/>
        </w:rPr>
        <w:t>כאבן</w:t>
      </w:r>
      <w:r w:rsidRPr="00D63275">
        <w:rPr>
          <w:rtl/>
        </w:rPr>
        <w:t xml:space="preserve"> </w:t>
      </w:r>
      <w:r w:rsidRPr="00D63275">
        <w:rPr>
          <w:rFonts w:hint="eastAsia"/>
          <w:rtl/>
        </w:rPr>
        <w:t>יסוד</w:t>
      </w:r>
      <w:r w:rsidRPr="00D63275">
        <w:rPr>
          <w:rtl/>
        </w:rPr>
        <w:t xml:space="preserve"> </w:t>
      </w:r>
      <w:r w:rsidRPr="00D63275">
        <w:rPr>
          <w:rFonts w:hint="eastAsia"/>
          <w:rtl/>
        </w:rPr>
        <w:t>במקצוע</w:t>
      </w:r>
      <w:r w:rsidRPr="00D63275">
        <w:rPr>
          <w:rtl/>
        </w:rPr>
        <w:t xml:space="preserve"> </w:t>
      </w:r>
      <w:r w:rsidRPr="00D63275">
        <w:rPr>
          <w:rFonts w:hint="eastAsia"/>
          <w:rtl/>
        </w:rPr>
        <w:t>העבודה</w:t>
      </w:r>
      <w:r w:rsidRPr="00D63275">
        <w:rPr>
          <w:rtl/>
        </w:rPr>
        <w:t xml:space="preserve"> </w:t>
      </w:r>
      <w:r w:rsidRPr="00D63275">
        <w:rPr>
          <w:rFonts w:hint="eastAsia"/>
          <w:rtl/>
        </w:rPr>
        <w:t>הסוציאלית</w:t>
      </w:r>
      <w:r>
        <w:rPr>
          <w:rFonts w:hint="cs"/>
          <w:rtl/>
        </w:rPr>
        <w:t>״,</w:t>
      </w:r>
      <w:r>
        <w:rPr>
          <w:rFonts w:hint="cs"/>
          <w:b/>
          <w:bCs/>
          <w:rtl/>
        </w:rPr>
        <w:t xml:space="preserve"> </w:t>
      </w:r>
      <w:r w:rsidRPr="00D63275">
        <w:rPr>
          <w:rFonts w:hint="eastAsia"/>
          <w:b/>
          <w:bCs/>
          <w:rtl/>
        </w:rPr>
        <w:t>חברה</w:t>
      </w:r>
      <w:r w:rsidRPr="00D63275">
        <w:rPr>
          <w:b/>
          <w:bCs/>
          <w:rtl/>
        </w:rPr>
        <w:t xml:space="preserve"> </w:t>
      </w:r>
      <w:r w:rsidRPr="00D63275">
        <w:rPr>
          <w:rFonts w:hint="eastAsia"/>
          <w:b/>
          <w:bCs/>
          <w:rtl/>
        </w:rPr>
        <w:t>ורווחה</w:t>
      </w:r>
      <w:r>
        <w:rPr>
          <w:rFonts w:hint="cs"/>
          <w:rtl/>
        </w:rPr>
        <w:t xml:space="preserve"> מ"ד, 3 (ספטמבר 2021), עמ׳ 304 - 314.;</w:t>
      </w:r>
      <w:r>
        <w:rPr>
          <w:rFonts w:hint="cs"/>
        </w:rPr>
        <w:t xml:space="preserve"> </w:t>
      </w:r>
      <w:r>
        <w:rPr>
          <w:rFonts w:hint="cs"/>
          <w:rtl/>
        </w:rPr>
        <w:t xml:space="preserve">על החסם הנוגע לדיגיטציה ראו ב: מבקר </w:t>
      </w:r>
      <w:r w:rsidRPr="001B6087">
        <w:rPr>
          <w:rFonts w:hint="cs"/>
          <w:rtl/>
        </w:rPr>
        <w:t>המדינה</w:t>
      </w:r>
      <w:r>
        <w:rPr>
          <w:rFonts w:hint="cs"/>
          <w:rtl/>
        </w:rPr>
        <w:t xml:space="preserve">, </w:t>
      </w:r>
      <w:r w:rsidRPr="006C369C">
        <w:rPr>
          <w:rFonts w:hint="eastAsia"/>
          <w:b/>
          <w:bCs/>
          <w:rtl/>
        </w:rPr>
        <w:t>הנגשת</w:t>
      </w:r>
      <w:r w:rsidRPr="006C369C">
        <w:rPr>
          <w:b/>
          <w:bCs/>
          <w:rtl/>
        </w:rPr>
        <w:t xml:space="preserve"> שירותי</w:t>
      </w:r>
      <w:r w:rsidRPr="006C369C">
        <w:rPr>
          <w:rFonts w:hint="cs"/>
          <w:b/>
          <w:bCs/>
          <w:rtl/>
        </w:rPr>
        <w:t xml:space="preserve"> ממשל בעידן הדיגיטלי לאנשים עם מוגבלות ולציבור שאינו משתמש במדיה הדיגיטלית</w:t>
      </w:r>
      <w:r>
        <w:rPr>
          <w:rFonts w:hint="cs"/>
          <w:rtl/>
        </w:rPr>
        <w:t xml:space="preserve"> (</w:t>
      </w:r>
      <w:r w:rsidRPr="001B6087">
        <w:rPr>
          <w:rtl/>
        </w:rPr>
        <w:t>2023</w:t>
      </w:r>
      <w:r>
        <w:rPr>
          <w:rFonts w:hint="cs"/>
          <w:rtl/>
        </w:rPr>
        <w:t>).</w:t>
      </w:r>
    </w:p>
  </w:footnote>
  <w:footnote w:id="149">
    <w:p w:rsidR="00CC16EC" w:rsidP="00861D72">
      <w:pPr>
        <w:pStyle w:val="FootnoteText"/>
      </w:pPr>
      <w:r>
        <w:rPr>
          <w:rStyle w:val="FootnoteReference1"/>
        </w:rPr>
        <w:footnoteRef/>
      </w:r>
      <w:r>
        <w:rPr>
          <w:rtl/>
        </w:rPr>
        <w:t xml:space="preserve"> </w:t>
      </w:r>
      <w:r>
        <w:rPr>
          <w:rtl/>
        </w:rPr>
        <w:tab/>
      </w:r>
      <w:r>
        <w:rPr>
          <w:rFonts w:hint="cs"/>
          <w:rtl/>
        </w:rPr>
        <w:t xml:space="preserve">הודעה לתקשורת חודש האזרח הוותיק 2024. מבחר נתונים על אזרחי ישראל הוותיקים בני 65 ומעלה, עמ' 2. </w:t>
      </w:r>
    </w:p>
  </w:footnote>
  <w:footnote w:id="150">
    <w:p w:rsidR="00CC16EC" w:rsidP="00861D72">
      <w:pPr>
        <w:pStyle w:val="FootnoteText"/>
      </w:pPr>
      <w:r>
        <w:rPr>
          <w:rStyle w:val="FootnoteReference1"/>
        </w:rPr>
        <w:footnoteRef/>
      </w:r>
      <w:r>
        <w:rPr>
          <w:rtl/>
        </w:rPr>
        <w:t xml:space="preserve"> </w:t>
      </w:r>
      <w:r>
        <w:rPr>
          <w:rtl/>
        </w:rPr>
        <w:tab/>
      </w:r>
      <w:r>
        <w:rPr>
          <w:rFonts w:hint="cs"/>
          <w:rtl/>
        </w:rPr>
        <w:t>ראו גם דוח מסכם צוות לשיפור העברת מידע בין משרדים ויחידות סמך, (יולי 2016), עמ' 8.</w:t>
      </w:r>
    </w:p>
  </w:footnote>
  <w:footnote w:id="151">
    <w:p w:rsidR="00CC16EC" w:rsidP="00861D72">
      <w:pPr>
        <w:pStyle w:val="FootnoteText"/>
      </w:pPr>
      <w:r>
        <w:rPr>
          <w:rStyle w:val="FootnoteReference1"/>
        </w:rPr>
        <w:footnoteRef/>
      </w:r>
      <w:r>
        <w:rPr>
          <w:rtl/>
        </w:rPr>
        <w:t xml:space="preserve"> </w:t>
      </w:r>
      <w:r>
        <w:rPr>
          <w:rtl/>
        </w:rPr>
        <w:tab/>
      </w:r>
      <w:r>
        <w:rPr>
          <w:rFonts w:ascii="David" w:hAnsi="David"/>
          <w:rtl/>
        </w:rPr>
        <w:t>מיזם להקניית מיומנויות וכישורים דיגיטלית לאנשים חסרי אוריינות דיגיטלית</w:t>
      </w:r>
      <w:r>
        <w:rPr>
          <w:rFonts w:hint="cs"/>
          <w:rtl/>
        </w:rPr>
        <w:t>.</w:t>
      </w:r>
    </w:p>
  </w:footnote>
  <w:footnote w:id="152">
    <w:p w:rsidR="00CC16EC" w:rsidP="00861D72">
      <w:pPr>
        <w:pStyle w:val="FootnoteText"/>
        <w:rPr>
          <w:rtl/>
        </w:rPr>
      </w:pPr>
      <w:r>
        <w:rPr>
          <w:rStyle w:val="FootnoteReference1"/>
        </w:rPr>
        <w:footnoteRef/>
      </w:r>
      <w:r>
        <w:rPr>
          <w:rtl/>
        </w:rPr>
        <w:t xml:space="preserve"> </w:t>
      </w:r>
      <w:r>
        <w:rPr>
          <w:rtl/>
        </w:rPr>
        <w:tab/>
      </w:r>
      <w:r>
        <w:rPr>
          <w:rtl/>
        </w:rPr>
        <w:t xml:space="preserve">הפלטפורמה ללמידה דיגיטלית של מערך </w:t>
      </w:r>
      <w:r>
        <w:rPr>
          <w:rtl/>
        </w:rPr>
        <w:t>הדיגיטל</w:t>
      </w:r>
      <w:r>
        <w:rPr>
          <w:rtl/>
        </w:rPr>
        <w:t xml:space="preserve"> הלאומי</w:t>
      </w:r>
      <w:r>
        <w:rPr>
          <w:rFonts w:hint="cs"/>
          <w:rtl/>
        </w:rPr>
        <w:t>.</w:t>
      </w:r>
    </w:p>
  </w:footnote>
  <w:footnote w:id="153">
    <w:p w:rsidR="00CC16EC" w:rsidP="00861D72">
      <w:pPr>
        <w:pStyle w:val="FootnoteText"/>
        <w:rPr>
          <w:rtl/>
        </w:rPr>
      </w:pPr>
      <w:r>
        <w:rPr>
          <w:rStyle w:val="FootnoteReference1"/>
        </w:rPr>
        <w:footnoteRef/>
      </w:r>
      <w:r>
        <w:rPr>
          <w:rtl/>
        </w:rPr>
        <w:t xml:space="preserve"> </w:t>
      </w:r>
      <w:r>
        <w:rPr>
          <w:rtl/>
        </w:rPr>
        <w:tab/>
      </w:r>
      <w:r>
        <w:rPr>
          <w:rFonts w:hint="cs"/>
          <w:rtl/>
        </w:rPr>
        <w:t>מנוע הזכויות הלאומי [</w:t>
      </w:r>
      <w:hyperlink r:id="rId17" w:history="1">
        <w:r w:rsidRPr="001F145C">
          <w:rPr>
            <w:rStyle w:val="Hyperlink"/>
          </w:rPr>
          <w:t>https://www.gov.il/he/service/national-rights-engine-service</w:t>
        </w:r>
      </w:hyperlink>
      <w:r>
        <w:rPr>
          <w:rFonts w:hint="cs"/>
          <w:rtl/>
        </w:rPr>
        <w:t>].</w:t>
      </w:r>
    </w:p>
  </w:footnote>
  <w:footnote w:id="154">
    <w:p w:rsidR="00CC16EC" w:rsidRPr="008605F5" w:rsidP="00861D72">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היבטים בקידום שילובם של יוצאי אתיופיה - פגמים מהותיים בניהול תכנית לאומית </w:t>
      </w:r>
      <w:r>
        <w:rPr>
          <w:rFonts w:hint="cs"/>
          <w:rtl/>
        </w:rPr>
        <w:t>(2012), עמ' 7.</w:t>
      </w:r>
    </w:p>
  </w:footnote>
  <w:footnote w:id="155">
    <w:p w:rsidR="00CC16EC" w:rsidRPr="003454BF" w:rsidP="00861D72">
      <w:pPr>
        <w:pStyle w:val="FootnoteText"/>
      </w:pPr>
      <w:r>
        <w:rPr>
          <w:rStyle w:val="FootnoteReference1"/>
        </w:rPr>
        <w:footnoteRef/>
      </w:r>
      <w:r>
        <w:rPr>
          <w:rtl/>
        </w:rPr>
        <w:t xml:space="preserve"> </w:t>
      </w:r>
      <w:r>
        <w:rPr>
          <w:rtl/>
        </w:rPr>
        <w:tab/>
      </w:r>
      <w:r>
        <w:rPr>
          <w:rFonts w:hint="cs"/>
          <w:rtl/>
        </w:rPr>
        <w:t xml:space="preserve">ריטה </w:t>
      </w:r>
      <w:r>
        <w:rPr>
          <w:rFonts w:hint="cs"/>
          <w:rtl/>
        </w:rPr>
        <w:t>גולשטיין-גלפרין</w:t>
      </w:r>
      <w:r>
        <w:rPr>
          <w:rFonts w:hint="cs"/>
          <w:rtl/>
        </w:rPr>
        <w:t xml:space="preserve"> ושי עמית, "המדינה האסטרטגית 2048: כיצד מטמיעים תכנון אסטרטגי ארוך טווח בישראל?", כנס אלי הורביץ לכלכלה וחברה 2025.</w:t>
      </w:r>
    </w:p>
  </w:footnote>
  <w:footnote w:id="156">
    <w:p w:rsidR="00CC16EC" w:rsidP="00861D72">
      <w:pPr>
        <w:pStyle w:val="FootnoteText"/>
        <w:rPr>
          <w:rtl/>
        </w:rPr>
      </w:pPr>
      <w:r>
        <w:rPr>
          <w:rStyle w:val="FootnoteReference1"/>
        </w:rPr>
        <w:footnoteRef/>
      </w:r>
      <w:r>
        <w:rPr>
          <w:rtl/>
        </w:rPr>
        <w:t xml:space="preserve"> </w:t>
      </w:r>
      <w:r>
        <w:rPr>
          <w:rtl/>
        </w:rPr>
        <w:tab/>
      </w:r>
      <w:r>
        <w:t>OECD, "whole-of -government development co-operation", (2022) [link]; OECD, "Government at a Glance 2025", (19/6/2025)</w:t>
      </w:r>
      <w:r>
        <w:rPr>
          <w:rFonts w:hint="cs"/>
          <w:rtl/>
        </w:rPr>
        <w:t xml:space="preserve"> </w:t>
      </w:r>
      <w:r>
        <w:t>UN Decade of Healthy Ageing: Plan of Action 2021-2030</w:t>
      </w:r>
    </w:p>
  </w:footnote>
  <w:footnote w:id="157">
    <w:p w:rsidR="00CC16EC" w:rsidP="00861D72">
      <w:pPr>
        <w:pStyle w:val="FootnoteText"/>
        <w:rPr>
          <w:rtl/>
        </w:rPr>
      </w:pPr>
      <w:r>
        <w:rPr>
          <w:rStyle w:val="FootnoteReference1"/>
        </w:rPr>
        <w:footnoteRef/>
      </w:r>
      <w:r>
        <w:rPr>
          <w:rtl/>
        </w:rPr>
        <w:t xml:space="preserve"> </w:t>
      </w:r>
      <w:r>
        <w:rPr>
          <w:rtl/>
        </w:rPr>
        <w:tab/>
      </w:r>
      <w:r>
        <w:t xml:space="preserve">OECD, Toolkit for the preparation, implementation, monitoring, reporting and evaluation of public administration reform and sector strategies, Guidance for SIGMA partners, SIGMA PAPER No. 57 (2018) </w:t>
      </w:r>
    </w:p>
  </w:footnote>
  <w:footnote w:id="158">
    <w:p w:rsidR="00CC16EC" w:rsidRPr="004D4419" w:rsidP="00861D72">
      <w:pPr>
        <w:pStyle w:val="FootnoteText"/>
      </w:pPr>
      <w:r>
        <w:rPr>
          <w:rStyle w:val="FootnoteReference1"/>
        </w:rPr>
        <w:footnoteRef/>
      </w:r>
      <w:r>
        <w:rPr>
          <w:rtl/>
        </w:rPr>
        <w:t xml:space="preserve"> </w:t>
      </w:r>
      <w:r>
        <w:rPr>
          <w:rtl/>
        </w:rPr>
        <w:tab/>
      </w:r>
      <w:r>
        <w:rPr>
          <w:rFonts w:hint="cs"/>
          <w:rtl/>
        </w:rPr>
        <w:t xml:space="preserve">ריטה </w:t>
      </w:r>
      <w:r>
        <w:rPr>
          <w:rFonts w:hint="cs"/>
          <w:rtl/>
        </w:rPr>
        <w:t>גולשטיין-גלפרין</w:t>
      </w:r>
      <w:r>
        <w:rPr>
          <w:rFonts w:hint="cs"/>
          <w:rtl/>
        </w:rPr>
        <w:t>, ושי עמית, המדינה האסטרטגית 2048: כיצד מטמיעים תכנון אסטרטגי ארוך טווח בישראל?, כנס אלי הורביץ לכלכלה וחברה 2025 של המכון הישראלי לדמוקרטיה, עמ' 19 - 20.</w:t>
      </w:r>
    </w:p>
  </w:footnote>
  <w:footnote w:id="159">
    <w:p w:rsidR="00CC16EC" w:rsidP="00861D72">
      <w:pPr>
        <w:pStyle w:val="FootnoteText"/>
      </w:pPr>
      <w:r>
        <w:rPr>
          <w:rStyle w:val="FootnoteReference1"/>
        </w:rPr>
        <w:footnoteRef/>
      </w:r>
      <w:r>
        <w:rPr>
          <w:rtl/>
        </w:rPr>
        <w:t xml:space="preserve"> </w:t>
      </w:r>
      <w:r>
        <w:rPr>
          <w:rtl/>
        </w:rPr>
        <w:tab/>
      </w:r>
      <w:r>
        <w:t>Kim, J. and S. Dougherty (eds.) (2020), Ageing and Fiscal Challenges across Levels of Government, OECD Fiscal Federalism Studies, OECD Publishing, Paris</w:t>
      </w:r>
    </w:p>
  </w:footnote>
  <w:footnote w:id="160">
    <w:p w:rsidR="00CC16EC" w:rsidRPr="00AE7DB9" w:rsidP="00861D72">
      <w:pPr>
        <w:pStyle w:val="FootnoteText"/>
        <w:rPr>
          <w:rtl/>
        </w:rPr>
      </w:pPr>
      <w:r>
        <w:rPr>
          <w:rStyle w:val="FootnoteReference1"/>
        </w:rPr>
        <w:footnoteRef/>
      </w:r>
      <w:r>
        <w:rPr>
          <w:rtl/>
        </w:rPr>
        <w:t xml:space="preserve"> </w:t>
      </w:r>
      <w:r>
        <w:rPr>
          <w:rtl/>
        </w:rPr>
        <w:tab/>
      </w:r>
      <w:r w:rsidRPr="00AE7DB9">
        <w:rPr>
          <w:rtl/>
        </w:rPr>
        <w:t xml:space="preserve">החלטת </w:t>
      </w:r>
      <w:r>
        <w:rPr>
          <w:rFonts w:hint="cs"/>
          <w:rtl/>
        </w:rPr>
        <w:t>ה</w:t>
      </w:r>
      <w:r w:rsidRPr="00AE7DB9">
        <w:rPr>
          <w:rtl/>
        </w:rPr>
        <w:t>ממשלה 2397</w:t>
      </w:r>
      <w:r>
        <w:rPr>
          <w:rFonts w:hint="cs"/>
          <w:rtl/>
        </w:rPr>
        <w:t>, ״</w:t>
      </w:r>
      <w:r w:rsidRPr="00AE7DB9">
        <w:rPr>
          <w:rtl/>
        </w:rPr>
        <w:t>תכנית לפיתוח כלכלי חברתי בקרב האוכלוסייה הבדואית בנגב 202</w:t>
      </w:r>
      <w:r>
        <w:rPr>
          <w:rFonts w:hint="cs"/>
          <w:rtl/>
        </w:rPr>
        <w:t xml:space="preserve">1 - </w:t>
      </w:r>
      <w:r w:rsidRPr="00AE7DB9">
        <w:rPr>
          <w:rtl/>
        </w:rPr>
        <w:t>2017</w:t>
      </w:r>
      <w:r>
        <w:rPr>
          <w:rFonts w:hint="cs"/>
          <w:rtl/>
        </w:rPr>
        <w:t>״ (12.2.17).</w:t>
      </w:r>
    </w:p>
  </w:footnote>
  <w:footnote w:id="161">
    <w:p w:rsidR="00CC16EC" w:rsidP="00861D72">
      <w:pPr>
        <w:pStyle w:val="FootnoteText"/>
      </w:pPr>
      <w:r>
        <w:rPr>
          <w:rStyle w:val="FootnoteReference1"/>
        </w:rPr>
        <w:footnoteRef/>
      </w:r>
      <w:r>
        <w:rPr>
          <w:rtl/>
        </w:rPr>
        <w:t xml:space="preserve"> </w:t>
      </w:r>
      <w:r>
        <w:rPr>
          <w:rtl/>
        </w:rPr>
        <w:tab/>
      </w:r>
      <w:r>
        <w:rPr>
          <w:rFonts w:hint="cs"/>
          <w:rtl/>
        </w:rPr>
        <w:t>החלטת הממשלה 1279, ״</w:t>
      </w:r>
      <w:r w:rsidRPr="000B46D5">
        <w:rPr>
          <w:rtl/>
        </w:rPr>
        <w:t xml:space="preserve">תכנית לפיתוח כלכלי חברתי בקרב האוכלוסייה הבדואית בנגב 2022 </w:t>
      </w:r>
      <w:r>
        <w:rPr>
          <w:rFonts w:hint="cs"/>
          <w:rtl/>
        </w:rPr>
        <w:t>-</w:t>
      </w:r>
      <w:r w:rsidRPr="000B46D5">
        <w:rPr>
          <w:rtl/>
        </w:rPr>
        <w:t xml:space="preserve"> 2026 ותיקון החלטות ממשלה</w:t>
      </w:r>
      <w:r>
        <w:rPr>
          <w:rFonts w:hint="cs"/>
          <w:rtl/>
        </w:rPr>
        <w:t>״ (14.3.22).</w:t>
      </w:r>
    </w:p>
  </w:footnote>
  <w:footnote w:id="162">
    <w:p w:rsidR="00CC16EC" w:rsidP="00861D72">
      <w:pPr>
        <w:pStyle w:val="FootnoteText"/>
        <w:rPr>
          <w:rtl/>
        </w:rPr>
      </w:pPr>
      <w:r>
        <w:rPr>
          <w:rStyle w:val="FootnoteReference1"/>
        </w:rPr>
        <w:footnoteRef/>
      </w:r>
      <w:r>
        <w:rPr>
          <w:rtl/>
        </w:rPr>
        <w:t xml:space="preserve"> </w:t>
      </w:r>
      <w:r>
        <w:rPr>
          <w:rtl/>
        </w:rPr>
        <w:tab/>
      </w:r>
      <w:r>
        <w:rPr>
          <w:rFonts w:hint="cs"/>
          <w:rtl/>
        </w:rPr>
        <w:t>החלטת הממשלה 922, ״</w:t>
      </w:r>
      <w:r w:rsidRPr="00451706">
        <w:rPr>
          <w:rtl/>
        </w:rPr>
        <w:t>פעילות הממשלה לפיתוח כלכלי באוכלוסיית המיעוטים בשנים</w:t>
      </w:r>
      <w:r>
        <w:rPr>
          <w:rFonts w:hint="cs"/>
          <w:rtl/>
        </w:rPr>
        <w:t xml:space="preserve"> 2016 </w:t>
      </w:r>
      <w:r>
        <w:rPr>
          <w:rtl/>
        </w:rPr>
        <w:t>-</w:t>
      </w:r>
      <w:r>
        <w:rPr>
          <w:rFonts w:hint="cs"/>
          <w:rtl/>
        </w:rPr>
        <w:t xml:space="preserve"> 2020, (30.12.15).</w:t>
      </w:r>
    </w:p>
  </w:footnote>
  <w:footnote w:id="163">
    <w:p w:rsidR="00CC16EC" w:rsidP="00861D72">
      <w:pPr>
        <w:pStyle w:val="FootnoteText"/>
      </w:pPr>
      <w:r>
        <w:rPr>
          <w:rStyle w:val="FootnoteReference1"/>
        </w:rPr>
        <w:footnoteRef/>
      </w:r>
      <w:r>
        <w:rPr>
          <w:rtl/>
        </w:rPr>
        <w:t xml:space="preserve"> </w:t>
      </w:r>
      <w:r>
        <w:rPr>
          <w:rtl/>
        </w:rPr>
        <w:tab/>
      </w:r>
      <w:r>
        <w:rPr>
          <w:rFonts w:hint="cs"/>
          <w:rtl/>
        </w:rPr>
        <w:t>החלטת הממשלה 550, ״</w:t>
      </w:r>
      <w:r w:rsidRPr="00DC3A30">
        <w:rPr>
          <w:rtl/>
        </w:rPr>
        <w:t>התוכנית הכלכלית לצמצום פערים בחברה הערבית עד לשנת 2026</w:t>
      </w:r>
      <w:r>
        <w:rPr>
          <w:rFonts w:hint="cs"/>
          <w:rtl/>
        </w:rPr>
        <w:t>״</w:t>
      </w:r>
      <w:r w:rsidRPr="00DC3A30">
        <w:rPr>
          <w:rFonts w:hint="cs"/>
          <w:rtl/>
        </w:rPr>
        <w:t xml:space="preserve"> </w:t>
      </w:r>
      <w:r>
        <w:rPr>
          <w:rFonts w:hint="cs"/>
          <w:rtl/>
        </w:rPr>
        <w:t>(24.10.21).</w:t>
      </w:r>
    </w:p>
  </w:footnote>
  <w:footnote w:id="164">
    <w:p w:rsidR="00CC16EC" w:rsidP="00861D72">
      <w:pPr>
        <w:pStyle w:val="FootnoteText"/>
        <w:rPr>
          <w:rtl/>
        </w:rPr>
      </w:pPr>
      <w:r>
        <w:rPr>
          <w:rStyle w:val="FootnoteReference1"/>
        </w:rPr>
        <w:footnoteRef/>
      </w:r>
      <w:r>
        <w:rPr>
          <w:rtl/>
        </w:rPr>
        <w:t xml:space="preserve"> </w:t>
      </w:r>
      <w:r>
        <w:rPr>
          <w:rtl/>
        </w:rPr>
        <w:tab/>
      </w:r>
      <w:r>
        <w:rPr>
          <w:rtl/>
        </w:rPr>
        <w:t>החלט</w:t>
      </w:r>
      <w:r>
        <w:rPr>
          <w:rFonts w:hint="cs"/>
          <w:rtl/>
        </w:rPr>
        <w:t>ת הממשלה</w:t>
      </w:r>
      <w:r>
        <w:rPr>
          <w:rtl/>
        </w:rPr>
        <w:t xml:space="preserve"> 3116</w:t>
      </w:r>
      <w:r>
        <w:rPr>
          <w:rFonts w:hint="cs"/>
          <w:rtl/>
        </w:rPr>
        <w:t>,</w:t>
      </w:r>
      <w:r>
        <w:rPr>
          <w:rtl/>
        </w:rPr>
        <w:t xml:space="preserve"> </w:t>
      </w:r>
      <w:r>
        <w:rPr>
          <w:rFonts w:hint="cs"/>
          <w:rtl/>
        </w:rPr>
        <w:t>״</w:t>
      </w:r>
      <w:r>
        <w:rPr>
          <w:rtl/>
        </w:rPr>
        <w:t>תכנית חומש לשיפור קליטת בני העדה האתיופית</w:t>
      </w:r>
      <w:r>
        <w:rPr>
          <w:rFonts w:hint="cs"/>
          <w:rtl/>
        </w:rPr>
        <w:t>״ (</w:t>
      </w:r>
      <w:r>
        <w:rPr>
          <w:rtl/>
        </w:rPr>
        <w:t>10.2.08</w:t>
      </w:r>
      <w:r>
        <w:rPr>
          <w:rFonts w:hint="cs"/>
          <w:rtl/>
        </w:rPr>
        <w:t>).</w:t>
      </w:r>
    </w:p>
  </w:footnote>
  <w:footnote w:id="165">
    <w:p w:rsidR="00CC16EC" w:rsidP="00861D72">
      <w:pPr>
        <w:pStyle w:val="FootnoteText"/>
        <w:rPr>
          <w:rtl/>
        </w:rPr>
      </w:pPr>
      <w:r>
        <w:rPr>
          <w:rStyle w:val="FootnoteReference1"/>
        </w:rPr>
        <w:footnoteRef/>
      </w:r>
      <w:r>
        <w:rPr>
          <w:rtl/>
        </w:rPr>
        <w:t xml:space="preserve"> </w:t>
      </w:r>
      <w:r>
        <w:rPr>
          <w:rtl/>
        </w:rPr>
        <w:tab/>
      </w:r>
      <w:r>
        <w:rPr>
          <w:rtl/>
        </w:rPr>
        <w:t>החלט</w:t>
      </w:r>
      <w:r>
        <w:rPr>
          <w:rFonts w:hint="cs"/>
          <w:rtl/>
        </w:rPr>
        <w:t>ת</w:t>
      </w:r>
      <w:r>
        <w:rPr>
          <w:rtl/>
        </w:rPr>
        <w:t xml:space="preserve"> </w:t>
      </w:r>
      <w:r>
        <w:rPr>
          <w:rFonts w:hint="cs"/>
          <w:rtl/>
        </w:rPr>
        <w:t>ה</w:t>
      </w:r>
      <w:r>
        <w:rPr>
          <w:rtl/>
        </w:rPr>
        <w:t>מ</w:t>
      </w:r>
      <w:r>
        <w:rPr>
          <w:rFonts w:hint="cs"/>
          <w:rtl/>
        </w:rPr>
        <w:t>משלה</w:t>
      </w:r>
      <w:r>
        <w:rPr>
          <w:rtl/>
        </w:rPr>
        <w:t xml:space="preserve"> 3790</w:t>
      </w:r>
      <w:r>
        <w:rPr>
          <w:rFonts w:hint="cs"/>
          <w:rtl/>
        </w:rPr>
        <w:t>,</w:t>
      </w:r>
      <w:r>
        <w:rPr>
          <w:rtl/>
        </w:rPr>
        <w:t xml:space="preserve"> </w:t>
      </w:r>
      <w:r>
        <w:rPr>
          <w:rFonts w:hint="cs"/>
          <w:rtl/>
        </w:rPr>
        <w:t>״</w:t>
      </w:r>
      <w:r>
        <w:rPr>
          <w:rtl/>
        </w:rPr>
        <w:t>צמצום פערים חברתיים כלכליים ופיתוח כלכלי במזרח ירושלים</w:t>
      </w:r>
      <w:r>
        <w:rPr>
          <w:rFonts w:hint="cs"/>
          <w:rtl/>
        </w:rPr>
        <w:t>״ (</w:t>
      </w:r>
      <w:r>
        <w:rPr>
          <w:rtl/>
        </w:rPr>
        <w:t>13.5.18</w:t>
      </w:r>
      <w:r>
        <w:rPr>
          <w:rFonts w:hint="cs"/>
          <w:rtl/>
        </w:rPr>
        <w:t>).</w:t>
      </w:r>
    </w:p>
  </w:footnote>
  <w:footnote w:id="166">
    <w:p w:rsidR="00CC16EC" w:rsidP="00861D72">
      <w:pPr>
        <w:pStyle w:val="FootnoteText"/>
        <w:rPr>
          <w:rtl/>
        </w:rPr>
      </w:pPr>
      <w:r>
        <w:rPr>
          <w:rStyle w:val="FootnoteReference1"/>
        </w:rPr>
        <w:footnoteRef/>
      </w:r>
      <w:r>
        <w:rPr>
          <w:rtl/>
        </w:rPr>
        <w:t xml:space="preserve"> </w:t>
      </w:r>
      <w:r>
        <w:rPr>
          <w:rtl/>
        </w:rPr>
        <w:tab/>
      </w:r>
      <w:r>
        <w:rPr>
          <w:rFonts w:hint="cs"/>
          <w:rtl/>
        </w:rPr>
        <w:t>החלטת הממשלה 880, ״צמצום פערים חברתיים וכלכליים במזרח ירושלים״ (20.8.23).</w:t>
      </w:r>
    </w:p>
  </w:footnote>
  <w:footnote w:id="167">
    <w:p w:rsidR="00CC16EC" w:rsidP="00861D72">
      <w:pPr>
        <w:pStyle w:val="FootnoteText"/>
      </w:pPr>
      <w:r>
        <w:rPr>
          <w:rStyle w:val="FootnoteReference1"/>
        </w:rPr>
        <w:footnoteRef/>
      </w:r>
      <w:r>
        <w:rPr>
          <w:rtl/>
        </w:rPr>
        <w:t xml:space="preserve"> </w:t>
      </w:r>
      <w:r>
        <w:rPr>
          <w:rtl/>
        </w:rPr>
        <w:tab/>
      </w:r>
      <w:r>
        <w:rPr>
          <w:rtl/>
        </w:rPr>
        <w:t>החלט</w:t>
      </w:r>
      <w:r>
        <w:rPr>
          <w:rFonts w:hint="cs"/>
          <w:rtl/>
        </w:rPr>
        <w:t>ת הממשלה</w:t>
      </w:r>
      <w:r>
        <w:rPr>
          <w:rtl/>
        </w:rPr>
        <w:t xml:space="preserve"> 1512</w:t>
      </w:r>
      <w:r>
        <w:rPr>
          <w:rFonts w:hint="cs"/>
          <w:rtl/>
        </w:rPr>
        <w:t>,</w:t>
      </w:r>
      <w:r>
        <w:rPr>
          <w:rtl/>
        </w:rPr>
        <w:t xml:space="preserve"> </w:t>
      </w:r>
      <w:r>
        <w:rPr>
          <w:rFonts w:hint="cs"/>
          <w:rtl/>
        </w:rPr>
        <w:t>״</w:t>
      </w:r>
      <w:r>
        <w:rPr>
          <w:rtl/>
        </w:rPr>
        <w:t>תוכנית</w:t>
      </w:r>
      <w:r>
        <w:rPr>
          <w:rtl/>
        </w:rPr>
        <w:t xml:space="preserve"> החומש "לביא" לפיתוחה הכלכלי של ירושלים</w:t>
      </w:r>
      <w:r>
        <w:rPr>
          <w:rFonts w:hint="cs"/>
          <w:rtl/>
        </w:rPr>
        <w:t>״ (</w:t>
      </w:r>
      <w:r>
        <w:rPr>
          <w:rtl/>
        </w:rPr>
        <w:t>29.05.22</w:t>
      </w:r>
      <w:r>
        <w:rPr>
          <w:rFonts w:hint="cs"/>
          <w:rtl/>
        </w:rPr>
        <w:t>).</w:t>
      </w:r>
    </w:p>
  </w:footnote>
  <w:footnote w:id="168">
    <w:p w:rsidR="00CC16EC" w:rsidP="00861D72">
      <w:pPr>
        <w:pStyle w:val="FootnoteText"/>
      </w:pPr>
      <w:r>
        <w:rPr>
          <w:rStyle w:val="FootnoteReference1"/>
        </w:rPr>
        <w:footnoteRef/>
      </w:r>
      <w:r>
        <w:rPr>
          <w:rtl/>
        </w:rPr>
        <w:t xml:space="preserve"> </w:t>
      </w:r>
      <w:r>
        <w:rPr>
          <w:rtl/>
        </w:rPr>
        <w:tab/>
      </w:r>
      <w:r w:rsidRPr="00970258">
        <w:rPr>
          <w:rtl/>
        </w:rPr>
        <w:t xml:space="preserve">החלטת </w:t>
      </w:r>
      <w:r>
        <w:rPr>
          <w:rFonts w:hint="cs"/>
          <w:rtl/>
        </w:rPr>
        <w:t>ה</w:t>
      </w:r>
      <w:r w:rsidRPr="00970258">
        <w:rPr>
          <w:rtl/>
        </w:rPr>
        <w:t xml:space="preserve">ממשלה 150, "קידום הסוגיה האסטרטגית </w:t>
      </w:r>
      <w:r>
        <w:rPr>
          <w:rFonts w:hint="cs"/>
          <w:rtl/>
        </w:rPr>
        <w:t>׳</w:t>
      </w:r>
      <w:r w:rsidRPr="00970258">
        <w:rPr>
          <w:rtl/>
        </w:rPr>
        <w:t>היערכות להזדקנות האוכלוסייה</w:t>
      </w:r>
      <w:r>
        <w:rPr>
          <w:rFonts w:hint="cs"/>
          <w:rtl/>
        </w:rPr>
        <w:t>׳</w:t>
      </w:r>
      <w:r w:rsidRPr="00970258">
        <w:rPr>
          <w:rtl/>
        </w:rPr>
        <w:t xml:space="preserve"> כנגזרת מהערכת המצב האסטרטגית כלכלית-חברתית לממשלה"</w:t>
      </w:r>
      <w:r>
        <w:rPr>
          <w:rFonts w:hint="cs"/>
          <w:rtl/>
        </w:rPr>
        <w:t xml:space="preserve"> (</w:t>
      </w:r>
      <w:r w:rsidRPr="00970258">
        <w:rPr>
          <w:rtl/>
        </w:rPr>
        <w:t>28.6.15</w:t>
      </w:r>
      <w:r>
        <w:rPr>
          <w:rFonts w:hint="cs"/>
          <w:rtl/>
        </w:rPr>
        <w:t xml:space="preserve">). </w:t>
      </w:r>
    </w:p>
  </w:footnote>
  <w:footnote w:id="169">
    <w:p w:rsidR="00CC16EC" w:rsidP="00861D72">
      <w:pPr>
        <w:pStyle w:val="FootnoteText"/>
      </w:pPr>
      <w:r>
        <w:rPr>
          <w:rStyle w:val="FootnoteReference1"/>
        </w:rPr>
        <w:footnoteRef/>
      </w:r>
      <w:r>
        <w:rPr>
          <w:rtl/>
        </w:rPr>
        <w:t xml:space="preserve"> </w:t>
      </w:r>
      <w:r>
        <w:rPr>
          <w:rtl/>
        </w:rPr>
        <w:tab/>
      </w:r>
      <w:r w:rsidRPr="00970258">
        <w:rPr>
          <w:rtl/>
        </w:rPr>
        <w:t xml:space="preserve">החלטת הממשלה </w:t>
      </w:r>
      <w:r>
        <w:rPr>
          <w:rFonts w:hint="cs"/>
          <w:rtl/>
        </w:rPr>
        <w:t>127, "מפת מדדים לאומיים להזדקנות מיטבית" (19.7.20).</w:t>
      </w:r>
    </w:p>
  </w:footnote>
  <w:footnote w:id="170">
    <w:p w:rsidR="00CC16EC" w:rsidP="00861D72">
      <w:pPr>
        <w:pStyle w:val="FootnoteText"/>
        <w:rPr>
          <w:rtl/>
        </w:rPr>
      </w:pPr>
      <w:r>
        <w:rPr>
          <w:rStyle w:val="FootnoteReference1"/>
        </w:rPr>
        <w:footnoteRef/>
      </w:r>
      <w:r>
        <w:rPr>
          <w:rtl/>
        </w:rPr>
        <w:t xml:space="preserve"> </w:t>
      </w:r>
      <w:r>
        <w:rPr>
          <w:rtl/>
        </w:rPr>
        <w:tab/>
      </w:r>
      <w:r>
        <w:rPr>
          <w:rFonts w:hint="cs"/>
          <w:rtl/>
        </w:rPr>
        <w:t>ועדה המורכבת מנציגי המשרדים השותפים לתוכנית.</w:t>
      </w:r>
    </w:p>
  </w:footnote>
  <w:footnote w:id="171">
    <w:p w:rsidR="00CC16EC" w:rsidP="00861D72">
      <w:pPr>
        <w:pStyle w:val="FootnoteText"/>
        <w:rPr>
          <w:rtl/>
        </w:rPr>
      </w:pPr>
      <w:r>
        <w:rPr>
          <w:rStyle w:val="FootnoteReference1"/>
        </w:rPr>
        <w:footnoteRef/>
      </w:r>
      <w:r>
        <w:rPr>
          <w:rtl/>
        </w:rPr>
        <w:t xml:space="preserve"> </w:t>
      </w:r>
      <w:r>
        <w:rPr>
          <w:rtl/>
        </w:rPr>
        <w:tab/>
      </w:r>
      <w:r>
        <w:rPr>
          <w:rFonts w:hint="cs"/>
          <w:rtl/>
        </w:rPr>
        <w:t xml:space="preserve">ועדה אשר בראשה עומד </w:t>
      </w:r>
      <w:r w:rsidRPr="007524E3">
        <w:rPr>
          <w:rtl/>
        </w:rPr>
        <w:t xml:space="preserve">מנכ"ל משרד ירושלים ומורשת, </w:t>
      </w:r>
      <w:r>
        <w:rPr>
          <w:rFonts w:hint="cs"/>
          <w:rtl/>
        </w:rPr>
        <w:t xml:space="preserve">וחבריה הם </w:t>
      </w:r>
      <w:r w:rsidRPr="007524E3">
        <w:rPr>
          <w:rtl/>
        </w:rPr>
        <w:t>הממונה על התקציבים במשרד האוצר, מנכ"ל משרד ראש הממשלה או עובד משרדם ומנכ"ל עיריית ירושלים או עובד העירייה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16EC"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3173095</wp:posOffset>
              </wp:positionH>
              <wp:positionV relativeFrom="paragraph">
                <wp:posOffset>217170</wp:posOffset>
              </wp:positionV>
              <wp:extent cx="284924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849245" cy="285750"/>
                      </a:xfrm>
                      <a:prstGeom prst="rect">
                        <a:avLst/>
                      </a:prstGeom>
                      <a:noFill/>
                      <a:ln w="9525">
                        <a:noFill/>
                        <a:miter lim="800000"/>
                        <a:headEnd/>
                        <a:tailEnd/>
                      </a:ln>
                    </wps:spPr>
                    <wps:txbx>
                      <w:txbxContent>
                        <w:p w:rsidR="00CC16EC" w:rsidRPr="00EF461F" w:rsidP="00EF461F">
                          <w:pPr>
                            <w:rPr>
                              <w:rFonts w:ascii="Calibri" w:hAnsi="Calibri" w:cs="Calibri"/>
                              <w:b/>
                              <w:color w:val="002060"/>
                              <w:szCs w:val="20"/>
                              <w:rtl/>
                            </w:rPr>
                          </w:pPr>
                          <w:r>
                            <w:rPr>
                              <w:rFonts w:ascii="Calibri" w:hAnsi="Calibri" w:cs="Calibri" w:hint="cs"/>
                              <w:b/>
                              <w:color w:val="002060"/>
                              <w:szCs w:val="20"/>
                              <w:rtl/>
                            </w:rPr>
                            <w:t>מבוא</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24.35pt;height:22.5pt;margin-top:17.1pt;margin-left:249.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CC16EC" w:rsidRPr="00EF461F" w:rsidP="00EF461F">
                    <w:pPr>
                      <w:rPr>
                        <w:rFonts w:ascii="Calibri" w:hAnsi="Calibri" w:cs="Calibri"/>
                        <w:b/>
                        <w:color w:val="002060"/>
                        <w:szCs w:val="20"/>
                        <w:rtl/>
                      </w:rPr>
                    </w:pPr>
                    <w:r>
                      <w:rPr>
                        <w:rFonts w:ascii="Calibri" w:hAnsi="Calibri" w:cs="Calibri" w:hint="cs"/>
                        <w:b/>
                        <w:color w:val="002060"/>
                        <w:szCs w:val="20"/>
                        <w:rtl/>
                      </w:rPr>
                      <w:t>מבוא</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1678940</wp:posOffset>
              </wp:positionH>
              <wp:positionV relativeFrom="paragraph">
                <wp:posOffset>-100965</wp:posOffset>
              </wp:positionV>
              <wp:extent cx="4340860"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340860" cy="285750"/>
                      </a:xfrm>
                      <a:prstGeom prst="rect">
                        <a:avLst/>
                      </a:prstGeom>
                      <a:noFill/>
                      <a:ln w="9525">
                        <a:noFill/>
                        <a:miter lim="800000"/>
                        <a:headEnd/>
                        <a:tailEnd/>
                      </a:ln>
                    </wps:spPr>
                    <wps:txbx>
                      <w:txbxContent>
                        <w:p w:rsidR="00CC16EC"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41.8pt;height:22.5pt;margin-top:-7.95pt;margin-left:132.2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CC16EC"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C16EC"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2052" type="#_x0000_t202" style="width:249.15pt;height:22.5pt;margin-top:18.55pt;margin-left:40.59pt;flip:x;mso-height-percent:0;mso-height-relative:margin;mso-position-horizontal-relative:page;mso-width-percent:0;mso-width-relative:margin;mso-wrap-distance-bottom:3.6pt;mso-wrap-distance-left:9pt;mso-wrap-distance-right:9pt;mso-wrap-distance-top:3.6pt;position:absolute;v-text-anchor:top;z-index:-251652096" wrapcoords="390 0 390 20160 21197 20160 21197 0" filled="f" fillcolor="this" stroked="f" strokeweight="0.75pt">
              <v:textbox>
                <w:txbxContent>
                  <w:p w:rsidR="00CC16EC"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16EC">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1079500</wp:posOffset>
              </wp:positionH>
              <wp:positionV relativeFrom="paragraph">
                <wp:posOffset>-459740</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50165" y="0"/>
                        <a:chExt cx="2959100" cy="10690225"/>
                      </a:xfrm>
                    </wpg:grpSpPr>
                    <wpg:grpSp>
                      <wpg:cNvPr id="53" name="קבוצה 53"/>
                      <wpg:cNvGrpSpPr/>
                      <wpg:grpSpPr>
                        <a:xfrm>
                          <a:off x="-50165" y="0"/>
                          <a:ext cx="2959100" cy="3009900"/>
                          <a:chOff x="-50165"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50165" y="2575560"/>
                            <a:ext cx="2959100" cy="273050"/>
                          </a:xfrm>
                          <a:prstGeom prst="rect">
                            <a:avLst/>
                          </a:prstGeom>
                          <a:noFill/>
                          <a:ln w="6350">
                            <a:noFill/>
                          </a:ln>
                        </wps:spPr>
                        <wps:txbx>
                          <w:txbxContent>
                            <w:p w:rsidR="00CC16EC"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CC16EC"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tl/>
                                </w:rPr>
                                <w:t>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2pt;margin-left:85pt;mso-position-horizontal-relative:margin;position:absolute;z-index:251659264" coordorigin="-501,0" coordsize="29591,106902">
              <v:group id="קבוצה 53" o:spid="_x0000_s2054" style="width:29590;height:30099;left:-501;position:absolute" coordorigin="-501,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1;left:-501;mso-wrap-style:square;position:absolute;top:25755;visibility:visible;v-text-anchor:top" filled="f" stroked="f" strokeweight="0.5pt">
                  <v:textbox>
                    <w:txbxContent>
                      <w:p w:rsidR="00CC16EC"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CC16EC"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16EC" w:rsidRPr="00861D72" w:rsidP="00EF4539">
    <w:pPr>
      <w:pStyle w:val="Header"/>
      <w:tabs>
        <w:tab w:val="clear" w:pos="8306"/>
        <w:tab w:val="right" w:pos="8504"/>
      </w:tabs>
      <w:ind w:right="-709"/>
      <w:jc w:val="right"/>
      <w:rPr>
        <w:rFonts w:ascii="Calibri" w:hAnsi="Calibri" w:cs="Calibri"/>
        <w:color w:val="002060"/>
        <w:szCs w:val="20"/>
      </w:rPr>
    </w:pPr>
    <w:r w:rsidRPr="00861D72">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1296670</wp:posOffset>
              </wp:positionH>
              <wp:positionV relativeFrom="paragraph">
                <wp:posOffset>-100965</wp:posOffset>
              </wp:positionV>
              <wp:extent cx="472249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722495" cy="285750"/>
                      </a:xfrm>
                      <a:prstGeom prst="rect">
                        <a:avLst/>
                      </a:prstGeom>
                      <a:noFill/>
                      <a:ln w="9525">
                        <a:noFill/>
                        <a:miter lim="800000"/>
                        <a:headEnd/>
                        <a:tailEnd/>
                      </a:ln>
                    </wps:spPr>
                    <wps:txbx>
                      <w:txbxContent>
                        <w:p w:rsidR="00CC16EC"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371.85pt;height:22.5pt;margin-top:-7.95pt;margin-left:102.1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AB5D27"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v:textbox>
              <w10:wrap type="square"/>
            </v:shape>
          </w:pict>
        </mc:Fallback>
      </mc:AlternateContent>
    </w:r>
    <w:r w:rsidRPr="00861D72">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861D72">
      <w:rPr>
        <w:rFonts w:ascii="Calibri" w:hAnsi="Calibri" w:cs="Times New Roman"/>
        <w:noProof/>
        <w:color w:val="002060"/>
        <w:szCs w:val="20"/>
        <w:rtl/>
      </w:rPr>
      <mc:AlternateContent>
        <mc:Choice Requires="wps">
          <w:drawing>
            <wp:anchor distT="45720" distB="45720" distL="114300" distR="114300" simplePos="0" relativeHeight="251673600"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CC16EC"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861D72">
                            <w:rPr>
                              <w:rFonts w:ascii="Calibri" w:hAnsi="Calibri" w:cs="Calibri"/>
                              <w:color w:val="002060"/>
                              <w:spacing w:val="20"/>
                              <w:sz w:val="22"/>
                              <w:szCs w:val="22"/>
                            </w:rPr>
                            <w:t xml:space="preserve"> </w:t>
                          </w:r>
                          <w:r w:rsidRPr="00861D72">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2066" type="#_x0000_t202" style="width:249.15pt;height:22.5pt;margin-top:18.55pt;margin-left:40.59pt;flip:x;mso-height-percent:0;mso-height-relative:margin;mso-position-horizontal-relative:page;mso-width-percent:0;mso-width-relative:margin;mso-wrap-distance-bottom:3.6pt;mso-wrap-distance-left:9pt;mso-wrap-distance-right:9pt;mso-wrap-distance-top:3.6pt;position:absolute;v-text-anchor:top;z-index:-251643904" wrapcoords="390 0 390 20160 21197 20160 21197 0" filled="f" fillcolor="this" stroked="f" strokeweight="0.75pt">
              <v:textbox>
                <w:txbxContent>
                  <w:p w:rsidR="00CC16EC"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861D72">
                      <w:rPr>
                        <w:rFonts w:ascii="Calibri" w:hAnsi="Calibri" w:cs="Calibri"/>
                        <w:color w:val="002060"/>
                        <w:spacing w:val="20"/>
                        <w:sz w:val="22"/>
                        <w:szCs w:val="22"/>
                      </w:rPr>
                      <w:t xml:space="preserve"> </w:t>
                    </w:r>
                    <w:r w:rsidRPr="00861D72">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861D72">
      <w:rPr>
        <w:rFonts w:ascii="Calibri" w:hAnsi="Calibri" w:cs="Calibri"/>
        <w:color w:val="002060"/>
        <w:szCs w:val="20"/>
        <w:rtl/>
      </w:rPr>
      <w:fldChar w:fldCharType="begin"/>
    </w:r>
    <w:r w:rsidRPr="00861D72">
      <w:rPr>
        <w:rFonts w:ascii="Calibri" w:hAnsi="Calibri" w:cs="Calibri"/>
        <w:color w:val="002060"/>
        <w:szCs w:val="20"/>
        <w:rtl/>
      </w:rPr>
      <w:instrText xml:space="preserve"> </w:instrText>
    </w:r>
    <w:r w:rsidRPr="00861D72">
      <w:rPr>
        <w:rFonts w:ascii="Calibri" w:hAnsi="Calibri" w:cs="Calibri"/>
        <w:color w:val="002060"/>
        <w:szCs w:val="20"/>
      </w:rPr>
      <w:instrText>PAGE</w:instrText>
    </w:r>
    <w:r w:rsidRPr="00861D72">
      <w:rPr>
        <w:rFonts w:ascii="Calibri" w:hAnsi="Calibri" w:cs="Calibri"/>
        <w:color w:val="002060"/>
        <w:szCs w:val="20"/>
        <w:rtl/>
      </w:rPr>
      <w:instrText xml:space="preserve">  \* </w:instrText>
    </w:r>
    <w:r w:rsidRPr="00861D72">
      <w:rPr>
        <w:rFonts w:ascii="Calibri" w:hAnsi="Calibri" w:cs="Calibri"/>
        <w:color w:val="002060"/>
        <w:szCs w:val="20"/>
      </w:rPr>
      <w:instrText>MERGEFORMAT</w:instrText>
    </w:r>
    <w:r w:rsidRPr="00861D72">
      <w:rPr>
        <w:rFonts w:ascii="Calibri" w:hAnsi="Calibri" w:cs="Calibri"/>
        <w:color w:val="002060"/>
        <w:szCs w:val="20"/>
        <w:rtl/>
      </w:rPr>
      <w:instrText xml:space="preserve"> </w:instrText>
    </w:r>
    <w:r w:rsidRPr="00861D72">
      <w:rPr>
        <w:rFonts w:ascii="Calibri" w:hAnsi="Calibri" w:cs="Calibri"/>
        <w:color w:val="002060"/>
        <w:szCs w:val="20"/>
        <w:rtl/>
      </w:rPr>
      <w:fldChar w:fldCharType="separate"/>
    </w:r>
    <w:r w:rsidRPr="00861D72">
      <w:rPr>
        <w:rFonts w:ascii="Calibri" w:hAnsi="Calibri" w:cs="Calibri"/>
        <w:color w:val="002060"/>
        <w:szCs w:val="20"/>
        <w:rtl/>
      </w:rPr>
      <w:t>3</w:t>
    </w:r>
    <w:r w:rsidRPr="00861D72">
      <w:rPr>
        <w:rFonts w:ascii="Calibri" w:hAnsi="Calibri" w:cs="Calibri"/>
        <w:color w:val="002060"/>
        <w:szCs w:val="20"/>
        <w:rtl/>
      </w:rPr>
      <w:fldChar w:fldCharType="end"/>
    </w:r>
    <w:r w:rsidRPr="00861D72">
      <w:rPr>
        <w:rFonts w:ascii="Calibri" w:hAnsi="Calibri" w:cs="Calibri"/>
        <w:color w:val="002060"/>
        <w:szCs w:val="20"/>
        <w:rtl/>
      </w:rPr>
      <w:t xml:space="preserve"> </w:t>
    </w:r>
  </w:p>
  <w:p w:rsidR="00CC16EC" w:rsidRPr="00EF4539" w:rsidP="00EF45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61F"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6912" behindDoc="0" locked="0" layoutInCell="1" allowOverlap="1">
              <wp:simplePos x="0" y="0"/>
              <wp:positionH relativeFrom="margin">
                <wp:posOffset>3173095</wp:posOffset>
              </wp:positionH>
              <wp:positionV relativeFrom="paragraph">
                <wp:posOffset>217170</wp:posOffset>
              </wp:positionV>
              <wp:extent cx="284924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849245" cy="285750"/>
                      </a:xfrm>
                      <a:prstGeom prst="rect">
                        <a:avLst/>
                      </a:prstGeom>
                      <a:noFill/>
                      <a:ln w="9525">
                        <a:noFill/>
                        <a:miter lim="800000"/>
                        <a:headEnd/>
                        <a:tailEnd/>
                      </a:ln>
                    </wps:spPr>
                    <wps:txbx>
                      <w:txbxContent>
                        <w:p w:rsidR="00EF461F" w:rsidRPr="00EF461F" w:rsidP="00EF461F">
                          <w:pPr>
                            <w:rPr>
                              <w:rFonts w:ascii="Calibri" w:hAnsi="Calibri" w:cs="Calibri"/>
                              <w:b/>
                              <w:color w:val="002060"/>
                              <w:szCs w:val="20"/>
                              <w:rtl/>
                            </w:rPr>
                          </w:pPr>
                          <w:r w:rsidRPr="00EF461F">
                            <w:rPr>
                              <w:rFonts w:ascii="Calibri" w:hAnsi="Calibri" w:cs="Calibri" w:hint="cs"/>
                              <w:b/>
                              <w:color w:val="002060"/>
                              <w:szCs w:val="20"/>
                              <w:rtl/>
                            </w:rPr>
                            <w:t>ניהול ההיערכות הממשלתית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224.35pt;height:22.5pt;margin-top:17.1pt;margin-left:249.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7936" filled="f" stroked="f">
              <v:textbox>
                <w:txbxContent>
                  <w:p w:rsidR="00EF461F" w:rsidRPr="00EF461F" w:rsidP="00EF461F">
                    <w:pPr>
                      <w:rPr>
                        <w:rFonts w:ascii="Calibri" w:hAnsi="Calibri" w:cs="Calibri"/>
                        <w:b/>
                        <w:color w:val="002060"/>
                        <w:szCs w:val="20"/>
                        <w:rtl/>
                      </w:rPr>
                    </w:pPr>
                    <w:r w:rsidRPr="00EF461F">
                      <w:rPr>
                        <w:rFonts w:ascii="Calibri" w:hAnsi="Calibri" w:cs="Calibri" w:hint="cs"/>
                        <w:b/>
                        <w:color w:val="002060"/>
                        <w:szCs w:val="20"/>
                        <w:rtl/>
                      </w:rPr>
                      <w:t>ניהול ההיערכות הממשלתית להזדקנות האוכלוסייה</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2816" behindDoc="0" locked="0" layoutInCell="1" allowOverlap="1">
              <wp:simplePos x="0" y="0"/>
              <wp:positionH relativeFrom="column">
                <wp:posOffset>1678940</wp:posOffset>
              </wp:positionH>
              <wp:positionV relativeFrom="paragraph">
                <wp:posOffset>-100965</wp:posOffset>
              </wp:positionV>
              <wp:extent cx="4340860" cy="285750"/>
              <wp:effectExtent l="0" t="0" r="0" b="0"/>
              <wp:wrapSquare wrapText="bothSides"/>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340860" cy="285750"/>
                      </a:xfrm>
                      <a:prstGeom prst="rect">
                        <a:avLst/>
                      </a:prstGeom>
                      <a:noFill/>
                      <a:ln w="9525">
                        <a:noFill/>
                        <a:miter lim="800000"/>
                        <a:headEnd/>
                        <a:tailEnd/>
                      </a:ln>
                    </wps:spPr>
                    <wps:txbx>
                      <w:txbxContent>
                        <w:p w:rsidR="00EF461F"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8" type="#_x0000_t202" style="width:341.8pt;height:22.5pt;margin-top:-7.95pt;margin-left:132.2pt;flip:x;mso-height-percent:0;mso-height-relative:margin;mso-width-percent:0;mso-width-relative:margin;mso-wrap-distance-bottom:3.6pt;mso-wrap-distance-left:9pt;mso-wrap-distance-right:9pt;mso-wrap-distance-top:3.6pt;mso-wrap-style:square;position:absolute;visibility:visible;v-text-anchor:top;z-index:251683840" filled="f" stroked="f">
              <v:textbox>
                <w:txbxContent>
                  <w:p w:rsidR="00EF461F"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8076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64" name="מחבר ישר 6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64" o:spid="_x0000_s2069" style="flip:y;mso-height-percent:0;mso-height-relative:margin;mso-width-percent:0;mso-width-relative:margin;mso-wrap-distance-bottom:0;mso-wrap-distance-left:9pt;mso-wrap-distance-right:9pt;mso-wrap-distance-top:0;mso-wrap-style:square;position:absolute;visibility:visible;z-index:25168179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F461F"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2070" type="#_x0000_t202" style="width:249.15pt;height:22.5pt;margin-top:18.55pt;margin-left:40.59pt;flip:x;mso-height-percent:0;mso-height-relative:margin;mso-position-horizontal-relative:page;mso-width-percent:0;mso-width-relative:margin;mso-wrap-distance-bottom:3.6pt;mso-wrap-distance-left:9pt;mso-wrap-distance-right:9pt;mso-wrap-distance-top:3.6pt;position:absolute;v-text-anchor:top;z-index:-251631616" wrapcoords="390 0 390 20160 21197 20160 21197 0" filled="f" fillcolor="this" stroked="f" strokeweight="0.75pt">
              <v:textbox>
                <w:txbxContent>
                  <w:p w:rsidR="00EF461F"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0491B" w:rsidRPr="00861D72" w:rsidP="00EF4539">
    <w:pPr>
      <w:pStyle w:val="Header"/>
      <w:tabs>
        <w:tab w:val="clear" w:pos="8306"/>
        <w:tab w:val="right" w:pos="8504"/>
      </w:tabs>
      <w:ind w:right="-709"/>
      <w:jc w:val="right"/>
      <w:rPr>
        <w:rFonts w:ascii="Calibri" w:hAnsi="Calibri" w:cs="Calibri"/>
        <w:color w:val="002060"/>
        <w:szCs w:val="20"/>
      </w:rPr>
    </w:pPr>
    <w:r w:rsidRPr="00861D72">
      <w:rPr>
        <w:rFonts w:ascii="Calibri" w:hAnsi="Calibri" w:cs="Times New Roman"/>
        <w:noProof/>
        <w:color w:val="002060"/>
        <w:szCs w:val="20"/>
        <w:rtl/>
      </w:rPr>
      <mc:AlternateContent>
        <mc:Choice Requires="wps">
          <w:drawing>
            <wp:anchor distT="45720" distB="45720" distL="114300" distR="114300" simplePos="0" relativeHeight="251676672" behindDoc="0" locked="0" layoutInCell="1" allowOverlap="1">
              <wp:simplePos x="0" y="0"/>
              <wp:positionH relativeFrom="column">
                <wp:posOffset>1296670</wp:posOffset>
              </wp:positionH>
              <wp:positionV relativeFrom="paragraph">
                <wp:posOffset>-100965</wp:posOffset>
              </wp:positionV>
              <wp:extent cx="4722495" cy="285750"/>
              <wp:effectExtent l="0" t="0" r="0" b="0"/>
              <wp:wrapSquare wrapText="bothSides"/>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722495" cy="285750"/>
                      </a:xfrm>
                      <a:prstGeom prst="rect">
                        <a:avLst/>
                      </a:prstGeom>
                      <a:noFill/>
                      <a:ln w="9525">
                        <a:noFill/>
                        <a:miter lim="800000"/>
                        <a:headEnd/>
                        <a:tailEnd/>
                      </a:ln>
                    </wps:spPr>
                    <wps:txbx>
                      <w:txbxContent>
                        <w:p w:rsidR="0020491B"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1" type="#_x0000_t202" style="width:371.85pt;height:22.5pt;margin-top:-7.95pt;margin-left:102.1pt;flip:x;mso-height-percent:0;mso-height-relative:margin;mso-width-percent:0;mso-width-relative:margin;mso-wrap-distance-bottom:3.6pt;mso-wrap-distance-left:9pt;mso-wrap-distance-right:9pt;mso-wrap-distance-top:3.6pt;mso-wrap-style:square;position:absolute;visibility:visible;v-text-anchor:top;z-index:251677696" filled="f" stroked="f">
              <v:textbox>
                <w:txbxContent>
                  <w:p w:rsidR="0020491B"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v:textbox>
              <w10:wrap type="square"/>
            </v:shape>
          </w:pict>
        </mc:Fallback>
      </mc:AlternateContent>
    </w:r>
    <w:r w:rsidRPr="00861D72">
      <w:rPr>
        <w:rFonts w:ascii="Calibri" w:hAnsi="Calibri" w:cs="Calibri"/>
        <w:noProof/>
        <w:color w:val="002060"/>
        <w:szCs w:val="20"/>
        <w:rtl/>
        <w:lang w:val="he-IL"/>
      </w:rPr>
      <mc:AlternateContent>
        <mc:Choice Requires="wps">
          <w:drawing>
            <wp:anchor distT="0" distB="0" distL="114300" distR="114300" simplePos="0" relativeHeight="251674624"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72" style="flip:y;mso-height-percent:0;mso-height-relative:margin;mso-width-percent:0;mso-width-relative:margin;mso-wrap-distance-bottom:0;mso-wrap-distance-left:9pt;mso-wrap-distance-right:9pt;mso-wrap-distance-top:0;mso-wrap-style:square;position:absolute;visibility:visible;z-index:251675648" from="-38.2pt,17.45pt" to="468.45pt,17.45pt" strokecolor="#4579b8"/>
          </w:pict>
        </mc:Fallback>
      </mc:AlternateContent>
    </w:r>
    <w:r w:rsidRPr="00861D72">
      <w:rPr>
        <w:rFonts w:ascii="Calibri" w:hAnsi="Calibri" w:cs="Times New Roman"/>
        <w:noProof/>
        <w:color w:val="002060"/>
        <w:szCs w:val="20"/>
        <w:rtl/>
      </w:rPr>
      <mc:AlternateContent>
        <mc:Choice Requires="wps">
          <w:drawing>
            <wp:anchor distT="45720" distB="45720" distL="114300" distR="114300" simplePos="0" relativeHeight="25167974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0491B"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861D72">
                            <w:rPr>
                              <w:rFonts w:ascii="Calibri" w:hAnsi="Calibri" w:cs="Calibri"/>
                              <w:color w:val="002060"/>
                              <w:spacing w:val="20"/>
                              <w:sz w:val="22"/>
                              <w:szCs w:val="22"/>
                            </w:rPr>
                            <w:t xml:space="preserve"> </w:t>
                          </w:r>
                          <w:r w:rsidRPr="00861D72">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2073" type="#_x0000_t202" style="width:249.15pt;height:22.5pt;margin-top:18.55pt;margin-left:40.59pt;flip:x;mso-height-percent:0;mso-height-relative:margin;mso-position-horizontal-relative:page;mso-width-percent:0;mso-width-relative:margin;mso-wrap-distance-bottom:3.6pt;mso-wrap-distance-left:9pt;mso-wrap-distance-right:9pt;mso-wrap-distance-top:3.6pt;position:absolute;v-text-anchor:top;z-index:-251637760" wrapcoords="390 0 390 20160 21197 20160 21197 0" filled="f" fillcolor="this" stroked="f" strokeweight="0.75pt">
              <v:textbox>
                <w:txbxContent>
                  <w:p w:rsidR="0020491B"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861D72">
                      <w:rPr>
                        <w:rFonts w:ascii="Calibri" w:hAnsi="Calibri" w:cs="Calibri"/>
                        <w:color w:val="002060"/>
                        <w:spacing w:val="20"/>
                        <w:sz w:val="22"/>
                        <w:szCs w:val="22"/>
                      </w:rPr>
                      <w:t xml:space="preserve"> </w:t>
                    </w:r>
                    <w:r w:rsidRPr="00861D72">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861D72">
      <w:rPr>
        <w:rFonts w:ascii="Calibri" w:hAnsi="Calibri" w:cs="Calibri"/>
        <w:color w:val="002060"/>
        <w:szCs w:val="20"/>
        <w:rtl/>
      </w:rPr>
      <w:fldChar w:fldCharType="begin"/>
    </w:r>
    <w:r w:rsidRPr="00861D72">
      <w:rPr>
        <w:rFonts w:ascii="Calibri" w:hAnsi="Calibri" w:cs="Calibri"/>
        <w:color w:val="002060"/>
        <w:szCs w:val="20"/>
        <w:rtl/>
      </w:rPr>
      <w:instrText xml:space="preserve"> </w:instrText>
    </w:r>
    <w:r w:rsidRPr="00861D72">
      <w:rPr>
        <w:rFonts w:ascii="Calibri" w:hAnsi="Calibri" w:cs="Calibri"/>
        <w:color w:val="002060"/>
        <w:szCs w:val="20"/>
      </w:rPr>
      <w:instrText>PAGE</w:instrText>
    </w:r>
    <w:r w:rsidRPr="00861D72">
      <w:rPr>
        <w:rFonts w:ascii="Calibri" w:hAnsi="Calibri" w:cs="Calibri"/>
        <w:color w:val="002060"/>
        <w:szCs w:val="20"/>
        <w:rtl/>
      </w:rPr>
      <w:instrText xml:space="preserve">  \* </w:instrText>
    </w:r>
    <w:r w:rsidRPr="00861D72">
      <w:rPr>
        <w:rFonts w:ascii="Calibri" w:hAnsi="Calibri" w:cs="Calibri"/>
        <w:color w:val="002060"/>
        <w:szCs w:val="20"/>
      </w:rPr>
      <w:instrText>MERGEFORMAT</w:instrText>
    </w:r>
    <w:r w:rsidRPr="00861D72">
      <w:rPr>
        <w:rFonts w:ascii="Calibri" w:hAnsi="Calibri" w:cs="Calibri"/>
        <w:color w:val="002060"/>
        <w:szCs w:val="20"/>
        <w:rtl/>
      </w:rPr>
      <w:instrText xml:space="preserve"> </w:instrText>
    </w:r>
    <w:r w:rsidRPr="00861D72">
      <w:rPr>
        <w:rFonts w:ascii="Calibri" w:hAnsi="Calibri" w:cs="Calibri"/>
        <w:color w:val="002060"/>
        <w:szCs w:val="20"/>
        <w:rtl/>
      </w:rPr>
      <w:fldChar w:fldCharType="separate"/>
    </w:r>
    <w:r w:rsidRPr="00861D72">
      <w:rPr>
        <w:rFonts w:ascii="Calibri" w:hAnsi="Calibri" w:cs="Calibri"/>
        <w:color w:val="002060"/>
        <w:szCs w:val="20"/>
        <w:rtl/>
      </w:rPr>
      <w:t>3</w:t>
    </w:r>
    <w:r w:rsidRPr="00861D72">
      <w:rPr>
        <w:rFonts w:ascii="Calibri" w:hAnsi="Calibri" w:cs="Calibri"/>
        <w:color w:val="002060"/>
        <w:szCs w:val="20"/>
        <w:rtl/>
      </w:rPr>
      <w:fldChar w:fldCharType="end"/>
    </w:r>
    <w:r w:rsidRPr="00861D72">
      <w:rPr>
        <w:rFonts w:ascii="Calibri" w:hAnsi="Calibri" w:cs="Calibri"/>
        <w:color w:val="002060"/>
        <w:szCs w:val="20"/>
        <w:rtl/>
      </w:rPr>
      <w:t xml:space="preserve"> </w:t>
    </w:r>
  </w:p>
  <w:p w:rsidR="0020491B"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4450102"/>
    <w:multiLevelType w:val="multilevel"/>
    <w:tmpl w:val="39B405A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4DF2090"/>
    <w:multiLevelType w:val="multilevel"/>
    <w:tmpl w:val="01FED3B4"/>
    <w:lvl w:ilvl="0">
      <w:start w:val="1"/>
      <w:numFmt w:val="decimal"/>
      <w:lvlText w:val="%1."/>
      <w:lvlJc w:val="left"/>
      <w:pPr>
        <w:ind w:left="340" w:hanging="340"/>
      </w:pPr>
      <w:rPr>
        <w:rFonts w:ascii="David" w:hAnsi="David" w:cs="David"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88216AB"/>
    <w:multiLevelType w:val="hybridMultilevel"/>
    <w:tmpl w:val="BB7ADECA"/>
    <w:lvl w:ilvl="0">
      <w:start w:val="1"/>
      <w:numFmt w:val="hebrew1"/>
      <w:pStyle w:val="17"/>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3" w15:restartNumberingAfterBreak="0">
    <w:nsid w:val="0D103F48"/>
    <w:multiLevelType w:val="multilevel"/>
    <w:tmpl w:val="9FC48A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209D5892"/>
    <w:multiLevelType w:val="multilevel"/>
    <w:tmpl w:val="D9E607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734291B"/>
    <w:multiLevelType w:val="multilevel"/>
    <w:tmpl w:val="9DD43C58"/>
    <w:lvl w:ilvl="0">
      <w:start w:val="1"/>
      <w:numFmt w:val="decimal"/>
      <w:lvlText w:val="%1."/>
      <w:lvlJc w:val="left"/>
      <w:pPr>
        <w:ind w:left="340" w:hanging="340"/>
      </w:pPr>
      <w:rPr>
        <w:rFonts w:hint="default"/>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74B2AC3"/>
    <w:multiLevelType w:val="multilevel"/>
    <w:tmpl w:val="4BA0A6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8"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9"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0" w15:restartNumberingAfterBreak="0">
    <w:nsid w:val="34486E95"/>
    <w:multiLevelType w:val="multilevel"/>
    <w:tmpl w:val="11E858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4" w15:restartNumberingAfterBreak="0">
    <w:nsid w:val="45A76556"/>
    <w:multiLevelType w:val="multilevel"/>
    <w:tmpl w:val="4BA0A6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DD35436"/>
    <w:multiLevelType w:val="hybridMultilevel"/>
    <w:tmpl w:val="EC1EC164"/>
    <w:lvl w:ilvl="0">
      <w:start w:val="1"/>
      <w:numFmt w:val="decimal"/>
      <w:pStyle w:val="22"/>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6"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7" w15:restartNumberingAfterBreak="0">
    <w:nsid w:val="719362B3"/>
    <w:multiLevelType w:val="multilevel"/>
    <w:tmpl w:val="1542DE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7C8D7D85"/>
    <w:multiLevelType w:val="multilevel"/>
    <w:tmpl w:val="BC2A3F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7E431D00"/>
    <w:multiLevelType w:val="hybridMultilevel"/>
    <w:tmpl w:val="7576C230"/>
    <w:lvl w:ilvl="0">
      <w:start w:val="1"/>
      <w:numFmt w:val="decimal"/>
      <w:pStyle w:val="15"/>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19"/>
  </w:num>
  <w:num w:numId="2">
    <w:abstractNumId w:val="15"/>
  </w:num>
  <w:num w:numId="3">
    <w:abstractNumId w:val="12"/>
  </w:num>
  <w:num w:numId="4">
    <w:abstractNumId w:val="2"/>
  </w:num>
  <w:num w:numId="5">
    <w:abstractNumId w:val="13"/>
  </w:num>
  <w:num w:numId="6">
    <w:abstractNumId w:val="16"/>
  </w:num>
  <w:num w:numId="7">
    <w:abstractNumId w:val="11"/>
  </w:num>
  <w:num w:numId="8">
    <w:abstractNumId w:val="8"/>
  </w:num>
  <w:num w:numId="9">
    <w:abstractNumId w:val="7"/>
  </w:num>
  <w:num w:numId="10">
    <w:abstractNumId w:val="9"/>
  </w:num>
  <w:num w:numId="11">
    <w:abstractNumId w:val="5"/>
  </w:num>
  <w:num w:numId="12">
    <w:abstractNumId w:val="3"/>
  </w:num>
  <w:num w:numId="13">
    <w:abstractNumId w:val="18"/>
  </w:num>
  <w:num w:numId="14">
    <w:abstractNumId w:val="0"/>
  </w:num>
  <w:num w:numId="15">
    <w:abstractNumId w:val="14"/>
  </w:num>
  <w:num w:numId="16">
    <w:abstractNumId w:val="1"/>
  </w:num>
  <w:num w:numId="17">
    <w:abstractNumId w:val="4"/>
  </w:num>
  <w:num w:numId="18">
    <w:abstractNumId w:val="17"/>
  </w:num>
  <w:num w:numId="19">
    <w:abstractNumId w:val="6"/>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0A39"/>
    <w:rsid w:val="00011037"/>
    <w:rsid w:val="00013880"/>
    <w:rsid w:val="0001735B"/>
    <w:rsid w:val="00042837"/>
    <w:rsid w:val="000501A4"/>
    <w:rsid w:val="000532AA"/>
    <w:rsid w:val="000B1102"/>
    <w:rsid w:val="000B46D5"/>
    <w:rsid w:val="000C7459"/>
    <w:rsid w:val="000E013E"/>
    <w:rsid w:val="000F7725"/>
    <w:rsid w:val="00101D0F"/>
    <w:rsid w:val="00102744"/>
    <w:rsid w:val="00113E28"/>
    <w:rsid w:val="00114325"/>
    <w:rsid w:val="00127512"/>
    <w:rsid w:val="0013088B"/>
    <w:rsid w:val="00134147"/>
    <w:rsid w:val="00137951"/>
    <w:rsid w:val="00166477"/>
    <w:rsid w:val="001730B0"/>
    <w:rsid w:val="001960B4"/>
    <w:rsid w:val="001A613C"/>
    <w:rsid w:val="001B0502"/>
    <w:rsid w:val="001B2821"/>
    <w:rsid w:val="001B4957"/>
    <w:rsid w:val="001B6087"/>
    <w:rsid w:val="001B7364"/>
    <w:rsid w:val="001C057E"/>
    <w:rsid w:val="001C6185"/>
    <w:rsid w:val="001E204F"/>
    <w:rsid w:val="001E5FB5"/>
    <w:rsid w:val="001E6B5C"/>
    <w:rsid w:val="001F145C"/>
    <w:rsid w:val="001F4412"/>
    <w:rsid w:val="00203604"/>
    <w:rsid w:val="0020491B"/>
    <w:rsid w:val="002064F7"/>
    <w:rsid w:val="00226133"/>
    <w:rsid w:val="00240887"/>
    <w:rsid w:val="00255397"/>
    <w:rsid w:val="00263521"/>
    <w:rsid w:val="00275D65"/>
    <w:rsid w:val="00294476"/>
    <w:rsid w:val="002A0726"/>
    <w:rsid w:val="002A7D21"/>
    <w:rsid w:val="002C0FD0"/>
    <w:rsid w:val="002C1EE0"/>
    <w:rsid w:val="002C4139"/>
    <w:rsid w:val="002D37E0"/>
    <w:rsid w:val="002F2FF2"/>
    <w:rsid w:val="00301153"/>
    <w:rsid w:val="003079D5"/>
    <w:rsid w:val="00315B1D"/>
    <w:rsid w:val="00323027"/>
    <w:rsid w:val="003417E6"/>
    <w:rsid w:val="003454BF"/>
    <w:rsid w:val="00354F9A"/>
    <w:rsid w:val="0037370B"/>
    <w:rsid w:val="0037752E"/>
    <w:rsid w:val="00380052"/>
    <w:rsid w:val="003837EF"/>
    <w:rsid w:val="0039260E"/>
    <w:rsid w:val="0039415D"/>
    <w:rsid w:val="00397683"/>
    <w:rsid w:val="003A0726"/>
    <w:rsid w:val="003C65FF"/>
    <w:rsid w:val="003D18F4"/>
    <w:rsid w:val="003D61C6"/>
    <w:rsid w:val="003E58C2"/>
    <w:rsid w:val="00451706"/>
    <w:rsid w:val="0047405C"/>
    <w:rsid w:val="004779AA"/>
    <w:rsid w:val="00483C84"/>
    <w:rsid w:val="00496F3E"/>
    <w:rsid w:val="004A0385"/>
    <w:rsid w:val="004A2D92"/>
    <w:rsid w:val="004C7D9F"/>
    <w:rsid w:val="004D0638"/>
    <w:rsid w:val="004D4419"/>
    <w:rsid w:val="004D56FF"/>
    <w:rsid w:val="005006C5"/>
    <w:rsid w:val="00500CAD"/>
    <w:rsid w:val="00512C15"/>
    <w:rsid w:val="005167AC"/>
    <w:rsid w:val="00534C53"/>
    <w:rsid w:val="00551B42"/>
    <w:rsid w:val="00551FF7"/>
    <w:rsid w:val="0057161C"/>
    <w:rsid w:val="00574579"/>
    <w:rsid w:val="00580C5C"/>
    <w:rsid w:val="00586848"/>
    <w:rsid w:val="005A021D"/>
    <w:rsid w:val="005E59CB"/>
    <w:rsid w:val="005F2CC1"/>
    <w:rsid w:val="006243F4"/>
    <w:rsid w:val="0062451B"/>
    <w:rsid w:val="00634DAD"/>
    <w:rsid w:val="00640B60"/>
    <w:rsid w:val="006457EB"/>
    <w:rsid w:val="006501EA"/>
    <w:rsid w:val="006531CB"/>
    <w:rsid w:val="006A65EA"/>
    <w:rsid w:val="006B57DE"/>
    <w:rsid w:val="006C2C6D"/>
    <w:rsid w:val="006C369C"/>
    <w:rsid w:val="006D4161"/>
    <w:rsid w:val="006D786C"/>
    <w:rsid w:val="006E1414"/>
    <w:rsid w:val="006F285F"/>
    <w:rsid w:val="00706CBC"/>
    <w:rsid w:val="007126FE"/>
    <w:rsid w:val="0072219B"/>
    <w:rsid w:val="007474F0"/>
    <w:rsid w:val="007524E3"/>
    <w:rsid w:val="00753ADE"/>
    <w:rsid w:val="00754DDC"/>
    <w:rsid w:val="007727E9"/>
    <w:rsid w:val="00773F61"/>
    <w:rsid w:val="00790EE9"/>
    <w:rsid w:val="007929B3"/>
    <w:rsid w:val="007A488D"/>
    <w:rsid w:val="007A4EBD"/>
    <w:rsid w:val="007A5565"/>
    <w:rsid w:val="007B106F"/>
    <w:rsid w:val="007B112B"/>
    <w:rsid w:val="007B5B26"/>
    <w:rsid w:val="007B691A"/>
    <w:rsid w:val="007C1FF6"/>
    <w:rsid w:val="007D61B8"/>
    <w:rsid w:val="007E3428"/>
    <w:rsid w:val="007F7FF2"/>
    <w:rsid w:val="00805B42"/>
    <w:rsid w:val="008102AD"/>
    <w:rsid w:val="008131AD"/>
    <w:rsid w:val="00837997"/>
    <w:rsid w:val="008605F5"/>
    <w:rsid w:val="00861D72"/>
    <w:rsid w:val="008625CE"/>
    <w:rsid w:val="00864ACD"/>
    <w:rsid w:val="00867FC5"/>
    <w:rsid w:val="00892F80"/>
    <w:rsid w:val="008944DC"/>
    <w:rsid w:val="008B28EE"/>
    <w:rsid w:val="008B4F41"/>
    <w:rsid w:val="008C29FA"/>
    <w:rsid w:val="008C6F75"/>
    <w:rsid w:val="008D20CD"/>
    <w:rsid w:val="008E3D8A"/>
    <w:rsid w:val="008F17CE"/>
    <w:rsid w:val="009015B2"/>
    <w:rsid w:val="00906E90"/>
    <w:rsid w:val="00906FB1"/>
    <w:rsid w:val="0091051D"/>
    <w:rsid w:val="00914055"/>
    <w:rsid w:val="00933E1C"/>
    <w:rsid w:val="00936F84"/>
    <w:rsid w:val="00940851"/>
    <w:rsid w:val="00961EBB"/>
    <w:rsid w:val="009679D9"/>
    <w:rsid w:val="00970258"/>
    <w:rsid w:val="009764B6"/>
    <w:rsid w:val="00990B46"/>
    <w:rsid w:val="009B6206"/>
    <w:rsid w:val="009B757F"/>
    <w:rsid w:val="009C482E"/>
    <w:rsid w:val="009C6066"/>
    <w:rsid w:val="009D73F5"/>
    <w:rsid w:val="009E1A3F"/>
    <w:rsid w:val="009E53CF"/>
    <w:rsid w:val="009F0BD3"/>
    <w:rsid w:val="009F6D68"/>
    <w:rsid w:val="00A222E2"/>
    <w:rsid w:val="00A36E26"/>
    <w:rsid w:val="00A61AD5"/>
    <w:rsid w:val="00A622F8"/>
    <w:rsid w:val="00A70ACD"/>
    <w:rsid w:val="00A73038"/>
    <w:rsid w:val="00A76C99"/>
    <w:rsid w:val="00A804DA"/>
    <w:rsid w:val="00A81EBE"/>
    <w:rsid w:val="00A96996"/>
    <w:rsid w:val="00AB5D27"/>
    <w:rsid w:val="00AC6B95"/>
    <w:rsid w:val="00AE7305"/>
    <w:rsid w:val="00AE7DB9"/>
    <w:rsid w:val="00B00E5C"/>
    <w:rsid w:val="00B3735D"/>
    <w:rsid w:val="00B4321D"/>
    <w:rsid w:val="00B666B9"/>
    <w:rsid w:val="00B76DC1"/>
    <w:rsid w:val="00B777D0"/>
    <w:rsid w:val="00B862C0"/>
    <w:rsid w:val="00BB6516"/>
    <w:rsid w:val="00BE2DD8"/>
    <w:rsid w:val="00BE53E4"/>
    <w:rsid w:val="00C05D52"/>
    <w:rsid w:val="00C1227E"/>
    <w:rsid w:val="00C17F6E"/>
    <w:rsid w:val="00C2305A"/>
    <w:rsid w:val="00C23CC9"/>
    <w:rsid w:val="00C30B3D"/>
    <w:rsid w:val="00C33AE2"/>
    <w:rsid w:val="00C450BD"/>
    <w:rsid w:val="00C8096C"/>
    <w:rsid w:val="00C8100B"/>
    <w:rsid w:val="00C84428"/>
    <w:rsid w:val="00C85B62"/>
    <w:rsid w:val="00C948BF"/>
    <w:rsid w:val="00CA41D2"/>
    <w:rsid w:val="00CA4F20"/>
    <w:rsid w:val="00CB1747"/>
    <w:rsid w:val="00CC16EC"/>
    <w:rsid w:val="00CC23A7"/>
    <w:rsid w:val="00CC712C"/>
    <w:rsid w:val="00CD28D9"/>
    <w:rsid w:val="00D03C42"/>
    <w:rsid w:val="00D03EC0"/>
    <w:rsid w:val="00D05C85"/>
    <w:rsid w:val="00D16441"/>
    <w:rsid w:val="00D22748"/>
    <w:rsid w:val="00D26918"/>
    <w:rsid w:val="00D26FBE"/>
    <w:rsid w:val="00D37121"/>
    <w:rsid w:val="00D63275"/>
    <w:rsid w:val="00D779F7"/>
    <w:rsid w:val="00D87542"/>
    <w:rsid w:val="00D95C20"/>
    <w:rsid w:val="00D97C16"/>
    <w:rsid w:val="00DB2C31"/>
    <w:rsid w:val="00DC3A30"/>
    <w:rsid w:val="00DE1DAB"/>
    <w:rsid w:val="00DE20A2"/>
    <w:rsid w:val="00DF0B89"/>
    <w:rsid w:val="00E0338A"/>
    <w:rsid w:val="00E122EE"/>
    <w:rsid w:val="00E35682"/>
    <w:rsid w:val="00E40865"/>
    <w:rsid w:val="00E46EA3"/>
    <w:rsid w:val="00E51C1B"/>
    <w:rsid w:val="00E53DA7"/>
    <w:rsid w:val="00EA68E6"/>
    <w:rsid w:val="00EB2B30"/>
    <w:rsid w:val="00EB43F0"/>
    <w:rsid w:val="00EC4F9F"/>
    <w:rsid w:val="00EC6B44"/>
    <w:rsid w:val="00EE37A3"/>
    <w:rsid w:val="00EE57E1"/>
    <w:rsid w:val="00EF4539"/>
    <w:rsid w:val="00EF461F"/>
    <w:rsid w:val="00F36CB4"/>
    <w:rsid w:val="00F4385E"/>
    <w:rsid w:val="00F467B3"/>
    <w:rsid w:val="00F468DD"/>
    <w:rsid w:val="00F56154"/>
    <w:rsid w:val="00F627EB"/>
    <w:rsid w:val="00F75A10"/>
    <w:rsid w:val="00F77276"/>
    <w:rsid w:val="00F90255"/>
    <w:rsid w:val="00F954E4"/>
    <w:rsid w:val="00F95853"/>
    <w:rsid w:val="00FA0385"/>
    <w:rsid w:val="00FB3F26"/>
    <w:rsid w:val="00FC2FA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List Paragraph1,List Paragraph_0,פיסקת bullets,פיסקת רשימה11,פיסקת רשימה12,פיסקת רשימה121,Dell,כותרתשלום 2"/>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List Paragraph1 תו,List Paragraph_0 תו,פיסקת bullets תו,פיסקת רשימה11 תו,פיסקת רשימה12 תו,פיסקת רשימה121 תו,Dell תו,כותרתשלום 2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5">
    <w:name w:val="כותרת 1 ממה"/>
    <w:basedOn w:val="Normal"/>
    <w:next w:val="Normal"/>
    <w:link w:val="16"/>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6">
    <w:name w:val="כותרת 1 ממה תו"/>
    <w:basedOn w:val="DefaultParagraphFont"/>
    <w:link w:val="15"/>
    <w:rsid w:val="00B4321D"/>
    <w:rPr>
      <w:rFonts w:ascii="Calibri" w:eastAsia="Calibri" w:hAnsi="Calibri" w:cs="Calibri"/>
      <w:b/>
      <w:bCs/>
      <w:color w:val="002060"/>
      <w:sz w:val="40"/>
      <w:szCs w:val="40"/>
    </w:rPr>
  </w:style>
  <w:style w:type="paragraph" w:customStyle="1" w:styleId="22">
    <w:name w:val="כותרת 2 ממה"/>
    <w:basedOn w:val="Normal"/>
    <w:next w:val="Normal"/>
    <w:link w:val="23"/>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3">
    <w:name w:val="כותרת 2 ממה תו"/>
    <w:basedOn w:val="2"/>
    <w:link w:val="22"/>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7">
    <w:name w:val="רשימה1 ממה"/>
    <w:basedOn w:val="Normal"/>
    <w:link w:val="18"/>
    <w:qFormat/>
    <w:rsid w:val="00B4321D"/>
    <w:pPr>
      <w:widowControl w:val="0"/>
      <w:numPr>
        <w:numId w:val="4"/>
      </w:numPr>
      <w:spacing w:line="280" w:lineRule="exact"/>
    </w:pPr>
    <w:rPr>
      <w:rFonts w:ascii="Calibri" w:eastAsia="Calibri" w:hAnsi="Calibri" w:cs="Calibri"/>
      <w:color w:val="002060"/>
      <w:sz w:val="24"/>
    </w:rPr>
  </w:style>
  <w:style w:type="character" w:customStyle="1" w:styleId="18">
    <w:name w:val="רשימה1 ממה תו"/>
    <w:basedOn w:val="DefaultParagraphFont"/>
    <w:link w:val="17"/>
    <w:rsid w:val="00B4321D"/>
    <w:rPr>
      <w:rFonts w:ascii="Calibri" w:eastAsia="Calibri" w:hAnsi="Calibri" w:cs="Calibri"/>
      <w:color w:val="002060"/>
      <w:sz w:val="24"/>
    </w:rPr>
  </w:style>
  <w:style w:type="paragraph" w:customStyle="1" w:styleId="24">
    <w:name w:val="רשימה2 ממה"/>
    <w:basedOn w:val="Normal"/>
    <w:link w:val="25"/>
    <w:qFormat/>
    <w:rsid w:val="00B4321D"/>
    <w:pPr>
      <w:widowControl w:val="0"/>
      <w:spacing w:line="280" w:lineRule="exact"/>
      <w:ind w:left="1871"/>
    </w:pPr>
    <w:rPr>
      <w:rFonts w:ascii="Calibri" w:eastAsia="Calibri" w:hAnsi="Calibri" w:cs="Calibri"/>
      <w:color w:val="002060"/>
      <w:sz w:val="24"/>
    </w:rPr>
  </w:style>
  <w:style w:type="character" w:customStyle="1" w:styleId="25">
    <w:name w:val="רשימה2 ממה תו"/>
    <w:basedOn w:val="DefaultParagraphFont"/>
    <w:link w:val="24"/>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9">
    <w:name w:val="ליקוי/ממצא חיובי/המלצה1 ממה"/>
    <w:next w:val="Normal"/>
    <w:link w:val="111"/>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11">
    <w:name w:val="ליקוי/ממצא חיובי/המלצה1 ממה תו"/>
    <w:basedOn w:val="DefaultParagraphFont"/>
    <w:link w:val="19"/>
    <w:rsid w:val="00B4321D"/>
    <w:rPr>
      <w:rFonts w:ascii="Calibri" w:eastAsia="Calibri" w:hAnsi="Calibri" w:cs="Calibri"/>
      <w:color w:val="002060"/>
      <w:sz w:val="24"/>
    </w:rPr>
  </w:style>
  <w:style w:type="paragraph" w:customStyle="1" w:styleId="26">
    <w:name w:val="ליקוי/ממצא חיובי/המלצה2 ממה"/>
    <w:basedOn w:val="Normal"/>
    <w:next w:val="Normal"/>
    <w:link w:val="27"/>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7">
    <w:name w:val="ליקוי/ממצא חיובי/המלצה2 ממה תו"/>
    <w:basedOn w:val="111"/>
    <w:link w:val="26"/>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12">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trong">
    <w:name w:val="Strong"/>
    <w:basedOn w:val="DefaultParagraphFont"/>
    <w:uiPriority w:val="22"/>
    <w:qFormat/>
    <w:rsid w:val="00861D72"/>
    <w:rPr>
      <w:b/>
      <w:bCs/>
    </w:rPr>
  </w:style>
  <w:style w:type="table" w:customStyle="1" w:styleId="310">
    <w:name w:val="טבלת רשימה 31"/>
    <w:basedOn w:val="TableNormal"/>
    <w:next w:val="ListTable3"/>
    <w:uiPriority w:val="48"/>
    <w:rsid w:val="00861D7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3">
    <w:name w:val="רשת טבלה בהירה1"/>
    <w:basedOn w:val="TableNormal"/>
    <w:next w:val="GridTableLight"/>
    <w:uiPriority w:val="40"/>
    <w:rsid w:val="00861D7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4">
    <w:name w:val="טקסט רגיל1"/>
    <w:basedOn w:val="Normal"/>
    <w:next w:val="PlainText"/>
    <w:link w:val="a49"/>
    <w:uiPriority w:val="99"/>
    <w:semiHidden/>
    <w:unhideWhenUsed/>
    <w:rsid w:val="00861D72"/>
    <w:pPr>
      <w:spacing w:line="240" w:lineRule="auto"/>
      <w:jc w:val="left"/>
    </w:pPr>
    <w:rPr>
      <w:rFonts w:ascii="Calibri" w:hAnsi="Calibri" w:cs="Arial"/>
      <w:sz w:val="22"/>
      <w:szCs w:val="21"/>
    </w:rPr>
  </w:style>
  <w:style w:type="character" w:customStyle="1" w:styleId="a49">
    <w:name w:val="טקסט רגיל תו"/>
    <w:basedOn w:val="DefaultParagraphFont"/>
    <w:link w:val="114"/>
    <w:uiPriority w:val="99"/>
    <w:semiHidden/>
    <w:rsid w:val="00861D72"/>
    <w:rPr>
      <w:rFonts w:ascii="Calibri" w:hAnsi="Calibri" w:cs="Arial"/>
      <w:sz w:val="22"/>
      <w:szCs w:val="21"/>
    </w:rPr>
  </w:style>
  <w:style w:type="character" w:customStyle="1" w:styleId="ms-1">
    <w:name w:val="ms-1"/>
    <w:basedOn w:val="DefaultParagraphFont"/>
    <w:rsid w:val="00861D72"/>
  </w:style>
  <w:style w:type="character" w:customStyle="1" w:styleId="max-w-15ch">
    <w:name w:val="max-w-[15ch]"/>
    <w:basedOn w:val="DefaultParagraphFont"/>
    <w:rsid w:val="00861D72"/>
  </w:style>
  <w:style w:type="character" w:customStyle="1" w:styleId="-me-1">
    <w:name w:val="-me-1"/>
    <w:basedOn w:val="DefaultParagraphFont"/>
    <w:rsid w:val="00861D72"/>
  </w:style>
  <w:style w:type="character" w:styleId="Emphasis">
    <w:name w:val="Emphasis"/>
    <w:basedOn w:val="DefaultParagraphFont"/>
    <w:uiPriority w:val="20"/>
    <w:qFormat/>
    <w:rsid w:val="00861D72"/>
    <w:rPr>
      <w:i/>
      <w:iCs/>
    </w:rPr>
  </w:style>
  <w:style w:type="paragraph" w:customStyle="1" w:styleId="msonormal">
    <w:name w:val="msonormal"/>
    <w:basedOn w:val="Normal"/>
    <w:uiPriority w:val="99"/>
    <w:rsid w:val="00861D72"/>
    <w:pPr>
      <w:bidi w:val="0"/>
      <w:spacing w:before="100" w:beforeAutospacing="1" w:after="100" w:afterAutospacing="1" w:line="240" w:lineRule="auto"/>
      <w:jc w:val="left"/>
    </w:pPr>
    <w:rPr>
      <w:rFonts w:eastAsia="Times New Roman" w:cs="Times New Roman"/>
      <w:sz w:val="24"/>
    </w:rPr>
  </w:style>
  <w:style w:type="table" w:styleId="ListTable3">
    <w:name w:val="List Table 3"/>
    <w:basedOn w:val="TableNormal"/>
    <w:uiPriority w:val="48"/>
    <w:rsid w:val="00861D7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Light">
    <w:name w:val="Grid Table Light"/>
    <w:basedOn w:val="TableNormal"/>
    <w:uiPriority w:val="40"/>
    <w:rsid w:val="00861D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115"/>
    <w:uiPriority w:val="99"/>
    <w:semiHidden/>
    <w:unhideWhenUsed/>
    <w:rsid w:val="00861D72"/>
    <w:pPr>
      <w:spacing w:line="240" w:lineRule="auto"/>
    </w:pPr>
    <w:rPr>
      <w:rFonts w:ascii="Consolas" w:hAnsi="Consolas"/>
      <w:sz w:val="21"/>
      <w:szCs w:val="21"/>
    </w:rPr>
  </w:style>
  <w:style w:type="character" w:customStyle="1" w:styleId="115">
    <w:name w:val="טקסט רגיל תו1"/>
    <w:basedOn w:val="DefaultParagraphFont"/>
    <w:link w:val="PlainText"/>
    <w:uiPriority w:val="99"/>
    <w:semiHidden/>
    <w:rsid w:val="00861D7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eader" Target="header3.xml"/><Relationship Id="rId26" Type="http://schemas.openxmlformats.org/officeDocument/2006/relationships/image" Target="media/image20.jpe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diagramLayout" Target="diagrams/layout1.xml"/><Relationship Id="rId42" Type="http://schemas.openxmlformats.org/officeDocument/2006/relationships/image" Target="media/image31.png"/><Relationship Id="rId47" Type="http://schemas.openxmlformats.org/officeDocument/2006/relationships/header" Target="header4.xml"/><Relationship Id="rId50"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png"/><Relationship Id="rId32" Type="http://schemas.microsoft.com/office/2007/relationships/diagramDrawing" Target="diagrams/drawing1.xml"/><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ustomXml" Target="../customXml/item3.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3.png"/><Relationship Id="rId52" Type="http://schemas.openxmlformats.org/officeDocument/2006/relationships/customXml" Target="../customXml/item2.xml"/><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diagramQuickStyle" Target="diagrams/quickStyle1.xml"/><Relationship Id="rId4" Type="http://schemas.openxmlformats.org/officeDocument/2006/relationships/fontTable" Target="fontTable.xml"/><Relationship Id="rId43" Type="http://schemas.openxmlformats.org/officeDocument/2006/relationships/image" Target="media/image32.png"/><Relationship Id="rId48" Type="http://schemas.openxmlformats.org/officeDocument/2006/relationships/header" Target="header5.xml"/><Relationship Id="rId9" Type="http://schemas.openxmlformats.org/officeDocument/2006/relationships/image" Target="media/image4.png"/><Relationship Id="rId51" Type="http://schemas.openxmlformats.org/officeDocument/2006/relationships/styles" Target="styles.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diagramData" Target="diagrams/data1.xml"/><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customXml" Target="../customXml/item4.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diagramColors" Target="diagrams/colors1.xml"/><Relationship Id="rId49" Type="http://schemas.openxmlformats.org/officeDocument/2006/relationships/theme" Target="theme/theme1.xml"/></Relationships>
</file>

<file path=word/_rels/footnotes.xml.rels><?xml version="1.0" encoding="utf-8" standalone="yes"?><Relationships xmlns="http://schemas.openxmlformats.org/package/2006/relationships"><Relationship Id="rId1" Type="http://schemas.openxmlformats.org/officeDocument/2006/relationships/hyperlink" Target="https://www.gov.il/he/pages/health_geriatrics_unit_about" TargetMode="External" /><Relationship Id="rId10" Type="http://schemas.openxmlformats.org/officeDocument/2006/relationships/hyperlink" Target="https://european-union.europa.eu/index_en?utm_source=chatgpt.com" TargetMode="External" /><Relationship Id="rId11" Type="http://schemas.openxmlformats.org/officeDocument/2006/relationships/hyperlink" Target="https://unece.org/info/Population/events/392469?utm_source=chatgpt.com" TargetMode="External" /><Relationship Id="rId12" Type="http://schemas.openxmlformats.org/officeDocument/2006/relationships/hyperlink" Target="https://www.canada.ca/en/national-seniors-council.html?utm_source=chatgpt.com" TargetMode="External" /><Relationship Id="rId13" Type="http://schemas.openxmlformats.org/officeDocument/2006/relationships/hyperlink" Target="https://www.gov.ie/en/department-of-health/publications/national-positive-ageing-strategy/?utm_source=chatgpt.com" TargetMode="External" /><Relationship Id="rId14" Type="http://schemas.openxmlformats.org/officeDocument/2006/relationships/hyperlink" Target="https://www.gov.il/he/pages/about_pm_office" TargetMode="External" /><Relationship Id="rId15" Type="http://schemas.openxmlformats.org/officeDocument/2006/relationships/hyperlink" Target="https://www.gov.il/he/pages/future-time" TargetMode="External" /><Relationship Id="rId16" Type="http://schemas.openxmlformats.org/officeDocument/2006/relationships/hyperlink" Target="https://www.gov.il/BlobFolder/service/information_flow_between_public_bodies/he/info-bulletin.pdf" TargetMode="External" /><Relationship Id="rId17" Type="http://schemas.openxmlformats.org/officeDocument/2006/relationships/hyperlink" Target="https://www.gov.il/he/service/national-rights-engine-service" TargetMode="External" /><Relationship Id="rId2" Type="http://schemas.openxmlformats.org/officeDocument/2006/relationships/hyperlink" Target="https://www.gov.il/he/departments/molsa/govil-landing-page" TargetMode="External" /><Relationship Id="rId3" Type="http://schemas.openxmlformats.org/officeDocument/2006/relationships/hyperlink" Target="https://www.gov.il/he/departments/ministry_for_social_equality/govil-landing-page" TargetMode="External" /><Relationship Id="rId4" Type="http://schemas.openxmlformats.org/officeDocument/2006/relationships/hyperlink" Target="https://www.btl.gov.il/Pages/default.aspx?gad_source=1&amp;gad_campaignid=1078819423&amp;gclid=EAIaIQobChMIxOC8zo66kAMVcphQBh2XNz3HEAAYASAAEgL2m_D_BwE" TargetMode="External" /><Relationship Id="rId5" Type="http://schemas.openxmlformats.org/officeDocument/2006/relationships/hyperlink" Target="https://www.who.int/news-room/questions-and-answers/item/population-ageing?utm_source=chatgpt.com" TargetMode="External" /><Relationship Id="rId6" Type="http://schemas.openxmlformats.org/officeDocument/2006/relationships/hyperlink" Target="https://share-eric.eu/impact" TargetMode="External" /><Relationship Id="rId7" Type="http://schemas.openxmlformats.org/officeDocument/2006/relationships/hyperlink" Target="https://www.gov.il/he/pages/about_economy" TargetMode="External" /><Relationship Id="rId8" Type="http://schemas.openxmlformats.org/officeDocument/2006/relationships/hyperlink" Target="https://www.oecd.org/en/about.html?utm_source=chatgpt.com" TargetMode="External" /><Relationship Id="rId9" Type="http://schemas.openxmlformats.org/officeDocument/2006/relationships/hyperlink" Target="https://doi.org/10.1787/0efd0bcd-en"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85331-D519-4B65-83E2-9CCCB562E135}" type="doc">
      <dgm:prSet loTypeId="urn:microsoft.com/office/officeart/2005/8/layout/hierarchy2#3" loCatId="hierarchy" qsTypeId="urn:microsoft.com/office/officeart/2005/8/quickstyle/3d3#3" qsCatId="3D" csTypeId="urn:microsoft.com/office/officeart/2005/8/colors/accent0_3" csCatId="mainScheme" phldr="1"/>
      <dgm:spPr/>
      <dgm:t>
        <a:bodyPr/>
        <a:lstStyle/>
        <a:p>
          <a:pPr rtl="1"/>
          <a:endParaRPr lang="he-IL"/>
        </a:p>
      </dgm:t>
    </dgm:pt>
    <dgm:pt modelId="{EF1D9505-A557-4F8D-AF63-CB7BA7D73FF6}">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3095777" y="2069711"/>
          <a:ext cx="1037717" cy="578185"/>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100" kern="1200">
              <a:solidFill>
                <a:sysClr val="windowText" lastClr="000000"/>
              </a:solidFill>
              <a:latin typeface="Almoni ML v5 AAA Light" panose="00000400000000000000" pitchFamily="50" charset="-79"/>
              <a:ea typeface="+mn-ea"/>
              <a:cs typeface="Almoni ML v5 AAA Light" panose="00000400000000000000" pitchFamily="50" charset="-79"/>
            </a:rPr>
            <a:t>מיסוד השותפות כבר </a:t>
          </a:r>
          <a:r>
            <a:rPr lang="he-IL" sz="1100" b="0" kern="1200">
              <a:solidFill>
                <a:sysClr val="windowText" lastClr="000000"/>
              </a:solidFill>
              <a:latin typeface="Almoni ML v5 AAA Light" panose="00000400000000000000" pitchFamily="50" charset="-79"/>
              <a:ea typeface="+mn-ea"/>
              <a:cs typeface="Almoni ML v5 AAA Light" panose="00000400000000000000" pitchFamily="50" charset="-79"/>
            </a:rPr>
            <a:t>בשלבים</a:t>
          </a:r>
          <a:r>
            <a:rPr lang="he-IL" sz="1100" kern="1200">
              <a:solidFill>
                <a:sysClr val="windowText" lastClr="000000"/>
              </a:solidFill>
              <a:latin typeface="Almoni ML v5 AAA Light" panose="00000400000000000000" pitchFamily="50" charset="-79"/>
              <a:ea typeface="+mn-ea"/>
              <a:cs typeface="Almoni ML v5 AAA Light" panose="00000400000000000000" pitchFamily="50" charset="-79"/>
            </a:rPr>
            <a:t> הראשונים</a:t>
          </a:r>
          <a:endParaRPr lang="he-IL" sz="110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27FC7297-A430-4A48-BBFC-60812F77E16B}" type="parTrans" cxnId="{1DF1935B-64A6-4883-8DAD-3E586AB9A828}">
      <dgm:prSet custT="1"/>
      <dgm:spPr>
        <a:xfrm rot="8133261">
          <a:off x="4050327" y="2143274"/>
          <a:ext cx="581423" cy="23926"/>
        </a:xfrm>
        <a:custGeom>
          <a:avLst/>
          <a:gdLst/>
          <a:rect l="0" t="0" r="0" b="0"/>
          <a:pathLst>
            <a:path fill="norm" stroke="1">
              <a:moveTo>
                <a:pt x="0" y="11963"/>
              </a:moveTo>
              <a:lnTo>
                <a:pt x="529042"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F26CF97B-07A6-4B47-A8F1-2805B96DA82A}" type="sibTrans" cxnId="{1DF1935B-64A6-4883-8DAD-3E586AB9A828}">
      <dgm:prSet/>
      <dgm:spPr/>
      <dgm:t>
        <a:bodyPr/>
        <a:lstStyle/>
        <a:p>
          <a:pPr rtl="1"/>
          <a:endParaRPr lang="he-IL"/>
        </a:p>
      </dgm:t>
    </dgm:pt>
    <dgm:pt modelId="{202007A1-1FA0-47F4-84F2-5832D7F3AD0C}">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946" y="1502687"/>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הסדרה תקציבית הנחשבת אתגר מרכזי ומומלץ לקבע אותה מוקדם, תוך חשיבות קריטית לתקציב רב-שנתי התואם את מחזור החיים של המהלך</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AC2FF935-ABCB-4CF0-A044-15A7649F7924}" type="parTrans" cxnId="{DDCA2DE4-DBBE-484C-8B16-761401538F61}">
      <dgm:prSet custT="1"/>
      <dgm:spPr>
        <a:xfrm rot="14110531">
          <a:off x="2524801" y="2048496"/>
          <a:ext cx="726865" cy="23926"/>
        </a:xfrm>
        <a:custGeom>
          <a:avLst/>
          <a:gdLst/>
          <a:rect l="0" t="0" r="0" b="0"/>
          <a:pathLst>
            <a:path fill="norm" stroke="1">
              <a:moveTo>
                <a:pt x="0" y="11963"/>
              </a:moveTo>
              <a:lnTo>
                <a:pt x="726865"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B67C2107-017F-48AF-9C55-3AA43FBE65E5}" type="sibTrans" cxnId="{DDCA2DE4-DBBE-484C-8B16-761401538F61}">
      <dgm:prSet/>
      <dgm:spPr/>
      <dgm:t>
        <a:bodyPr/>
        <a:lstStyle/>
        <a:p>
          <a:pPr rtl="1"/>
          <a:endParaRPr lang="he-IL"/>
        </a:p>
      </dgm:t>
    </dgm:pt>
    <dgm:pt modelId="{E3F38917-95B4-443E-B574-CB1E593C1FF7}">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946" y="2696062"/>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000" b="0">
              <a:solidFill>
                <a:sysClr val="windowText" lastClr="000000"/>
              </a:solidFill>
              <a:latin typeface="Almoni ML v5 AAA Light" panose="00000400000000000000" pitchFamily="50" charset="-79"/>
              <a:ea typeface="+mn-ea"/>
              <a:cs typeface="Almoni ML v5 AAA Light" panose="00000400000000000000" pitchFamily="50" charset="-79"/>
            </a:rPr>
            <a:t>הסדרה תהליכית </a:t>
          </a:r>
          <a:br>
            <a:rPr lang="en-US" sz="1000" b="0">
              <a:solidFill>
                <a:sysClr val="windowText" lastClr="000000"/>
              </a:solidFill>
              <a:latin typeface="Almoni ML v5 AAA Light" panose="00000400000000000000" pitchFamily="50" charset="-79"/>
              <a:ea typeface="+mn-ea"/>
              <a:cs typeface="Almoni ML v5 AAA Light" panose="00000400000000000000" pitchFamily="50" charset="-79"/>
            </a:rPr>
          </a:br>
          <a:r>
            <a:rPr lang="he-IL" sz="1000" b="0">
              <a:solidFill>
                <a:sysClr val="windowText" lastClr="000000"/>
              </a:solidFill>
              <a:latin typeface="Almoni ML v5 AAA Light" panose="00000400000000000000" pitchFamily="50" charset="-79"/>
              <a:ea typeface="+mn-ea"/>
              <a:cs typeface="Almoni ML v5 AAA Light" panose="00000400000000000000" pitchFamily="50" charset="-79"/>
            </a:rPr>
            <a:t>שלד מינימלי של מחויבות, החלטה על סמכויות, לוחות זמנים ומי מצטרף מתי</a:t>
          </a:r>
          <a:endParaRPr lang="he-IL" sz="1000" b="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23950A0B-8715-47CA-B6BB-5220C65EE127}" type="parTrans" cxnId="{2F76BE1C-40D6-4359-9E2C-CF99D8B04565}">
      <dgm:prSet custT="1"/>
      <dgm:spPr>
        <a:xfrm rot="7489469">
          <a:off x="2524801" y="2645184"/>
          <a:ext cx="726865" cy="23926"/>
        </a:xfrm>
        <a:custGeom>
          <a:avLst/>
          <a:gdLst/>
          <a:rect l="0" t="0" r="0" b="0"/>
          <a:pathLst>
            <a:path fill="norm" stroke="1">
              <a:moveTo>
                <a:pt x="0" y="11963"/>
              </a:moveTo>
              <a:lnTo>
                <a:pt x="726865"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16EF3637-463E-4748-B08D-C43066EC192E}" type="sibTrans" cxnId="{2F76BE1C-40D6-4359-9E2C-CF99D8B04565}">
      <dgm:prSet/>
      <dgm:spPr/>
      <dgm:t>
        <a:bodyPr/>
        <a:lstStyle/>
        <a:p>
          <a:pPr rtl="1"/>
          <a:endParaRPr lang="he-IL"/>
        </a:p>
      </dgm:t>
    </dgm:pt>
    <dgm:pt modelId="{3AF6CCAA-2130-4C4B-9A8A-8FB812D05D37}">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946" y="2099374"/>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000" b="0">
              <a:solidFill>
                <a:sysClr val="windowText" lastClr="000000"/>
              </a:solidFill>
              <a:latin typeface="Almoni ML v5 AAA Light" panose="00000400000000000000" pitchFamily="50" charset="-79"/>
              <a:ea typeface="+mn-ea"/>
              <a:cs typeface="Almoni ML v5 AAA Light" panose="00000400000000000000" pitchFamily="50" charset="-79"/>
            </a:rPr>
            <a:t>הסדרה מבנית </a:t>
          </a:r>
          <a:br>
            <a:rPr lang="en-US" sz="1000" b="0">
              <a:solidFill>
                <a:sysClr val="windowText" lastClr="000000"/>
              </a:solidFill>
              <a:latin typeface="Almoni ML v5 AAA Light" panose="00000400000000000000" pitchFamily="50" charset="-79"/>
              <a:ea typeface="+mn-ea"/>
              <a:cs typeface="Almoni ML v5 AAA Light" panose="00000400000000000000" pitchFamily="50" charset="-79"/>
            </a:rPr>
          </a:br>
          <a:r>
            <a:rPr lang="he-IL" sz="1000" b="0">
              <a:solidFill>
                <a:sysClr val="windowText" lastClr="000000"/>
              </a:solidFill>
              <a:latin typeface="Almoni ML v5 AAA Light" panose="00000400000000000000" pitchFamily="50" charset="-79"/>
              <a:ea typeface="+mn-ea"/>
              <a:cs typeface="Almoni ML v5 AAA Light" panose="00000400000000000000" pitchFamily="50" charset="-79"/>
            </a:rPr>
            <a:t>בחירת מבנה שותפות המאפשר בעלות משותפת בלי לפגוע בסמכויות</a:t>
          </a:r>
          <a:endParaRPr lang="he-IL" sz="1000" b="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44360DDC-7ECE-4269-A8EA-31CEF3782961}" type="parTrans" cxnId="{38C464B9-2A9D-4CA0-9BB0-465DD1B4A956}">
      <dgm:prSet custT="1"/>
      <dgm:spPr>
        <a:xfrm rot="10800000">
          <a:off x="2680690" y="2346840"/>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392742C-CE2E-49F1-9977-89A630CA25E2}" type="sibTrans" cxnId="{38C464B9-2A9D-4CA0-9BB0-465DD1B4A956}">
      <dgm:prSet/>
      <dgm:spPr/>
      <dgm:t>
        <a:bodyPr/>
        <a:lstStyle/>
        <a:p>
          <a:pPr rtl="1"/>
          <a:endParaRPr lang="he-IL"/>
        </a:p>
      </dgm:t>
    </dgm:pt>
    <dgm:pt modelId="{1738E5E5-A66A-4284-993C-B5D9336A9897}">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946" y="3292749"/>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000" b="0">
              <a:solidFill>
                <a:sysClr val="windowText" lastClr="000000"/>
              </a:solidFill>
              <a:latin typeface="Almoni ML v5 AAA Light" panose="00000400000000000000" pitchFamily="50" charset="-79"/>
              <a:ea typeface="+mn-ea"/>
              <a:cs typeface="Almoni ML v5 AAA Light" panose="00000400000000000000" pitchFamily="50" charset="-79"/>
            </a:rPr>
            <a:t>מערכת קבועה להעברת מידע ומוסכמות מראש על אופן ריכוזו ושמירתו</a:t>
          </a:r>
          <a:endParaRPr lang="he-IL" sz="1000" b="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432FFADF-6F61-490D-B60D-59E3D1AE08BC}" type="parTrans" cxnId="{7E71A70A-EF0D-4D13-8DC2-493AABEDE795}">
      <dgm:prSet custT="1"/>
      <dgm:spPr>
        <a:xfrm rot="10800000">
          <a:off x="2680690" y="3540215"/>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7A1CD91-436B-4A4F-98F0-FEFCEAAE0C19}" type="sibTrans" cxnId="{7E71A70A-EF0D-4D13-8DC2-493AABEDE795}">
      <dgm:prSet/>
      <dgm:spPr/>
      <dgm:t>
        <a:bodyPr/>
        <a:lstStyle/>
        <a:p>
          <a:pPr rtl="1"/>
          <a:endParaRPr lang="he-IL"/>
        </a:p>
      </dgm:t>
    </dgm:pt>
    <dgm:pt modelId="{45B3485A-59C1-45BB-A09B-F96BBF72EF06}">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3095777" y="718087"/>
          <a:ext cx="1037717" cy="894683"/>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100" kern="1200" dirty="0">
              <a:solidFill>
                <a:sysClr val="windowText" lastClr="000000"/>
              </a:solidFill>
              <a:latin typeface="Almoni ML v5 AAA Light" panose="00000400000000000000" pitchFamily="50" charset="-79"/>
              <a:ea typeface="+mn-ea"/>
              <a:cs typeface="Almoni ML v5 AAA Light" panose="00000400000000000000" pitchFamily="50" charset="-79"/>
            </a:rPr>
            <a:t>יצירת אמון באמצעות תקשורת מובנית וובאמצעות שפה משותפת</a:t>
          </a:r>
        </a:p>
      </dgm:t>
    </dgm:pt>
    <dgm:pt modelId="{36F5D0D0-9E03-4F6C-BF5D-AEAA0C96D15C}" type="parTrans" cxnId="{7404F4B2-498F-4550-985B-548BD95966EB}">
      <dgm:prSet custT="1"/>
      <dgm:spPr>
        <a:xfrm rot="14530126">
          <a:off x="3896495" y="1546587"/>
          <a:ext cx="889087" cy="23926"/>
        </a:xfrm>
        <a:custGeom>
          <a:avLst/>
          <a:gdLst/>
          <a:rect l="0" t="0" r="0" b="0"/>
          <a:pathLst>
            <a:path fill="norm" stroke="1">
              <a:moveTo>
                <a:pt x="0" y="11963"/>
              </a:moveTo>
              <a:lnTo>
                <a:pt x="959770"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91E5DE22-B54E-4B23-9305-937BE901A716}" type="sibTrans" cxnId="{7404F4B2-498F-4550-985B-548BD95966EB}">
      <dgm:prSet/>
      <dgm:spPr/>
      <dgm:t>
        <a:bodyPr/>
        <a:lstStyle/>
        <a:p>
          <a:pPr rtl="1"/>
          <a:endParaRPr lang="he-IL"/>
        </a:p>
      </dgm:t>
    </dgm:pt>
    <dgm:pt modelId="{0881BDB3-9E1E-4D37-A209-D1203ADFB405}">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3095777" y="3263086"/>
          <a:ext cx="1037717" cy="578185"/>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marL="0" indent="0" algn="ctr" defTabSz="914400" rtl="1" eaLnBrk="1" latinLnBrk="0" hangingPunct="1">
            <a:buNone/>
          </a:pPr>
          <a:r>
            <a:rPr lang="he-IL" sz="1100" b="0" kern="1200">
              <a:solidFill>
                <a:sysClr val="windowText" lastClr="000000"/>
              </a:solidFill>
              <a:latin typeface="Almoni ML v5 AAA Light" panose="00000400000000000000" pitchFamily="50" charset="-79"/>
              <a:ea typeface="+mn-ea"/>
              <a:cs typeface="Almoni ML v5 AAA Light" panose="00000400000000000000" pitchFamily="50" charset="-79"/>
            </a:rPr>
            <a:t>מנגנוני שקיפות מידע</a:t>
          </a:r>
          <a:endParaRPr lang="he-IL" sz="11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B461C599-6574-4E99-B347-4CB6F75A138F}" type="parTrans" cxnId="{ACEFA136-050D-4400-B151-1A5891F25F54}">
      <dgm:prSet custT="1"/>
      <dgm:spPr>
        <a:xfrm rot="6272351">
          <a:off x="3514310" y="2739962"/>
          <a:ext cx="1653456" cy="23926"/>
        </a:xfrm>
        <a:custGeom>
          <a:avLst/>
          <a:gdLst/>
          <a:rect l="0" t="0" r="0" b="0"/>
          <a:pathLst>
            <a:path fill="norm" stroke="1">
              <a:moveTo>
                <a:pt x="0" y="11963"/>
              </a:moveTo>
              <a:lnTo>
                <a:pt x="1576991"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C3D24187-0392-4F93-B187-81DBABCF0AFC}" type="sibTrans" cxnId="{ACEFA136-050D-4400-B151-1A5891F25F54}">
      <dgm:prSet/>
      <dgm:spPr/>
      <dgm:t>
        <a:bodyPr/>
        <a:lstStyle/>
        <a:p>
          <a:pPr rtl="1"/>
          <a:endParaRPr lang="he-IL"/>
        </a:p>
      </dgm:t>
    </dgm:pt>
    <dgm:pt modelId="{3C0B8EE1-95DE-4F85-8232-C2F6CBFD1A34}">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946" y="905999"/>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marL="0" indent="0" algn="ctr" defTabSz="914400" rtl="1" eaLnBrk="1" latinLnBrk="0" hangingPunct="1">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בהירות מטרה, היוועצות מוקדמת והחלפת מידע</a:t>
          </a:r>
        </a:p>
      </dgm:t>
    </dgm:pt>
    <dgm:pt modelId="{6DAF0227-FA0F-492D-9011-AC12E7D9BF7B}" type="parTrans" cxnId="{8B145868-B953-4189-8034-4E01D36FC249}">
      <dgm:prSet custT="1"/>
      <dgm:spPr>
        <a:xfrm rot="10800000">
          <a:off x="2680690" y="1153465"/>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0D786030-6F33-4301-8E00-F35210EC7CEE}" type="sibTrans" cxnId="{8B145868-B953-4189-8034-4E01D36FC249}">
      <dgm:prSet/>
      <dgm:spPr/>
      <dgm:t>
        <a:bodyPr/>
        <a:lstStyle/>
        <a:p>
          <a:pPr rtl="1"/>
          <a:endParaRPr lang="he-IL"/>
        </a:p>
      </dgm:t>
    </dgm:pt>
    <dgm:pt modelId="{A9DDCE0C-E1B9-42B9-B847-DA7DC411BED6}">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548582" y="1592443"/>
          <a:ext cx="666806" cy="718458"/>
        </a:xfrm>
        <a:prstGeom prst="roundRect">
          <a:avLst>
            <a:gd name="adj" fmla="val 10000"/>
          </a:avLst>
        </a:prstGeom>
        <a:solidFill>
          <a:srgbClr val="C47987"/>
        </a:solidFill>
        <a:ln w="6350">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המודל</a:t>
          </a:r>
          <a:r>
            <a:rPr lang="he-IL" sz="1200" kern="1200">
              <a:solidFill>
                <a:sysClr val="windowText" lastClr="000000"/>
              </a:solidFill>
              <a:latin typeface="Calibri" panose="020F0502020204030204"/>
              <a:ea typeface="+mn-ea"/>
              <a:cs typeface="Arial" panose="020B0604020202020204" pitchFamily="34" charset="0"/>
            </a:rPr>
            <a:t> </a:t>
          </a: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לבניית</a:t>
          </a:r>
          <a:r>
            <a:rPr lang="he-IL" sz="1200" kern="1200">
              <a:solidFill>
                <a:sysClr val="windowText" lastClr="000000"/>
              </a:solidFill>
              <a:latin typeface="Calibri" panose="020F0502020204030204"/>
              <a:ea typeface="+mn-ea"/>
              <a:cs typeface="Arial" panose="020B0604020202020204" pitchFamily="34" charset="0"/>
            </a:rPr>
            <a:t> </a:t>
          </a: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שיתופי</a:t>
          </a:r>
          <a:r>
            <a:rPr lang="he-IL" sz="1200" kern="1200">
              <a:solidFill>
                <a:sysClr val="windowText" lastClr="000000"/>
              </a:solidFill>
              <a:latin typeface="Calibri" panose="020F0502020204030204"/>
              <a:ea typeface="+mn-ea"/>
              <a:cs typeface="Arial" panose="020B0604020202020204" pitchFamily="34" charset="0"/>
            </a:rPr>
            <a:t> </a:t>
          </a: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פעולה</a:t>
          </a:r>
          <a:endParaRPr lang="he-IL" sz="1200" b="1"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A0322E30-8A0F-4432-BAD8-BC7A453A1D8C}" type="sibTrans" cxnId="{5F87045A-1B6A-4255-AECE-1341BF69C292}">
      <dgm:prSet/>
      <dgm:spPr/>
      <dgm:t>
        <a:bodyPr/>
        <a:lstStyle/>
        <a:p>
          <a:pPr rtl="1"/>
          <a:endParaRPr lang="he-IL"/>
        </a:p>
      </dgm:t>
    </dgm:pt>
    <dgm:pt modelId="{93310B85-CCF5-43A5-92A5-E1F724835B05}" type="parTrans" cxnId="{5F87045A-1B6A-4255-AECE-1341BF69C292}">
      <dgm:prSet/>
      <dgm:spPr/>
      <dgm:t>
        <a:bodyPr/>
        <a:lstStyle/>
        <a:p>
          <a:pPr rtl="1"/>
          <a:endParaRPr lang="he-IL"/>
        </a:p>
      </dgm:t>
    </dgm:pt>
    <dgm:pt modelId="{25AE3FD3-31D2-4EAA-8A67-C76B7A204FD6}">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3095777" y="62073"/>
          <a:ext cx="1037717" cy="578185"/>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100" dirty="0">
              <a:solidFill>
                <a:sysClr val="windowText" lastClr="000000"/>
              </a:solidFill>
              <a:latin typeface="Almoni ML v5 AAA Light" panose="00000400000000000000" pitchFamily="50" charset="-79"/>
              <a:ea typeface="+mn-ea"/>
              <a:cs typeface="Almoni ML v5 AAA Light" panose="00000400000000000000" pitchFamily="50" charset="-79"/>
            </a:rPr>
            <a:t>הגדרת גורם מוביל בעל סמכות ואחריות לתהליך ולתוצריו</a:t>
          </a:r>
        </a:p>
      </dgm:t>
      <dgm:extLst>
        <a:ext xmlns:a="http://schemas.openxmlformats.org/drawingml/2006/main" uri="{E40237B7-FDA0-4F09-8148-C483321AD2D9}">
          <dgm14:cNvPr xmlns:dgm14="http://schemas.microsoft.com/office/drawing/2010/diagram" id="0" name=""/>
        </a:ext>
      </dgm:extLst>
    </dgm:pt>
    <dgm:pt modelId="{62853E69-0704-4CFE-8C71-1F0B9127CDCB}" type="parTrans" cxnId="{877A02ED-8D0C-42B4-883E-B8B2D7490F17}">
      <dgm:prSet custT="1"/>
      <dgm:spPr>
        <a:xfrm rot="15327649">
          <a:off x="3514310" y="1139455"/>
          <a:ext cx="1653456" cy="23926"/>
        </a:xfrm>
        <a:custGeom>
          <a:avLst/>
          <a:gdLst/>
          <a:rect l="0" t="0" r="0" b="0"/>
          <a:pathLst>
            <a:path fill="norm" stroke="1">
              <a:moveTo>
                <a:pt x="0" y="11963"/>
              </a:moveTo>
              <a:lnTo>
                <a:pt x="1576991"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AB8653C2-4498-4361-A207-B895FBA38E46}" type="sibTrans" cxnId="{877A02ED-8D0C-42B4-883E-B8B2D7490F17}">
      <dgm:prSet/>
      <dgm:spPr/>
      <dgm:t>
        <a:bodyPr/>
        <a:lstStyle/>
        <a:p>
          <a:pPr rtl="1"/>
          <a:endParaRPr lang="he-IL"/>
        </a:p>
      </dgm:t>
    </dgm:pt>
    <dgm:pt modelId="{7B5C54BB-F80D-432E-AAAD-351A416F5D32}">
      <dgm:prSet phldrT="[טקסט]" custT="1">
        <dgm:style>
          <a:lnRef idx="2">
            <a:schemeClr val="accent1">
              <a:shade val="50000"/>
            </a:schemeClr>
          </a:lnRef>
          <a:fillRef idx="1">
            <a:schemeClr val="accent1"/>
          </a:fillRef>
          <a:effectRef idx="0">
            <a:schemeClr val="accent1"/>
          </a:effectRef>
          <a:fontRef idx="minor">
            <a:schemeClr val="lt1"/>
          </a:fontRef>
        </dgm:style>
      </dgm:prSet>
      <dgm:spPr>
        <a:xfrm>
          <a:off x="4946" y="91736"/>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gm:spPr>
      <dgm:t>
        <a:bodyPr wrap="square" rtlCol="1" anchor="ctr"/>
        <a:lstStyle/>
        <a:p>
          <a:pPr rtl="1">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נדרש כדי להבטיח ניהול עקבי, פתרון מחלוקות והתקדמות משלב התכנון ועד ליישום ולהערכה</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gm:t>
    </dgm:pt>
    <dgm:pt modelId="{047BF710-2225-4BD6-94C0-6D056A5A6F64}" type="parTrans" cxnId="{79E57002-988A-4EEE-B4C1-DF64D8994558}">
      <dgm:prSet custT="1"/>
      <dgm:spPr>
        <a:xfrm rot="10800000">
          <a:off x="2680690" y="339202"/>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rtl="1">
            <a:buNone/>
          </a:pPr>
          <a:endParaRPr lang="he-IL"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01D98C47-9839-4603-919A-CD4691E81212}" type="sibTrans" cxnId="{79E57002-988A-4EEE-B4C1-DF64D8994558}">
      <dgm:prSet/>
      <dgm:spPr/>
      <dgm:t>
        <a:bodyPr/>
        <a:lstStyle/>
        <a:p>
          <a:pPr rtl="1"/>
          <a:endParaRPr lang="he-IL"/>
        </a:p>
      </dgm:t>
    </dgm:pt>
    <dgm:pt modelId="{6AB24C3C-B066-426D-AFE6-79FDBE3A3871}" type="pres">
      <dgm:prSet presAssocID="{07985331-D519-4B65-83E2-9CCCB562E135}" presName="diagram" presStyleCnt="0">
        <dgm:presLayoutVars>
          <dgm:chPref val="1"/>
          <dgm:dir val="rev"/>
          <dgm:animOne val="branch"/>
          <dgm:animLvl val="lvl"/>
          <dgm:resizeHandles val="exact"/>
        </dgm:presLayoutVars>
      </dgm:prSet>
      <dgm:spPr/>
    </dgm:pt>
    <dgm:pt modelId="{CECFFD91-6AA0-470B-AE1F-5EB951A7FB23}" type="pres">
      <dgm:prSet presAssocID="{A9DDCE0C-E1B9-42B9-B847-DA7DC411BED6}" presName="root1" presStyleCnt="0"/>
      <dgm:spPr/>
    </dgm:pt>
    <dgm:pt modelId="{135E97C1-ECF6-4834-BD14-96411F6AFE1C}" type="pres">
      <dgm:prSet presAssocID="{A9DDCE0C-E1B9-42B9-B847-DA7DC411BED6}" presName="LevelOneTextNode" presStyleLbl="node0" presStyleIdx="0" presStyleCnt="1" custScaleX="64257" custScaleY="138469">
        <dgm:presLayoutVars>
          <dgm:chPref val="3"/>
        </dgm:presLayoutVars>
      </dgm:prSet>
      <dgm:spPr>
        <a:xfrm>
          <a:off x="4689586" y="1607837"/>
          <a:ext cx="526525" cy="687669"/>
        </a:xfrm>
        <a:prstGeom prst="roundRect">
          <a:avLst>
            <a:gd name="adj" fmla="val 10000"/>
          </a:avLst>
        </a:prstGeom>
      </dgm:spPr>
    </dgm:pt>
    <dgm:pt modelId="{4D8F040B-CB27-42A8-BAC4-4F283190DE33}" type="pres">
      <dgm:prSet presAssocID="{A9DDCE0C-E1B9-42B9-B847-DA7DC411BED6}" presName="level2hierChild" presStyleCnt="0"/>
      <dgm:spPr/>
    </dgm:pt>
    <dgm:pt modelId="{FDA31E74-193D-451F-826B-65AAD66866E6}" type="pres">
      <dgm:prSet presAssocID="{62853E69-0704-4CFE-8C71-1F0B9127CDCB}" presName="conn2-1" presStyleLbl="parChTrans1D2" presStyleIdx="0" presStyleCnt="4"/>
      <dgm:spPr/>
    </dgm:pt>
    <dgm:pt modelId="{3C220E72-522B-4C6D-A885-F45E31B46008}" type="pres">
      <dgm:prSet presAssocID="{62853E69-0704-4CFE-8C71-1F0B9127CDCB}" presName="connTx" presStyleLbl="parChTrans1D2" presStyleIdx="0" presStyleCnt="4"/>
      <dgm:spPr/>
    </dgm:pt>
    <dgm:pt modelId="{C9567023-1F74-497C-B7E6-DECEC4EE3F03}" type="pres">
      <dgm:prSet presAssocID="{25AE3FD3-31D2-4EAA-8A67-C76B7A204FD6}" presName="root2" presStyleCnt="0"/>
      <dgm:spPr/>
    </dgm:pt>
    <dgm:pt modelId="{BC438E2A-09CA-4C1B-BF17-2855B7800D3C}" type="pres">
      <dgm:prSet presAssocID="{25AE3FD3-31D2-4EAA-8A67-C76B7A204FD6}" presName="LevelTwoTextNode" presStyleLbl="node2" presStyleIdx="0" presStyleCnt="4" custScaleY="111434">
        <dgm:presLayoutVars>
          <dgm:chPref val="3"/>
        </dgm:presLayoutVars>
      </dgm:prSet>
      <dgm:spPr>
        <a:xfrm>
          <a:off x="3191465" y="145901"/>
          <a:ext cx="1070086" cy="535043"/>
        </a:xfrm>
        <a:prstGeom prst="roundRect">
          <a:avLst>
            <a:gd name="adj" fmla="val 10000"/>
          </a:avLst>
        </a:prstGeom>
      </dgm:spPr>
    </dgm:pt>
    <dgm:pt modelId="{7725A726-15B7-4294-A253-81BEDAC4572F}" type="pres">
      <dgm:prSet presAssocID="{25AE3FD3-31D2-4EAA-8A67-C76B7A204FD6}" presName="level3hierChild" presStyleCnt="0"/>
      <dgm:spPr/>
    </dgm:pt>
    <dgm:pt modelId="{5347C140-C901-420A-8901-EE3079E7697A}" type="pres">
      <dgm:prSet presAssocID="{047BF710-2225-4BD6-94C0-6D056A5A6F64}" presName="conn2-1" presStyleLbl="parChTrans1D3" presStyleIdx="0" presStyleCnt="6"/>
      <dgm:spPr/>
    </dgm:pt>
    <dgm:pt modelId="{E2355426-119D-47BA-9A69-275A5A41A2AA}" type="pres">
      <dgm:prSet presAssocID="{047BF710-2225-4BD6-94C0-6D056A5A6F64}" presName="connTx" presStyleLbl="parChTrans1D3" presStyleIdx="0" presStyleCnt="6"/>
      <dgm:spPr/>
    </dgm:pt>
    <dgm:pt modelId="{747236EA-595B-4CFE-A176-D08157DE8956}" type="pres">
      <dgm:prSet presAssocID="{7B5C54BB-F80D-432E-AAAD-351A416F5D32}" presName="root2" presStyleCnt="0"/>
      <dgm:spPr/>
    </dgm:pt>
    <dgm:pt modelId="{FB4DC39A-2FA2-4A74-B206-322933CCEE08}" type="pres">
      <dgm:prSet presAssocID="{7B5C54BB-F80D-432E-AAAD-351A416F5D32}" presName="LevelTwoTextNode" presStyleLbl="node3" presStyleIdx="0" presStyleCnt="6" custScaleX="257849">
        <dgm:presLayoutVars>
          <dgm:chPref val="3"/>
        </dgm:presLayoutVars>
      </dgm:prSet>
      <dgm:spPr>
        <a:xfrm>
          <a:off x="4946" y="170860"/>
          <a:ext cx="2675744" cy="518858"/>
        </a:xfrm>
        <a:prstGeom prst="roundRect">
          <a:avLst>
            <a:gd name="adj" fmla="val 10000"/>
          </a:avLst>
        </a:prstGeom>
      </dgm:spPr>
    </dgm:pt>
    <dgm:pt modelId="{59C1E074-6CAB-455B-984D-458D17768A1B}" type="pres">
      <dgm:prSet presAssocID="{7B5C54BB-F80D-432E-AAAD-351A416F5D32}" presName="level3hierChild" presStyleCnt="0"/>
      <dgm:spPr/>
    </dgm:pt>
    <dgm:pt modelId="{B4C1DEC0-B92D-41F5-8A56-81AD541D7467}" type="pres">
      <dgm:prSet presAssocID="{36F5D0D0-9E03-4F6C-BF5D-AEAA0C96D15C}" presName="conn2-1" presStyleLbl="parChTrans1D2" presStyleIdx="1" presStyleCnt="4"/>
      <dgm:spPr/>
    </dgm:pt>
    <dgm:pt modelId="{34B97B6E-FA4B-44FC-B83D-1BD61EC7CF6F}" type="pres">
      <dgm:prSet presAssocID="{36F5D0D0-9E03-4F6C-BF5D-AEAA0C96D15C}" presName="connTx" presStyleLbl="parChTrans1D2" presStyleIdx="1" presStyleCnt="4"/>
      <dgm:spPr/>
    </dgm:pt>
    <dgm:pt modelId="{FD09EEDD-CEFD-4CEC-B7C5-77FED6E783DA}" type="pres">
      <dgm:prSet presAssocID="{45B3485A-59C1-45BB-A09B-F96BBF72EF06}" presName="root2" presStyleCnt="0"/>
      <dgm:spPr/>
    </dgm:pt>
    <dgm:pt modelId="{1DA8AFBB-AC30-4083-A22D-FF86CBAC57A0}" type="pres">
      <dgm:prSet presAssocID="{45B3485A-59C1-45BB-A09B-F96BBF72EF06}" presName="LevelTwoTextNode" presStyleLbl="node2" presStyleIdx="1" presStyleCnt="4" custScaleY="172433">
        <dgm:presLayoutVars>
          <dgm:chPref val="3"/>
        </dgm:presLayoutVars>
      </dgm:prSet>
      <dgm:spPr>
        <a:xfrm>
          <a:off x="3191465" y="761201"/>
          <a:ext cx="1070086" cy="535043"/>
        </a:xfrm>
        <a:prstGeom prst="roundRect">
          <a:avLst>
            <a:gd name="adj" fmla="val 10000"/>
          </a:avLst>
        </a:prstGeom>
      </dgm:spPr>
    </dgm:pt>
    <dgm:pt modelId="{1DDDE9C9-3A50-4E72-B5BF-175A8E1F432A}" type="pres">
      <dgm:prSet presAssocID="{45B3485A-59C1-45BB-A09B-F96BBF72EF06}" presName="level3hierChild" presStyleCnt="0"/>
      <dgm:spPr/>
    </dgm:pt>
    <dgm:pt modelId="{DE023DFF-2384-481A-BCD2-A25607473882}" type="pres">
      <dgm:prSet presAssocID="{6DAF0227-FA0F-492D-9011-AC12E7D9BF7B}" presName="conn2-1" presStyleLbl="parChTrans1D3" presStyleIdx="1" presStyleCnt="6"/>
      <dgm:spPr/>
    </dgm:pt>
    <dgm:pt modelId="{F2ACC07E-C2CE-4BFF-89D2-978E038EAB97}" type="pres">
      <dgm:prSet presAssocID="{6DAF0227-FA0F-492D-9011-AC12E7D9BF7B}" presName="connTx" presStyleLbl="parChTrans1D3" presStyleIdx="1" presStyleCnt="6"/>
      <dgm:spPr/>
    </dgm:pt>
    <dgm:pt modelId="{46917D77-DFFD-4BC4-B1D7-DEA8ECCFD048}" type="pres">
      <dgm:prSet presAssocID="{3C0B8EE1-95DE-4F85-8232-C2F6CBFD1A34}" presName="root2" presStyleCnt="0"/>
      <dgm:spPr/>
    </dgm:pt>
    <dgm:pt modelId="{917B327B-F05B-415A-9016-C157255F2C01}" type="pres">
      <dgm:prSet presAssocID="{3C0B8EE1-95DE-4F85-8232-C2F6CBFD1A34}" presName="LevelTwoTextNode" presStyleLbl="node3" presStyleIdx="1" presStyleCnt="6" custScaleX="257849">
        <dgm:presLayoutVars>
          <dgm:chPref val="3"/>
        </dgm:presLayoutVars>
      </dgm:prSet>
      <dgm:spPr>
        <a:xfrm>
          <a:off x="4946" y="826874"/>
          <a:ext cx="2675744" cy="518858"/>
        </a:xfrm>
        <a:prstGeom prst="roundRect">
          <a:avLst>
            <a:gd name="adj" fmla="val 10000"/>
          </a:avLst>
        </a:prstGeom>
      </dgm:spPr>
    </dgm:pt>
    <dgm:pt modelId="{B387B555-30C0-467B-8CC7-F1F161ABFC55}" type="pres">
      <dgm:prSet presAssocID="{3C0B8EE1-95DE-4F85-8232-C2F6CBFD1A34}" presName="level3hierChild" presStyleCnt="0"/>
      <dgm:spPr/>
    </dgm:pt>
    <dgm:pt modelId="{5419BEC2-4C49-4125-8572-2A21C4420179}" type="pres">
      <dgm:prSet presAssocID="{27FC7297-A430-4A48-BBFC-60812F77E16B}" presName="conn2-1" presStyleLbl="parChTrans1D2" presStyleIdx="2" presStyleCnt="4"/>
      <dgm:spPr/>
    </dgm:pt>
    <dgm:pt modelId="{B9EF41A0-48F7-4AC6-9898-BE440C6E9996}" type="pres">
      <dgm:prSet presAssocID="{27FC7297-A430-4A48-BBFC-60812F77E16B}" presName="connTx" presStyleLbl="parChTrans1D2" presStyleIdx="2" presStyleCnt="4"/>
      <dgm:spPr/>
    </dgm:pt>
    <dgm:pt modelId="{B62E5D9E-B2AE-472A-8BDC-A1EC11B65975}" type="pres">
      <dgm:prSet presAssocID="{EF1D9505-A557-4F8D-AF63-CB7BA7D73FF6}" presName="root2" presStyleCnt="0"/>
      <dgm:spPr/>
    </dgm:pt>
    <dgm:pt modelId="{FFECCBA2-59D2-4E08-BAE1-5F66E97DFCCD}" type="pres">
      <dgm:prSet presAssocID="{EF1D9505-A557-4F8D-AF63-CB7BA7D73FF6}" presName="LevelTwoTextNode" presStyleLbl="node2" presStyleIdx="2" presStyleCnt="4" custScaleY="111434">
        <dgm:presLayoutVars>
          <dgm:chPref val="3"/>
        </dgm:presLayoutVars>
      </dgm:prSet>
      <dgm:spPr>
        <a:xfrm>
          <a:off x="3191465" y="1991800"/>
          <a:ext cx="1070086" cy="535043"/>
        </a:xfrm>
        <a:prstGeom prst="roundRect">
          <a:avLst>
            <a:gd name="adj" fmla="val 10000"/>
          </a:avLst>
        </a:prstGeom>
      </dgm:spPr>
    </dgm:pt>
    <dgm:pt modelId="{8CD1C446-1D3B-41E6-8159-5935C94922B0}" type="pres">
      <dgm:prSet presAssocID="{EF1D9505-A557-4F8D-AF63-CB7BA7D73FF6}" presName="level3hierChild" presStyleCnt="0"/>
      <dgm:spPr/>
    </dgm:pt>
    <dgm:pt modelId="{679435BE-51B3-40F0-B67C-A7FEC0C8EBD7}" type="pres">
      <dgm:prSet presAssocID="{AC2FF935-ABCB-4CF0-A044-15A7649F7924}" presName="conn2-1" presStyleLbl="parChTrans1D3" presStyleIdx="2" presStyleCnt="6"/>
      <dgm:spPr/>
    </dgm:pt>
    <dgm:pt modelId="{BB7421A1-4570-4068-A55D-B64FE112C2E3}" type="pres">
      <dgm:prSet presAssocID="{AC2FF935-ABCB-4CF0-A044-15A7649F7924}" presName="connTx" presStyleLbl="parChTrans1D3" presStyleIdx="2" presStyleCnt="6"/>
      <dgm:spPr/>
    </dgm:pt>
    <dgm:pt modelId="{E3F225AA-5621-48E6-B241-5B58BB9CD357}" type="pres">
      <dgm:prSet presAssocID="{202007A1-1FA0-47F4-84F2-5832D7F3AD0C}" presName="root2" presStyleCnt="0"/>
      <dgm:spPr/>
    </dgm:pt>
    <dgm:pt modelId="{2CD5E35D-9BEC-4B82-A1B3-D8E9A9005D01}" type="pres">
      <dgm:prSet presAssocID="{202007A1-1FA0-47F4-84F2-5832D7F3AD0C}" presName="LevelTwoTextNode" presStyleLbl="node3" presStyleIdx="2" presStyleCnt="6" custScaleX="257849">
        <dgm:presLayoutVars>
          <dgm:chPref val="3"/>
        </dgm:presLayoutVars>
      </dgm:prSet>
      <dgm:spPr>
        <a:xfrm>
          <a:off x="4946" y="1423562"/>
          <a:ext cx="2675744" cy="518858"/>
        </a:xfrm>
        <a:prstGeom prst="roundRect">
          <a:avLst>
            <a:gd name="adj" fmla="val 10000"/>
          </a:avLst>
        </a:prstGeom>
      </dgm:spPr>
    </dgm:pt>
    <dgm:pt modelId="{3DEBDBAD-0B85-4D4B-9D5A-EB32DFB9BBFF}" type="pres">
      <dgm:prSet presAssocID="{202007A1-1FA0-47F4-84F2-5832D7F3AD0C}" presName="level3hierChild" presStyleCnt="0"/>
      <dgm:spPr/>
    </dgm:pt>
    <dgm:pt modelId="{0EF0B277-78EA-4BB2-8116-1BAB67ADD7E1}" type="pres">
      <dgm:prSet presAssocID="{44360DDC-7ECE-4269-A8EA-31CEF3782961}" presName="conn2-1" presStyleLbl="parChTrans1D3" presStyleIdx="3" presStyleCnt="6"/>
      <dgm:spPr/>
    </dgm:pt>
    <dgm:pt modelId="{7C1DEB70-6162-4AB5-9105-FD26E1442455}" type="pres">
      <dgm:prSet presAssocID="{44360DDC-7ECE-4269-A8EA-31CEF3782961}" presName="connTx" presStyleLbl="parChTrans1D3" presStyleIdx="3" presStyleCnt="6"/>
      <dgm:spPr/>
    </dgm:pt>
    <dgm:pt modelId="{8B440502-182F-43DE-AAD2-0CF0AC82037B}" type="pres">
      <dgm:prSet presAssocID="{3AF6CCAA-2130-4C4B-9A8A-8FB812D05D37}" presName="root2" presStyleCnt="0"/>
      <dgm:spPr/>
    </dgm:pt>
    <dgm:pt modelId="{56631BA8-64A1-470B-8886-BC4BDCBC4BDF}" type="pres">
      <dgm:prSet presAssocID="{3AF6CCAA-2130-4C4B-9A8A-8FB812D05D37}" presName="LevelTwoTextNode" presStyleLbl="node3" presStyleIdx="3" presStyleCnt="6" custScaleX="257849">
        <dgm:presLayoutVars>
          <dgm:chPref val="3"/>
        </dgm:presLayoutVars>
      </dgm:prSet>
      <dgm:spPr>
        <a:xfrm>
          <a:off x="4946" y="2020250"/>
          <a:ext cx="2675744" cy="518858"/>
        </a:xfrm>
        <a:prstGeom prst="roundRect">
          <a:avLst>
            <a:gd name="adj" fmla="val 10000"/>
          </a:avLst>
        </a:prstGeom>
      </dgm:spPr>
    </dgm:pt>
    <dgm:pt modelId="{38EA7AF4-E227-4944-828B-9D016E8FFD7A}" type="pres">
      <dgm:prSet presAssocID="{3AF6CCAA-2130-4C4B-9A8A-8FB812D05D37}" presName="level3hierChild" presStyleCnt="0"/>
      <dgm:spPr/>
    </dgm:pt>
    <dgm:pt modelId="{DF2B0C76-68CB-467D-872D-952E2FA7CC1E}" type="pres">
      <dgm:prSet presAssocID="{23950A0B-8715-47CA-B6BB-5220C65EE127}" presName="conn2-1" presStyleLbl="parChTrans1D3" presStyleIdx="4" presStyleCnt="6"/>
      <dgm:spPr/>
    </dgm:pt>
    <dgm:pt modelId="{D7313E7B-7B7A-4313-BD22-0C8235A82D52}" type="pres">
      <dgm:prSet presAssocID="{23950A0B-8715-47CA-B6BB-5220C65EE127}" presName="connTx" presStyleLbl="parChTrans1D3" presStyleIdx="4" presStyleCnt="6"/>
      <dgm:spPr/>
    </dgm:pt>
    <dgm:pt modelId="{E86BA6A7-CDA7-4657-9BF0-8778022764A3}" type="pres">
      <dgm:prSet presAssocID="{E3F38917-95B4-443E-B574-CB1E593C1FF7}" presName="root2" presStyleCnt="0"/>
      <dgm:spPr/>
    </dgm:pt>
    <dgm:pt modelId="{52F2ABA9-BD6D-4095-82AB-BA3D10D9ADA2}" type="pres">
      <dgm:prSet presAssocID="{E3F38917-95B4-443E-B574-CB1E593C1FF7}" presName="LevelTwoTextNode" presStyleLbl="node3" presStyleIdx="4" presStyleCnt="6" custScaleX="257849">
        <dgm:presLayoutVars>
          <dgm:chPref val="3"/>
        </dgm:presLayoutVars>
      </dgm:prSet>
      <dgm:spPr>
        <a:xfrm>
          <a:off x="4946" y="2616937"/>
          <a:ext cx="2675744" cy="518858"/>
        </a:xfrm>
        <a:prstGeom prst="roundRect">
          <a:avLst>
            <a:gd name="adj" fmla="val 10000"/>
          </a:avLst>
        </a:prstGeom>
      </dgm:spPr>
    </dgm:pt>
    <dgm:pt modelId="{29FCF2B4-0422-4CB5-A1A7-B4081C78C1EC}" type="pres">
      <dgm:prSet presAssocID="{E3F38917-95B4-443E-B574-CB1E593C1FF7}" presName="level3hierChild" presStyleCnt="0"/>
      <dgm:spPr/>
    </dgm:pt>
    <dgm:pt modelId="{85DB1941-7AD1-4260-8DBA-81C30499E60D}" type="pres">
      <dgm:prSet presAssocID="{B461C599-6574-4E99-B347-4CB6F75A138F}" presName="conn2-1" presStyleLbl="parChTrans1D2" presStyleIdx="3" presStyleCnt="4"/>
      <dgm:spPr/>
    </dgm:pt>
    <dgm:pt modelId="{85C66ACB-D44C-4903-973F-678C0886F652}" type="pres">
      <dgm:prSet presAssocID="{B461C599-6574-4E99-B347-4CB6F75A138F}" presName="connTx" presStyleLbl="parChTrans1D2" presStyleIdx="3" presStyleCnt="4"/>
      <dgm:spPr/>
    </dgm:pt>
    <dgm:pt modelId="{4F80BE33-F3EF-4A2F-8F49-6A93C638F56F}" type="pres">
      <dgm:prSet presAssocID="{0881BDB3-9E1E-4D37-A209-D1203ADFB405}" presName="root2" presStyleCnt="0"/>
      <dgm:spPr/>
    </dgm:pt>
    <dgm:pt modelId="{FFF2A55E-5B47-451E-84E1-B9738C520142}" type="pres">
      <dgm:prSet presAssocID="{0881BDB3-9E1E-4D37-A209-D1203ADFB405}" presName="LevelTwoTextNode" presStyleLbl="node2" presStyleIdx="3" presStyleCnt="4" custScaleY="111434">
        <dgm:presLayoutVars>
          <dgm:chPref val="3"/>
        </dgm:presLayoutVars>
      </dgm:prSet>
      <dgm:spPr>
        <a:xfrm>
          <a:off x="3191465" y="3222400"/>
          <a:ext cx="1070086" cy="535043"/>
        </a:xfrm>
        <a:prstGeom prst="roundRect">
          <a:avLst>
            <a:gd name="adj" fmla="val 10000"/>
          </a:avLst>
        </a:prstGeom>
      </dgm:spPr>
    </dgm:pt>
    <dgm:pt modelId="{D214690D-41FF-4211-84C5-88434679AE22}" type="pres">
      <dgm:prSet presAssocID="{0881BDB3-9E1E-4D37-A209-D1203ADFB405}" presName="level3hierChild" presStyleCnt="0"/>
      <dgm:spPr/>
    </dgm:pt>
    <dgm:pt modelId="{CD9183A9-19D3-4956-A5A2-A7E0749908E4}" type="pres">
      <dgm:prSet presAssocID="{432FFADF-6F61-490D-B60D-59E3D1AE08BC}" presName="conn2-1" presStyleLbl="parChTrans1D3" presStyleIdx="5" presStyleCnt="6"/>
      <dgm:spPr/>
    </dgm:pt>
    <dgm:pt modelId="{4BF8DA61-C053-47C1-AAB5-6632A2F11FB7}" type="pres">
      <dgm:prSet presAssocID="{432FFADF-6F61-490D-B60D-59E3D1AE08BC}" presName="connTx" presStyleLbl="parChTrans1D3" presStyleIdx="5" presStyleCnt="6"/>
      <dgm:spPr/>
    </dgm:pt>
    <dgm:pt modelId="{D1A61042-D2EE-4114-AE03-82D7353496E5}" type="pres">
      <dgm:prSet presAssocID="{1738E5E5-A66A-4284-993C-B5D9336A9897}" presName="root2" presStyleCnt="0"/>
      <dgm:spPr/>
    </dgm:pt>
    <dgm:pt modelId="{BCF7B479-5898-4AFF-82A9-62E7ED029F80}" type="pres">
      <dgm:prSet presAssocID="{1738E5E5-A66A-4284-993C-B5D9336A9897}" presName="LevelTwoTextNode" presStyleLbl="node3" presStyleIdx="5" presStyleCnt="6" custScaleX="257849">
        <dgm:presLayoutVars>
          <dgm:chPref val="3"/>
        </dgm:presLayoutVars>
      </dgm:prSet>
      <dgm:spPr>
        <a:xfrm>
          <a:off x="4946" y="3213625"/>
          <a:ext cx="2675744" cy="518858"/>
        </a:xfrm>
        <a:prstGeom prst="roundRect">
          <a:avLst>
            <a:gd name="adj" fmla="val 10000"/>
          </a:avLst>
        </a:prstGeom>
      </dgm:spPr>
    </dgm:pt>
    <dgm:pt modelId="{3292F4E5-A05F-4B6C-802E-C7AD1C062464}" type="pres">
      <dgm:prSet presAssocID="{1738E5E5-A66A-4284-993C-B5D9336A9897}" presName="level3hierChild" presStyleCnt="0"/>
      <dgm:spPr/>
    </dgm:pt>
  </dgm:ptLst>
  <dgm:cxnLst>
    <dgm:cxn modelId="{79E57002-988A-4EEE-B4C1-DF64D8994558}" srcId="{25AE3FD3-31D2-4EAA-8A67-C76B7A204FD6}" destId="{7B5C54BB-F80D-432E-AAAD-351A416F5D32}" srcOrd="0" destOrd="0" parTransId="{047BF710-2225-4BD6-94C0-6D056A5A6F64}" sibTransId="{01D98C47-9839-4603-919A-CD4691E81212}"/>
    <dgm:cxn modelId="{7E71A70A-EF0D-4D13-8DC2-493AABEDE795}" srcId="{0881BDB3-9E1E-4D37-A209-D1203ADFB405}" destId="{1738E5E5-A66A-4284-993C-B5D9336A9897}" srcOrd="0" destOrd="0" parTransId="{432FFADF-6F61-490D-B60D-59E3D1AE08BC}" sibTransId="{E7A1CD91-436B-4A4F-98F0-FEFCEAAE0C19}"/>
    <dgm:cxn modelId="{783E8213-662D-402F-A2F3-51813F3388A3}" type="presOf" srcId="{0881BDB3-9E1E-4D37-A209-D1203ADFB405}" destId="{FFF2A55E-5B47-451E-84E1-B9738C520142}" srcOrd="0" destOrd="0" presId="urn:microsoft.com/office/officeart/2005/8/layout/hierarchy2#3"/>
    <dgm:cxn modelId="{A8781616-1C7A-489F-A009-EF18AA1DBC77}" type="presOf" srcId="{6DAF0227-FA0F-492D-9011-AC12E7D9BF7B}" destId="{DE023DFF-2384-481A-BCD2-A25607473882}" srcOrd="0" destOrd="0" presId="urn:microsoft.com/office/officeart/2005/8/layout/hierarchy2#3"/>
    <dgm:cxn modelId="{76595719-9AE8-46CE-A350-787004F16E4B}" type="presOf" srcId="{23950A0B-8715-47CA-B6BB-5220C65EE127}" destId="{D7313E7B-7B7A-4313-BD22-0C8235A82D52}" srcOrd="1" destOrd="0" presId="urn:microsoft.com/office/officeart/2005/8/layout/hierarchy2#3"/>
    <dgm:cxn modelId="{2F76BE1C-40D6-4359-9E2C-CF99D8B04565}" srcId="{EF1D9505-A557-4F8D-AF63-CB7BA7D73FF6}" destId="{E3F38917-95B4-443E-B574-CB1E593C1FF7}" srcOrd="2" destOrd="0" parTransId="{23950A0B-8715-47CA-B6BB-5220C65EE127}" sibTransId="{16EF3637-463E-4748-B08D-C43066EC192E}"/>
    <dgm:cxn modelId="{3CB8792A-0EA8-406C-8717-03E7B9ED2902}" type="presOf" srcId="{A9DDCE0C-E1B9-42B9-B847-DA7DC411BED6}" destId="{135E97C1-ECF6-4834-BD14-96411F6AFE1C}" srcOrd="0" destOrd="0" presId="urn:microsoft.com/office/officeart/2005/8/layout/hierarchy2#3"/>
    <dgm:cxn modelId="{ACEFA136-050D-4400-B151-1A5891F25F54}" srcId="{A9DDCE0C-E1B9-42B9-B847-DA7DC411BED6}" destId="{0881BDB3-9E1E-4D37-A209-D1203ADFB405}" srcOrd="3" destOrd="0" parTransId="{B461C599-6574-4E99-B347-4CB6F75A138F}" sibTransId="{C3D24187-0392-4F93-B187-81DBABCF0AFC}"/>
    <dgm:cxn modelId="{8B35FE3C-AB8E-41E0-8ABE-A5AE89D59A49}" type="presOf" srcId="{1738E5E5-A66A-4284-993C-B5D9336A9897}" destId="{BCF7B479-5898-4AFF-82A9-62E7ED029F80}" srcOrd="0" destOrd="0" presId="urn:microsoft.com/office/officeart/2005/8/layout/hierarchy2#3"/>
    <dgm:cxn modelId="{4EC74C3F-7B5B-4576-98DF-4B6A88EFB27A}" type="presOf" srcId="{27FC7297-A430-4A48-BBFC-60812F77E16B}" destId="{5419BEC2-4C49-4125-8572-2A21C4420179}" srcOrd="0" destOrd="0" presId="urn:microsoft.com/office/officeart/2005/8/layout/hierarchy2#3"/>
    <dgm:cxn modelId="{1DF1935B-64A6-4883-8DAD-3E586AB9A828}" srcId="{A9DDCE0C-E1B9-42B9-B847-DA7DC411BED6}" destId="{EF1D9505-A557-4F8D-AF63-CB7BA7D73FF6}" srcOrd="2" destOrd="0" parTransId="{27FC7297-A430-4A48-BBFC-60812F77E16B}" sibTransId="{F26CF97B-07A6-4B47-A8F1-2805B96DA82A}"/>
    <dgm:cxn modelId="{813B7C46-2AEC-4A66-92EB-962EF2329F75}" type="presOf" srcId="{3C0B8EE1-95DE-4F85-8232-C2F6CBFD1A34}" destId="{917B327B-F05B-415A-9016-C157255F2C01}" srcOrd="0" destOrd="0" presId="urn:microsoft.com/office/officeart/2005/8/layout/hierarchy2#3"/>
    <dgm:cxn modelId="{8B145868-B953-4189-8034-4E01D36FC249}" srcId="{45B3485A-59C1-45BB-A09B-F96BBF72EF06}" destId="{3C0B8EE1-95DE-4F85-8232-C2F6CBFD1A34}" srcOrd="0" destOrd="0" parTransId="{6DAF0227-FA0F-492D-9011-AC12E7D9BF7B}" sibTransId="{0D786030-6F33-4301-8E00-F35210EC7CEE}"/>
    <dgm:cxn modelId="{3F103A4C-DB50-4CEE-A4FB-4ADD7FB04510}" type="presOf" srcId="{047BF710-2225-4BD6-94C0-6D056A5A6F64}" destId="{5347C140-C901-420A-8901-EE3079E7697A}" srcOrd="0" destOrd="0" presId="urn:microsoft.com/office/officeart/2005/8/layout/hierarchy2#3"/>
    <dgm:cxn modelId="{21A8FC6D-FCBA-492F-A9C3-534F76B9D1C2}" type="presOf" srcId="{AC2FF935-ABCB-4CF0-A044-15A7649F7924}" destId="{679435BE-51B3-40F0-B67C-A7FEC0C8EBD7}" srcOrd="0" destOrd="0" presId="urn:microsoft.com/office/officeart/2005/8/layout/hierarchy2#3"/>
    <dgm:cxn modelId="{2BC11C6E-2568-49F6-B948-86959991AEB6}" type="presOf" srcId="{45B3485A-59C1-45BB-A09B-F96BBF72EF06}" destId="{1DA8AFBB-AC30-4083-A22D-FF86CBAC57A0}" srcOrd="0" destOrd="0" presId="urn:microsoft.com/office/officeart/2005/8/layout/hierarchy2#3"/>
    <dgm:cxn modelId="{DDCDA070-B8FE-41A8-B8C9-2AF689F3DC8D}" type="presOf" srcId="{62853E69-0704-4CFE-8C71-1F0B9127CDCB}" destId="{3C220E72-522B-4C6D-A885-F45E31B46008}" srcOrd="1" destOrd="0" presId="urn:microsoft.com/office/officeart/2005/8/layout/hierarchy2#3"/>
    <dgm:cxn modelId="{159FDA57-5A2E-4F6F-880D-1C2784862C7B}" type="presOf" srcId="{44360DDC-7ECE-4269-A8EA-31CEF3782961}" destId="{0EF0B277-78EA-4BB2-8116-1BAB67ADD7E1}" srcOrd="0" destOrd="0" presId="urn:microsoft.com/office/officeart/2005/8/layout/hierarchy2#3"/>
    <dgm:cxn modelId="{96E2EF58-8BCB-407F-BC97-6F6F6C723DD7}" type="presOf" srcId="{AC2FF935-ABCB-4CF0-A044-15A7649F7924}" destId="{BB7421A1-4570-4068-A55D-B64FE112C2E3}" srcOrd="1" destOrd="0" presId="urn:microsoft.com/office/officeart/2005/8/layout/hierarchy2#3"/>
    <dgm:cxn modelId="{5F87045A-1B6A-4255-AECE-1341BF69C292}" srcId="{07985331-D519-4B65-83E2-9CCCB562E135}" destId="{A9DDCE0C-E1B9-42B9-B847-DA7DC411BED6}" srcOrd="0" destOrd="0" parTransId="{93310B85-CCF5-43A5-92A5-E1F724835B05}" sibTransId="{A0322E30-8A0F-4432-BAD8-BC7A453A1D8C}"/>
    <dgm:cxn modelId="{1416048D-09E4-45B8-B61F-A39CD1C57579}" type="presOf" srcId="{36F5D0D0-9E03-4F6C-BF5D-AEAA0C96D15C}" destId="{B4C1DEC0-B92D-41F5-8A56-81AD541D7467}" srcOrd="0" destOrd="0" presId="urn:microsoft.com/office/officeart/2005/8/layout/hierarchy2#3"/>
    <dgm:cxn modelId="{4AFA9294-9E9E-40D9-8820-BBD407DEBD88}" type="presOf" srcId="{7B5C54BB-F80D-432E-AAAD-351A416F5D32}" destId="{FB4DC39A-2FA2-4A74-B206-322933CCEE08}" srcOrd="0" destOrd="0" presId="urn:microsoft.com/office/officeart/2005/8/layout/hierarchy2#3"/>
    <dgm:cxn modelId="{E1ED5098-5BE1-4299-A007-14E732DBCE15}" type="presOf" srcId="{E3F38917-95B4-443E-B574-CB1E593C1FF7}" destId="{52F2ABA9-BD6D-4095-82AB-BA3D10D9ADA2}" srcOrd="0" destOrd="0" presId="urn:microsoft.com/office/officeart/2005/8/layout/hierarchy2#3"/>
    <dgm:cxn modelId="{920C8799-67A7-4B74-98C9-E074F5CD1982}" type="presOf" srcId="{25AE3FD3-31D2-4EAA-8A67-C76B7A204FD6}" destId="{BC438E2A-09CA-4C1B-BF17-2855B7800D3C}" srcOrd="0" destOrd="0" presId="urn:microsoft.com/office/officeart/2005/8/layout/hierarchy2#3"/>
    <dgm:cxn modelId="{EF5E089B-DE18-4DB7-BD8D-0583B868AB9C}" type="presOf" srcId="{23950A0B-8715-47CA-B6BB-5220C65EE127}" destId="{DF2B0C76-68CB-467D-872D-952E2FA7CC1E}" srcOrd="0" destOrd="0" presId="urn:microsoft.com/office/officeart/2005/8/layout/hierarchy2#3"/>
    <dgm:cxn modelId="{318E5A9F-53BE-402D-962F-91F3454C92B2}" type="presOf" srcId="{36F5D0D0-9E03-4F6C-BF5D-AEAA0C96D15C}" destId="{34B97B6E-FA4B-44FC-B83D-1BD61EC7CF6F}" srcOrd="1" destOrd="0" presId="urn:microsoft.com/office/officeart/2005/8/layout/hierarchy2#3"/>
    <dgm:cxn modelId="{5B085BAD-C4ED-4161-A437-2F3F45A8AB3F}" type="presOf" srcId="{432FFADF-6F61-490D-B60D-59E3D1AE08BC}" destId="{CD9183A9-19D3-4956-A5A2-A7E0749908E4}" srcOrd="0" destOrd="0" presId="urn:microsoft.com/office/officeart/2005/8/layout/hierarchy2#3"/>
    <dgm:cxn modelId="{7404F4B2-498F-4550-985B-548BD95966EB}" srcId="{A9DDCE0C-E1B9-42B9-B847-DA7DC411BED6}" destId="{45B3485A-59C1-45BB-A09B-F96BBF72EF06}" srcOrd="1" destOrd="0" parTransId="{36F5D0D0-9E03-4F6C-BF5D-AEAA0C96D15C}" sibTransId="{91E5DE22-B54E-4B23-9305-937BE901A716}"/>
    <dgm:cxn modelId="{DB8E2AB8-4CCF-4C92-8F89-E3D8F3B1A112}" type="presOf" srcId="{B461C599-6574-4E99-B347-4CB6F75A138F}" destId="{85DB1941-7AD1-4260-8DBA-81C30499E60D}" srcOrd="0" destOrd="0" presId="urn:microsoft.com/office/officeart/2005/8/layout/hierarchy2#3"/>
    <dgm:cxn modelId="{38C464B9-2A9D-4CA0-9BB0-465DD1B4A956}" srcId="{EF1D9505-A557-4F8D-AF63-CB7BA7D73FF6}" destId="{3AF6CCAA-2130-4C4B-9A8A-8FB812D05D37}" srcOrd="1" destOrd="0" parTransId="{44360DDC-7ECE-4269-A8EA-31CEF3782961}" sibTransId="{E392742C-CE2E-49F1-9977-89A630CA25E2}"/>
    <dgm:cxn modelId="{752BF9C0-A3A2-488F-B5C1-7152BB733F7E}" type="presOf" srcId="{3AF6CCAA-2130-4C4B-9A8A-8FB812D05D37}" destId="{56631BA8-64A1-470B-8886-BC4BDCBC4BDF}" srcOrd="0" destOrd="0" presId="urn:microsoft.com/office/officeart/2005/8/layout/hierarchy2#3"/>
    <dgm:cxn modelId="{41D46AC4-B4F1-470B-89AF-55F52237FA98}" type="presOf" srcId="{B461C599-6574-4E99-B347-4CB6F75A138F}" destId="{85C66ACB-D44C-4903-973F-678C0886F652}" srcOrd="1" destOrd="0" presId="urn:microsoft.com/office/officeart/2005/8/layout/hierarchy2#3"/>
    <dgm:cxn modelId="{B79FB6C4-06E9-44DF-8650-C65678BE7150}" type="presOf" srcId="{432FFADF-6F61-490D-B60D-59E3D1AE08BC}" destId="{4BF8DA61-C053-47C1-AAB5-6632A2F11FB7}" srcOrd="1" destOrd="0" presId="urn:microsoft.com/office/officeart/2005/8/layout/hierarchy2#3"/>
    <dgm:cxn modelId="{55C95BCA-B6F9-4323-9038-53022BFF4098}" type="presOf" srcId="{27FC7297-A430-4A48-BBFC-60812F77E16B}" destId="{B9EF41A0-48F7-4AC6-9898-BE440C6E9996}" srcOrd="1" destOrd="0" presId="urn:microsoft.com/office/officeart/2005/8/layout/hierarchy2#3"/>
    <dgm:cxn modelId="{5DFF11CF-2521-476E-9C82-2DF8615847E6}" type="presOf" srcId="{07985331-D519-4B65-83E2-9CCCB562E135}" destId="{6AB24C3C-B066-426D-AFE6-79FDBE3A3871}" srcOrd="0" destOrd="0" presId="urn:microsoft.com/office/officeart/2005/8/layout/hierarchy2#3"/>
    <dgm:cxn modelId="{791750D5-AE35-4302-9231-F176DBC49B7A}" type="presOf" srcId="{202007A1-1FA0-47F4-84F2-5832D7F3AD0C}" destId="{2CD5E35D-9BEC-4B82-A1B3-D8E9A9005D01}" srcOrd="0" destOrd="0" presId="urn:microsoft.com/office/officeart/2005/8/layout/hierarchy2#3"/>
    <dgm:cxn modelId="{EA7E94D6-C8BC-4BFB-87E8-67E9A4FFA5D7}" type="presOf" srcId="{62853E69-0704-4CFE-8C71-1F0B9127CDCB}" destId="{FDA31E74-193D-451F-826B-65AAD66866E6}" srcOrd="0" destOrd="0" presId="urn:microsoft.com/office/officeart/2005/8/layout/hierarchy2#3"/>
    <dgm:cxn modelId="{E88910E0-C44A-4DF0-9BE2-DD023712C4D8}" type="presOf" srcId="{EF1D9505-A557-4F8D-AF63-CB7BA7D73FF6}" destId="{FFECCBA2-59D2-4E08-BAE1-5F66E97DFCCD}" srcOrd="0" destOrd="0" presId="urn:microsoft.com/office/officeart/2005/8/layout/hierarchy2#3"/>
    <dgm:cxn modelId="{DDCA2DE4-DBBE-484C-8B16-761401538F61}" srcId="{EF1D9505-A557-4F8D-AF63-CB7BA7D73FF6}" destId="{202007A1-1FA0-47F4-84F2-5832D7F3AD0C}" srcOrd="0" destOrd="0" parTransId="{AC2FF935-ABCB-4CF0-A044-15A7649F7924}" sibTransId="{B67C2107-017F-48AF-9C55-3AA43FBE65E5}"/>
    <dgm:cxn modelId="{D3E50BEC-7B85-4E32-B02C-EB29B6ED050B}" type="presOf" srcId="{44360DDC-7ECE-4269-A8EA-31CEF3782961}" destId="{7C1DEB70-6162-4AB5-9105-FD26E1442455}" srcOrd="1" destOrd="0" presId="urn:microsoft.com/office/officeart/2005/8/layout/hierarchy2#3"/>
    <dgm:cxn modelId="{877A02ED-8D0C-42B4-883E-B8B2D7490F17}" srcId="{A9DDCE0C-E1B9-42B9-B847-DA7DC411BED6}" destId="{25AE3FD3-31D2-4EAA-8A67-C76B7A204FD6}" srcOrd="0" destOrd="0" parTransId="{62853E69-0704-4CFE-8C71-1F0B9127CDCB}" sibTransId="{AB8653C2-4498-4361-A207-B895FBA38E46}"/>
    <dgm:cxn modelId="{001CE4F1-E5BC-461F-9AEA-8FC9F8E45592}" type="presOf" srcId="{047BF710-2225-4BD6-94C0-6D056A5A6F64}" destId="{E2355426-119D-47BA-9A69-275A5A41A2AA}" srcOrd="1" destOrd="0" presId="urn:microsoft.com/office/officeart/2005/8/layout/hierarchy2#3"/>
    <dgm:cxn modelId="{CFF7AAFF-A9FB-4907-A56D-569990B9984B}" type="presOf" srcId="{6DAF0227-FA0F-492D-9011-AC12E7D9BF7B}" destId="{F2ACC07E-C2CE-4BFF-89D2-978E038EAB97}" srcOrd="1" destOrd="0" presId="urn:microsoft.com/office/officeart/2005/8/layout/hierarchy2#3"/>
    <dgm:cxn modelId="{48573717-00DD-47FE-A556-D20901314AFF}" type="presParOf" srcId="{6AB24C3C-B066-426D-AFE6-79FDBE3A3871}" destId="{CECFFD91-6AA0-470B-AE1F-5EB951A7FB23}" srcOrd="0" destOrd="0" presId="urn:microsoft.com/office/officeart/2005/8/layout/hierarchy2#3"/>
    <dgm:cxn modelId="{B6574C75-1971-4CB7-BC63-860D9E32D554}" type="presParOf" srcId="{CECFFD91-6AA0-470B-AE1F-5EB951A7FB23}" destId="{135E97C1-ECF6-4834-BD14-96411F6AFE1C}" srcOrd="0" destOrd="0" presId="urn:microsoft.com/office/officeart/2005/8/layout/hierarchy2#3"/>
    <dgm:cxn modelId="{F0807CF1-5CE3-48F6-8CC7-A17E922DFFFE}" type="presParOf" srcId="{CECFFD91-6AA0-470B-AE1F-5EB951A7FB23}" destId="{4D8F040B-CB27-42A8-BAC4-4F283190DE33}" srcOrd="1" destOrd="0" presId="urn:microsoft.com/office/officeart/2005/8/layout/hierarchy2#3"/>
    <dgm:cxn modelId="{53D0325A-672B-4B72-B37D-AEC8299894CE}" type="presParOf" srcId="{4D8F040B-CB27-42A8-BAC4-4F283190DE33}" destId="{FDA31E74-193D-451F-826B-65AAD66866E6}" srcOrd="0" destOrd="0" presId="urn:microsoft.com/office/officeart/2005/8/layout/hierarchy2#3"/>
    <dgm:cxn modelId="{8A58D8DB-E754-42C7-ADD4-9A4C6840A22A}" type="presParOf" srcId="{FDA31E74-193D-451F-826B-65AAD66866E6}" destId="{3C220E72-522B-4C6D-A885-F45E31B46008}" srcOrd="0" destOrd="0" presId="urn:microsoft.com/office/officeart/2005/8/layout/hierarchy2#3"/>
    <dgm:cxn modelId="{2124178E-2FD4-4D8E-BA17-4833416F5843}" type="presParOf" srcId="{4D8F040B-CB27-42A8-BAC4-4F283190DE33}" destId="{C9567023-1F74-497C-B7E6-DECEC4EE3F03}" srcOrd="1" destOrd="0" presId="urn:microsoft.com/office/officeart/2005/8/layout/hierarchy2#3"/>
    <dgm:cxn modelId="{0E6EF151-B442-403C-A6A2-C03A23C12A5D}" type="presParOf" srcId="{C9567023-1F74-497C-B7E6-DECEC4EE3F03}" destId="{BC438E2A-09CA-4C1B-BF17-2855B7800D3C}" srcOrd="0" destOrd="0" presId="urn:microsoft.com/office/officeart/2005/8/layout/hierarchy2#3"/>
    <dgm:cxn modelId="{4B857AB3-4134-4912-80BF-75C51101868B}" type="presParOf" srcId="{C9567023-1F74-497C-B7E6-DECEC4EE3F03}" destId="{7725A726-15B7-4294-A253-81BEDAC4572F}" srcOrd="1" destOrd="0" presId="urn:microsoft.com/office/officeart/2005/8/layout/hierarchy2#3"/>
    <dgm:cxn modelId="{C771061C-6C2F-4EA9-893C-262D3A421C94}" type="presParOf" srcId="{7725A726-15B7-4294-A253-81BEDAC4572F}" destId="{5347C140-C901-420A-8901-EE3079E7697A}" srcOrd="0" destOrd="0" presId="urn:microsoft.com/office/officeart/2005/8/layout/hierarchy2#3"/>
    <dgm:cxn modelId="{B2BCEA9D-BBAD-46FB-ADAE-6901AE57C769}" type="presParOf" srcId="{5347C140-C901-420A-8901-EE3079E7697A}" destId="{E2355426-119D-47BA-9A69-275A5A41A2AA}" srcOrd="0" destOrd="0" presId="urn:microsoft.com/office/officeart/2005/8/layout/hierarchy2#3"/>
    <dgm:cxn modelId="{82BC44DE-E3DF-4FE3-AAAA-7A78857DE4B2}" type="presParOf" srcId="{7725A726-15B7-4294-A253-81BEDAC4572F}" destId="{747236EA-595B-4CFE-A176-D08157DE8956}" srcOrd="1" destOrd="0" presId="urn:microsoft.com/office/officeart/2005/8/layout/hierarchy2#3"/>
    <dgm:cxn modelId="{10E91033-37D0-43B1-AB12-227254C20937}" type="presParOf" srcId="{747236EA-595B-4CFE-A176-D08157DE8956}" destId="{FB4DC39A-2FA2-4A74-B206-322933CCEE08}" srcOrd="0" destOrd="0" presId="urn:microsoft.com/office/officeart/2005/8/layout/hierarchy2#3"/>
    <dgm:cxn modelId="{5871FA72-DC6D-4EE8-B3FE-ADED52390734}" type="presParOf" srcId="{747236EA-595B-4CFE-A176-D08157DE8956}" destId="{59C1E074-6CAB-455B-984D-458D17768A1B}" srcOrd="1" destOrd="0" presId="urn:microsoft.com/office/officeart/2005/8/layout/hierarchy2#3"/>
    <dgm:cxn modelId="{24B28D9C-E60D-40F0-8B56-2CC792C594FB}" type="presParOf" srcId="{4D8F040B-CB27-42A8-BAC4-4F283190DE33}" destId="{B4C1DEC0-B92D-41F5-8A56-81AD541D7467}" srcOrd="2" destOrd="0" presId="urn:microsoft.com/office/officeart/2005/8/layout/hierarchy2#3"/>
    <dgm:cxn modelId="{548DD3F8-4178-40FD-9808-D9B5B9261E75}" type="presParOf" srcId="{B4C1DEC0-B92D-41F5-8A56-81AD541D7467}" destId="{34B97B6E-FA4B-44FC-B83D-1BD61EC7CF6F}" srcOrd="0" destOrd="0" presId="urn:microsoft.com/office/officeart/2005/8/layout/hierarchy2#3"/>
    <dgm:cxn modelId="{52900ACD-14B0-43EF-91F8-C6AB06466982}" type="presParOf" srcId="{4D8F040B-CB27-42A8-BAC4-4F283190DE33}" destId="{FD09EEDD-CEFD-4CEC-B7C5-77FED6E783DA}" srcOrd="3" destOrd="0" presId="urn:microsoft.com/office/officeart/2005/8/layout/hierarchy2#3"/>
    <dgm:cxn modelId="{3923BDC6-18DE-44FA-82F3-9055CA41A86A}" type="presParOf" srcId="{FD09EEDD-CEFD-4CEC-B7C5-77FED6E783DA}" destId="{1DA8AFBB-AC30-4083-A22D-FF86CBAC57A0}" srcOrd="0" destOrd="0" presId="urn:microsoft.com/office/officeart/2005/8/layout/hierarchy2#3"/>
    <dgm:cxn modelId="{2CF4C08C-6F40-4598-BD1B-49936B3CF888}" type="presParOf" srcId="{FD09EEDD-CEFD-4CEC-B7C5-77FED6E783DA}" destId="{1DDDE9C9-3A50-4E72-B5BF-175A8E1F432A}" srcOrd="1" destOrd="0" presId="urn:microsoft.com/office/officeart/2005/8/layout/hierarchy2#3"/>
    <dgm:cxn modelId="{BFEF0211-B63F-4983-BEC9-3E328DDB50FE}" type="presParOf" srcId="{1DDDE9C9-3A50-4E72-B5BF-175A8E1F432A}" destId="{DE023DFF-2384-481A-BCD2-A25607473882}" srcOrd="0" destOrd="0" presId="urn:microsoft.com/office/officeart/2005/8/layout/hierarchy2#3"/>
    <dgm:cxn modelId="{3263CDF6-A33C-4CBC-8A9A-D6677DD585E3}" type="presParOf" srcId="{DE023DFF-2384-481A-BCD2-A25607473882}" destId="{F2ACC07E-C2CE-4BFF-89D2-978E038EAB97}" srcOrd="0" destOrd="0" presId="urn:microsoft.com/office/officeart/2005/8/layout/hierarchy2#3"/>
    <dgm:cxn modelId="{14CB6473-22BA-4F00-8E36-0FB8E97F4883}" type="presParOf" srcId="{1DDDE9C9-3A50-4E72-B5BF-175A8E1F432A}" destId="{46917D77-DFFD-4BC4-B1D7-DEA8ECCFD048}" srcOrd="1" destOrd="0" presId="urn:microsoft.com/office/officeart/2005/8/layout/hierarchy2#3"/>
    <dgm:cxn modelId="{20C02365-F706-4E1B-A7F1-E2A3BFD01B18}" type="presParOf" srcId="{46917D77-DFFD-4BC4-B1D7-DEA8ECCFD048}" destId="{917B327B-F05B-415A-9016-C157255F2C01}" srcOrd="0" destOrd="0" presId="urn:microsoft.com/office/officeart/2005/8/layout/hierarchy2#3"/>
    <dgm:cxn modelId="{38400872-10E3-4B22-99C6-8486FFD1FF8E}" type="presParOf" srcId="{46917D77-DFFD-4BC4-B1D7-DEA8ECCFD048}" destId="{B387B555-30C0-467B-8CC7-F1F161ABFC55}" srcOrd="1" destOrd="0" presId="urn:microsoft.com/office/officeart/2005/8/layout/hierarchy2#3"/>
    <dgm:cxn modelId="{BF19DB2B-E397-4C66-9199-9E09E22DE93F}" type="presParOf" srcId="{4D8F040B-CB27-42A8-BAC4-4F283190DE33}" destId="{5419BEC2-4C49-4125-8572-2A21C4420179}" srcOrd="4" destOrd="0" presId="urn:microsoft.com/office/officeart/2005/8/layout/hierarchy2#3"/>
    <dgm:cxn modelId="{6F23BE9A-9C83-4241-BFFF-E7D7A58D977F}" type="presParOf" srcId="{5419BEC2-4C49-4125-8572-2A21C4420179}" destId="{B9EF41A0-48F7-4AC6-9898-BE440C6E9996}" srcOrd="0" destOrd="0" presId="urn:microsoft.com/office/officeart/2005/8/layout/hierarchy2#3"/>
    <dgm:cxn modelId="{7FCFE05F-147E-4E8E-A020-330C24D89098}" type="presParOf" srcId="{4D8F040B-CB27-42A8-BAC4-4F283190DE33}" destId="{B62E5D9E-B2AE-472A-8BDC-A1EC11B65975}" srcOrd="5" destOrd="0" presId="urn:microsoft.com/office/officeart/2005/8/layout/hierarchy2#3"/>
    <dgm:cxn modelId="{7F216C06-CB62-44A6-AD99-A005FBD13B0E}" type="presParOf" srcId="{B62E5D9E-B2AE-472A-8BDC-A1EC11B65975}" destId="{FFECCBA2-59D2-4E08-BAE1-5F66E97DFCCD}" srcOrd="0" destOrd="0" presId="urn:microsoft.com/office/officeart/2005/8/layout/hierarchy2#3"/>
    <dgm:cxn modelId="{D21F0D3A-3C4A-43BB-BF91-63A6958408E2}" type="presParOf" srcId="{B62E5D9E-B2AE-472A-8BDC-A1EC11B65975}" destId="{8CD1C446-1D3B-41E6-8159-5935C94922B0}" srcOrd="1" destOrd="0" presId="urn:microsoft.com/office/officeart/2005/8/layout/hierarchy2#3"/>
    <dgm:cxn modelId="{ADA3A62A-3136-4413-B256-9F08284B3197}" type="presParOf" srcId="{8CD1C446-1D3B-41E6-8159-5935C94922B0}" destId="{679435BE-51B3-40F0-B67C-A7FEC0C8EBD7}" srcOrd="0" destOrd="0" presId="urn:microsoft.com/office/officeart/2005/8/layout/hierarchy2#3"/>
    <dgm:cxn modelId="{3D3CBD54-C25A-4180-9ECE-DD014410D390}" type="presParOf" srcId="{679435BE-51B3-40F0-B67C-A7FEC0C8EBD7}" destId="{BB7421A1-4570-4068-A55D-B64FE112C2E3}" srcOrd="0" destOrd="0" presId="urn:microsoft.com/office/officeart/2005/8/layout/hierarchy2#3"/>
    <dgm:cxn modelId="{B08841F7-6C6B-41BB-AA99-C7498DA7442D}" type="presParOf" srcId="{8CD1C446-1D3B-41E6-8159-5935C94922B0}" destId="{E3F225AA-5621-48E6-B241-5B58BB9CD357}" srcOrd="1" destOrd="0" presId="urn:microsoft.com/office/officeart/2005/8/layout/hierarchy2#3"/>
    <dgm:cxn modelId="{9365CA9E-2522-4103-894E-5F16CEB8D3A4}" type="presParOf" srcId="{E3F225AA-5621-48E6-B241-5B58BB9CD357}" destId="{2CD5E35D-9BEC-4B82-A1B3-D8E9A9005D01}" srcOrd="0" destOrd="0" presId="urn:microsoft.com/office/officeart/2005/8/layout/hierarchy2#3"/>
    <dgm:cxn modelId="{5692D058-88F9-43DC-A4B9-FF611B210F03}" type="presParOf" srcId="{E3F225AA-5621-48E6-B241-5B58BB9CD357}" destId="{3DEBDBAD-0B85-4D4B-9D5A-EB32DFB9BBFF}" srcOrd="1" destOrd="0" presId="urn:microsoft.com/office/officeart/2005/8/layout/hierarchy2#3"/>
    <dgm:cxn modelId="{ED1A8FBF-7D69-4455-87A4-610E1646DB4A}" type="presParOf" srcId="{8CD1C446-1D3B-41E6-8159-5935C94922B0}" destId="{0EF0B277-78EA-4BB2-8116-1BAB67ADD7E1}" srcOrd="2" destOrd="0" presId="urn:microsoft.com/office/officeart/2005/8/layout/hierarchy2#3"/>
    <dgm:cxn modelId="{D96CCF11-22AA-4AC2-8AD2-643304DF37AD}" type="presParOf" srcId="{0EF0B277-78EA-4BB2-8116-1BAB67ADD7E1}" destId="{7C1DEB70-6162-4AB5-9105-FD26E1442455}" srcOrd="0" destOrd="0" presId="urn:microsoft.com/office/officeart/2005/8/layout/hierarchy2#3"/>
    <dgm:cxn modelId="{988BE8D4-2739-493E-B58B-89B947B29F88}" type="presParOf" srcId="{8CD1C446-1D3B-41E6-8159-5935C94922B0}" destId="{8B440502-182F-43DE-AAD2-0CF0AC82037B}" srcOrd="3" destOrd="0" presId="urn:microsoft.com/office/officeart/2005/8/layout/hierarchy2#3"/>
    <dgm:cxn modelId="{57B54617-8F83-4AED-B5CE-390D31985849}" type="presParOf" srcId="{8B440502-182F-43DE-AAD2-0CF0AC82037B}" destId="{56631BA8-64A1-470B-8886-BC4BDCBC4BDF}" srcOrd="0" destOrd="0" presId="urn:microsoft.com/office/officeart/2005/8/layout/hierarchy2#3"/>
    <dgm:cxn modelId="{E19C22AD-30B9-48C6-A35F-8536BADD25B9}" type="presParOf" srcId="{8B440502-182F-43DE-AAD2-0CF0AC82037B}" destId="{38EA7AF4-E227-4944-828B-9D016E8FFD7A}" srcOrd="1" destOrd="0" presId="urn:microsoft.com/office/officeart/2005/8/layout/hierarchy2#3"/>
    <dgm:cxn modelId="{1D1EC0AD-EC9C-498F-9B07-0B561CDF6DA5}" type="presParOf" srcId="{8CD1C446-1D3B-41E6-8159-5935C94922B0}" destId="{DF2B0C76-68CB-467D-872D-952E2FA7CC1E}" srcOrd="4" destOrd="0" presId="urn:microsoft.com/office/officeart/2005/8/layout/hierarchy2#3"/>
    <dgm:cxn modelId="{F3F042C0-5534-4A00-A0E7-66CDEE7DDCAF}" type="presParOf" srcId="{DF2B0C76-68CB-467D-872D-952E2FA7CC1E}" destId="{D7313E7B-7B7A-4313-BD22-0C8235A82D52}" srcOrd="0" destOrd="0" presId="urn:microsoft.com/office/officeart/2005/8/layout/hierarchy2#3"/>
    <dgm:cxn modelId="{80591516-8A4B-47DE-9A71-4FAFF085DBB3}" type="presParOf" srcId="{8CD1C446-1D3B-41E6-8159-5935C94922B0}" destId="{E86BA6A7-CDA7-4657-9BF0-8778022764A3}" srcOrd="5" destOrd="0" presId="urn:microsoft.com/office/officeart/2005/8/layout/hierarchy2#3"/>
    <dgm:cxn modelId="{5E0E7CC6-E3E2-4DC7-BAF3-1A7B11A41DE9}" type="presParOf" srcId="{E86BA6A7-CDA7-4657-9BF0-8778022764A3}" destId="{52F2ABA9-BD6D-4095-82AB-BA3D10D9ADA2}" srcOrd="0" destOrd="0" presId="urn:microsoft.com/office/officeart/2005/8/layout/hierarchy2#3"/>
    <dgm:cxn modelId="{A952AEC4-6684-4D9B-A534-6785D6270883}" type="presParOf" srcId="{E86BA6A7-CDA7-4657-9BF0-8778022764A3}" destId="{29FCF2B4-0422-4CB5-A1A7-B4081C78C1EC}" srcOrd="1" destOrd="0" presId="urn:microsoft.com/office/officeart/2005/8/layout/hierarchy2#3"/>
    <dgm:cxn modelId="{BA439597-FF19-43E9-B999-A1361A9F241D}" type="presParOf" srcId="{4D8F040B-CB27-42A8-BAC4-4F283190DE33}" destId="{85DB1941-7AD1-4260-8DBA-81C30499E60D}" srcOrd="6" destOrd="0" presId="urn:microsoft.com/office/officeart/2005/8/layout/hierarchy2#3"/>
    <dgm:cxn modelId="{C0F1B038-57A1-4289-846D-2B0C0451FC52}" type="presParOf" srcId="{85DB1941-7AD1-4260-8DBA-81C30499E60D}" destId="{85C66ACB-D44C-4903-973F-678C0886F652}" srcOrd="0" destOrd="0" presId="urn:microsoft.com/office/officeart/2005/8/layout/hierarchy2#3"/>
    <dgm:cxn modelId="{A0869531-BD62-43A8-A0D5-C67A151BC8F5}" type="presParOf" srcId="{4D8F040B-CB27-42A8-BAC4-4F283190DE33}" destId="{4F80BE33-F3EF-4A2F-8F49-6A93C638F56F}" srcOrd="7" destOrd="0" presId="urn:microsoft.com/office/officeart/2005/8/layout/hierarchy2#3"/>
    <dgm:cxn modelId="{535ACB8E-FF03-478C-ABF2-D9FD62C8A019}" type="presParOf" srcId="{4F80BE33-F3EF-4A2F-8F49-6A93C638F56F}" destId="{FFF2A55E-5B47-451E-84E1-B9738C520142}" srcOrd="0" destOrd="0" presId="urn:microsoft.com/office/officeart/2005/8/layout/hierarchy2#3"/>
    <dgm:cxn modelId="{F05EA3EF-F5DF-476B-957A-6ACE7AD6E095}" type="presParOf" srcId="{4F80BE33-F3EF-4A2F-8F49-6A93C638F56F}" destId="{D214690D-41FF-4211-84C5-88434679AE22}" srcOrd="1" destOrd="0" presId="urn:microsoft.com/office/officeart/2005/8/layout/hierarchy2#3"/>
    <dgm:cxn modelId="{68CC7B51-BF28-4CF3-A40D-EBAF39A9BFD5}" type="presParOf" srcId="{D214690D-41FF-4211-84C5-88434679AE22}" destId="{CD9183A9-19D3-4956-A5A2-A7E0749908E4}" srcOrd="0" destOrd="0" presId="urn:microsoft.com/office/officeart/2005/8/layout/hierarchy2#3"/>
    <dgm:cxn modelId="{FADE4F83-047D-4BE3-951F-D4BC937F2025}" type="presParOf" srcId="{CD9183A9-19D3-4956-A5A2-A7E0749908E4}" destId="{4BF8DA61-C053-47C1-AAB5-6632A2F11FB7}" srcOrd="0" destOrd="0" presId="urn:microsoft.com/office/officeart/2005/8/layout/hierarchy2#3"/>
    <dgm:cxn modelId="{C942883D-E466-4CD0-BA91-58DFE4648F7A}" type="presParOf" srcId="{D214690D-41FF-4211-84C5-88434679AE22}" destId="{D1A61042-D2EE-4114-AE03-82D7353496E5}" srcOrd="1" destOrd="0" presId="urn:microsoft.com/office/officeart/2005/8/layout/hierarchy2#3"/>
    <dgm:cxn modelId="{EDC17406-8839-4096-8E4D-8B926AB3EBE9}" type="presParOf" srcId="{D1A61042-D2EE-4114-AE03-82D7353496E5}" destId="{BCF7B479-5898-4AFF-82A9-62E7ED029F80}" srcOrd="0" destOrd="0" presId="urn:microsoft.com/office/officeart/2005/8/layout/hierarchy2#3"/>
    <dgm:cxn modelId="{F262CC42-3849-438C-A346-DE668FF43520}" type="presParOf" srcId="{D1A61042-D2EE-4114-AE03-82D7353496E5}" destId="{3292F4E5-A05F-4B6C-802E-C7AD1C062464}" srcOrd="1" destOrd="0" presId="urn:microsoft.com/office/officeart/2005/8/layout/hierarchy2#3"/>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2"/>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5E97C1-ECF6-4834-BD14-96411F6AFE1C}">
      <dsp:nvSpPr>
        <dsp:cNvPr id="0" name=""/>
        <dsp:cNvSpPr/>
      </dsp:nvSpPr>
      <dsp:spPr>
        <a:xfrm>
          <a:off x="4548582" y="1592443"/>
          <a:ext cx="666806" cy="718458"/>
        </a:xfrm>
        <a:prstGeom prst="roundRect">
          <a:avLst>
            <a:gd name="adj" fmla="val 10000"/>
          </a:avLst>
        </a:prstGeom>
        <a:solidFill>
          <a:srgbClr val="C47987"/>
        </a:solidFill>
        <a:ln w="6350">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620" tIns="7620" rIns="7620" bIns="7620" numCol="1" spcCol="1270" rtlCol="1" anchor="ctr" anchorCtr="0"/>
        <a:lstStyle/>
        <a:p>
          <a:pPr marL="0" lvl="0" indent="0" algn="ctr" defTabSz="533400" rtl="1">
            <a:lnSpc>
              <a:spcPct val="90000"/>
            </a:lnSpc>
            <a:spcBef>
              <a:spcPct val="0"/>
            </a:spcBef>
            <a:spcAft>
              <a:spcPct val="35000"/>
            </a:spcAft>
            <a:buNone/>
          </a:pP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המודל</a:t>
          </a:r>
          <a:r>
            <a:rPr lang="he-IL" sz="1200" kern="1200">
              <a:solidFill>
                <a:sysClr val="windowText" lastClr="000000"/>
              </a:solidFill>
              <a:latin typeface="Calibri" panose="020F0502020204030204"/>
              <a:ea typeface="+mn-ea"/>
              <a:cs typeface="Arial" panose="020B0604020202020204" pitchFamily="34" charset="0"/>
            </a:rPr>
            <a:t> </a:t>
          </a: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לבניית</a:t>
          </a:r>
          <a:r>
            <a:rPr lang="he-IL" sz="1200" kern="1200">
              <a:solidFill>
                <a:sysClr val="windowText" lastClr="000000"/>
              </a:solidFill>
              <a:latin typeface="Calibri" panose="020F0502020204030204"/>
              <a:ea typeface="+mn-ea"/>
              <a:cs typeface="Arial" panose="020B0604020202020204" pitchFamily="34" charset="0"/>
            </a:rPr>
            <a:t> </a:t>
          </a: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שיתופי</a:t>
          </a:r>
          <a:r>
            <a:rPr lang="he-IL" sz="1200" kern="1200">
              <a:solidFill>
                <a:sysClr val="windowText" lastClr="000000"/>
              </a:solidFill>
              <a:latin typeface="Calibri" panose="020F0502020204030204"/>
              <a:ea typeface="+mn-ea"/>
              <a:cs typeface="Arial" panose="020B0604020202020204" pitchFamily="34" charset="0"/>
            </a:rPr>
            <a:t> </a:t>
          </a:r>
          <a:r>
            <a:rPr lang="he-IL" sz="1200" b="1" kern="1200">
              <a:solidFill>
                <a:sysClr val="windowText" lastClr="000000"/>
              </a:solidFill>
              <a:latin typeface="Almoni ML v5 AAA Light" panose="00000400000000000000" pitchFamily="50" charset="-79"/>
              <a:ea typeface="+mn-ea"/>
              <a:cs typeface="Almoni ML v5 AAA Light" panose="00000400000000000000" pitchFamily="50" charset="-79"/>
            </a:rPr>
            <a:t>פעולה</a:t>
          </a:r>
          <a:endParaRPr lang="he-IL" sz="1200" b="1"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4568112" y="1611973"/>
        <a:ext cx="627746" cy="679398"/>
      </dsp:txXfrm>
    </dsp:sp>
    <dsp:sp modelId="{FDA31E74-193D-451F-826B-65AAD66866E6}">
      <dsp:nvSpPr>
        <dsp:cNvPr id="0" name=""/>
        <dsp:cNvSpPr/>
      </dsp:nvSpPr>
      <dsp:spPr>
        <a:xfrm rot="15327649">
          <a:off x="3514310" y="1139455"/>
          <a:ext cx="1653456" cy="23926"/>
        </a:xfrm>
        <a:custGeom>
          <a:avLst/>
          <a:gdLst/>
          <a:rect l="0" t="0" r="0" b="0"/>
          <a:pathLst>
            <a:path fill="norm" stroke="1">
              <a:moveTo>
                <a:pt x="0" y="11963"/>
              </a:moveTo>
              <a:lnTo>
                <a:pt x="1576991"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4311403" y="1201807"/>
        <a:ext cx="0" cy="0"/>
      </dsp:txXfrm>
    </dsp:sp>
    <dsp:sp modelId="{BC438E2A-09CA-4C1B-BF17-2855B7800D3C}">
      <dsp:nvSpPr>
        <dsp:cNvPr id="0" name=""/>
        <dsp:cNvSpPr/>
      </dsp:nvSpPr>
      <dsp:spPr>
        <a:xfrm>
          <a:off x="3095777" y="62073"/>
          <a:ext cx="1037717" cy="578185"/>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985" tIns="6985" rIns="6985" bIns="6985" numCol="1" spcCol="1270" rtlCol="1" anchor="ctr" anchorCtr="0"/>
        <a:lstStyle/>
        <a:p>
          <a:pPr marL="0" lvl="0" indent="0" algn="ctr" defTabSz="488950" rtl="1">
            <a:lnSpc>
              <a:spcPct val="90000"/>
            </a:lnSpc>
            <a:spcBef>
              <a:spcPct val="0"/>
            </a:spcBef>
            <a:spcAft>
              <a:spcPct val="35000"/>
            </a:spcAft>
            <a:buNone/>
          </a:pPr>
          <a:r>
            <a:rPr lang="he-IL" sz="1100" kern="1200" dirty="0">
              <a:solidFill>
                <a:sysClr val="windowText" lastClr="000000"/>
              </a:solidFill>
              <a:latin typeface="Almoni ML v5 AAA Light" panose="00000400000000000000" pitchFamily="50" charset="-79"/>
              <a:ea typeface="+mn-ea"/>
              <a:cs typeface="Almoni ML v5 AAA Light" panose="00000400000000000000" pitchFamily="50" charset="-79"/>
            </a:rPr>
            <a:t>הגדרת גורם מוביל בעל סמכות ואחריות לתהליך ולתוצריו</a:t>
          </a:r>
        </a:p>
      </dsp:txBody>
      <dsp:txXfrm>
        <a:off x="3112711" y="79007"/>
        <a:ext cx="1003849" cy="544317"/>
      </dsp:txXfrm>
    </dsp:sp>
    <dsp:sp modelId="{5347C140-C901-420A-8901-EE3079E7697A}">
      <dsp:nvSpPr>
        <dsp:cNvPr id="0" name=""/>
        <dsp:cNvSpPr/>
      </dsp:nvSpPr>
      <dsp:spPr>
        <a:xfrm rot="10800000">
          <a:off x="2680690" y="339202"/>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2898611" y="361542"/>
        <a:ext cx="0" cy="0"/>
      </dsp:txXfrm>
    </dsp:sp>
    <dsp:sp modelId="{FB4DC39A-2FA2-4A74-B206-322933CCEE08}">
      <dsp:nvSpPr>
        <dsp:cNvPr id="0" name=""/>
        <dsp:cNvSpPr/>
      </dsp:nvSpPr>
      <dsp:spPr>
        <a:xfrm>
          <a:off x="4946" y="91736"/>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rtlCol="1" anchor="ctr" anchorCtr="0"/>
        <a:lstStyle/>
        <a:p>
          <a:pPr marL="0" lvl="0" indent="0" algn="ctr" defTabSz="444500" rtl="1">
            <a:lnSpc>
              <a:spcPct val="90000"/>
            </a:lnSpc>
            <a:spcBef>
              <a:spcPct val="0"/>
            </a:spcBef>
            <a:spcAft>
              <a:spcPct val="35000"/>
            </a:spcAft>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נדרש כדי להבטיח ניהול עקבי, פתרון מחלוקות והתקדמות משלב התכנון ועד ליישום ולהערכה</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20143" y="106933"/>
        <a:ext cx="2645350" cy="488464"/>
      </dsp:txXfrm>
    </dsp:sp>
    <dsp:sp modelId="{B4C1DEC0-B92D-41F5-8A56-81AD541D7467}">
      <dsp:nvSpPr>
        <dsp:cNvPr id="0" name=""/>
        <dsp:cNvSpPr/>
      </dsp:nvSpPr>
      <dsp:spPr>
        <a:xfrm rot="14530126">
          <a:off x="3896495" y="1546587"/>
          <a:ext cx="889087" cy="23926"/>
        </a:xfrm>
        <a:custGeom>
          <a:avLst/>
          <a:gdLst/>
          <a:rect l="0" t="0" r="0" b="0"/>
          <a:pathLst>
            <a:path fill="norm" stroke="1">
              <a:moveTo>
                <a:pt x="0" y="11963"/>
              </a:moveTo>
              <a:lnTo>
                <a:pt x="959770"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4331759" y="1588583"/>
        <a:ext cx="0" cy="0"/>
      </dsp:txXfrm>
    </dsp:sp>
    <dsp:sp modelId="{1DA8AFBB-AC30-4083-A22D-FF86CBAC57A0}">
      <dsp:nvSpPr>
        <dsp:cNvPr id="0" name=""/>
        <dsp:cNvSpPr/>
      </dsp:nvSpPr>
      <dsp:spPr>
        <a:xfrm>
          <a:off x="3095777" y="718087"/>
          <a:ext cx="1037717" cy="894683"/>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985" tIns="6985" rIns="6985" bIns="6985" numCol="1" spcCol="1270" rtlCol="1" anchor="ctr" anchorCtr="0"/>
        <a:lstStyle/>
        <a:p>
          <a:pPr marL="0" lvl="0" indent="0" algn="ctr" defTabSz="488950" rtl="1">
            <a:lnSpc>
              <a:spcPct val="90000"/>
            </a:lnSpc>
            <a:spcBef>
              <a:spcPct val="0"/>
            </a:spcBef>
            <a:spcAft>
              <a:spcPct val="35000"/>
            </a:spcAft>
            <a:buNone/>
          </a:pPr>
          <a:r>
            <a:rPr lang="he-IL" sz="1100" kern="1200" dirty="0">
              <a:solidFill>
                <a:sysClr val="windowText" lastClr="000000"/>
              </a:solidFill>
              <a:latin typeface="Almoni ML v5 AAA Light" panose="00000400000000000000" pitchFamily="50" charset="-79"/>
              <a:ea typeface="+mn-ea"/>
              <a:cs typeface="Almoni ML v5 AAA Light" panose="00000400000000000000" pitchFamily="50" charset="-79"/>
            </a:rPr>
            <a:t>יצירת אמון באמצעות תקשורת מובנית וובאמצעות שפה משותפת</a:t>
          </a:r>
        </a:p>
      </dsp:txBody>
      <dsp:txXfrm>
        <a:off x="3121981" y="744291"/>
        <a:ext cx="985309" cy="842275"/>
      </dsp:txXfrm>
    </dsp:sp>
    <dsp:sp modelId="{DE023DFF-2384-481A-BCD2-A25607473882}">
      <dsp:nvSpPr>
        <dsp:cNvPr id="0" name=""/>
        <dsp:cNvSpPr/>
      </dsp:nvSpPr>
      <dsp:spPr>
        <a:xfrm rot="10800000">
          <a:off x="2680690" y="1153465"/>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2898611" y="1175805"/>
        <a:ext cx="0" cy="0"/>
      </dsp:txXfrm>
    </dsp:sp>
    <dsp:sp modelId="{917B327B-F05B-415A-9016-C157255F2C01}">
      <dsp:nvSpPr>
        <dsp:cNvPr id="0" name=""/>
        <dsp:cNvSpPr/>
      </dsp:nvSpPr>
      <dsp:spPr>
        <a:xfrm>
          <a:off x="4946" y="905999"/>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rtlCol="1" anchor="ctr" anchorCtr="0"/>
        <a:lstStyle/>
        <a:p>
          <a:pPr marL="0" lvl="0" indent="0" algn="ctr" defTabSz="914400" rtl="1" eaLnBrk="1" latinLnBrk="0" hangingPunct="1">
            <a:lnSpc>
              <a:spcPct val="90000"/>
            </a:lnSpc>
            <a:spcBef>
              <a:spcPct val="0"/>
            </a:spcBef>
            <a:spcAft>
              <a:spcPct val="35000"/>
            </a:spcAft>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בהירות מטרה, היוועצות מוקדמת והחלפת מידע</a:t>
          </a:r>
        </a:p>
      </dsp:txBody>
      <dsp:txXfrm>
        <a:off x="20143" y="921196"/>
        <a:ext cx="2645350" cy="488464"/>
      </dsp:txXfrm>
    </dsp:sp>
    <dsp:sp modelId="{5419BEC2-4C49-4125-8572-2A21C4420179}">
      <dsp:nvSpPr>
        <dsp:cNvPr id="0" name=""/>
        <dsp:cNvSpPr/>
      </dsp:nvSpPr>
      <dsp:spPr>
        <a:xfrm rot="8133261">
          <a:off x="4050327" y="2143274"/>
          <a:ext cx="581423" cy="23926"/>
        </a:xfrm>
        <a:custGeom>
          <a:avLst/>
          <a:gdLst/>
          <a:rect l="0" t="0" r="0" b="0"/>
          <a:pathLst>
            <a:path fill="norm" stroke="1">
              <a:moveTo>
                <a:pt x="0" y="11963"/>
              </a:moveTo>
              <a:lnTo>
                <a:pt x="529042"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4361594" y="2155436"/>
        <a:ext cx="0" cy="0"/>
      </dsp:txXfrm>
    </dsp:sp>
    <dsp:sp modelId="{FFECCBA2-59D2-4E08-BAE1-5F66E97DFCCD}">
      <dsp:nvSpPr>
        <dsp:cNvPr id="0" name=""/>
        <dsp:cNvSpPr/>
      </dsp:nvSpPr>
      <dsp:spPr>
        <a:xfrm>
          <a:off x="3095777" y="2069711"/>
          <a:ext cx="1037717" cy="578185"/>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985" tIns="6985" rIns="6985" bIns="6985" numCol="1" spcCol="1270" rtlCol="1" anchor="ctr" anchorCtr="0"/>
        <a:lstStyle/>
        <a:p>
          <a:pPr marL="0" lvl="0" indent="0" algn="ctr" defTabSz="488950" rtl="1">
            <a:lnSpc>
              <a:spcPct val="90000"/>
            </a:lnSpc>
            <a:spcBef>
              <a:spcPct val="0"/>
            </a:spcBef>
            <a:spcAft>
              <a:spcPct val="35000"/>
            </a:spcAft>
            <a:buNone/>
          </a:pPr>
          <a:r>
            <a:rPr lang="he-IL" sz="1100" kern="1200">
              <a:solidFill>
                <a:sysClr val="windowText" lastClr="000000"/>
              </a:solidFill>
              <a:latin typeface="Almoni ML v5 AAA Light" panose="00000400000000000000" pitchFamily="50" charset="-79"/>
              <a:ea typeface="+mn-ea"/>
              <a:cs typeface="Almoni ML v5 AAA Light" panose="00000400000000000000" pitchFamily="50" charset="-79"/>
            </a:rPr>
            <a:t>מיסוד השותפות כבר </a:t>
          </a:r>
          <a:r>
            <a:rPr lang="he-IL" sz="1100" b="0" kern="1200">
              <a:solidFill>
                <a:sysClr val="windowText" lastClr="000000"/>
              </a:solidFill>
              <a:latin typeface="Almoni ML v5 AAA Light" panose="00000400000000000000" pitchFamily="50" charset="-79"/>
              <a:ea typeface="+mn-ea"/>
              <a:cs typeface="Almoni ML v5 AAA Light" panose="00000400000000000000" pitchFamily="50" charset="-79"/>
            </a:rPr>
            <a:t>בשלבים</a:t>
          </a:r>
          <a:r>
            <a:rPr lang="he-IL" sz="1100" kern="1200">
              <a:solidFill>
                <a:sysClr val="windowText" lastClr="000000"/>
              </a:solidFill>
              <a:latin typeface="Almoni ML v5 AAA Light" panose="00000400000000000000" pitchFamily="50" charset="-79"/>
              <a:ea typeface="+mn-ea"/>
              <a:cs typeface="Almoni ML v5 AAA Light" panose="00000400000000000000" pitchFamily="50" charset="-79"/>
            </a:rPr>
            <a:t> הראשונים</a:t>
          </a:r>
          <a:endParaRPr lang="he-IL" sz="110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3112711" y="2086645"/>
        <a:ext cx="1003849" cy="544317"/>
      </dsp:txXfrm>
    </dsp:sp>
    <dsp:sp modelId="{679435BE-51B3-40F0-B67C-A7FEC0C8EBD7}">
      <dsp:nvSpPr>
        <dsp:cNvPr id="0" name=""/>
        <dsp:cNvSpPr/>
      </dsp:nvSpPr>
      <dsp:spPr>
        <a:xfrm rot="14110531">
          <a:off x="2524801" y="2048496"/>
          <a:ext cx="726865" cy="23926"/>
        </a:xfrm>
        <a:custGeom>
          <a:avLst/>
          <a:gdLst/>
          <a:rect l="0" t="0" r="0" b="0"/>
          <a:pathLst>
            <a:path fill="norm" stroke="1">
              <a:moveTo>
                <a:pt x="0" y="11963"/>
              </a:moveTo>
              <a:lnTo>
                <a:pt x="726865"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2883694" y="2085754"/>
        <a:ext cx="0" cy="0"/>
      </dsp:txXfrm>
    </dsp:sp>
    <dsp:sp modelId="{2CD5E35D-9BEC-4B82-A1B3-D8E9A9005D01}">
      <dsp:nvSpPr>
        <dsp:cNvPr id="0" name=""/>
        <dsp:cNvSpPr/>
      </dsp:nvSpPr>
      <dsp:spPr>
        <a:xfrm>
          <a:off x="4946" y="1502687"/>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rtlCol="1" anchor="ctr" anchorCtr="0"/>
        <a:lstStyle/>
        <a:p>
          <a:pPr marL="0" lvl="0" indent="0" algn="ctr" defTabSz="444500" rtl="1">
            <a:lnSpc>
              <a:spcPct val="90000"/>
            </a:lnSpc>
            <a:spcBef>
              <a:spcPct val="0"/>
            </a:spcBef>
            <a:spcAft>
              <a:spcPct val="35000"/>
            </a:spcAft>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הסדרה תקציבית הנחשבת אתגר מרכזי ומומלץ לקבע אותה מוקדם, תוך חשיבות קריטית לתקציב רב-שנתי התואם את מחזור החיים של המהלך</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20143" y="1517884"/>
        <a:ext cx="2645350" cy="488464"/>
      </dsp:txXfrm>
    </dsp:sp>
    <dsp:sp modelId="{0EF0B277-78EA-4BB2-8116-1BAB67ADD7E1}">
      <dsp:nvSpPr>
        <dsp:cNvPr id="0" name=""/>
        <dsp:cNvSpPr/>
      </dsp:nvSpPr>
      <dsp:spPr>
        <a:xfrm rot="10800000">
          <a:off x="2680690" y="2346840"/>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2898611" y="2369180"/>
        <a:ext cx="0" cy="0"/>
      </dsp:txXfrm>
    </dsp:sp>
    <dsp:sp modelId="{56631BA8-64A1-470B-8886-BC4BDCBC4BDF}">
      <dsp:nvSpPr>
        <dsp:cNvPr id="0" name=""/>
        <dsp:cNvSpPr/>
      </dsp:nvSpPr>
      <dsp:spPr>
        <a:xfrm>
          <a:off x="4946" y="2099374"/>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rtlCol="1" anchor="ctr" anchorCtr="0"/>
        <a:lstStyle/>
        <a:p>
          <a:pPr marL="0" lvl="0" indent="0" algn="ctr" defTabSz="444500" rtl="1">
            <a:lnSpc>
              <a:spcPct val="90000"/>
            </a:lnSpc>
            <a:spcBef>
              <a:spcPct val="0"/>
            </a:spcBef>
            <a:spcAft>
              <a:spcPct val="35000"/>
            </a:spcAft>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הסדרה מבנית </a:t>
          </a:r>
          <a:br>
            <a:rPr lang="en-US" sz="1000" b="0" kern="1200">
              <a:solidFill>
                <a:sysClr val="windowText" lastClr="000000"/>
              </a:solidFill>
              <a:latin typeface="Almoni ML v5 AAA Light" panose="00000400000000000000" pitchFamily="50" charset="-79"/>
              <a:ea typeface="+mn-ea"/>
              <a:cs typeface="Almoni ML v5 AAA Light" panose="00000400000000000000" pitchFamily="50" charset="-79"/>
            </a:rPr>
          </a:b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בחירת מבנה שותפות המאפשר בעלות משותפת בלי לפגוע בסמכויות</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20143" y="2114571"/>
        <a:ext cx="2645350" cy="488464"/>
      </dsp:txXfrm>
    </dsp:sp>
    <dsp:sp modelId="{DF2B0C76-68CB-467D-872D-952E2FA7CC1E}">
      <dsp:nvSpPr>
        <dsp:cNvPr id="0" name=""/>
        <dsp:cNvSpPr/>
      </dsp:nvSpPr>
      <dsp:spPr>
        <a:xfrm rot="7489469">
          <a:off x="2524801" y="2645184"/>
          <a:ext cx="726865" cy="23926"/>
        </a:xfrm>
        <a:custGeom>
          <a:avLst/>
          <a:gdLst/>
          <a:rect l="0" t="0" r="0" b="0"/>
          <a:pathLst>
            <a:path fill="norm" stroke="1">
              <a:moveTo>
                <a:pt x="0" y="11963"/>
              </a:moveTo>
              <a:lnTo>
                <a:pt x="726865"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2913528" y="2652608"/>
        <a:ext cx="0" cy="0"/>
      </dsp:txXfrm>
    </dsp:sp>
    <dsp:sp modelId="{52F2ABA9-BD6D-4095-82AB-BA3D10D9ADA2}">
      <dsp:nvSpPr>
        <dsp:cNvPr id="0" name=""/>
        <dsp:cNvSpPr/>
      </dsp:nvSpPr>
      <dsp:spPr>
        <a:xfrm>
          <a:off x="4946" y="2696062"/>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rtlCol="1" anchor="ctr" anchorCtr="0"/>
        <a:lstStyle/>
        <a:p>
          <a:pPr marL="0" lvl="0" indent="0" algn="ctr" defTabSz="444500" rtl="1">
            <a:lnSpc>
              <a:spcPct val="90000"/>
            </a:lnSpc>
            <a:spcBef>
              <a:spcPct val="0"/>
            </a:spcBef>
            <a:spcAft>
              <a:spcPct val="35000"/>
            </a:spcAft>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הסדרה תהליכית </a:t>
          </a:r>
          <a:br>
            <a:rPr lang="en-US" sz="1000" b="0" kern="1200">
              <a:solidFill>
                <a:sysClr val="windowText" lastClr="000000"/>
              </a:solidFill>
              <a:latin typeface="Almoni ML v5 AAA Light" panose="00000400000000000000" pitchFamily="50" charset="-79"/>
              <a:ea typeface="+mn-ea"/>
              <a:cs typeface="Almoni ML v5 AAA Light" panose="00000400000000000000" pitchFamily="50" charset="-79"/>
            </a:rPr>
          </a:b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שלד מינימלי של מחויבות, החלטה על סמכויות, לוחות זמנים ומי מצטרף מתי</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20143" y="2711259"/>
        <a:ext cx="2645350" cy="488464"/>
      </dsp:txXfrm>
    </dsp:sp>
    <dsp:sp modelId="{85DB1941-7AD1-4260-8DBA-81C30499E60D}">
      <dsp:nvSpPr>
        <dsp:cNvPr id="0" name=""/>
        <dsp:cNvSpPr/>
      </dsp:nvSpPr>
      <dsp:spPr>
        <a:xfrm rot="6272351">
          <a:off x="3514310" y="2739962"/>
          <a:ext cx="1653456" cy="23926"/>
        </a:xfrm>
        <a:custGeom>
          <a:avLst/>
          <a:gdLst/>
          <a:rect l="0" t="0" r="0" b="0"/>
          <a:pathLst>
            <a:path fill="norm" stroke="1">
              <a:moveTo>
                <a:pt x="0" y="11963"/>
              </a:moveTo>
              <a:lnTo>
                <a:pt x="1576991" y="11963"/>
              </a:lnTo>
            </a:path>
          </a:pathLst>
        </a:custGeom>
        <a:noFill/>
        <a:ln w="12700">
          <a:solidFill>
            <a:srgbClr val="44546A">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4391427" y="2722290"/>
        <a:ext cx="0" cy="0"/>
      </dsp:txXfrm>
    </dsp:sp>
    <dsp:sp modelId="{FFF2A55E-5B47-451E-84E1-B9738C520142}">
      <dsp:nvSpPr>
        <dsp:cNvPr id="0" name=""/>
        <dsp:cNvSpPr/>
      </dsp:nvSpPr>
      <dsp:spPr>
        <a:xfrm>
          <a:off x="3095777" y="3263086"/>
          <a:ext cx="1037717" cy="578185"/>
        </a:xfrm>
        <a:prstGeom prst="roundRect">
          <a:avLst>
            <a:gd name="adj" fmla="val 10000"/>
          </a:avLst>
        </a:prstGeom>
        <a:solidFill>
          <a:srgbClr val="C47987"/>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985" tIns="6985" rIns="6985" bIns="6985" numCol="1" spcCol="1270" rtlCol="1" anchor="ctr" anchorCtr="0"/>
        <a:lstStyle/>
        <a:p>
          <a:pPr marL="0" lvl="0" indent="0" algn="ctr" defTabSz="914400" rtl="1" eaLnBrk="1" latinLnBrk="0" hangingPunct="1">
            <a:lnSpc>
              <a:spcPct val="90000"/>
            </a:lnSpc>
            <a:spcBef>
              <a:spcPct val="0"/>
            </a:spcBef>
            <a:spcAft>
              <a:spcPct val="35000"/>
            </a:spcAft>
            <a:buNone/>
          </a:pPr>
          <a:r>
            <a:rPr lang="he-IL" sz="1100" b="0" kern="1200">
              <a:solidFill>
                <a:sysClr val="windowText" lastClr="000000"/>
              </a:solidFill>
              <a:latin typeface="Almoni ML v5 AAA Light" panose="00000400000000000000" pitchFamily="50" charset="-79"/>
              <a:ea typeface="+mn-ea"/>
              <a:cs typeface="Almoni ML v5 AAA Light" panose="00000400000000000000" pitchFamily="50" charset="-79"/>
            </a:rPr>
            <a:t>מנגנוני שקיפות מידע</a:t>
          </a:r>
          <a:endParaRPr lang="he-IL" sz="11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3112711" y="3280020"/>
        <a:ext cx="1003849" cy="544317"/>
      </dsp:txXfrm>
    </dsp:sp>
    <dsp:sp modelId="{CD9183A9-19D3-4956-A5A2-A7E0749908E4}">
      <dsp:nvSpPr>
        <dsp:cNvPr id="0" name=""/>
        <dsp:cNvSpPr/>
      </dsp:nvSpPr>
      <dsp:spPr>
        <a:xfrm rot="10800000">
          <a:off x="2680690" y="3540215"/>
          <a:ext cx="415087" cy="23926"/>
        </a:xfrm>
        <a:custGeom>
          <a:avLst/>
          <a:gdLst/>
          <a:rect l="0" t="0" r="0" b="0"/>
          <a:pathLst>
            <a:path fill="norm" stroke="1">
              <a:moveTo>
                <a:pt x="0" y="11963"/>
              </a:moveTo>
              <a:lnTo>
                <a:pt x="415087" y="11963"/>
              </a:lnTo>
            </a:path>
          </a:pathLst>
        </a:custGeom>
        <a:noFill/>
        <a:ln w="12700">
          <a:solidFill>
            <a:srgbClr val="44546A">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44500" rtl="1">
            <a:lnSpc>
              <a:spcPct val="90000"/>
            </a:lnSpc>
            <a:spcBef>
              <a:spcPct val="0"/>
            </a:spcBef>
            <a:spcAft>
              <a:spcPct val="35000"/>
            </a:spcAft>
            <a:buNone/>
          </a:pPr>
          <a:endParaRPr lang="he-IL"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10800000">
        <a:off x="2898611" y="3562556"/>
        <a:ext cx="0" cy="0"/>
      </dsp:txXfrm>
    </dsp:sp>
    <dsp:sp modelId="{BCF7B479-5898-4AFF-82A9-62E7ED029F80}">
      <dsp:nvSpPr>
        <dsp:cNvPr id="0" name=""/>
        <dsp:cNvSpPr/>
      </dsp:nvSpPr>
      <dsp:spPr>
        <a:xfrm>
          <a:off x="4946" y="3292749"/>
          <a:ext cx="2675744" cy="518858"/>
        </a:xfrm>
        <a:prstGeom prst="roundRect">
          <a:avLst>
            <a:gd name="adj" fmla="val 10000"/>
          </a:avLst>
        </a:prstGeom>
        <a:solidFill>
          <a:srgbClr val="DCB6BD"/>
        </a:solidFill>
        <a:ln w="3175">
          <a:solidFill>
            <a:sysClr val="windowText" lastClr="000000"/>
          </a:solidFill>
          <a:prstDash val="solid"/>
          <a:miter lim="800000"/>
        </a:ln>
        <a:effectLst/>
        <a:scene3d>
          <a:camera prst="orthographicFront">
            <a:rot lat="0" lon="0" rev="0"/>
          </a:camera>
          <a:lightRig rig="contrasting" dir="t">
            <a:rot lat="0" lon="0" rev="12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350" tIns="6350" rIns="6350" bIns="6350" numCol="1" spcCol="1270" rtlCol="1" anchor="ctr" anchorCtr="0"/>
        <a:lstStyle/>
        <a:p>
          <a:pPr marL="0" lvl="0" indent="0" algn="ctr" defTabSz="444500" rtl="1">
            <a:lnSpc>
              <a:spcPct val="90000"/>
            </a:lnSpc>
            <a:spcBef>
              <a:spcPct val="0"/>
            </a:spcBef>
            <a:spcAft>
              <a:spcPct val="35000"/>
            </a:spcAft>
            <a:buNone/>
          </a:pPr>
          <a:r>
            <a:rPr lang="he-IL" sz="1000" b="0" kern="1200">
              <a:solidFill>
                <a:sysClr val="windowText" lastClr="000000"/>
              </a:solidFill>
              <a:latin typeface="Almoni ML v5 AAA Light" panose="00000400000000000000" pitchFamily="50" charset="-79"/>
              <a:ea typeface="+mn-ea"/>
              <a:cs typeface="Almoni ML v5 AAA Light" panose="00000400000000000000" pitchFamily="50" charset="-79"/>
            </a:rPr>
            <a:t>מערכת קבועה להעברת מידע ומוסכמות מראש על אופן ריכוזו ושמירתו</a:t>
          </a:r>
          <a:endParaRPr lang="he-IL" sz="1000" b="0" kern="1200" dirty="0">
            <a:solidFill>
              <a:sysClr val="windowText" lastClr="000000"/>
            </a:solidFill>
            <a:latin typeface="Almoni ML v5 AAA Light" panose="00000400000000000000" pitchFamily="50" charset="-79"/>
            <a:ea typeface="+mn-ea"/>
            <a:cs typeface="Almoni ML v5 AAA Light" panose="00000400000000000000" pitchFamily="50" charset="-79"/>
          </a:endParaRPr>
        </a:p>
      </dsp:txBody>
      <dsp:txXfrm>
        <a:off x="20143" y="3307946"/>
        <a:ext cx="2645350" cy="4884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val="norm"/>
      <dgm:animOne val="branch"/>
      <dgm:animLvl val="lvl"/>
      <dgm:resizeHandles val="exact"/>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chAlign" val="l"/>
                  <dgm:param type="linDir" val="fromT"/>
                </dgm:alg>
              </dgm:if>
              <dgm:else name="Name10">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begPts" val="midR"/>
                        <dgm:param type="dim" val="1D"/>
                        <dgm:param type="endPts" val="midL"/>
                        <dgm:param type="endSty" val="noArr"/>
                      </dgm:alg>
                    </dgm:if>
                    <dgm:else name="Name14">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chAlign" val="l"/>
                          <dgm:param type="linDir" val="fromT"/>
                        </dgm:alg>
                      </dgm:if>
                      <dgm:else name="Name21">
                        <dgm:alg type="hierChild">
                          <dgm:param type="chAlign" val="r"/>
                          <dgm:param type="linDir" val="fromT"/>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contourW="19050" prstMaterial="metal" z="-182000"/>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contourW="12700" prstMaterial="flat" z="300000"/>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prstMaterial="plastic" z="-300000"/>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prstMaterial="matte" z="-152400"/>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contourW="19050" prstMaterial="metal" z="300000"/>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E09B8F-3F04-4EE6-B42B-10C71FE87095}">
  <ds:schemaRefs>
    <ds:schemaRef ds:uri="http://schemas.openxmlformats.org/officeDocument/2006/bibliography"/>
  </ds:schemaRefs>
</ds:datastoreItem>
</file>

<file path=customXml/itemProps2.xml><?xml version="1.0" encoding="utf-8"?>
<ds:datastoreItem xmlns:ds="http://schemas.openxmlformats.org/officeDocument/2006/customXml" ds:itemID="{6F485361-6E2A-4E52-A616-095CC0BB31D6}"/>
</file>

<file path=customXml/itemProps3.xml><?xml version="1.0" encoding="utf-8"?>
<ds:datastoreItem xmlns:ds="http://schemas.openxmlformats.org/officeDocument/2006/customXml" ds:itemID="{C2A0B917-FA40-4244-8E61-AD06CBDE6B37}"/>
</file>

<file path=customXml/itemProps4.xml><?xml version="1.0" encoding="utf-8"?>
<ds:datastoreItem xmlns:ds="http://schemas.openxmlformats.org/officeDocument/2006/customXml" ds:itemID="{A50C54B3-02F3-4AFB-ACC2-6E819532417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