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8.0 -->
  <w:body>
    <w:p w:rsidR="00127512" w:rsidP="00127512">
      <w:pPr>
        <w:spacing w:line="269" w:lineRule="auto"/>
        <w:ind w:left="-285"/>
        <w:jc w:val="center"/>
        <w:rPr>
          <w:rFonts w:ascii="Calibri" w:hAnsi="Calibri" w:cs="Calibri"/>
          <w:b/>
          <w:bCs/>
          <w:color w:val="002060"/>
          <w:sz w:val="80"/>
          <w:szCs w:val="80"/>
          <w:rtl/>
        </w:rPr>
      </w:pPr>
    </w:p>
    <w:p w:rsidR="00127512" w:rsidP="00127512">
      <w:pPr>
        <w:spacing w:line="269" w:lineRule="auto"/>
        <w:ind w:left="-285"/>
        <w:jc w:val="center"/>
        <w:rPr>
          <w:rFonts w:ascii="Calibri" w:hAnsi="Calibri" w:cs="Calibri"/>
          <w:b/>
          <w:bCs/>
          <w:color w:val="002060"/>
          <w:sz w:val="80"/>
          <w:szCs w:val="80"/>
          <w:rtl/>
        </w:rPr>
      </w:pPr>
    </w:p>
    <w:p w:rsidR="00127512" w:rsidP="00127512">
      <w:pPr>
        <w:spacing w:line="269" w:lineRule="auto"/>
        <w:ind w:left="-285"/>
        <w:jc w:val="center"/>
        <w:rPr>
          <w:rFonts w:ascii="Calibri" w:hAnsi="Calibri" w:cs="Calibri"/>
          <w:b/>
          <w:bCs/>
          <w:color w:val="002060"/>
          <w:sz w:val="80"/>
          <w:szCs w:val="80"/>
          <w:rtl/>
        </w:rPr>
      </w:pPr>
    </w:p>
    <w:p w:rsidR="00127512" w:rsidP="00127512">
      <w:pPr>
        <w:spacing w:line="269" w:lineRule="auto"/>
        <w:ind w:left="-285"/>
        <w:jc w:val="center"/>
        <w:rPr>
          <w:rFonts w:ascii="Calibri" w:hAnsi="Calibri" w:cs="Calibri"/>
          <w:b/>
          <w:bCs/>
          <w:color w:val="002060"/>
          <w:sz w:val="80"/>
          <w:szCs w:val="80"/>
          <w:rtl/>
        </w:rPr>
      </w:pPr>
    </w:p>
    <w:p w:rsidR="006E1414" w:rsidP="00127512">
      <w:pPr>
        <w:spacing w:line="269" w:lineRule="auto"/>
        <w:ind w:left="-285"/>
        <w:jc w:val="center"/>
        <w:rPr>
          <w:rFonts w:ascii="Calibri" w:hAnsi="Calibri" w:cs="Calibri"/>
          <w:b/>
          <w:bCs/>
          <w:color w:val="002060"/>
          <w:sz w:val="80"/>
          <w:szCs w:val="80"/>
          <w:rtl/>
        </w:rPr>
      </w:pPr>
      <w:r w:rsidRPr="00681586">
        <w:rPr>
          <w:rFonts w:ascii="Calibri" w:hAnsi="Calibri" w:cs="Calibri"/>
          <w:b/>
          <w:bCs/>
          <w:color w:val="002060"/>
          <w:sz w:val="80"/>
          <w:szCs w:val="80"/>
          <w:rtl/>
        </w:rPr>
        <w:t>מערך הביטוח הסיעודי בישראל</w:t>
      </w:r>
      <w:r w:rsidRPr="00681586">
        <w:rPr>
          <w:rFonts w:ascii="Calibri" w:hAnsi="Calibri" w:cs="Calibri" w:hint="cs"/>
          <w:b/>
          <w:bCs/>
          <w:color w:val="002060"/>
          <w:sz w:val="80"/>
          <w:szCs w:val="80"/>
          <w:rtl/>
        </w:rPr>
        <w:t xml:space="preserve"> </w:t>
      </w:r>
    </w:p>
    <w:p w:rsidR="006E1414">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P="00F954E4">
      <w:pPr>
        <w:bidi w:val="0"/>
        <w:spacing w:after="200" w:line="276" w:lineRule="auto"/>
        <w:rPr>
          <w:rFonts w:ascii="Calibri" w:hAnsi="Calibri" w:cs="Calibri"/>
          <w:b/>
          <w:bCs/>
          <w:color w:val="002060"/>
          <w:sz w:val="80"/>
          <w:szCs w:val="80"/>
        </w:rPr>
        <w:sectPr w:rsidSect="006C2C6D">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681586" w:rsidRPr="00681586" w:rsidP="00681586">
      <w:pPr>
        <w:keepNext/>
        <w:keepLines/>
        <w:spacing w:line="269" w:lineRule="auto"/>
        <w:jc w:val="center"/>
        <w:outlineLvl w:val="0"/>
        <w:rPr>
          <w:rFonts w:eastAsia="Times New Roman"/>
          <w:bCs/>
          <w:szCs w:val="36"/>
          <w:u w:val="single"/>
          <w:rtl/>
        </w:rPr>
      </w:pPr>
      <w:bookmarkStart w:id="0" w:name="_Hlk232418387"/>
      <w:r w:rsidRPr="00681586">
        <w:rPr>
          <w:rFonts w:eastAsia="Times New Roman" w:hint="cs"/>
          <w:bCs/>
          <w:szCs w:val="36"/>
          <w:u w:val="single"/>
          <w:rtl/>
        </w:rPr>
        <w:t>מערך הביטוח הסיעודי בישראל</w:t>
      </w:r>
      <w:bookmarkEnd w:id="0"/>
    </w:p>
    <w:p w:rsidR="00681586" w:rsidRPr="00681586" w:rsidP="00681586">
      <w:pPr>
        <w:rPr>
          <w:rFonts w:eastAsia="Calibri"/>
          <w:rtl/>
        </w:rPr>
      </w:pPr>
    </w:p>
    <w:p w:rsidR="00681586" w:rsidRPr="00681586" w:rsidP="00681586">
      <w:pPr>
        <w:keepNext/>
        <w:keepLines/>
        <w:spacing w:line="269" w:lineRule="auto"/>
        <w:outlineLvl w:val="2"/>
        <w:rPr>
          <w:rFonts w:eastAsia="Times New Roman"/>
          <w:bCs/>
          <w:szCs w:val="28"/>
          <w:u w:val="single"/>
          <w:rtl/>
        </w:rPr>
      </w:pPr>
      <w:r w:rsidRPr="00681586">
        <w:rPr>
          <w:rFonts w:eastAsia="Times New Roman" w:hint="cs"/>
          <w:bCs/>
          <w:szCs w:val="28"/>
          <w:u w:val="single"/>
          <w:rtl/>
        </w:rPr>
        <w:t>מבוא</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אוכלוסיית ישראל מזדקנת בקצב מהיר, ומכאן שהזדקנות האוכלוסייה היא אחד האתגרים המרכזיים שעימם מתמודדת מדינת ישראל. שיעורם של בני 65 ומעלה מכלל האוכלוסייה צפוי לגדול מכ-13% בשנת 2025, שהם כ-1.3 מיליון קשישים, לכ-15% בשנת 2050, שהם כ-2 מיליון קשישים</w:t>
      </w:r>
      <w:r>
        <w:rPr>
          <w:rFonts w:eastAsia="Calibri"/>
          <w:vertAlign w:val="superscript"/>
          <w:rtl/>
        </w:rPr>
        <w:footnoteReference w:id="2"/>
      </w:r>
      <w:r w:rsidRPr="00681586">
        <w:rPr>
          <w:rFonts w:eastAsia="Calibri" w:hint="cs"/>
          <w:rtl/>
        </w:rPr>
        <w:t xml:space="preserve">. </w:t>
      </w:r>
      <w:r w:rsidRPr="00681586">
        <w:rPr>
          <w:rFonts w:eastAsia="Calibri"/>
          <w:rtl/>
        </w:rPr>
        <w:t>תקופת הזקנה, בעיקר מגיל 75 ומעלה, מאופיינת בריבוי מחלות של הפרט ובהחמרת</w:t>
      </w:r>
      <w:r w:rsidRPr="00681586">
        <w:rPr>
          <w:rFonts w:eastAsia="Calibri" w:hint="cs"/>
          <w:rtl/>
        </w:rPr>
        <w:t xml:space="preserve"> </w:t>
      </w:r>
      <w:r w:rsidRPr="00681586">
        <w:rPr>
          <w:rFonts w:eastAsia="Calibri"/>
          <w:rtl/>
        </w:rPr>
        <w:t>התחלואה הקיימת. בגיל זה מופיעות מחלות חדשות, חלקן כרוניות, שאינן שכיחות בגילים</w:t>
      </w:r>
      <w:r w:rsidRPr="00681586">
        <w:rPr>
          <w:rFonts w:eastAsia="Calibri" w:hint="cs"/>
          <w:rtl/>
        </w:rPr>
        <w:t xml:space="preserve"> </w:t>
      </w:r>
      <w:r w:rsidRPr="00681586">
        <w:rPr>
          <w:rFonts w:eastAsia="Calibri"/>
          <w:rtl/>
        </w:rPr>
        <w:t xml:space="preserve">צעירים יותר, </w:t>
      </w:r>
      <w:r w:rsidRPr="00681586">
        <w:rPr>
          <w:rFonts w:eastAsia="Calibri" w:hint="cs"/>
          <w:rtl/>
        </w:rPr>
        <w:t xml:space="preserve">והן </w:t>
      </w:r>
      <w:r w:rsidRPr="00681586">
        <w:rPr>
          <w:rFonts w:eastAsia="Calibri"/>
          <w:rtl/>
        </w:rPr>
        <w:t>גורמות לירידה קוגניטיבית ולפגיעה בחושים. תוצאות התחלואה באות לידי</w:t>
      </w:r>
      <w:r w:rsidRPr="00681586">
        <w:rPr>
          <w:rFonts w:eastAsia="Calibri" w:hint="cs"/>
          <w:rtl/>
        </w:rPr>
        <w:t xml:space="preserve"> </w:t>
      </w:r>
      <w:r w:rsidRPr="00681586">
        <w:rPr>
          <w:rFonts w:eastAsia="Calibri"/>
          <w:rtl/>
        </w:rPr>
        <w:t xml:space="preserve">ביטוי בירידה בתפקוד ובאובדן העצמאות בחיי היום-יום, </w:t>
      </w:r>
      <w:r w:rsidRPr="00681586">
        <w:rPr>
          <w:rFonts w:eastAsia="Calibri" w:hint="cs"/>
          <w:rtl/>
        </w:rPr>
        <w:t>ומכאן</w:t>
      </w:r>
      <w:r w:rsidRPr="00681586">
        <w:rPr>
          <w:rFonts w:eastAsia="Calibri"/>
          <w:rtl/>
        </w:rPr>
        <w:t xml:space="preserve"> לצורך הולך וגדל</w:t>
      </w:r>
      <w:r w:rsidRPr="00681586">
        <w:rPr>
          <w:rFonts w:eastAsia="Calibri" w:hint="cs"/>
          <w:rtl/>
        </w:rPr>
        <w:t xml:space="preserve"> </w:t>
      </w:r>
      <w:r w:rsidRPr="00681586">
        <w:rPr>
          <w:rFonts w:eastAsia="Calibri"/>
          <w:rtl/>
        </w:rPr>
        <w:t>באשפוז סיעודי במוסד מתאים או בעזרה מתמדת בבית</w:t>
      </w:r>
      <w:r>
        <w:rPr>
          <w:rFonts w:eastAsia="Calibri"/>
          <w:vertAlign w:val="superscript"/>
          <w:rtl/>
        </w:rPr>
        <w:footnoteReference w:id="3"/>
      </w:r>
      <w:r w:rsidRPr="00681586">
        <w:rPr>
          <w:rFonts w:eastAsia="Calibri" w:hint="cs"/>
          <w:rtl/>
        </w:rPr>
        <w:t>. בישראל 95% מהקשישים הסיעודיים מקבלים טיפול סיעודי בביתם. נתון זה גבוה יותר מכל מדינות ה-</w:t>
      </w:r>
      <w:r>
        <w:rPr>
          <w:rFonts w:eastAsia="Calibri"/>
          <w:vertAlign w:val="superscript"/>
        </w:rPr>
        <w:footnoteReference w:id="4"/>
      </w:r>
      <w:r w:rsidRPr="00681586">
        <w:rPr>
          <w:rFonts w:eastAsia="Calibri" w:hint="cs"/>
        </w:rPr>
        <w:t>OECD</w:t>
      </w:r>
      <w:r w:rsidRPr="00681586">
        <w:rPr>
          <w:rFonts w:eastAsia="Calibri" w:hint="cs"/>
          <w:rtl/>
        </w:rPr>
        <w:t>, כאשר הממוצע בקרב מדינות אלו עומד על כ-70%.</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ההוצאה של משק בית על טיפול סיעודי היא גבוהה ועלולה להגיע ליותר מ-10,000 ש"ח בחודש כאשר הטיפול מתקיים בבית הקשיש הסיעודי, ובין 13,000 ל-23,000 ש"ח, כאשר הטיפול בקשיש הסיעודי מתקיים במוסד ייעודי</w:t>
      </w:r>
      <w:r>
        <w:rPr>
          <w:rFonts w:eastAsia="Calibri"/>
          <w:vertAlign w:val="superscript"/>
          <w:rtl/>
        </w:rPr>
        <w:footnoteReference w:id="5"/>
      </w:r>
      <w:r w:rsidRPr="00681586">
        <w:rPr>
          <w:rFonts w:eastAsia="Calibri" w:hint="cs"/>
          <w:rtl/>
        </w:rPr>
        <w:t>. כדי לסייע במימון הטיפול הסיעודי, קיימים בישראל שני ביטוחים עיקריים המבטחים את הפרט במקרה שהוא הופך לסיעודי. הביטוח העיקרי הוא של המוסד לביטוח לאומי</w:t>
      </w:r>
      <w:r>
        <w:rPr>
          <w:rFonts w:eastAsia="Calibri"/>
          <w:vertAlign w:val="superscript"/>
          <w:rtl/>
        </w:rPr>
        <w:footnoteReference w:id="6"/>
      </w:r>
      <w:r w:rsidRPr="00681586">
        <w:rPr>
          <w:rFonts w:eastAsia="Calibri" w:hint="cs"/>
          <w:rtl/>
        </w:rPr>
        <w:t xml:space="preserve"> (להלן - בט"ל או המוסד), המשלם גמלת סיעוד שכוללת שירותי סיעוד בעין</w:t>
      </w:r>
      <w:r>
        <w:rPr>
          <w:rFonts w:eastAsia="Calibri"/>
          <w:vertAlign w:val="superscript"/>
          <w:rtl/>
        </w:rPr>
        <w:footnoteReference w:id="7"/>
      </w:r>
      <w:r w:rsidRPr="00681586">
        <w:rPr>
          <w:rFonts w:eastAsia="Calibri" w:hint="cs"/>
          <w:rtl/>
        </w:rPr>
        <w:t xml:space="preserve"> ובכסף, והאחר, ביטוח פרטי-קבוצתי, שה</w:t>
      </w:r>
      <w:r w:rsidRPr="00681586">
        <w:rPr>
          <w:rFonts w:ascii="David" w:eastAsia="Aptos" w:hAnsi="David" w:hint="cs"/>
          <w:kern w:val="2"/>
          <w:sz w:val="24"/>
          <w:rtl/>
          <w14:ligatures w14:val="standardContextual"/>
        </w:rPr>
        <w:t>פרט יכול לרכוש באמצעות הצטרפות לפוליסת הביטוח הסיעודי הקבוצתי של קופת החולים שבה הוא מבוטח</w:t>
      </w:r>
      <w:r>
        <w:rPr>
          <w:rFonts w:ascii="David" w:eastAsia="Aptos" w:hAnsi="David"/>
          <w:kern w:val="2"/>
          <w:sz w:val="24"/>
          <w:vertAlign w:val="superscript"/>
          <w:rtl/>
          <w14:ligatures w14:val="standardContextual"/>
        </w:rPr>
        <w:footnoteReference w:id="8"/>
      </w:r>
      <w:r w:rsidRPr="00681586">
        <w:rPr>
          <w:rFonts w:ascii="David" w:eastAsia="Aptos" w:hAnsi="David" w:hint="cs"/>
          <w:kern w:val="2"/>
          <w:sz w:val="24"/>
          <w:rtl/>
          <w14:ligatures w14:val="standardContextua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rtl/>
        </w:rPr>
        <w:t xml:space="preserve">גמלת סיעוד </w:t>
      </w:r>
      <w:r w:rsidRPr="00681586">
        <w:rPr>
          <w:rFonts w:eastAsia="Calibri" w:hint="cs"/>
          <w:rtl/>
        </w:rPr>
        <w:t xml:space="preserve">של בט"ל נועדה </w:t>
      </w:r>
      <w:r w:rsidRPr="00681586">
        <w:rPr>
          <w:rFonts w:eastAsia="Calibri"/>
          <w:rtl/>
        </w:rPr>
        <w:t>לסייע ל</w:t>
      </w:r>
      <w:r w:rsidRPr="00681586">
        <w:rPr>
          <w:rFonts w:eastAsia="Calibri" w:hint="cs"/>
          <w:rtl/>
        </w:rPr>
        <w:t>קשיש</w:t>
      </w:r>
      <w:r w:rsidRPr="00681586">
        <w:rPr>
          <w:rFonts w:eastAsia="Calibri"/>
          <w:rtl/>
        </w:rPr>
        <w:t xml:space="preserve"> לקבל את העזרה </w:t>
      </w:r>
      <w:r w:rsidRPr="00681586">
        <w:rPr>
          <w:rFonts w:eastAsia="Calibri" w:hint="cs"/>
          <w:rtl/>
        </w:rPr>
        <w:t>ש</w:t>
      </w:r>
      <w:r w:rsidRPr="00681586">
        <w:rPr>
          <w:rFonts w:eastAsia="Calibri"/>
          <w:rtl/>
        </w:rPr>
        <w:t>לה הוא זקוק בהתאם לרמת הקושי או המוגבלות והתלות</w:t>
      </w:r>
      <w:r w:rsidRPr="00681586">
        <w:rPr>
          <w:rFonts w:eastAsia="Calibri" w:hint="cs"/>
          <w:rtl/>
        </w:rPr>
        <w:t xml:space="preserve"> שלו</w:t>
      </w:r>
      <w:r w:rsidRPr="00681586">
        <w:rPr>
          <w:rFonts w:eastAsia="Calibri"/>
          <w:rtl/>
        </w:rPr>
        <w:t xml:space="preserve"> בסיוע של אדם אחר.</w:t>
      </w:r>
      <w:r w:rsidRPr="00681586">
        <w:rPr>
          <w:rFonts w:eastAsia="Calibri" w:hint="cs"/>
          <w:rtl/>
        </w:rPr>
        <w:t xml:space="preserve"> הגמלה ניתנת לאנשים שהגיעו לגיל פרישה</w:t>
      </w:r>
      <w:r>
        <w:rPr>
          <w:rFonts w:eastAsia="Calibri"/>
          <w:vertAlign w:val="superscript"/>
          <w:rtl/>
        </w:rPr>
        <w:footnoteReference w:id="9"/>
      </w:r>
      <w:r w:rsidRPr="00681586">
        <w:rPr>
          <w:rFonts w:eastAsia="Calibri" w:hint="cs"/>
          <w:rtl/>
        </w:rPr>
        <w:t>, הגרים בביתם או בדיור מוגן, וזקוקים לעזרת אדם אחר בביצוע פעולות היום-יום. גמלת סיעוד ניתנת מתוקף חוק הביטוח הלאומי</w:t>
      </w:r>
      <w:r>
        <w:rPr>
          <w:rFonts w:eastAsia="Calibri"/>
          <w:vertAlign w:val="superscript"/>
          <w:rtl/>
        </w:rPr>
        <w:footnoteReference w:id="10"/>
      </w:r>
      <w:r w:rsidRPr="00681586">
        <w:rPr>
          <w:rFonts w:eastAsia="Calibri" w:hint="cs"/>
          <w:rtl/>
        </w:rPr>
        <w:t xml:space="preserve"> (להלן - חוק בט"ל). </w:t>
      </w:r>
      <w:r w:rsidRPr="00681586">
        <w:rPr>
          <w:rFonts w:eastAsia="Calibri"/>
          <w:rtl/>
        </w:rPr>
        <w:t xml:space="preserve">חוק </w:t>
      </w:r>
      <w:r w:rsidRPr="00681586">
        <w:rPr>
          <w:rFonts w:eastAsia="Calibri" w:hint="cs"/>
          <w:rtl/>
        </w:rPr>
        <w:t>בט"ל</w:t>
      </w:r>
      <w:r>
        <w:rPr>
          <w:rFonts w:eastAsia="Calibri"/>
          <w:vertAlign w:val="superscript"/>
          <w:rtl/>
        </w:rPr>
        <w:footnoteReference w:id="11"/>
      </w:r>
      <w:r w:rsidRPr="00681586">
        <w:rPr>
          <w:rFonts w:eastAsia="Calibri" w:hint="cs"/>
          <w:rtl/>
        </w:rPr>
        <w:t xml:space="preserve"> </w:t>
      </w:r>
      <w:r w:rsidRPr="00681586">
        <w:rPr>
          <w:rFonts w:eastAsia="Calibri"/>
          <w:rtl/>
        </w:rPr>
        <w:t xml:space="preserve">מגדיר </w:t>
      </w:r>
      <w:r w:rsidRPr="00681586">
        <w:rPr>
          <w:rFonts w:eastAsia="Calibri" w:hint="cs"/>
          <w:rtl/>
        </w:rPr>
        <w:t>זכאי לגמלת סיעוד</w:t>
      </w:r>
      <w:r w:rsidRPr="00681586">
        <w:rPr>
          <w:rFonts w:eastAsia="Calibri"/>
          <w:rtl/>
        </w:rPr>
        <w:t xml:space="preserve"> כאדם אשר </w:t>
      </w:r>
      <w:r w:rsidRPr="00681586">
        <w:rPr>
          <w:rFonts w:eastAsia="Calibri" w:hint="cs"/>
          <w:rtl/>
        </w:rPr>
        <w:t xml:space="preserve">בשל </w:t>
      </w:r>
      <w:r w:rsidRPr="00681586">
        <w:rPr>
          <w:rFonts w:eastAsia="Calibri"/>
          <w:rtl/>
        </w:rPr>
        <w:t>מצב בריאותו ותפקודו תלוי במידה רבה בעזרת הזולת לביצוע רוב פעולות היו</w:t>
      </w:r>
      <w:r w:rsidRPr="00681586">
        <w:rPr>
          <w:rFonts w:eastAsia="Calibri" w:hint="cs"/>
          <w:rtl/>
        </w:rPr>
        <w:t>ם-</w:t>
      </w:r>
      <w:r w:rsidRPr="00681586">
        <w:rPr>
          <w:rFonts w:eastAsia="Calibri"/>
          <w:rtl/>
        </w:rPr>
        <w:t>יום</w:t>
      </w:r>
      <w:r w:rsidRPr="00681586">
        <w:rPr>
          <w:rFonts w:eastAsia="Calibri" w:hint="cs"/>
          <w:rtl/>
        </w:rPr>
        <w:t>,</w:t>
      </w:r>
      <w:r w:rsidRPr="00681586">
        <w:rPr>
          <w:rFonts w:eastAsia="Calibri"/>
          <w:rtl/>
        </w:rPr>
        <w:t xml:space="preserve"> </w:t>
      </w:r>
      <w:r w:rsidRPr="00681586">
        <w:rPr>
          <w:rFonts w:eastAsia="Calibri" w:hint="cs"/>
          <w:rtl/>
        </w:rPr>
        <w:t>ו</w:t>
      </w:r>
      <w:r w:rsidRPr="00681586">
        <w:rPr>
          <w:rFonts w:eastAsia="Calibri"/>
          <w:rtl/>
        </w:rPr>
        <w:t>בהן</w:t>
      </w:r>
      <w:r w:rsidRPr="00681586">
        <w:rPr>
          <w:rFonts w:eastAsia="Calibri" w:hint="cs"/>
          <w:rtl/>
        </w:rPr>
        <w:t xml:space="preserve"> </w:t>
      </w:r>
      <w:r w:rsidRPr="00681586">
        <w:rPr>
          <w:rFonts w:eastAsia="Calibri"/>
          <w:rtl/>
        </w:rPr>
        <w:t>לבישה, אכילה, שליטה על הפרשות, רחצה, ניידות עצמית בבית</w:t>
      </w:r>
      <w:r w:rsidRPr="00681586">
        <w:rPr>
          <w:rFonts w:eastAsia="Calibri" w:hint="cs"/>
          <w:rtl/>
        </w:rPr>
        <w:t xml:space="preserve"> (להלן - קשיש סיעודי או זכאי לגמלת סיעוד). </w:t>
      </w:r>
      <w:r w:rsidRPr="00681586">
        <w:rPr>
          <w:rFonts w:eastAsia="Calibri"/>
          <w:rtl/>
        </w:rPr>
        <w:t>בנוסף, כ</w:t>
      </w:r>
      <w:r w:rsidRPr="00681586">
        <w:rPr>
          <w:rFonts w:eastAsia="Calibri" w:hint="cs"/>
          <w:rtl/>
        </w:rPr>
        <w:t>זכאי לגמלת</w:t>
      </w:r>
      <w:r w:rsidRPr="00681586">
        <w:rPr>
          <w:rFonts w:eastAsia="Calibri"/>
          <w:rtl/>
        </w:rPr>
        <w:t xml:space="preserve"> סיעוד </w:t>
      </w:r>
      <w:r w:rsidRPr="00681586">
        <w:rPr>
          <w:rFonts w:eastAsia="Calibri" w:hint="cs"/>
          <w:rtl/>
        </w:rPr>
        <w:t xml:space="preserve">יכול להיחשב </w:t>
      </w:r>
      <w:r w:rsidRPr="00681586">
        <w:rPr>
          <w:rFonts w:eastAsia="Calibri"/>
          <w:rtl/>
        </w:rPr>
        <w:t>גם אדם אשר זקוק להשגחה מתמדת ל</w:t>
      </w:r>
      <w:r w:rsidRPr="00681586">
        <w:rPr>
          <w:rFonts w:eastAsia="Calibri" w:hint="cs"/>
          <w:rtl/>
        </w:rPr>
        <w:t xml:space="preserve">שם </w:t>
      </w:r>
      <w:r w:rsidRPr="00681586">
        <w:rPr>
          <w:rFonts w:eastAsia="Calibri"/>
          <w:rtl/>
        </w:rPr>
        <w:t>מניעת מצבי סיכון לעצמו או לאחרים, גם אם אינו תלוי לחלוטין בביצוע הפעולות שצוינו</w:t>
      </w:r>
      <w:r>
        <w:rPr>
          <w:rFonts w:eastAsia="Calibri"/>
          <w:vertAlign w:val="superscript"/>
          <w:rtl/>
        </w:rPr>
        <w:footnoteReference w:id="12"/>
      </w:r>
      <w:r w:rsidRPr="00681586">
        <w:rPr>
          <w:rFonts w:eastAsia="Calibri"/>
          <w:rtl/>
        </w:rPr>
        <w:t>.</w:t>
      </w:r>
      <w:r w:rsidRPr="00681586">
        <w:rPr>
          <w:rFonts w:eastAsia="Calibri" w:hint="cs"/>
          <w:rtl/>
        </w:rPr>
        <w:t xml:space="preserve"> החו</w:t>
      </w:r>
      <w:bookmarkStart w:id="1" w:name="tempMark"/>
      <w:bookmarkEnd w:id="1"/>
      <w:r w:rsidRPr="00681586">
        <w:rPr>
          <w:rFonts w:eastAsia="Calibri" w:hint="cs"/>
          <w:rtl/>
        </w:rPr>
        <w:t>ק קובע גם מבחן הכנסה שבו צריך לעמוד תובע הגמלה, כאשר נכון לשנת 2025, יחיד שהכנסתו החודשית גבוהה מכ-13,300 ש"ח זכאי רק למחצית מגמלת הסיעוד, ואם הכנסתו החודשית גבוהה מכ-20,000 ש"ח הוא אינו זכאי כלל לגמלת סיעוד</w:t>
      </w:r>
      <w:r>
        <w:rPr>
          <w:rFonts w:eastAsia="Calibri"/>
          <w:vertAlign w:val="superscript"/>
          <w:rtl/>
        </w:rPr>
        <w:footnoteReference w:id="13"/>
      </w:r>
      <w:r w:rsidRPr="00681586">
        <w:rPr>
          <w:rFonts w:eastAsia="Calibri" w:hint="cs"/>
          <w:rtl/>
        </w:rPr>
        <w:t>. נכון לסוף שנת 2025, בישראל חיים כ-392,000 זכאים לגמלת סיעוד.</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ביטוחי הסיעוד בקופות החולים הם ביטוחים אשר ניתן לרכוש אותם נוסף על גמלת הסיעוד של בט"ל. </w:t>
      </w:r>
      <w:r w:rsidRPr="00681586">
        <w:rPr>
          <w:rFonts w:ascii="David" w:eastAsia="Aptos" w:hAnsi="David" w:hint="cs"/>
          <w:kern w:val="2"/>
          <w:sz w:val="24"/>
          <w:rtl/>
          <w14:ligatures w14:val="standardContextual"/>
        </w:rPr>
        <w:t>בביטוחים אלו קופת החולים מוגדרת כבעלת הפוליסה עבור כלל המבוטחים אצלה, אל מול חברת הביטוח שזכתה במכרז והיא מוגדרת כמבטחת בביטוח הסיעודי. שוק</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הביטוח</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הסיעודי</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בישראל</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כולל</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כ-5 מיליון</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מבוטחים</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בביטוח</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סיעודי-קבוצתי</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דרך</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קופות</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החולים</w:t>
      </w:r>
      <w:r>
        <w:rPr>
          <w:rFonts w:ascii="David" w:eastAsia="Aptos" w:hAnsi="David"/>
          <w:kern w:val="2"/>
          <w:sz w:val="24"/>
          <w:vertAlign w:val="superscript"/>
          <w:rtl/>
          <w14:ligatures w14:val="standardContextual"/>
        </w:rPr>
        <w:footnoteReference w:id="14"/>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למעשה,</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מדובר</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בשוק</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הביטוח</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הסיעודי</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הגדול</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בעולם</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ביחס</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לאוכלוסייה</w:t>
      </w:r>
      <w:r w:rsidRPr="00681586">
        <w:rPr>
          <w:rFonts w:ascii="David" w:eastAsia="Aptos" w:hAnsi="David"/>
          <w:kern w:val="2"/>
          <w:sz w:val="24"/>
          <w:rtl/>
          <w14:ligatures w14:val="standardContextual"/>
        </w:rPr>
        <w:t xml:space="preserve"> - </w:t>
      </w:r>
      <w:r w:rsidRPr="00681586">
        <w:rPr>
          <w:rFonts w:ascii="David" w:eastAsia="Aptos" w:hAnsi="David" w:hint="cs"/>
          <w:kern w:val="2"/>
          <w:sz w:val="24"/>
          <w:rtl/>
          <w14:ligatures w14:val="standardContextual"/>
        </w:rPr>
        <w:t>כמחצית</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מהאוכלוסייה</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הישראלית</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מבוטחת</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בביטוח</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סיעודי</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נוסף על גמלת הסיעוד של בט"ל, תופעה</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יוצאת</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דופן</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שאין</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לה</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מקבילה</w:t>
      </w:r>
      <w:r w:rsidRPr="00681586">
        <w:rPr>
          <w:rFonts w:ascii="David" w:eastAsia="Aptos" w:hAnsi="David"/>
          <w:kern w:val="2"/>
          <w:sz w:val="24"/>
          <w:rtl/>
          <w14:ligatures w14:val="standardContextual"/>
        </w:rPr>
        <w:t xml:space="preserve"> </w:t>
      </w:r>
      <w:r w:rsidRPr="00681586">
        <w:rPr>
          <w:rFonts w:ascii="David" w:eastAsia="Aptos" w:hAnsi="David" w:hint="cs"/>
          <w:kern w:val="2"/>
          <w:sz w:val="24"/>
          <w:rtl/>
          <w14:ligatures w14:val="standardContextual"/>
        </w:rPr>
        <w:t>בעולם</w:t>
      </w:r>
      <w:r w:rsidRPr="00681586">
        <w:rPr>
          <w:rFonts w:ascii="David" w:eastAsia="Aptos" w:hAnsi="David"/>
          <w:kern w:val="2"/>
          <w:sz w:val="24"/>
          <w:rtl/>
          <w14:ligatures w14:val="standardContextual"/>
        </w:rPr>
        <w:t>.</w:t>
      </w:r>
      <w:r w:rsidRPr="00681586">
        <w:rPr>
          <w:rFonts w:ascii="David" w:eastAsia="Aptos" w:hAnsi="David" w:hint="cs"/>
          <w:kern w:val="2"/>
          <w:sz w:val="24"/>
          <w:rtl/>
          <w14:ligatures w14:val="standardContextual"/>
        </w:rPr>
        <w:t xml:space="preserve"> נכון לשנת 2023, כ-21,000 תביעות לגמלת סיעוד משולמות בפועל לזכאים המבוטחים בביטוח הסיעודי בקופות החולים</w:t>
      </w:r>
      <w:r>
        <w:rPr>
          <w:rFonts w:ascii="David" w:eastAsia="Aptos" w:hAnsi="David"/>
          <w:kern w:val="2"/>
          <w:sz w:val="24"/>
          <w:vertAlign w:val="superscript"/>
          <w:rtl/>
          <w14:ligatures w14:val="standardContextual"/>
        </w:rPr>
        <w:footnoteReference w:id="15"/>
      </w:r>
      <w:r w:rsidRPr="00681586">
        <w:rPr>
          <w:rFonts w:ascii="David" w:eastAsia="Aptos" w:hAnsi="David" w:hint="cs"/>
          <w:kern w:val="2"/>
          <w:sz w:val="24"/>
          <w:rtl/>
          <w14:ligatures w14:val="standardContextual"/>
        </w:rPr>
        <w:t>.</w:t>
      </w:r>
    </w:p>
    <w:p w:rsidR="00681586" w:rsidRPr="00681586" w:rsidP="00681586">
      <w:pPr>
        <w:spacing w:line="269" w:lineRule="auto"/>
        <w:rPr>
          <w:rFonts w:eastAsia="Calibri"/>
          <w:rtl/>
        </w:rPr>
      </w:pPr>
    </w:p>
    <w:p w:rsidR="00681586" w:rsidRPr="00681586" w:rsidP="00681586">
      <w:pPr>
        <w:keepNext/>
        <w:keepLines/>
        <w:spacing w:line="269" w:lineRule="auto"/>
        <w:outlineLvl w:val="3"/>
        <w:rPr>
          <w:rFonts w:eastAsia="Times New Roman"/>
          <w:bCs/>
          <w:szCs w:val="26"/>
          <w:rtl/>
        </w:rPr>
      </w:pPr>
      <w:r w:rsidRPr="00681586">
        <w:rPr>
          <w:rFonts w:eastAsia="Times New Roman" w:hint="cs"/>
          <w:bCs/>
          <w:szCs w:val="26"/>
          <w:rtl/>
        </w:rPr>
        <w:t>גמלת סיעוד של המוסד לביטוח לאומי</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גמלת סיעוד היא אחת הגמלאות המשמעותיות ביותר מבחינת היקפן בהוצאות בט"ל. בתרשים להלן ההוצאות על גמלאות של בט"ל בשנת 2024</w:t>
      </w:r>
      <w:r>
        <w:rPr>
          <w:rFonts w:eastAsia="Calibri"/>
          <w:vertAlign w:val="superscript"/>
          <w:rtl/>
        </w:rPr>
        <w:footnoteReference w:id="16"/>
      </w:r>
      <w:r w:rsidRPr="00681586">
        <w:rPr>
          <w:rFonts w:eastAsia="Calibri" w:hint="cs"/>
          <w:rtl/>
        </w:rPr>
        <w:t>.</w:t>
      </w:r>
    </w:p>
    <w:p w:rsidR="00681586" w:rsidRPr="00681586" w:rsidP="00681586">
      <w:pPr>
        <w:spacing w:line="269" w:lineRule="auto"/>
        <w:ind w:left="-567"/>
        <w:rPr>
          <w:rFonts w:eastAsia="Calibri"/>
          <w:szCs w:val="20"/>
          <w:rtl/>
        </w:rPr>
      </w:pPr>
    </w:p>
    <w:p w:rsidR="00A960C8" w:rsidP="00681586">
      <w:pPr>
        <w:spacing w:line="269" w:lineRule="auto"/>
        <w:jc w:val="center"/>
        <w:rPr>
          <w:rFonts w:eastAsia="Calibri"/>
          <w:b/>
          <w:bCs/>
          <w:rtl/>
        </w:rPr>
      </w:pPr>
      <w:r w:rsidRPr="00681586">
        <w:rPr>
          <w:rFonts w:eastAsia="Calibri" w:hint="cs"/>
          <w:rtl/>
        </w:rPr>
        <w:t xml:space="preserve">תרשים 1: </w:t>
      </w:r>
      <w:r w:rsidRPr="00681586">
        <w:rPr>
          <w:rFonts w:eastAsia="Calibri" w:hint="cs"/>
          <w:b/>
          <w:bCs/>
          <w:rtl/>
        </w:rPr>
        <w:t>הוצאות על גמלאות של המוסד לביטוח לאומי וגובה ההוצאות, 2024 (במיליארדי ש"ח ובאחוזים)</w:t>
      </w:r>
    </w:p>
    <w:p w:rsidR="00A960C8" w:rsidP="00681586">
      <w:pPr>
        <w:spacing w:line="269" w:lineRule="auto"/>
        <w:jc w:val="center"/>
        <w:rPr>
          <w:rFonts w:eastAsia="Calibri"/>
          <w:b/>
          <w:bCs/>
          <w:noProof/>
          <w:rtl/>
        </w:rPr>
      </w:pPr>
    </w:p>
    <w:p w:rsidR="00681586" w:rsidRPr="00681586" w:rsidP="00681586">
      <w:pPr>
        <w:spacing w:line="269" w:lineRule="auto"/>
        <w:jc w:val="center"/>
        <w:rPr>
          <w:rFonts w:eastAsia="Calibri"/>
          <w:b/>
          <w:bCs/>
          <w:rtl/>
        </w:rPr>
      </w:pPr>
      <w:r w:rsidRPr="00681586">
        <w:rPr>
          <w:rFonts w:eastAsia="Calibri"/>
          <w:b/>
          <w:bCs/>
          <w:noProof/>
          <w:rtl/>
        </w:rPr>
        <w:drawing>
          <wp:inline distT="0" distB="0" distL="0" distR="0">
            <wp:extent cx="5219098" cy="2754775"/>
            <wp:effectExtent l="0" t="0" r="635" b="7620"/>
            <wp:docPr id="28" name="תמונה 28" descr="ההוצאה על סיעוד מהווה 13% מההוצאות של בט&quot;ל. זו הגמלה השלישית בגוד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098" cy="2754775"/>
                    </a:xfrm>
                    <a:prstGeom prst="rect">
                      <a:avLst/>
                    </a:prstGeom>
                    <a:noFill/>
                  </pic:spPr>
                </pic:pic>
              </a:graphicData>
            </a:graphic>
          </wp:inline>
        </w:drawing>
      </w:r>
    </w:p>
    <w:p w:rsidR="00681586" w:rsidRPr="00681586" w:rsidP="00681586">
      <w:pPr>
        <w:spacing w:line="269" w:lineRule="auto"/>
        <w:jc w:val="center"/>
        <w:rPr>
          <w:rFonts w:eastAsia="Calibri"/>
          <w:b/>
          <w:bCs/>
          <w:rtl/>
        </w:rPr>
      </w:pPr>
    </w:p>
    <w:p w:rsidR="00681586" w:rsidRPr="00681586" w:rsidP="00681586">
      <w:pPr>
        <w:spacing w:line="269" w:lineRule="auto"/>
        <w:rPr>
          <w:rFonts w:eastAsia="Calibri"/>
          <w:szCs w:val="20"/>
          <w:rtl/>
        </w:rPr>
      </w:pPr>
      <w:r w:rsidRPr="00681586">
        <w:rPr>
          <w:rFonts w:eastAsia="Calibri" w:hint="eastAsia"/>
          <w:szCs w:val="20"/>
          <w:rtl/>
        </w:rPr>
        <w:t>על</w:t>
      </w:r>
      <w:r w:rsidRPr="00681586">
        <w:rPr>
          <w:rFonts w:eastAsia="Calibri"/>
          <w:szCs w:val="20"/>
          <w:rtl/>
        </w:rPr>
        <w:t xml:space="preserve"> פי </w:t>
      </w:r>
      <w:r w:rsidRPr="00681586">
        <w:rPr>
          <w:rFonts w:eastAsia="Calibri" w:hint="eastAsia"/>
          <w:szCs w:val="20"/>
          <w:rtl/>
        </w:rPr>
        <w:t>נתוני</w:t>
      </w:r>
      <w:r w:rsidRPr="00681586">
        <w:rPr>
          <w:rFonts w:eastAsia="Calibri"/>
          <w:szCs w:val="20"/>
          <w:rtl/>
        </w:rPr>
        <w:t xml:space="preserve"> </w:t>
      </w:r>
      <w:r w:rsidRPr="00681586">
        <w:rPr>
          <w:rFonts w:eastAsia="Calibri" w:hint="cs"/>
          <w:szCs w:val="20"/>
          <w:rtl/>
        </w:rPr>
        <w:t>המוסד לביטוח לאומי</w:t>
      </w:r>
      <w:r w:rsidRPr="00681586">
        <w:rPr>
          <w:rFonts w:eastAsia="Calibri"/>
          <w:szCs w:val="20"/>
          <w:rtl/>
        </w:rPr>
        <w:t>, בעיבוד משרד מבקר המדינה.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מהתרשים עולה כי נכון לשנת 2024, ההוצאה על גמלת סיעוד היא ההוצאה השלישית בגודלה מבין הענפים השונים בגמלאות בט"ל, ושיעורה 13% מסך ההוצאות על גמלאות</w:t>
      </w:r>
      <w:r w:rsidRPr="00681586">
        <w:rPr>
          <w:rFonts w:eastAsia="Calibri" w:hint="cs"/>
          <w:sz w:val="16"/>
          <w:szCs w:val="16"/>
          <w:rtl/>
        </w:rPr>
        <w:t xml:space="preserve"> </w:t>
      </w:r>
      <w:r w:rsidRPr="00681586">
        <w:rPr>
          <w:rFonts w:eastAsia="Calibri" w:hint="cs"/>
          <w:b/>
          <w:bCs/>
          <w:rtl/>
        </w:rPr>
        <w:t>(כ-18.6 מתוך כ-140 מיליארד ש"ח).</w:t>
      </w:r>
      <w:r w:rsidRPr="00681586">
        <w:rPr>
          <w:rFonts w:eastAsia="Calibri"/>
          <w:rtl/>
        </w:rPr>
        <w:t xml:space="preserve"> </w:t>
      </w:r>
    </w:p>
    <w:p w:rsidR="00681586" w:rsidRPr="00681586" w:rsidP="00681586">
      <w:pPr>
        <w:spacing w:line="269" w:lineRule="auto"/>
        <w:rPr>
          <w:rFonts w:eastAsia="Calibri"/>
          <w:b/>
          <w:bCs/>
          <w:rtl/>
        </w:rPr>
      </w:pPr>
    </w:p>
    <w:p w:rsidR="00681586">
      <w:pPr>
        <w:bidi w:val="0"/>
        <w:spacing w:after="200" w:line="276" w:lineRule="auto"/>
        <w:rPr>
          <w:rFonts w:eastAsia="Times New Roman"/>
          <w:bCs/>
          <w:spacing w:val="40"/>
          <w:rtl/>
        </w:rPr>
      </w:pPr>
      <w:r>
        <w:rPr>
          <w:rFonts w:eastAsia="Times New Roman"/>
          <w:bCs/>
          <w:spacing w:val="40"/>
          <w:rtl/>
        </w:rPr>
        <w:br w:type="page"/>
      </w:r>
    </w:p>
    <w:p w:rsidR="00681586" w:rsidRPr="00681586" w:rsidP="00681586">
      <w:pPr>
        <w:keepNext/>
        <w:keepLines/>
        <w:spacing w:line="269" w:lineRule="auto"/>
        <w:outlineLvl w:val="4"/>
        <w:rPr>
          <w:rFonts w:eastAsia="Times New Roman"/>
          <w:bCs/>
          <w:spacing w:val="40"/>
          <w:rtl/>
        </w:rPr>
      </w:pPr>
      <w:r w:rsidRPr="00681586">
        <w:rPr>
          <w:rFonts w:eastAsia="Times New Roman" w:hint="eastAsia"/>
          <w:bCs/>
          <w:spacing w:val="40"/>
          <w:rtl/>
        </w:rPr>
        <w:t>הכרה</w:t>
      </w:r>
      <w:r w:rsidRPr="00681586">
        <w:rPr>
          <w:rFonts w:eastAsia="Times New Roman"/>
          <w:bCs/>
          <w:spacing w:val="40"/>
          <w:rtl/>
        </w:rPr>
        <w:t xml:space="preserve"> </w:t>
      </w:r>
      <w:r w:rsidRPr="00681586">
        <w:rPr>
          <w:rFonts w:eastAsia="Times New Roman" w:hint="eastAsia"/>
          <w:bCs/>
          <w:spacing w:val="40"/>
          <w:rtl/>
        </w:rPr>
        <w:t>בזכאות</w:t>
      </w:r>
      <w:r w:rsidRPr="00681586">
        <w:rPr>
          <w:rFonts w:eastAsia="Times New Roman"/>
          <w:bCs/>
          <w:spacing w:val="40"/>
          <w:rtl/>
        </w:rPr>
        <w:t xml:space="preserve"> </w:t>
      </w:r>
      <w:r w:rsidRPr="00681586">
        <w:rPr>
          <w:rFonts w:eastAsia="Times New Roman" w:hint="eastAsia"/>
          <w:bCs/>
          <w:spacing w:val="40"/>
          <w:rtl/>
        </w:rPr>
        <w:t>לגמלת</w:t>
      </w:r>
      <w:r w:rsidRPr="00681586">
        <w:rPr>
          <w:rFonts w:eastAsia="Times New Roman"/>
          <w:bCs/>
          <w:spacing w:val="40"/>
          <w:rtl/>
        </w:rPr>
        <w:t xml:space="preserve"> </w:t>
      </w:r>
      <w:r w:rsidRPr="00681586">
        <w:rPr>
          <w:rFonts w:eastAsia="Times New Roman" w:hint="eastAsia"/>
          <w:bCs/>
          <w:spacing w:val="40"/>
          <w:rtl/>
        </w:rPr>
        <w:t>סיעוד</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הליך ההכרה בזכאות לגמלת סיעוד כולל כמה שלבים, כמפורט בתרשים להלן:</w:t>
      </w:r>
    </w:p>
    <w:p w:rsidR="00681586" w:rsidRPr="00681586" w:rsidP="00681586">
      <w:pPr>
        <w:spacing w:line="269" w:lineRule="auto"/>
        <w:ind w:left="-567"/>
        <w:rPr>
          <w:rFonts w:eastAsia="Calibri"/>
          <w:szCs w:val="20"/>
          <w:rtl/>
        </w:rPr>
      </w:pPr>
    </w:p>
    <w:p w:rsidR="00681586" w:rsidRPr="00681586" w:rsidP="00681586">
      <w:pPr>
        <w:spacing w:line="269" w:lineRule="auto"/>
        <w:jc w:val="center"/>
        <w:rPr>
          <w:rFonts w:eastAsia="Calibri"/>
          <w:b/>
          <w:bCs/>
          <w:rtl/>
        </w:rPr>
      </w:pPr>
      <w:r w:rsidRPr="00681586">
        <w:rPr>
          <w:rFonts w:eastAsia="Calibri"/>
          <w:noProof/>
        </w:rPr>
        <mc:AlternateContent>
          <mc:Choice Requires="wpg">
            <w:drawing>
              <wp:anchor distT="0" distB="0" distL="114300" distR="114300" simplePos="0" relativeHeight="251658240" behindDoc="0" locked="0" layoutInCell="1" allowOverlap="1">
                <wp:simplePos x="0" y="0"/>
                <wp:positionH relativeFrom="page">
                  <wp:align>center</wp:align>
                </wp:positionH>
                <wp:positionV relativeFrom="paragraph">
                  <wp:posOffset>276860</wp:posOffset>
                </wp:positionV>
                <wp:extent cx="4438494" cy="3477565"/>
                <wp:effectExtent l="0" t="76200" r="95885" b="104140"/>
                <wp:wrapTopAndBottom/>
                <wp:docPr id="1" name="קבוצה 60" descr="תיאור הליך ההכרה בזכאות לגמלת סיעוד"/>
                <wp:cNvGraphicFramePr/>
                <a:graphic xmlns:a="http://schemas.openxmlformats.org/drawingml/2006/main">
                  <a:graphicData uri="http://schemas.microsoft.com/office/word/2010/wordprocessingGroup">
                    <wpg:wgp xmlns:wpg="http://schemas.microsoft.com/office/word/2010/wordprocessingGroup">
                      <wpg:cNvGrpSpPr/>
                      <wpg:grpSpPr>
                        <a:xfrm>
                          <a:off x="0" y="0"/>
                          <a:ext cx="4438494" cy="3477565"/>
                          <a:chOff x="0" y="0"/>
                          <a:chExt cx="4438494" cy="3477565"/>
                        </a:xfrm>
                      </wpg:grpSpPr>
                      <wps:wsp xmlns:wps="http://schemas.microsoft.com/office/word/2010/wordprocessingShape">
                        <wps:cNvPr id="2" name="חץ: למטה 2"/>
                        <wps:cNvSpPr/>
                        <wps:spPr>
                          <a:xfrm>
                            <a:off x="4254421" y="0"/>
                            <a:ext cx="174302" cy="214683"/>
                          </a:xfrm>
                          <a:prstGeom prst="downArrow">
                            <a:avLst>
                              <a:gd name="adj1" fmla="val 50000"/>
                              <a:gd name="adj2" fmla="val 91013"/>
                            </a:avLst>
                          </a:prstGeom>
                          <a:solidFill>
                            <a:srgbClr val="4D97F6"/>
                          </a:solidFill>
                          <a:ln w="25400">
                            <a:solidFill>
                              <a:sysClr val="windowText" lastClr="000000"/>
                            </a:solidFill>
                            <a:prstDash val="solid"/>
                          </a:ln>
                          <a:effectLst>
                            <a:outerShdw blurRad="63500" dist="0" dir="0" sx="102000" sy="102000" kx="0" ky="0" algn="ctr" rotWithShape="0">
                              <a:prstClr val="black">
                                <a:alpha val="40000"/>
                              </a:prstClr>
                            </a:outerShdw>
                          </a:effectLst>
                        </wps:spPr>
                        <wps:bodyPr rtlCol="1" anchor="ctr"/>
                      </wps:wsp>
                      <wps:wsp xmlns:wps="http://schemas.microsoft.com/office/word/2010/wordprocessingShape">
                        <wps:cNvPr id="3" name="מלבן: פינות מעוגלות 3"/>
                        <wps:cNvSpPr/>
                        <wps:spPr>
                          <a:xfrm>
                            <a:off x="0" y="32469"/>
                            <a:ext cx="3124800" cy="608400"/>
                          </a:xfrm>
                          <a:prstGeom prst="roundRect">
                            <a:avLst/>
                          </a:prstGeom>
                          <a:solidFill>
                            <a:srgbClr val="D4D6D8"/>
                          </a:solidFill>
                          <a:ln w="25400">
                            <a:solidFill>
                              <a:sysClr val="windowText" lastClr="000000"/>
                            </a:solidFill>
                            <a:prstDash val="solid"/>
                          </a:ln>
                          <a:effectLst/>
                        </wps:spPr>
                        <wps:txbx>
                          <w:txbxContent>
                            <w:p w:rsidR="00AC3D62" w:rsidP="00681586">
                              <w:pPr>
                                <w:pStyle w:val="NormalWeb"/>
                                <w:bidi/>
                                <w:spacing w:before="0" w:beforeAutospacing="0" w:after="0" w:afterAutospacing="0"/>
                                <w:ind w:left="619"/>
                              </w:pPr>
                              <w:r w:rsidRPr="00681586">
                                <w:rPr>
                                  <w:rFonts w:ascii="Almoni ML v5 AAA Light" w:hAnsi="Almoni ML v5 AAA Light" w:cs="Almoni ML v5 AAA Light"/>
                                  <w:color w:val="000000"/>
                                  <w:kern w:val="24"/>
                                  <w:sz w:val="20"/>
                                  <w:szCs w:val="20"/>
                                  <w:rtl/>
                                </w:rPr>
                                <w:t>הגשת תביעה לבט"ל וצירוף מסמכים רפואיים ותלושי שכר</w:t>
                              </w:r>
                              <w:r w:rsidRPr="00681586">
                                <w:rPr>
                                  <w:rFonts w:ascii="Almoni ML v5 AAA Light" w:hAnsi="Almoni ML v5 AAA Light" w:cs="Almoni ML v5 AAA Light" w:hint="cs"/>
                                  <w:color w:val="000000"/>
                                  <w:kern w:val="24"/>
                                  <w:sz w:val="20"/>
                                  <w:szCs w:val="20"/>
                                  <w:rtl/>
                                </w:rPr>
                                <w:t>.</w:t>
                              </w:r>
                            </w:p>
                          </w:txbxContent>
                        </wps:txbx>
                        <wps:bodyPr rot="0" spcFirstLastPara="0"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5" name="צורה חופשית: צורה 5"/>
                        <wps:cNvSpPr/>
                        <wps:spPr>
                          <a:xfrm>
                            <a:off x="2706813" y="32469"/>
                            <a:ext cx="1495275" cy="608400"/>
                          </a:xfrm>
                          <a:custGeom>
                            <a:avLst/>
                            <a:gdLst>
                              <a:gd name="connsiteX0" fmla="*/ 0 w 2088134"/>
                              <a:gd name="connsiteY0" fmla="*/ 90490 h 542931"/>
                              <a:gd name="connsiteX1" fmla="*/ 90490 w 2088134"/>
                              <a:gd name="connsiteY1" fmla="*/ 0 h 542931"/>
                              <a:gd name="connsiteX2" fmla="*/ 1997644 w 2088134"/>
                              <a:gd name="connsiteY2" fmla="*/ 0 h 542931"/>
                              <a:gd name="connsiteX3" fmla="*/ 2088134 w 2088134"/>
                              <a:gd name="connsiteY3" fmla="*/ 90490 h 542931"/>
                              <a:gd name="connsiteX4" fmla="*/ 2088134 w 2088134"/>
                              <a:gd name="connsiteY4" fmla="*/ 452441 h 542931"/>
                              <a:gd name="connsiteX5" fmla="*/ 1997644 w 2088134"/>
                              <a:gd name="connsiteY5" fmla="*/ 542931 h 542931"/>
                              <a:gd name="connsiteX6" fmla="*/ 90490 w 2088134"/>
                              <a:gd name="connsiteY6" fmla="*/ 542931 h 542931"/>
                              <a:gd name="connsiteX7" fmla="*/ 0 w 2088134"/>
                              <a:gd name="connsiteY7" fmla="*/ 452441 h 542931"/>
                              <a:gd name="connsiteX8" fmla="*/ 0 w 2088134"/>
                              <a:gd name="connsiteY8" fmla="*/ 90490 h 542931"/>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fill="norm" h="542931" w="2088133" stroke="1">
                                <a:moveTo>
                                  <a:pt x="0" y="90490"/>
                                </a:moveTo>
                                <a:cubicBezTo>
                                  <a:pt x="0" y="40514"/>
                                  <a:pt x="40514" y="0"/>
                                  <a:pt x="90490" y="0"/>
                                </a:cubicBezTo>
                                <a:lnTo>
                                  <a:pt x="1997644" y="0"/>
                                </a:lnTo>
                                <a:cubicBezTo>
                                  <a:pt x="2047620" y="0"/>
                                  <a:pt x="2088134" y="40514"/>
                                  <a:pt x="2088134" y="90490"/>
                                </a:cubicBezTo>
                                <a:lnTo>
                                  <a:pt x="2088134" y="452441"/>
                                </a:lnTo>
                                <a:cubicBezTo>
                                  <a:pt x="2088134" y="502417"/>
                                  <a:pt x="2047620" y="542931"/>
                                  <a:pt x="1997644" y="542931"/>
                                </a:cubicBezTo>
                                <a:lnTo>
                                  <a:pt x="90490" y="542931"/>
                                </a:lnTo>
                                <a:cubicBezTo>
                                  <a:pt x="40514" y="542931"/>
                                  <a:pt x="0" y="502417"/>
                                  <a:pt x="0" y="452441"/>
                                </a:cubicBezTo>
                                <a:lnTo>
                                  <a:pt x="0" y="90490"/>
                                </a:lnTo>
                                <a:close/>
                              </a:path>
                            </a:pathLst>
                          </a:custGeom>
                          <a:solidFill>
                            <a:srgbClr val="7AB1F8"/>
                          </a:solidFill>
                          <a:ln w="38100">
                            <a:solidFill>
                              <a:sysClr val="windowText" lastClr="000000"/>
                            </a:solidFill>
                            <a:prstDash val="solid"/>
                          </a:ln>
                          <a:effectLst>
                            <a:outerShdw blurRad="50800" dist="38100" dir="10800000" sx="100000" sy="100000" kx="0" ky="0" algn="r" rotWithShape="0">
                              <a:prstClr val="black">
                                <a:alpha val="40000"/>
                              </a:prstClr>
                            </a:outerShdw>
                          </a:effectLst>
                        </wps:spPr>
                        <wps:txbx>
                          <w:txbxContent>
                            <w:p w:rsidR="00AC3D62" w:rsidP="00681586">
                              <w:pPr>
                                <w:pStyle w:val="NormalWeb"/>
                                <w:bidi/>
                                <w:spacing w:before="0" w:beforeAutospacing="0" w:after="101" w:afterAutospacing="0" w:line="216" w:lineRule="auto"/>
                                <w:jc w:val="center"/>
                              </w:pPr>
                              <w:r w:rsidRPr="00681586">
                                <w:rPr>
                                  <w:rFonts w:ascii="Almoni ML v5 AAA Light" w:hAnsi="Almoni ML v5 AAA Light" w:cs="Almoni ML v5 AAA Light"/>
                                  <w:b/>
                                  <w:bCs/>
                                  <w:color w:val="000000"/>
                                  <w:kern w:val="24"/>
                                  <w:rtl/>
                                </w:rPr>
                                <w:t>הגשת תביעה</w:t>
                              </w:r>
                            </w:p>
                          </w:txbxContent>
                        </wps:txbx>
                        <wps:bodyPr spcFirstLastPara="0" vert="horz" wrap="square" lIns="83654" tIns="55079" rIns="83654" bIns="55079" numCol="1" spcCol="1270" anchor="ctr" anchorCtr="0"/>
                      </wps:wsp>
                      <wps:wsp xmlns:wps="http://schemas.microsoft.com/office/word/2010/wordprocessingShape">
                        <wps:cNvPr id="8" name="מלבן: פינות מעוגלות 8"/>
                        <wps:cNvSpPr/>
                        <wps:spPr>
                          <a:xfrm>
                            <a:off x="6293" y="721376"/>
                            <a:ext cx="3124800" cy="608400"/>
                          </a:xfrm>
                          <a:prstGeom prst="roundRect">
                            <a:avLst/>
                          </a:prstGeom>
                          <a:solidFill>
                            <a:srgbClr val="D4D6D8"/>
                          </a:solidFill>
                          <a:ln w="25400">
                            <a:solidFill>
                              <a:sysClr val="windowText" lastClr="000000"/>
                            </a:solidFill>
                            <a:prstDash val="solid"/>
                          </a:ln>
                          <a:effectLst/>
                        </wps:spPr>
                        <wps:txbx>
                          <w:txbxContent>
                            <w:p w:rsidR="00AC3D62" w:rsidP="00681586">
                              <w:pPr>
                                <w:pStyle w:val="NormalWeb"/>
                                <w:bidi/>
                                <w:spacing w:before="0" w:beforeAutospacing="0" w:after="0" w:afterAutospacing="0"/>
                                <w:ind w:left="619"/>
                              </w:pPr>
                              <w:r w:rsidRPr="00681586">
                                <w:rPr>
                                  <w:rFonts w:ascii="Almoni ML v5 AAA Light" w:hAnsi="Almoni ML v5 AAA Light" w:cs="Almoni ML v5 AAA Light"/>
                                  <w:color w:val="000000"/>
                                  <w:kern w:val="24"/>
                                  <w:sz w:val="20"/>
                                  <w:szCs w:val="20"/>
                                  <w:rtl/>
                                </w:rPr>
                                <w:t xml:space="preserve">מעריך מטעם בט"ל מנקד את הבקשה, על פי מידת התלות של התובע. </w:t>
                              </w:r>
                            </w:p>
                          </w:txbxContent>
                        </wps:txbx>
                        <wps:bodyPr rot="0" spcFirstLastPara="0"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9" name="צורה חופשית: צורה 9"/>
                        <wps:cNvSpPr/>
                        <wps:spPr>
                          <a:xfrm>
                            <a:off x="2706813" y="721376"/>
                            <a:ext cx="1494052" cy="608400"/>
                          </a:xfrm>
                          <a:custGeom>
                            <a:avLst/>
                            <a:gdLst>
                              <a:gd name="connsiteX0" fmla="*/ 0 w 2088134"/>
                              <a:gd name="connsiteY0" fmla="*/ 90490 h 542931"/>
                              <a:gd name="connsiteX1" fmla="*/ 90490 w 2088134"/>
                              <a:gd name="connsiteY1" fmla="*/ 0 h 542931"/>
                              <a:gd name="connsiteX2" fmla="*/ 1997644 w 2088134"/>
                              <a:gd name="connsiteY2" fmla="*/ 0 h 542931"/>
                              <a:gd name="connsiteX3" fmla="*/ 2088134 w 2088134"/>
                              <a:gd name="connsiteY3" fmla="*/ 90490 h 542931"/>
                              <a:gd name="connsiteX4" fmla="*/ 2088134 w 2088134"/>
                              <a:gd name="connsiteY4" fmla="*/ 452441 h 542931"/>
                              <a:gd name="connsiteX5" fmla="*/ 1997644 w 2088134"/>
                              <a:gd name="connsiteY5" fmla="*/ 542931 h 542931"/>
                              <a:gd name="connsiteX6" fmla="*/ 90490 w 2088134"/>
                              <a:gd name="connsiteY6" fmla="*/ 542931 h 542931"/>
                              <a:gd name="connsiteX7" fmla="*/ 0 w 2088134"/>
                              <a:gd name="connsiteY7" fmla="*/ 452441 h 542931"/>
                              <a:gd name="connsiteX8" fmla="*/ 0 w 2088134"/>
                              <a:gd name="connsiteY8" fmla="*/ 90490 h 542931"/>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fill="norm" h="542931" w="2088133" stroke="1">
                                <a:moveTo>
                                  <a:pt x="0" y="90490"/>
                                </a:moveTo>
                                <a:cubicBezTo>
                                  <a:pt x="0" y="40514"/>
                                  <a:pt x="40514" y="0"/>
                                  <a:pt x="90490" y="0"/>
                                </a:cubicBezTo>
                                <a:lnTo>
                                  <a:pt x="1997644" y="0"/>
                                </a:lnTo>
                                <a:cubicBezTo>
                                  <a:pt x="2047620" y="0"/>
                                  <a:pt x="2088134" y="40514"/>
                                  <a:pt x="2088134" y="90490"/>
                                </a:cubicBezTo>
                                <a:lnTo>
                                  <a:pt x="2088134" y="452441"/>
                                </a:lnTo>
                                <a:cubicBezTo>
                                  <a:pt x="2088134" y="502417"/>
                                  <a:pt x="2047620" y="542931"/>
                                  <a:pt x="1997644" y="542931"/>
                                </a:cubicBezTo>
                                <a:lnTo>
                                  <a:pt x="90490" y="542931"/>
                                </a:lnTo>
                                <a:cubicBezTo>
                                  <a:pt x="40514" y="542931"/>
                                  <a:pt x="0" y="502417"/>
                                  <a:pt x="0" y="452441"/>
                                </a:cubicBezTo>
                                <a:lnTo>
                                  <a:pt x="0" y="90490"/>
                                </a:lnTo>
                                <a:close/>
                              </a:path>
                            </a:pathLst>
                          </a:custGeom>
                          <a:solidFill>
                            <a:srgbClr val="7AB1F8"/>
                          </a:solidFill>
                          <a:ln w="38100">
                            <a:solidFill>
                              <a:sysClr val="windowText" lastClr="000000"/>
                            </a:solidFill>
                            <a:prstDash val="solid"/>
                          </a:ln>
                          <a:effectLst>
                            <a:outerShdw blurRad="50800" dist="38100" dir="10800000" sx="100000" sy="100000" kx="0" ky="0" algn="r" rotWithShape="0">
                              <a:prstClr val="black">
                                <a:alpha val="40000"/>
                              </a:prstClr>
                            </a:outerShdw>
                          </a:effectLst>
                        </wps:spPr>
                        <wps:txbx>
                          <w:txbxContent>
                            <w:p w:rsidR="00AC3D62" w:rsidP="00681586">
                              <w:pPr>
                                <w:pStyle w:val="NormalWeb"/>
                                <w:bidi/>
                                <w:spacing w:before="0" w:beforeAutospacing="0" w:after="101" w:afterAutospacing="0" w:line="216" w:lineRule="auto"/>
                                <w:jc w:val="center"/>
                              </w:pPr>
                              <w:r w:rsidRPr="00681586">
                                <w:rPr>
                                  <w:rFonts w:ascii="Almoni ML v5 AAA Light" w:hAnsi="Almoni ML v5 AAA Light" w:cs="Almoni ML v5 AAA Light"/>
                                  <w:b/>
                                  <w:bCs/>
                                  <w:color w:val="000000"/>
                                  <w:kern w:val="24"/>
                                  <w:rtl/>
                                </w:rPr>
                                <w:t>הערכת תלות</w:t>
                              </w:r>
                            </w:p>
                          </w:txbxContent>
                        </wps:txbx>
                        <wps:bodyPr spcFirstLastPara="0" vert="horz" wrap="square" lIns="83654" tIns="55079" rIns="83654" bIns="55079" numCol="1" spcCol="1270" anchor="ctr" anchorCtr="0"/>
                      </wps:wsp>
                      <wps:wsp xmlns:wps="http://schemas.microsoft.com/office/word/2010/wordprocessingShape">
                        <wps:cNvPr id="11" name="מלבן: פינות מעוגלות 11"/>
                        <wps:cNvSpPr/>
                        <wps:spPr>
                          <a:xfrm>
                            <a:off x="6293" y="1411163"/>
                            <a:ext cx="3124800" cy="608400"/>
                          </a:xfrm>
                          <a:prstGeom prst="roundRect">
                            <a:avLst/>
                          </a:prstGeom>
                          <a:solidFill>
                            <a:srgbClr val="D4D6D8"/>
                          </a:solidFill>
                          <a:ln w="25400">
                            <a:solidFill>
                              <a:sysClr val="windowText" lastClr="000000"/>
                            </a:solidFill>
                            <a:prstDash val="solid"/>
                          </a:ln>
                          <a:effectLst/>
                        </wps:spPr>
                        <wps:txbx>
                          <w:txbxContent>
                            <w:p w:rsidR="00AC3D62" w:rsidP="00681586">
                              <w:pPr>
                                <w:pStyle w:val="NormalWeb"/>
                                <w:bidi/>
                                <w:spacing w:before="0" w:beforeAutospacing="0" w:after="0" w:afterAutospacing="0"/>
                                <w:ind w:left="619"/>
                              </w:pPr>
                              <w:r w:rsidRPr="00681586">
                                <w:rPr>
                                  <w:rFonts w:ascii="Almoni ML v5 AAA Light" w:hAnsi="Almoni ML v5 AAA Light" w:cs="Almoni ML v5 AAA Light"/>
                                  <w:color w:val="000000"/>
                                  <w:kern w:val="24"/>
                                  <w:sz w:val="20"/>
                                  <w:szCs w:val="20"/>
                                  <w:rtl/>
                                </w:rPr>
                                <w:t>בהתאם לניקוד שניתן בהערכת התלות, קובע בט"ל האם יש זכאות לגמלה, ואם כן, מהי רמת הסיעוד המתאימה.</w:t>
                              </w:r>
                            </w:p>
                          </w:txbxContent>
                        </wps:txbx>
                        <wps:bodyPr rot="0" spcFirstLastPara="0"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2" name="צורה חופשית: צורה 12"/>
                        <wps:cNvSpPr/>
                        <wps:spPr>
                          <a:xfrm>
                            <a:off x="2706813" y="1409844"/>
                            <a:ext cx="1494052" cy="608400"/>
                          </a:xfrm>
                          <a:custGeom>
                            <a:avLst/>
                            <a:gdLst>
                              <a:gd name="connsiteX0" fmla="*/ 0 w 2088134"/>
                              <a:gd name="connsiteY0" fmla="*/ 90490 h 542931"/>
                              <a:gd name="connsiteX1" fmla="*/ 90490 w 2088134"/>
                              <a:gd name="connsiteY1" fmla="*/ 0 h 542931"/>
                              <a:gd name="connsiteX2" fmla="*/ 1997644 w 2088134"/>
                              <a:gd name="connsiteY2" fmla="*/ 0 h 542931"/>
                              <a:gd name="connsiteX3" fmla="*/ 2088134 w 2088134"/>
                              <a:gd name="connsiteY3" fmla="*/ 90490 h 542931"/>
                              <a:gd name="connsiteX4" fmla="*/ 2088134 w 2088134"/>
                              <a:gd name="connsiteY4" fmla="*/ 452441 h 542931"/>
                              <a:gd name="connsiteX5" fmla="*/ 1997644 w 2088134"/>
                              <a:gd name="connsiteY5" fmla="*/ 542931 h 542931"/>
                              <a:gd name="connsiteX6" fmla="*/ 90490 w 2088134"/>
                              <a:gd name="connsiteY6" fmla="*/ 542931 h 542931"/>
                              <a:gd name="connsiteX7" fmla="*/ 0 w 2088134"/>
                              <a:gd name="connsiteY7" fmla="*/ 452441 h 542931"/>
                              <a:gd name="connsiteX8" fmla="*/ 0 w 2088134"/>
                              <a:gd name="connsiteY8" fmla="*/ 90490 h 542931"/>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fill="norm" h="542931" w="2088133" stroke="1">
                                <a:moveTo>
                                  <a:pt x="0" y="90490"/>
                                </a:moveTo>
                                <a:cubicBezTo>
                                  <a:pt x="0" y="40514"/>
                                  <a:pt x="40514" y="0"/>
                                  <a:pt x="90490" y="0"/>
                                </a:cubicBezTo>
                                <a:lnTo>
                                  <a:pt x="1997644" y="0"/>
                                </a:lnTo>
                                <a:cubicBezTo>
                                  <a:pt x="2047620" y="0"/>
                                  <a:pt x="2088134" y="40514"/>
                                  <a:pt x="2088134" y="90490"/>
                                </a:cubicBezTo>
                                <a:lnTo>
                                  <a:pt x="2088134" y="452441"/>
                                </a:lnTo>
                                <a:cubicBezTo>
                                  <a:pt x="2088134" y="502417"/>
                                  <a:pt x="2047620" y="542931"/>
                                  <a:pt x="1997644" y="542931"/>
                                </a:cubicBezTo>
                                <a:lnTo>
                                  <a:pt x="90490" y="542931"/>
                                </a:lnTo>
                                <a:cubicBezTo>
                                  <a:pt x="40514" y="542931"/>
                                  <a:pt x="0" y="502417"/>
                                  <a:pt x="0" y="452441"/>
                                </a:cubicBezTo>
                                <a:lnTo>
                                  <a:pt x="0" y="90490"/>
                                </a:lnTo>
                                <a:close/>
                              </a:path>
                            </a:pathLst>
                          </a:custGeom>
                          <a:solidFill>
                            <a:srgbClr val="7AB1F8"/>
                          </a:solidFill>
                          <a:ln w="38100">
                            <a:solidFill>
                              <a:sysClr val="windowText" lastClr="000000"/>
                            </a:solidFill>
                            <a:prstDash val="solid"/>
                          </a:ln>
                          <a:effectLst>
                            <a:outerShdw blurRad="50800" dist="38100" dir="10800000" sx="100000" sy="100000" kx="0" ky="0" algn="r" rotWithShape="0">
                              <a:prstClr val="black">
                                <a:alpha val="40000"/>
                              </a:prstClr>
                            </a:outerShdw>
                          </a:effectLst>
                        </wps:spPr>
                        <wps:txbx>
                          <w:txbxContent>
                            <w:p w:rsidR="00AC3D62" w:rsidP="00681586">
                              <w:pPr>
                                <w:pStyle w:val="NormalWeb"/>
                                <w:bidi/>
                                <w:spacing w:before="0" w:beforeAutospacing="0" w:after="101" w:afterAutospacing="0" w:line="216" w:lineRule="auto"/>
                                <w:jc w:val="center"/>
                              </w:pPr>
                              <w:r w:rsidRPr="00681586">
                                <w:rPr>
                                  <w:rFonts w:ascii="Almoni ML v5 AAA Light" w:hAnsi="Almoni ML v5 AAA Light" w:cs="Almoni ML v5 AAA Light"/>
                                  <w:b/>
                                  <w:bCs/>
                                  <w:color w:val="000000"/>
                                  <w:kern w:val="24"/>
                                  <w:rtl/>
                                </w:rPr>
                                <w:t xml:space="preserve">קביעת רמת הזכאות </w:t>
                              </w:r>
                            </w:p>
                          </w:txbxContent>
                        </wps:txbx>
                        <wps:bodyPr spcFirstLastPara="0" vert="horz" wrap="square" lIns="83654" tIns="55079" rIns="83654" bIns="55079" numCol="1" spcCol="1270" anchor="ctr" anchorCtr="0"/>
                      </wps:wsp>
                      <wps:wsp xmlns:wps="http://schemas.microsoft.com/office/word/2010/wordprocessingShape">
                        <wps:cNvPr id="13" name="מלבן: פינות מעוגלות 13"/>
                        <wps:cNvSpPr/>
                        <wps:spPr>
                          <a:xfrm>
                            <a:off x="5649" y="2099191"/>
                            <a:ext cx="3126087" cy="608400"/>
                          </a:xfrm>
                          <a:prstGeom prst="roundRect">
                            <a:avLst/>
                          </a:prstGeom>
                          <a:solidFill>
                            <a:srgbClr val="D4D6D8"/>
                          </a:solidFill>
                          <a:ln w="25400">
                            <a:solidFill>
                              <a:sysClr val="windowText" lastClr="000000"/>
                            </a:solidFill>
                            <a:prstDash val="solid"/>
                          </a:ln>
                          <a:effectLst/>
                        </wps:spPr>
                        <wps:txbx>
                          <w:txbxContent>
                            <w:p w:rsidR="00AC3D62" w:rsidP="00681586">
                              <w:pPr>
                                <w:pStyle w:val="NormalWeb"/>
                                <w:bidi/>
                                <w:spacing w:before="0" w:beforeAutospacing="0" w:after="0" w:afterAutospacing="0"/>
                                <w:ind w:left="619"/>
                              </w:pPr>
                              <w:r w:rsidRPr="00681586">
                                <w:rPr>
                                  <w:rFonts w:ascii="Almoni ML v5 AAA Light" w:hAnsi="Almoni ML v5 AAA Light" w:cs="Almoni ML v5 AAA Light"/>
                                  <w:color w:val="000000"/>
                                  <w:kern w:val="24"/>
                                  <w:sz w:val="20"/>
                                  <w:szCs w:val="20"/>
                                  <w:rtl/>
                                </w:rPr>
                                <w:t>הזכאי לגמלה בוחר ת</w:t>
                              </w:r>
                              <w:r>
                                <w:rPr>
                                  <w:rFonts w:ascii="Almoni ML v5 AAA Light" w:hAnsi="Almoni ML v5 AAA Light" w:cs="Almoni ML v5 AAA Light" w:hint="cs"/>
                                  <w:color w:val="000000"/>
                                  <w:kern w:val="24"/>
                                  <w:sz w:val="20"/>
                                  <w:szCs w:val="20"/>
                                  <w:rtl/>
                                </w:rPr>
                                <w:t>ו</w:t>
                              </w:r>
                              <w:r w:rsidRPr="00681586">
                                <w:rPr>
                                  <w:rFonts w:ascii="Almoni ML v5 AAA Light" w:hAnsi="Almoni ML v5 AAA Light" w:cs="Almoni ML v5 AAA Light"/>
                                  <w:color w:val="000000"/>
                                  <w:kern w:val="24"/>
                                  <w:sz w:val="20"/>
                                  <w:szCs w:val="20"/>
                                  <w:rtl/>
                                </w:rPr>
                                <w:t>כנית טיפול שיכולה לשלב קצבה כספית ושירותי סיעוד שונים. ככל שרמת הסיעוד גבוהה יותר, סל השירותים רחב יותר.</w:t>
                              </w:r>
                            </w:p>
                          </w:txbxContent>
                        </wps:txbx>
                        <wps:bodyPr rot="0" spcFirstLastPara="0"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4" name="צורה חופשית: צורה 14"/>
                        <wps:cNvSpPr/>
                        <wps:spPr>
                          <a:xfrm>
                            <a:off x="2706813" y="2099191"/>
                            <a:ext cx="1494052" cy="608400"/>
                          </a:xfrm>
                          <a:custGeom>
                            <a:avLst/>
                            <a:gdLst>
                              <a:gd name="connsiteX0" fmla="*/ 0 w 2084057"/>
                              <a:gd name="connsiteY0" fmla="*/ 90490 h 542931"/>
                              <a:gd name="connsiteX1" fmla="*/ 90490 w 2084057"/>
                              <a:gd name="connsiteY1" fmla="*/ 0 h 542931"/>
                              <a:gd name="connsiteX2" fmla="*/ 1993567 w 2084057"/>
                              <a:gd name="connsiteY2" fmla="*/ 0 h 542931"/>
                              <a:gd name="connsiteX3" fmla="*/ 2084057 w 2084057"/>
                              <a:gd name="connsiteY3" fmla="*/ 90490 h 542931"/>
                              <a:gd name="connsiteX4" fmla="*/ 2084057 w 2084057"/>
                              <a:gd name="connsiteY4" fmla="*/ 452441 h 542931"/>
                              <a:gd name="connsiteX5" fmla="*/ 1993567 w 2084057"/>
                              <a:gd name="connsiteY5" fmla="*/ 542931 h 542931"/>
                              <a:gd name="connsiteX6" fmla="*/ 90490 w 2084057"/>
                              <a:gd name="connsiteY6" fmla="*/ 542931 h 542931"/>
                              <a:gd name="connsiteX7" fmla="*/ 0 w 2084057"/>
                              <a:gd name="connsiteY7" fmla="*/ 452441 h 542931"/>
                              <a:gd name="connsiteX8" fmla="*/ 0 w 2084057"/>
                              <a:gd name="connsiteY8" fmla="*/ 90490 h 542931"/>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fill="norm" h="542931" w="2084057" stroke="1">
                                <a:moveTo>
                                  <a:pt x="0" y="90490"/>
                                </a:moveTo>
                                <a:cubicBezTo>
                                  <a:pt x="0" y="40514"/>
                                  <a:pt x="40514" y="0"/>
                                  <a:pt x="90490" y="0"/>
                                </a:cubicBezTo>
                                <a:lnTo>
                                  <a:pt x="1993567" y="0"/>
                                </a:lnTo>
                                <a:cubicBezTo>
                                  <a:pt x="2043543" y="0"/>
                                  <a:pt x="2084057" y="40514"/>
                                  <a:pt x="2084057" y="90490"/>
                                </a:cubicBezTo>
                                <a:lnTo>
                                  <a:pt x="2084057" y="452441"/>
                                </a:lnTo>
                                <a:cubicBezTo>
                                  <a:pt x="2084057" y="502417"/>
                                  <a:pt x="2043543" y="542931"/>
                                  <a:pt x="1993567" y="542931"/>
                                </a:cubicBezTo>
                                <a:lnTo>
                                  <a:pt x="90490" y="542931"/>
                                </a:lnTo>
                                <a:cubicBezTo>
                                  <a:pt x="40514" y="542931"/>
                                  <a:pt x="0" y="502417"/>
                                  <a:pt x="0" y="452441"/>
                                </a:cubicBezTo>
                                <a:lnTo>
                                  <a:pt x="0" y="90490"/>
                                </a:lnTo>
                                <a:close/>
                              </a:path>
                            </a:pathLst>
                          </a:custGeom>
                          <a:solidFill>
                            <a:srgbClr val="7AB1F8"/>
                          </a:solidFill>
                          <a:ln w="38100">
                            <a:solidFill>
                              <a:sysClr val="windowText" lastClr="000000"/>
                            </a:solidFill>
                            <a:prstDash val="solid"/>
                          </a:ln>
                          <a:effectLst>
                            <a:outerShdw blurRad="50800" dist="38100" dir="10800000" sx="100000" sy="100000" kx="0" ky="0" algn="r" rotWithShape="0">
                              <a:prstClr val="black">
                                <a:alpha val="40000"/>
                              </a:prstClr>
                            </a:outerShdw>
                          </a:effectLst>
                        </wps:spPr>
                        <wps:txbx>
                          <w:txbxContent>
                            <w:p w:rsidR="00AC3D62" w:rsidP="00681586">
                              <w:pPr>
                                <w:pStyle w:val="NormalWeb"/>
                                <w:bidi/>
                                <w:spacing w:before="0" w:beforeAutospacing="0" w:after="101" w:afterAutospacing="0" w:line="216" w:lineRule="auto"/>
                                <w:jc w:val="center"/>
                              </w:pPr>
                              <w:r w:rsidRPr="00681586">
                                <w:rPr>
                                  <w:rFonts w:ascii="Almoni ML v5 AAA Light" w:hAnsi="Almoni ML v5 AAA Light" w:cs="Almoni ML v5 AAA Light"/>
                                  <w:b/>
                                  <w:bCs/>
                                  <w:color w:val="000000"/>
                                  <w:kern w:val="24"/>
                                  <w:rtl/>
                                </w:rPr>
                                <w:t>בחירת סל שירותים</w:t>
                              </w:r>
                            </w:p>
                          </w:txbxContent>
                        </wps:txbx>
                        <wps:bodyPr spcFirstLastPara="0" vert="horz" wrap="square" lIns="83654" tIns="55079" rIns="83654" bIns="55079" numCol="1" spcCol="1270" anchor="ctr" anchorCtr="0"/>
                      </wps:wsp>
                      <wps:wsp xmlns:wps="http://schemas.microsoft.com/office/word/2010/wordprocessingShape">
                        <wps:cNvPr id="15" name="מלבן: פינות מעוגלות 15"/>
                        <wps:cNvSpPr/>
                        <wps:spPr>
                          <a:xfrm>
                            <a:off x="5022" y="2787219"/>
                            <a:ext cx="3124800" cy="609514"/>
                          </a:xfrm>
                          <a:prstGeom prst="roundRect">
                            <a:avLst/>
                          </a:prstGeom>
                          <a:solidFill>
                            <a:srgbClr val="D4D6D8"/>
                          </a:solidFill>
                          <a:ln w="25400">
                            <a:solidFill>
                              <a:sysClr val="windowText" lastClr="000000"/>
                            </a:solidFill>
                            <a:prstDash val="solid"/>
                          </a:ln>
                          <a:effectLst/>
                        </wps:spPr>
                        <wps:txbx>
                          <w:txbxContent>
                            <w:p w:rsidR="00AC3D62" w:rsidP="00681586">
                              <w:pPr>
                                <w:pStyle w:val="NormalWeb"/>
                                <w:bidi/>
                                <w:spacing w:before="0" w:beforeAutospacing="0" w:after="0" w:afterAutospacing="0"/>
                                <w:ind w:left="619" w:hanging="720"/>
                              </w:pPr>
                              <w:r w:rsidRPr="00681586">
                                <w:rPr>
                                  <w:rFonts w:ascii="Almoni ML v5 AAA Light" w:hAnsi="Almoni ML v5 AAA Light" w:cs="Almoni ML v5 AAA Light"/>
                                  <w:color w:val="000000"/>
                                  <w:kern w:val="24"/>
                                  <w:sz w:val="20"/>
                                  <w:szCs w:val="20"/>
                                  <w:rtl/>
                                </w:rPr>
                                <w:tab/>
                                <w:t>אם מצבו הרפואי של הזכאי לגמלה הוחמר הוא יכול לשלוח אישורים רפואיים עדכניים ולעבור הערכת תלות נוספת שתקבע אם יש מקום להעלות את רמת הסיעוד.</w:t>
                              </w:r>
                            </w:p>
                          </w:txbxContent>
                        </wps:txbx>
                        <wps:bodyPr rot="0" spcFirstLastPara="0"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6" name="צורה חופשית: צורה 16"/>
                        <wps:cNvSpPr/>
                        <wps:spPr>
                          <a:xfrm>
                            <a:off x="2706813" y="2787219"/>
                            <a:ext cx="1494052" cy="608400"/>
                          </a:xfrm>
                          <a:custGeom>
                            <a:avLst/>
                            <a:gdLst>
                              <a:gd name="connsiteX0" fmla="*/ 0 w 2086094"/>
                              <a:gd name="connsiteY0" fmla="*/ 90490 h 542931"/>
                              <a:gd name="connsiteX1" fmla="*/ 90490 w 2086094"/>
                              <a:gd name="connsiteY1" fmla="*/ 0 h 542931"/>
                              <a:gd name="connsiteX2" fmla="*/ 1995604 w 2086094"/>
                              <a:gd name="connsiteY2" fmla="*/ 0 h 542931"/>
                              <a:gd name="connsiteX3" fmla="*/ 2086094 w 2086094"/>
                              <a:gd name="connsiteY3" fmla="*/ 90490 h 542931"/>
                              <a:gd name="connsiteX4" fmla="*/ 2086094 w 2086094"/>
                              <a:gd name="connsiteY4" fmla="*/ 452441 h 542931"/>
                              <a:gd name="connsiteX5" fmla="*/ 1995604 w 2086094"/>
                              <a:gd name="connsiteY5" fmla="*/ 542931 h 542931"/>
                              <a:gd name="connsiteX6" fmla="*/ 90490 w 2086094"/>
                              <a:gd name="connsiteY6" fmla="*/ 542931 h 542931"/>
                              <a:gd name="connsiteX7" fmla="*/ 0 w 2086094"/>
                              <a:gd name="connsiteY7" fmla="*/ 452441 h 542931"/>
                              <a:gd name="connsiteX8" fmla="*/ 0 w 2086094"/>
                              <a:gd name="connsiteY8" fmla="*/ 90490 h 542931"/>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fill="norm" h="542931" w="2086093" stroke="1">
                                <a:moveTo>
                                  <a:pt x="0" y="90490"/>
                                </a:moveTo>
                                <a:cubicBezTo>
                                  <a:pt x="0" y="40514"/>
                                  <a:pt x="40514" y="0"/>
                                  <a:pt x="90490" y="0"/>
                                </a:cubicBezTo>
                                <a:lnTo>
                                  <a:pt x="1995604" y="0"/>
                                </a:lnTo>
                                <a:cubicBezTo>
                                  <a:pt x="2045580" y="0"/>
                                  <a:pt x="2086094" y="40514"/>
                                  <a:pt x="2086094" y="90490"/>
                                </a:cubicBezTo>
                                <a:lnTo>
                                  <a:pt x="2086094" y="452441"/>
                                </a:lnTo>
                                <a:cubicBezTo>
                                  <a:pt x="2086094" y="502417"/>
                                  <a:pt x="2045580" y="542931"/>
                                  <a:pt x="1995604" y="542931"/>
                                </a:cubicBezTo>
                                <a:lnTo>
                                  <a:pt x="90490" y="542931"/>
                                </a:lnTo>
                                <a:cubicBezTo>
                                  <a:pt x="40514" y="542931"/>
                                  <a:pt x="0" y="502417"/>
                                  <a:pt x="0" y="452441"/>
                                </a:cubicBezTo>
                                <a:lnTo>
                                  <a:pt x="0" y="90490"/>
                                </a:lnTo>
                                <a:close/>
                              </a:path>
                            </a:pathLst>
                          </a:custGeom>
                          <a:solidFill>
                            <a:srgbClr val="7AB1F8"/>
                          </a:solidFill>
                          <a:ln w="38100">
                            <a:solidFill>
                              <a:sysClr val="windowText" lastClr="000000"/>
                            </a:solidFill>
                            <a:prstDash val="solid"/>
                          </a:ln>
                          <a:effectLst>
                            <a:outerShdw blurRad="50800" dist="38100" dir="10800000" sx="100000" sy="100000" kx="0" ky="0" algn="r" rotWithShape="0">
                              <a:prstClr val="black">
                                <a:alpha val="40000"/>
                              </a:prstClr>
                            </a:outerShdw>
                          </a:effectLst>
                        </wps:spPr>
                        <wps:txbx>
                          <w:txbxContent>
                            <w:p w:rsidR="00AC3D62" w:rsidP="00681586">
                              <w:pPr>
                                <w:pStyle w:val="NormalWeb"/>
                                <w:bidi/>
                                <w:spacing w:before="0" w:beforeAutospacing="0" w:after="101" w:afterAutospacing="0" w:line="216" w:lineRule="auto"/>
                                <w:jc w:val="center"/>
                              </w:pPr>
                              <w:r w:rsidRPr="00681586">
                                <w:rPr>
                                  <w:rFonts w:ascii="Almoni ML v5 AAA Light" w:hAnsi="Almoni ML v5 AAA Light" w:cs="Almoni ML v5 AAA Light"/>
                                  <w:b/>
                                  <w:bCs/>
                                  <w:color w:val="000000"/>
                                  <w:kern w:val="24"/>
                                  <w:rtl/>
                                </w:rPr>
                                <w:t>הגשת תביעה להחמרת מצב</w:t>
                              </w:r>
                            </w:p>
                          </w:txbxContent>
                        </wps:txbx>
                        <wps:bodyPr spcFirstLastPara="0" vert="horz" wrap="square" lIns="83654" tIns="55079" rIns="83654" bIns="55079" numCol="1" spcCol="1270" anchor="ctr" anchorCtr="0"/>
                      </wps:wsp>
                      <wps:wsp xmlns:wps="http://schemas.microsoft.com/office/word/2010/wordprocessingShape">
                        <wps:cNvPr id="17" name="אליפסה 17"/>
                        <wps:cNvSpPr/>
                        <wps:spPr>
                          <a:xfrm>
                            <a:off x="4258494" y="245133"/>
                            <a:ext cx="180000" cy="180000"/>
                          </a:xfrm>
                          <a:prstGeom prst="ellipse">
                            <a:avLst/>
                          </a:prstGeom>
                          <a:solidFill>
                            <a:srgbClr val="4D97F6"/>
                          </a:solidFill>
                          <a:ln w="12700">
                            <a:solidFill>
                              <a:sysClr val="windowText" lastClr="000000"/>
                            </a:solidFill>
                            <a:prstDash val="solid"/>
                          </a:ln>
                          <a:effectLst>
                            <a:outerShdw blurRad="63500" dist="0" dir="0" sx="102000" sy="102000" kx="0" ky="0" algn="ctr" rotWithShape="0">
                              <a:prstClr val="black">
                                <a:alpha val="40000"/>
                              </a:prstClr>
                            </a:outerShdw>
                          </a:effectLst>
                        </wps:spPr>
                        <wps:bodyPr rtlCol="1" anchor="ctr"/>
                      </wps:wsp>
                      <wps:wsp xmlns:wps="http://schemas.microsoft.com/office/word/2010/wordprocessingShape">
                        <wps:cNvPr id="18" name="אליפסה 18"/>
                        <wps:cNvSpPr/>
                        <wps:spPr>
                          <a:xfrm>
                            <a:off x="4248492" y="934835"/>
                            <a:ext cx="180000" cy="180000"/>
                          </a:xfrm>
                          <a:prstGeom prst="ellipse">
                            <a:avLst/>
                          </a:prstGeom>
                          <a:solidFill>
                            <a:srgbClr val="4D97F6"/>
                          </a:solidFill>
                          <a:ln w="12700">
                            <a:solidFill>
                              <a:sysClr val="windowText" lastClr="000000"/>
                            </a:solidFill>
                            <a:prstDash val="solid"/>
                          </a:ln>
                          <a:effectLst>
                            <a:outerShdw blurRad="63500" dist="0" dir="0" sx="102000" sy="102000" kx="0" ky="0" algn="ctr" rotWithShape="0">
                              <a:prstClr val="black">
                                <a:alpha val="40000"/>
                              </a:prstClr>
                            </a:outerShdw>
                          </a:effectLst>
                        </wps:spPr>
                        <wps:bodyPr rtlCol="1" anchor="ctr"/>
                      </wps:wsp>
                      <wps:wsp xmlns:wps="http://schemas.microsoft.com/office/word/2010/wordprocessingShape">
                        <wps:cNvPr id="20" name="אליפסה 20"/>
                        <wps:cNvSpPr/>
                        <wps:spPr>
                          <a:xfrm>
                            <a:off x="4253214" y="1621042"/>
                            <a:ext cx="180000" cy="180000"/>
                          </a:xfrm>
                          <a:prstGeom prst="ellipse">
                            <a:avLst/>
                          </a:prstGeom>
                          <a:solidFill>
                            <a:srgbClr val="4D97F6"/>
                          </a:solidFill>
                          <a:ln w="12700">
                            <a:solidFill>
                              <a:sysClr val="windowText" lastClr="000000"/>
                            </a:solidFill>
                            <a:prstDash val="solid"/>
                          </a:ln>
                          <a:effectLst>
                            <a:outerShdw blurRad="63500" dist="0" dir="0" sx="102000" sy="102000" kx="0" ky="0" algn="ctr" rotWithShape="0">
                              <a:prstClr val="black">
                                <a:alpha val="40000"/>
                              </a:prstClr>
                            </a:outerShdw>
                          </a:effectLst>
                        </wps:spPr>
                        <wps:bodyPr rtlCol="1" anchor="ctr"/>
                      </wps:wsp>
                      <wps:wsp xmlns:wps="http://schemas.microsoft.com/office/word/2010/wordprocessingShape">
                        <wps:cNvPr id="23" name="אליפסה 23"/>
                        <wps:cNvSpPr/>
                        <wps:spPr>
                          <a:xfrm>
                            <a:off x="4258494" y="2307249"/>
                            <a:ext cx="180000" cy="180000"/>
                          </a:xfrm>
                          <a:prstGeom prst="ellipse">
                            <a:avLst/>
                          </a:prstGeom>
                          <a:solidFill>
                            <a:srgbClr val="4D97F6"/>
                          </a:solidFill>
                          <a:ln w="12700">
                            <a:solidFill>
                              <a:sysClr val="windowText" lastClr="000000"/>
                            </a:solidFill>
                            <a:prstDash val="solid"/>
                          </a:ln>
                          <a:effectLst>
                            <a:outerShdw blurRad="63500" dist="0" dir="0" sx="102000" sy="102000" kx="0" ky="0" algn="ctr" rotWithShape="0">
                              <a:prstClr val="black">
                                <a:alpha val="40000"/>
                              </a:prstClr>
                            </a:outerShdw>
                          </a:effectLst>
                        </wps:spPr>
                        <wps:bodyPr rtlCol="1" anchor="ctr"/>
                      </wps:wsp>
                      <wps:wsp xmlns:wps="http://schemas.microsoft.com/office/word/2010/wordprocessingShape">
                        <wps:cNvPr id="24" name="אליפסה 24"/>
                        <wps:cNvSpPr/>
                        <wps:spPr>
                          <a:xfrm>
                            <a:off x="4255414" y="3007014"/>
                            <a:ext cx="180000" cy="180000"/>
                          </a:xfrm>
                          <a:prstGeom prst="ellipse">
                            <a:avLst/>
                          </a:prstGeom>
                          <a:solidFill>
                            <a:srgbClr val="4D97F6"/>
                          </a:solidFill>
                          <a:ln w="12700">
                            <a:solidFill>
                              <a:sysClr val="windowText" lastClr="000000"/>
                            </a:solidFill>
                            <a:prstDash val="solid"/>
                          </a:ln>
                          <a:effectLst>
                            <a:outerShdw blurRad="63500" dist="0" dir="0" sx="102000" sy="102000" kx="0" ky="0" algn="ctr" rotWithShape="0">
                              <a:prstClr val="black">
                                <a:alpha val="40000"/>
                              </a:prstClr>
                            </a:outerShdw>
                          </a:effectLst>
                        </wps:spPr>
                        <wps:bodyPr rtlCol="1" anchor="ctr"/>
                      </wps:wsp>
                      <wps:wsp xmlns:wps="http://schemas.microsoft.com/office/word/2010/wordprocessingShape">
                        <wps:cNvPr id="25" name="חץ: למטה 25"/>
                        <wps:cNvSpPr/>
                        <wps:spPr>
                          <a:xfrm>
                            <a:off x="4260913" y="455213"/>
                            <a:ext cx="166156" cy="455559"/>
                          </a:xfrm>
                          <a:prstGeom prst="downArrow">
                            <a:avLst>
                              <a:gd name="adj1" fmla="val 50000"/>
                              <a:gd name="adj2" fmla="val 91013"/>
                            </a:avLst>
                          </a:prstGeom>
                          <a:solidFill>
                            <a:srgbClr val="4D97F6"/>
                          </a:solidFill>
                          <a:ln w="25400">
                            <a:solidFill>
                              <a:sysClr val="windowText" lastClr="000000"/>
                            </a:solidFill>
                            <a:prstDash val="solid"/>
                          </a:ln>
                          <a:effectLst>
                            <a:outerShdw blurRad="63500" dist="0" dir="0" sx="102000" sy="102000" kx="0" ky="0" algn="ctr" rotWithShape="0">
                              <a:prstClr val="black">
                                <a:alpha val="40000"/>
                              </a:prstClr>
                            </a:outerShdw>
                          </a:effectLst>
                        </wps:spPr>
                        <wps:bodyPr rtlCol="1" anchor="ctr"/>
                      </wps:wsp>
                      <wps:wsp xmlns:wps="http://schemas.microsoft.com/office/word/2010/wordprocessingShape">
                        <wps:cNvPr id="26" name="חץ: למטה 26"/>
                        <wps:cNvSpPr/>
                        <wps:spPr>
                          <a:xfrm>
                            <a:off x="4255414" y="1141906"/>
                            <a:ext cx="166156" cy="455559"/>
                          </a:xfrm>
                          <a:prstGeom prst="downArrow">
                            <a:avLst>
                              <a:gd name="adj1" fmla="val 50000"/>
                              <a:gd name="adj2" fmla="val 91013"/>
                            </a:avLst>
                          </a:prstGeom>
                          <a:solidFill>
                            <a:srgbClr val="4D97F6"/>
                          </a:solidFill>
                          <a:ln w="25400">
                            <a:solidFill>
                              <a:sysClr val="windowText" lastClr="000000"/>
                            </a:solidFill>
                            <a:prstDash val="solid"/>
                          </a:ln>
                          <a:effectLst>
                            <a:outerShdw blurRad="63500" dist="0" dir="0" sx="102000" sy="102000" kx="0" ky="0" algn="ctr" rotWithShape="0">
                              <a:prstClr val="black">
                                <a:alpha val="40000"/>
                              </a:prstClr>
                            </a:outerShdw>
                          </a:effectLst>
                        </wps:spPr>
                        <wps:bodyPr rtlCol="1" anchor="ctr"/>
                      </wps:wsp>
                      <wps:wsp xmlns:wps="http://schemas.microsoft.com/office/word/2010/wordprocessingShape">
                        <wps:cNvPr id="27" name="חץ: למטה 27"/>
                        <wps:cNvSpPr/>
                        <wps:spPr>
                          <a:xfrm>
                            <a:off x="4259848" y="1828923"/>
                            <a:ext cx="166156" cy="455559"/>
                          </a:xfrm>
                          <a:prstGeom prst="downArrow">
                            <a:avLst>
                              <a:gd name="adj1" fmla="val 50000"/>
                              <a:gd name="adj2" fmla="val 91013"/>
                            </a:avLst>
                          </a:prstGeom>
                          <a:solidFill>
                            <a:srgbClr val="4D97F6"/>
                          </a:solidFill>
                          <a:ln w="25400">
                            <a:solidFill>
                              <a:sysClr val="windowText" lastClr="000000"/>
                            </a:solidFill>
                            <a:prstDash val="solid"/>
                          </a:ln>
                          <a:effectLst>
                            <a:outerShdw blurRad="63500" dist="0" dir="0" sx="102000" sy="102000" kx="0" ky="0" algn="ctr" rotWithShape="0">
                              <a:prstClr val="black">
                                <a:alpha val="40000"/>
                              </a:prstClr>
                            </a:outerShdw>
                          </a:effectLst>
                        </wps:spPr>
                        <wps:bodyPr rtlCol="1" anchor="ctr"/>
                      </wps:wsp>
                      <wps:wsp xmlns:wps="http://schemas.microsoft.com/office/word/2010/wordprocessingShape">
                        <wps:cNvPr id="29" name="חץ: למטה 29"/>
                        <wps:cNvSpPr/>
                        <wps:spPr>
                          <a:xfrm>
                            <a:off x="4262336" y="2519352"/>
                            <a:ext cx="166156" cy="455559"/>
                          </a:xfrm>
                          <a:prstGeom prst="downArrow">
                            <a:avLst>
                              <a:gd name="adj1" fmla="val 50000"/>
                              <a:gd name="adj2" fmla="val 91013"/>
                            </a:avLst>
                          </a:prstGeom>
                          <a:solidFill>
                            <a:srgbClr val="4D97F6"/>
                          </a:solidFill>
                          <a:ln w="25400">
                            <a:solidFill>
                              <a:sysClr val="windowText" lastClr="000000"/>
                            </a:solidFill>
                            <a:prstDash val="solid"/>
                          </a:ln>
                          <a:effectLst>
                            <a:outerShdw blurRad="63500" dist="0" dir="0" sx="102000" sy="102000" kx="0" ky="0" algn="ctr" rotWithShape="0">
                              <a:prstClr val="black">
                                <a:alpha val="40000"/>
                              </a:prstClr>
                            </a:outerShdw>
                          </a:effectLst>
                        </wps:spPr>
                        <wps:bodyPr rtlCol="1" anchor="ctr"/>
                      </wps:wsp>
                      <wps:wsp xmlns:wps="http://schemas.microsoft.com/office/word/2010/wordprocessingShape">
                        <wps:cNvPr id="30" name="חץ: למטה 30"/>
                        <wps:cNvSpPr/>
                        <wps:spPr>
                          <a:xfrm>
                            <a:off x="4266294" y="3219786"/>
                            <a:ext cx="166156" cy="257779"/>
                          </a:xfrm>
                          <a:prstGeom prst="downArrow">
                            <a:avLst>
                              <a:gd name="adj1" fmla="val 50000"/>
                              <a:gd name="adj2" fmla="val 91013"/>
                            </a:avLst>
                          </a:prstGeom>
                          <a:solidFill>
                            <a:srgbClr val="4D97F6"/>
                          </a:solidFill>
                          <a:ln w="25400">
                            <a:solidFill>
                              <a:sysClr val="windowText" lastClr="000000"/>
                            </a:solidFill>
                            <a:prstDash val="solid"/>
                          </a:ln>
                          <a:effectLst>
                            <a:outerShdw blurRad="63500" dist="0" dir="0" sx="102000" sy="102000" kx="0" ky="0" algn="ctr" rotWithShape="0">
                              <a:prstClr val="black">
                                <a:alpha val="40000"/>
                              </a:prstClr>
                            </a:outerShdw>
                          </a:effectLst>
                        </wps:spPr>
                        <wps:bodyPr rtlCol="1" anchor="ctr"/>
                      </wps:wsp>
                    </wpg:wgp>
                  </a:graphicData>
                </a:graphic>
              </wp:anchor>
            </w:drawing>
          </mc:Choice>
          <mc:Fallback>
            <w:pict>
              <v:group id="קבוצה 60" o:spid="_x0000_s1025" alt="תיאור הליך ההכרה בזכאות לגמלת סיעוד" style="width:349.5pt;height:273.8pt;margin-top:21.8pt;margin-left:0;mso-position-horizontal:center;mso-position-horizontal-relative:page;position:absolute;z-index:251659264" coordsize="44384,34775">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2" o:spid="_x0000_s1026" type="#_x0000_t67" style="width:1743;height:2146;left:42544;mso-wrap-style:square;position:absolute;visibility:visible;v-text-anchor:middle" adj="5639" fillcolor="#4d97f6" strokecolor="black" strokeweight="2pt">
                  <v:shadow on="t" type="perspective" color="black" opacity="26214f" offset="0,0" matrix="66847f,,,66847f"/>
                </v:shape>
                <v:roundrect id="מלבן: פינות מעוגלות 3" o:spid="_x0000_s1027" style="width:31248;height:6084;mso-wrap-style:square;position:absolute;top:324;visibility:visible;v-text-anchor:middle" arcsize="10923f" fillcolor="#d4d6d8" strokecolor="black" strokeweight="2pt">
                  <v:textbox>
                    <w:txbxContent>
                      <w:p w:rsidR="00AC3D62" w:rsidP="00681586">
                        <w:pPr>
                          <w:pStyle w:val="NormalWeb"/>
                          <w:bidi/>
                          <w:spacing w:before="0" w:beforeAutospacing="0" w:after="0" w:afterAutospacing="0"/>
                          <w:ind w:left="619"/>
                        </w:pPr>
                        <w:r w:rsidRPr="00681586">
                          <w:rPr>
                            <w:rFonts w:ascii="Almoni ML v5 AAA Light" w:hAnsi="Almoni ML v5 AAA Light" w:cs="Almoni ML v5 AAA Light"/>
                            <w:color w:val="000000"/>
                            <w:kern w:val="24"/>
                            <w:sz w:val="20"/>
                            <w:szCs w:val="20"/>
                            <w:rtl/>
                          </w:rPr>
                          <w:t>הגשת תביעה לבט"ל וצירוף מסמכים רפואיים ותלושי שכר</w:t>
                        </w:r>
                        <w:r w:rsidRPr="00681586">
                          <w:rPr>
                            <w:rFonts w:ascii="Almoni ML v5 AAA Light" w:hAnsi="Almoni ML v5 AAA Light" w:cs="Almoni ML v5 AAA Light" w:hint="cs"/>
                            <w:color w:val="000000"/>
                            <w:kern w:val="24"/>
                            <w:sz w:val="20"/>
                            <w:szCs w:val="20"/>
                            <w:rtl/>
                          </w:rPr>
                          <w:t>.</w:t>
                        </w:r>
                      </w:p>
                    </w:txbxContent>
                  </v:textbox>
                </v:roundrect>
                <v:shape id="צורה חופשית: צורה 5" o:spid="_x0000_s1028" style="width:14952;height:6084;left:27068;mso-wrap-style:square;position:absolute;top:324;visibility:visible;v-text-anchor:middle" coordsize="2088133,542931" o:spt="100" adj="-11796480,,5400" path="m,90490c,40514,40514,,90490,l1997644,c2047620,,2088134,40514,2088134,90490l2088134,452441c2088134,502417,2047620,542931,1997644,542931l90490,542931c40514,542931,,502417,,452441l,90490xe" fillcolor="#7ab1f8" strokecolor="black" strokeweight="3pt">
                  <v:stroke joinstyle="miter"/>
                  <v:shadow on="t" color="black" opacity="26214f" origin="0.5" offset="-3pt,0"/>
                  <v:formulas/>
                  <v:path arrowok="t" o:connecttype="custom" o:connectlocs="0,101402;64798,0;1430477,0;1495275,101402;1495275,506998;1430477,608400;64798,608400;0,506998;0,101402" o:connectangles="0,0,0,0,0,0,0,0,0" textboxrect="0,0,2088133,542931"/>
                  <v:textbox inset="6.59pt,4.34pt,6.59pt,4.34pt">
                    <w:txbxContent>
                      <w:p w:rsidR="00AC3D62" w:rsidP="00681586">
                        <w:pPr>
                          <w:pStyle w:val="NormalWeb"/>
                          <w:bidi/>
                          <w:spacing w:before="0" w:beforeAutospacing="0" w:after="101" w:afterAutospacing="0" w:line="216" w:lineRule="auto"/>
                          <w:jc w:val="center"/>
                        </w:pPr>
                        <w:r w:rsidRPr="00681586">
                          <w:rPr>
                            <w:rFonts w:ascii="Almoni ML v5 AAA Light" w:hAnsi="Almoni ML v5 AAA Light" w:cs="Almoni ML v5 AAA Light"/>
                            <w:b/>
                            <w:bCs/>
                            <w:color w:val="000000"/>
                            <w:kern w:val="24"/>
                            <w:rtl/>
                          </w:rPr>
                          <w:t>הגשת תביעה</w:t>
                        </w:r>
                      </w:p>
                    </w:txbxContent>
                  </v:textbox>
                </v:shape>
                <v:roundrect id="מלבן: פינות מעוגלות 8" o:spid="_x0000_s1029" style="width:31248;height:6084;left:62;mso-wrap-style:square;position:absolute;top:7213;visibility:visible;v-text-anchor:middle" arcsize="10923f" fillcolor="#d4d6d8" strokecolor="black" strokeweight="2pt">
                  <v:textbox>
                    <w:txbxContent>
                      <w:p w:rsidR="00AC3D62" w:rsidP="00681586">
                        <w:pPr>
                          <w:pStyle w:val="NormalWeb"/>
                          <w:bidi/>
                          <w:spacing w:before="0" w:beforeAutospacing="0" w:after="0" w:afterAutospacing="0"/>
                          <w:ind w:left="619"/>
                        </w:pPr>
                        <w:r w:rsidRPr="00681586">
                          <w:rPr>
                            <w:rFonts w:ascii="Almoni ML v5 AAA Light" w:hAnsi="Almoni ML v5 AAA Light" w:cs="Almoni ML v5 AAA Light"/>
                            <w:color w:val="000000"/>
                            <w:kern w:val="24"/>
                            <w:sz w:val="20"/>
                            <w:szCs w:val="20"/>
                            <w:rtl/>
                          </w:rPr>
                          <w:t xml:space="preserve">מעריך מטעם בט"ל מנקד את הבקשה, על פי מידת התלות של התובע. </w:t>
                        </w:r>
                      </w:p>
                    </w:txbxContent>
                  </v:textbox>
                </v:roundrect>
                <v:shape id="צורה חופשית: צורה 9" o:spid="_x0000_s1030" style="width:14940;height:6084;left:27068;mso-wrap-style:square;position:absolute;top:7213;visibility:visible;v-text-anchor:middle" coordsize="2088133,542931" o:spt="100" adj="-11796480,,5400" path="m,90490c,40514,40514,,90490,l1997644,c2047620,,2088134,40514,2088134,90490l2088134,452441c2088134,502417,2047620,542931,1997644,542931l90490,542931c40514,542931,,502417,,452441l,90490xe" fillcolor="#7ab1f8" strokecolor="black" strokeweight="3pt">
                  <v:stroke joinstyle="miter"/>
                  <v:shadow on="t" color="black" opacity="26214f" origin="0.5" offset="-3pt,0"/>
                  <v:formulas/>
                  <v:path arrowok="t" o:connecttype="custom" o:connectlocs="0,101402;64745,0;1429307,0;1494052,101402;1494052,506998;1429307,608400;64745,608400;0,506998;0,101402" o:connectangles="0,0,0,0,0,0,0,0,0" textboxrect="0,0,2088133,542931"/>
                  <v:textbox inset="6.59pt,4.34pt,6.59pt,4.34pt">
                    <w:txbxContent>
                      <w:p w:rsidR="00AC3D62" w:rsidP="00681586">
                        <w:pPr>
                          <w:pStyle w:val="NormalWeb"/>
                          <w:bidi/>
                          <w:spacing w:before="0" w:beforeAutospacing="0" w:after="101" w:afterAutospacing="0" w:line="216" w:lineRule="auto"/>
                          <w:jc w:val="center"/>
                        </w:pPr>
                        <w:r w:rsidRPr="00681586">
                          <w:rPr>
                            <w:rFonts w:ascii="Almoni ML v5 AAA Light" w:hAnsi="Almoni ML v5 AAA Light" w:cs="Almoni ML v5 AAA Light"/>
                            <w:b/>
                            <w:bCs/>
                            <w:color w:val="000000"/>
                            <w:kern w:val="24"/>
                            <w:rtl/>
                          </w:rPr>
                          <w:t>הערכת תלות</w:t>
                        </w:r>
                      </w:p>
                    </w:txbxContent>
                  </v:textbox>
                </v:shape>
                <v:roundrect id="מלבן: פינות מעוגלות 11" o:spid="_x0000_s1031" style="width:31248;height:6084;left:62;mso-wrap-style:square;position:absolute;top:14111;visibility:visible;v-text-anchor:middle" arcsize="10923f" fillcolor="#d4d6d8" strokecolor="black" strokeweight="2pt">
                  <v:textbox>
                    <w:txbxContent>
                      <w:p w:rsidR="00AC3D62" w:rsidP="00681586">
                        <w:pPr>
                          <w:pStyle w:val="NormalWeb"/>
                          <w:bidi/>
                          <w:spacing w:before="0" w:beforeAutospacing="0" w:after="0" w:afterAutospacing="0"/>
                          <w:ind w:left="619"/>
                        </w:pPr>
                        <w:r w:rsidRPr="00681586">
                          <w:rPr>
                            <w:rFonts w:ascii="Almoni ML v5 AAA Light" w:hAnsi="Almoni ML v5 AAA Light" w:cs="Almoni ML v5 AAA Light"/>
                            <w:color w:val="000000"/>
                            <w:kern w:val="24"/>
                            <w:sz w:val="20"/>
                            <w:szCs w:val="20"/>
                            <w:rtl/>
                          </w:rPr>
                          <w:t>בהתאם לניקוד שניתן בהערכת התלות, קובע בט"ל האם יש זכאות לגמלה, ואם כן, מהי רמת הסיעוד המתאימה.</w:t>
                        </w:r>
                      </w:p>
                    </w:txbxContent>
                  </v:textbox>
                </v:roundrect>
                <v:shape id="צורה חופשית: צורה 12" o:spid="_x0000_s1032" style="width:14940;height:6084;left:27068;mso-wrap-style:square;position:absolute;top:14098;visibility:visible;v-text-anchor:middle" coordsize="2088133,542931" o:spt="100" adj="-11796480,,5400" path="m,90490c,40514,40514,,90490,l1997644,c2047620,,2088134,40514,2088134,90490l2088134,452441c2088134,502417,2047620,542931,1997644,542931l90490,542931c40514,542931,,502417,,452441l,90490xe" fillcolor="#7ab1f8" strokecolor="black" strokeweight="3pt">
                  <v:stroke joinstyle="miter"/>
                  <v:shadow on="t" color="black" opacity="26214f" origin="0.5" offset="-3pt,0"/>
                  <v:formulas/>
                  <v:path arrowok="t" o:connecttype="custom" o:connectlocs="0,101402;64745,0;1429307,0;1494052,101402;1494052,506998;1429307,608400;64745,608400;0,506998;0,101402" o:connectangles="0,0,0,0,0,0,0,0,0" textboxrect="0,0,2088133,542931"/>
                  <v:textbox inset="6.59pt,4.34pt,6.59pt,4.34pt">
                    <w:txbxContent>
                      <w:p w:rsidR="00AC3D62" w:rsidP="00681586">
                        <w:pPr>
                          <w:pStyle w:val="NormalWeb"/>
                          <w:bidi/>
                          <w:spacing w:before="0" w:beforeAutospacing="0" w:after="101" w:afterAutospacing="0" w:line="216" w:lineRule="auto"/>
                          <w:jc w:val="center"/>
                        </w:pPr>
                        <w:r w:rsidRPr="00681586">
                          <w:rPr>
                            <w:rFonts w:ascii="Almoni ML v5 AAA Light" w:hAnsi="Almoni ML v5 AAA Light" w:cs="Almoni ML v5 AAA Light"/>
                            <w:b/>
                            <w:bCs/>
                            <w:color w:val="000000"/>
                            <w:kern w:val="24"/>
                            <w:rtl/>
                          </w:rPr>
                          <w:t xml:space="preserve">קביעת רמת הזכאות </w:t>
                        </w:r>
                      </w:p>
                    </w:txbxContent>
                  </v:textbox>
                </v:shape>
                <v:roundrect id="מלבן: פינות מעוגלות 13" o:spid="_x0000_s1033" style="width:31261;height:6084;left:56;mso-wrap-style:square;position:absolute;top:20991;visibility:visible;v-text-anchor:middle" arcsize="10923f" fillcolor="#d4d6d8" strokecolor="black" strokeweight="2pt">
                  <v:textbox>
                    <w:txbxContent>
                      <w:p w:rsidR="00AC3D62" w:rsidP="00681586">
                        <w:pPr>
                          <w:pStyle w:val="NormalWeb"/>
                          <w:bidi/>
                          <w:spacing w:before="0" w:beforeAutospacing="0" w:after="0" w:afterAutospacing="0"/>
                          <w:ind w:left="619"/>
                        </w:pPr>
                        <w:r w:rsidRPr="00681586">
                          <w:rPr>
                            <w:rFonts w:ascii="Almoni ML v5 AAA Light" w:hAnsi="Almoni ML v5 AAA Light" w:cs="Almoni ML v5 AAA Light"/>
                            <w:color w:val="000000"/>
                            <w:kern w:val="24"/>
                            <w:sz w:val="20"/>
                            <w:szCs w:val="20"/>
                            <w:rtl/>
                          </w:rPr>
                          <w:t>הזכאי לגמלה בוחר ת</w:t>
                        </w:r>
                        <w:r>
                          <w:rPr>
                            <w:rFonts w:ascii="Almoni ML v5 AAA Light" w:hAnsi="Almoni ML v5 AAA Light" w:cs="Almoni ML v5 AAA Light" w:hint="cs"/>
                            <w:color w:val="000000"/>
                            <w:kern w:val="24"/>
                            <w:sz w:val="20"/>
                            <w:szCs w:val="20"/>
                            <w:rtl/>
                          </w:rPr>
                          <w:t>ו</w:t>
                        </w:r>
                        <w:r w:rsidRPr="00681586">
                          <w:rPr>
                            <w:rFonts w:ascii="Almoni ML v5 AAA Light" w:hAnsi="Almoni ML v5 AAA Light" w:cs="Almoni ML v5 AAA Light"/>
                            <w:color w:val="000000"/>
                            <w:kern w:val="24"/>
                            <w:sz w:val="20"/>
                            <w:szCs w:val="20"/>
                            <w:rtl/>
                          </w:rPr>
                          <w:t>כנית טיפול שיכולה לשלב קצבה כספית ושירותי סיעוד שונים. ככל שרמת הסיעוד גבוהה יותר, סל השירותים רחב יותר.</w:t>
                        </w:r>
                      </w:p>
                    </w:txbxContent>
                  </v:textbox>
                </v:roundrect>
                <v:shape id="צורה חופשית: צורה 14" o:spid="_x0000_s1034" style="width:14940;height:6084;left:27068;mso-wrap-style:square;position:absolute;top:20991;visibility:visible;v-text-anchor:middle" coordsize="2084057,542931" o:spt="100" adj="-11796480,,5400" path="m,90490c,40514,40514,,90490,l1993567,c2043543,,2084057,40514,2084057,90490l2084057,452441c2084057,502417,2043543,542931,1993567,542931l90490,542931c40514,542931,,502417,,452441l,90490xe" fillcolor="#7ab1f8" strokecolor="black" strokeweight="3pt">
                  <v:stroke joinstyle="miter"/>
                  <v:shadow on="t" color="black" opacity="26214f" origin="0.5" offset="-3pt,0"/>
                  <v:formulas/>
                  <v:path arrowok="t" o:connecttype="custom" o:connectlocs="0,101402;64872,0;1429180,0;1494052,101402;1494052,506998;1429180,608400;64872,608400;0,506998;0,101402" o:connectangles="0,0,0,0,0,0,0,0,0" textboxrect="0,0,2084057,542931"/>
                  <v:textbox inset="6.59pt,4.34pt,6.59pt,4.34pt">
                    <w:txbxContent>
                      <w:p w:rsidR="00AC3D62" w:rsidP="00681586">
                        <w:pPr>
                          <w:pStyle w:val="NormalWeb"/>
                          <w:bidi/>
                          <w:spacing w:before="0" w:beforeAutospacing="0" w:after="101" w:afterAutospacing="0" w:line="216" w:lineRule="auto"/>
                          <w:jc w:val="center"/>
                        </w:pPr>
                        <w:r w:rsidRPr="00681586">
                          <w:rPr>
                            <w:rFonts w:ascii="Almoni ML v5 AAA Light" w:hAnsi="Almoni ML v5 AAA Light" w:cs="Almoni ML v5 AAA Light"/>
                            <w:b/>
                            <w:bCs/>
                            <w:color w:val="000000"/>
                            <w:kern w:val="24"/>
                            <w:rtl/>
                          </w:rPr>
                          <w:t>בחירת סל שירותים</w:t>
                        </w:r>
                      </w:p>
                    </w:txbxContent>
                  </v:textbox>
                </v:shape>
                <v:roundrect id="מלבן: פינות מעוגלות 15" o:spid="_x0000_s1035" style="width:31248;height:6095;left:50;mso-wrap-style:square;position:absolute;top:27872;visibility:visible;v-text-anchor:middle" arcsize="10923f" fillcolor="#d4d6d8" strokecolor="black" strokeweight="2pt">
                  <v:textbox>
                    <w:txbxContent>
                      <w:p w:rsidR="00AC3D62" w:rsidP="00681586">
                        <w:pPr>
                          <w:pStyle w:val="NormalWeb"/>
                          <w:bidi/>
                          <w:spacing w:before="0" w:beforeAutospacing="0" w:after="0" w:afterAutospacing="0"/>
                          <w:ind w:left="619" w:hanging="720"/>
                        </w:pPr>
                        <w:r w:rsidRPr="00681586">
                          <w:rPr>
                            <w:rFonts w:ascii="Almoni ML v5 AAA Light" w:hAnsi="Almoni ML v5 AAA Light" w:cs="Almoni ML v5 AAA Light"/>
                            <w:color w:val="000000"/>
                            <w:kern w:val="24"/>
                            <w:sz w:val="20"/>
                            <w:szCs w:val="20"/>
                            <w:rtl/>
                          </w:rPr>
                          <w:tab/>
                          <w:t>אם מצבו הרפואי של הזכאי לגמלה הוחמר הוא יכול לשלוח אישורים רפואיים עדכניים ולעבור הערכת תלות נוספת שתקבע אם יש מקום להעלות את רמת הסיעוד.</w:t>
                        </w:r>
                      </w:p>
                    </w:txbxContent>
                  </v:textbox>
                </v:roundrect>
                <v:shape id="צורה חופשית: צורה 16" o:spid="_x0000_s1036" style="width:14940;height:6084;left:27068;mso-wrap-style:square;position:absolute;top:27872;visibility:visible;v-text-anchor:middle" coordsize="2086093,542931" o:spt="100" adj="-11796480,,5400" path="m,90490c,40514,40514,,90490,l1995604,c2045580,,2086094,40514,2086094,90490l2086094,452441c2086094,502417,2045580,542931,1995604,542931l90490,542931c40514,542931,,502417,,452441l,90490xe" fillcolor="#7ab1f8" strokecolor="black" strokeweight="3pt">
                  <v:stroke joinstyle="miter"/>
                  <v:shadow on="t" color="black" opacity="26214f" origin="0.5" offset="-3pt,0"/>
                  <v:formulas/>
                  <v:path arrowok="t" o:connecttype="custom" o:connectlocs="0,101402;64809,0;1429243,0;1494052,101402;1494052,506998;1429243,608400;64809,608400;0,506998;0,101402" o:connectangles="0,0,0,0,0,0,0,0,0" textboxrect="0,0,2086093,542931"/>
                  <v:textbox inset="6.59pt,4.34pt,6.59pt,4.34pt">
                    <w:txbxContent>
                      <w:p w:rsidR="00AC3D62" w:rsidP="00681586">
                        <w:pPr>
                          <w:pStyle w:val="NormalWeb"/>
                          <w:bidi/>
                          <w:spacing w:before="0" w:beforeAutospacing="0" w:after="101" w:afterAutospacing="0" w:line="216" w:lineRule="auto"/>
                          <w:jc w:val="center"/>
                        </w:pPr>
                        <w:r w:rsidRPr="00681586">
                          <w:rPr>
                            <w:rFonts w:ascii="Almoni ML v5 AAA Light" w:hAnsi="Almoni ML v5 AAA Light" w:cs="Almoni ML v5 AAA Light"/>
                            <w:b/>
                            <w:bCs/>
                            <w:color w:val="000000"/>
                            <w:kern w:val="24"/>
                            <w:rtl/>
                          </w:rPr>
                          <w:t>הגשת תביעה להחמרת מצב</w:t>
                        </w:r>
                      </w:p>
                    </w:txbxContent>
                  </v:textbox>
                </v:shape>
                <v:oval id="אליפסה 17" o:spid="_x0000_s1037" style="width:1800;height:1800;left:42584;mso-wrap-style:square;position:absolute;top:2451;visibility:visible;v-text-anchor:middle" fillcolor="#4d97f6" strokecolor="black" strokeweight="1pt">
                  <v:shadow on="t" type="perspective" color="black" opacity="26214f" offset="0,0" matrix="66847f,,,66847f"/>
                </v:oval>
                <v:oval id="אליפסה 18" o:spid="_x0000_s1038" style="width:1800;height:1800;left:42484;mso-wrap-style:square;position:absolute;top:9348;visibility:visible;v-text-anchor:middle" fillcolor="#4d97f6" strokecolor="black" strokeweight="1pt">
                  <v:shadow on="t" type="perspective" color="black" opacity="26214f" offset="0,0" matrix="66847f,,,66847f"/>
                </v:oval>
                <v:oval id="אליפסה 20" o:spid="_x0000_s1039" style="width:1800;height:1800;left:42532;mso-wrap-style:square;position:absolute;top:16210;visibility:visible;v-text-anchor:middle" fillcolor="#4d97f6" strokecolor="black" strokeweight="1pt">
                  <v:shadow on="t" type="perspective" color="black" opacity="26214f" offset="0,0" matrix="66847f,,,66847f"/>
                </v:oval>
                <v:oval id="אליפסה 23" o:spid="_x0000_s1040" style="width:1800;height:1800;left:42584;mso-wrap-style:square;position:absolute;top:23072;visibility:visible;v-text-anchor:middle" fillcolor="#4d97f6" strokecolor="black" strokeweight="1pt">
                  <v:shadow on="t" type="perspective" color="black" opacity="26214f" offset="0,0" matrix="66847f,,,66847f"/>
                </v:oval>
                <v:oval id="אליפסה 24" o:spid="_x0000_s1041" style="width:1800;height:1800;left:42554;mso-wrap-style:square;position:absolute;top:30070;visibility:visible;v-text-anchor:middle" fillcolor="#4d97f6" strokecolor="black" strokeweight="1pt">
                  <v:shadow on="t" type="perspective" color="black" opacity="26214f" offset="0,0" matrix="66847f,,,66847f"/>
                </v:oval>
                <v:shape id="חץ: למטה 25" o:spid="_x0000_s1042" type="#_x0000_t67" style="width:1661;height:4555;left:42609;mso-wrap-style:square;position:absolute;top:4552;visibility:visible;v-text-anchor:middle" adj="14430" fillcolor="#4d97f6" strokecolor="black" strokeweight="2pt">
                  <v:shadow on="t" type="perspective" color="black" opacity="26214f" offset="0,0" matrix="66847f,,,66847f"/>
                </v:shape>
                <v:shape id="חץ: למטה 26" o:spid="_x0000_s1043" type="#_x0000_t67" style="width:1661;height:4555;left:42554;mso-wrap-style:square;position:absolute;top:11419;visibility:visible;v-text-anchor:middle" adj="14430" fillcolor="#4d97f6" strokecolor="black" strokeweight="2pt">
                  <v:shadow on="t" type="perspective" color="black" opacity="26214f" offset="0,0" matrix="66847f,,,66847f"/>
                </v:shape>
                <v:shape id="חץ: למטה 27" o:spid="_x0000_s1044" type="#_x0000_t67" style="width:1662;height:4555;left:42598;mso-wrap-style:square;position:absolute;top:18289;visibility:visible;v-text-anchor:middle" adj="14430" fillcolor="#4d97f6" strokecolor="black" strokeweight="2pt">
                  <v:shadow on="t" type="perspective" color="black" opacity="26214f" offset="0,0" matrix="66847f,,,66847f"/>
                </v:shape>
                <v:shape id="חץ: למטה 29" o:spid="_x0000_s1045" type="#_x0000_t67" style="width:1661;height:4556;left:42623;mso-wrap-style:square;position:absolute;top:25193;visibility:visible;v-text-anchor:middle" adj="14430" fillcolor="#4d97f6" strokecolor="black" strokeweight="2pt">
                  <v:shadow on="t" type="perspective" color="black" opacity="26214f" offset="0,0" matrix="66847f,,,66847f"/>
                </v:shape>
                <v:shape id="חץ: למטה 30" o:spid="_x0000_s1046" type="#_x0000_t67" style="width:1662;height:2578;left:42662;mso-wrap-style:square;position:absolute;top:32197;visibility:visible;v-text-anchor:middle" adj="8929" fillcolor="#4d97f6" strokecolor="black" strokeweight="2pt">
                  <v:shadow on="t" type="perspective" color="black" opacity="26214f" offset="0,0" matrix="66847f,,,66847f"/>
                </v:shape>
                <w10:wrap type="topAndBottom"/>
              </v:group>
            </w:pict>
          </mc:Fallback>
        </mc:AlternateContent>
      </w:r>
      <w:r w:rsidRPr="00681586">
        <w:rPr>
          <w:rFonts w:eastAsia="Calibri" w:hint="cs"/>
          <w:rtl/>
        </w:rPr>
        <w:t xml:space="preserve">תרשים 2: </w:t>
      </w:r>
      <w:r w:rsidRPr="00681586">
        <w:rPr>
          <w:rFonts w:eastAsia="Calibri" w:hint="cs"/>
          <w:b/>
          <w:bCs/>
          <w:rtl/>
        </w:rPr>
        <w:t>הליך ההכרה בזכאות לגמלת סיעוד</w:t>
      </w:r>
    </w:p>
    <w:p w:rsidR="00681586" w:rsidRPr="00681586" w:rsidP="00681586">
      <w:pPr>
        <w:spacing w:line="269" w:lineRule="auto"/>
        <w:jc w:val="center"/>
        <w:rPr>
          <w:rFonts w:eastAsia="Calibri"/>
          <w:b/>
          <w:bCs/>
          <w:rtl/>
        </w:rPr>
      </w:pPr>
    </w:p>
    <w:p w:rsidR="00681586" w:rsidRPr="00681586" w:rsidP="00681586">
      <w:pPr>
        <w:keepNext/>
        <w:keepLines/>
        <w:spacing w:line="269" w:lineRule="auto"/>
        <w:outlineLvl w:val="4"/>
        <w:rPr>
          <w:rFonts w:eastAsia="Times New Roman"/>
          <w:bCs/>
          <w:spacing w:val="40"/>
          <w:rtl/>
        </w:rPr>
      </w:pPr>
      <w:r w:rsidRPr="00681586">
        <w:rPr>
          <w:rFonts w:eastAsia="Times New Roman" w:hint="cs"/>
          <w:bCs/>
          <w:spacing w:val="40"/>
          <w:rtl/>
        </w:rPr>
        <w:t xml:space="preserve">רמות הסיעוד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rtl/>
        </w:rPr>
        <w:t xml:space="preserve">לצורך הערכת מצבו הרפואי והתפקודי של התובע, מעריך מטעם </w:t>
      </w:r>
      <w:r w:rsidRPr="00681586">
        <w:rPr>
          <w:rFonts w:eastAsia="Calibri" w:hint="cs"/>
          <w:rtl/>
        </w:rPr>
        <w:t>בט"ל מבצע</w:t>
      </w:r>
      <w:r w:rsidRPr="00681586">
        <w:rPr>
          <w:rFonts w:eastAsia="Calibri"/>
          <w:rtl/>
        </w:rPr>
        <w:t xml:space="preserve"> הערכת תלות, שבמסגרתה נקבעת רמת הסיעוד. רמת הסיעוד נקבעת לפי אחת משש רמות, </w:t>
      </w:r>
      <w:r w:rsidRPr="00681586">
        <w:rPr>
          <w:rFonts w:eastAsia="Calibri" w:hint="cs"/>
          <w:rtl/>
        </w:rPr>
        <w:t>ו</w:t>
      </w:r>
      <w:r w:rsidRPr="00681586">
        <w:rPr>
          <w:rFonts w:eastAsia="Calibri"/>
          <w:rtl/>
        </w:rPr>
        <w:t>ככל שהרמה גבוהה יותר</w:t>
      </w:r>
      <w:r w:rsidRPr="00681586">
        <w:rPr>
          <w:rFonts w:eastAsia="Calibri" w:hint="cs"/>
          <w:rtl/>
        </w:rPr>
        <w:t>,</w:t>
      </w:r>
      <w:r w:rsidRPr="00681586">
        <w:rPr>
          <w:rFonts w:eastAsia="Calibri"/>
          <w:rtl/>
        </w:rPr>
        <w:t xml:space="preserve"> כך מידת התלות של התובע גבוהה יות</w:t>
      </w:r>
      <w:r w:rsidRPr="00681586">
        <w:rPr>
          <w:rFonts w:eastAsia="Calibri" w:hint="cs"/>
          <w:rtl/>
        </w:rPr>
        <w:t>ר. בתרשים שלהלן ההתפלגות של מקבלי הגמלה לפי רמת הסיעוד - מרמה 1 עד 6.</w:t>
      </w:r>
    </w:p>
    <w:p w:rsidR="00681586" w:rsidRPr="00681586" w:rsidP="00681586">
      <w:pPr>
        <w:spacing w:line="269" w:lineRule="auto"/>
        <w:ind w:left="-567"/>
        <w:rPr>
          <w:rFonts w:eastAsia="Calibri"/>
          <w:szCs w:val="20"/>
          <w:rtl/>
        </w:rPr>
      </w:pPr>
    </w:p>
    <w:p w:rsidR="00681586" w:rsidRPr="00681586" w:rsidP="00681586">
      <w:pPr>
        <w:spacing w:line="269" w:lineRule="auto"/>
        <w:jc w:val="center"/>
        <w:rPr>
          <w:rFonts w:eastAsia="Calibri"/>
          <w:b/>
          <w:bCs/>
          <w:sz w:val="24"/>
          <w:rtl/>
        </w:rPr>
      </w:pPr>
      <w:r w:rsidRPr="00681586">
        <w:rPr>
          <w:rFonts w:eastAsia="Calibri" w:hint="cs"/>
          <w:sz w:val="24"/>
          <w:rtl/>
        </w:rPr>
        <w:t xml:space="preserve">תרשים 3: </w:t>
      </w:r>
      <w:r w:rsidRPr="00681586">
        <w:rPr>
          <w:rFonts w:eastAsia="Calibri" w:hint="cs"/>
          <w:b/>
          <w:bCs/>
          <w:sz w:val="24"/>
          <w:rtl/>
        </w:rPr>
        <w:t>פילוח זכאי גמלת סיעוד לפי רמת סיעוד (באלפים ובאחוזים), דצמבר 2025</w:t>
      </w:r>
    </w:p>
    <w:p w:rsidR="00681586" w:rsidRPr="00681586" w:rsidP="00681586">
      <w:pPr>
        <w:spacing w:line="269" w:lineRule="auto"/>
        <w:jc w:val="center"/>
        <w:rPr>
          <w:rFonts w:eastAsia="Calibri"/>
          <w:rtl/>
        </w:rPr>
      </w:pPr>
      <w:r w:rsidRPr="00681586">
        <w:rPr>
          <w:rFonts w:eastAsia="Calibri"/>
          <w:noProof/>
        </w:rPr>
        <w:drawing>
          <wp:inline distT="0" distB="0" distL="0" distR="0">
            <wp:extent cx="4769191" cy="2214245"/>
            <wp:effectExtent l="0" t="0" r="0" b="0"/>
            <wp:docPr id="38" name="תמונה 38" descr="פילוח זכאי גמלת סיעוד לפי רמת סיעוד בדצמבר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775398" cy="2217127"/>
                    </a:xfrm>
                    <a:prstGeom prst="rect">
                      <a:avLst/>
                    </a:prstGeom>
                    <a:noFill/>
                    <a:ln>
                      <a:noFill/>
                    </a:ln>
                  </pic:spPr>
                </pic:pic>
              </a:graphicData>
            </a:graphic>
          </wp:inline>
        </w:drawing>
      </w:r>
    </w:p>
    <w:p w:rsidR="00681586" w:rsidRPr="00681586" w:rsidP="00681586">
      <w:pPr>
        <w:spacing w:line="269" w:lineRule="auto"/>
        <w:rPr>
          <w:rFonts w:eastAsia="Calibri"/>
          <w:szCs w:val="20"/>
          <w:rtl/>
        </w:rPr>
      </w:pPr>
      <w:r w:rsidRPr="00681586">
        <w:rPr>
          <w:rFonts w:eastAsia="Calibri" w:hint="cs"/>
          <w:szCs w:val="20"/>
          <w:rtl/>
        </w:rPr>
        <w:t>על פי נתוני המוסד לביטוח לאומי</w:t>
      </w:r>
      <w:r w:rsidRPr="00681586">
        <w:rPr>
          <w:rFonts w:eastAsia="Calibri"/>
          <w:szCs w:val="20"/>
          <w:rtl/>
        </w:rPr>
        <w:t>, בעיבוד משרד מבקר המדינה.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מהתרשים עולה כי כ-59% מהזכאים לגמלת סיעוד, שהם כ-231,000 זכאים, מוגדרים כסיעודיים ברמות הזכאות הנמוכות (בין 1 ל-3), ורמת הזכאות השכיחה ביותר היא רמת סיעוד 3 (כ-27% שהם כ-104,000 זכאים).</w:t>
      </w:r>
    </w:p>
    <w:p w:rsidR="00681586" w:rsidRPr="00681586" w:rsidP="00681586">
      <w:pPr>
        <w:spacing w:line="269" w:lineRule="auto"/>
        <w:ind w:left="-567"/>
        <w:rPr>
          <w:rFonts w:eastAsia="Calibri"/>
          <w:szCs w:val="20"/>
          <w:rtl/>
        </w:rPr>
      </w:pPr>
    </w:p>
    <w:p w:rsidR="00681586" w:rsidRPr="00681586" w:rsidP="00681586">
      <w:pPr>
        <w:keepNext/>
        <w:keepLines/>
        <w:spacing w:line="269" w:lineRule="auto"/>
        <w:outlineLvl w:val="4"/>
        <w:rPr>
          <w:rFonts w:eastAsia="Times New Roman"/>
          <w:bCs/>
          <w:spacing w:val="40"/>
          <w:rtl/>
        </w:rPr>
      </w:pPr>
      <w:r w:rsidRPr="00681586">
        <w:rPr>
          <w:rFonts w:eastAsia="Times New Roman"/>
          <w:bCs/>
          <w:spacing w:val="40"/>
          <w:rtl/>
        </w:rPr>
        <w:t>ת</w:t>
      </w:r>
      <w:r w:rsidRPr="00681586">
        <w:rPr>
          <w:rFonts w:eastAsia="Times New Roman" w:hint="cs"/>
          <w:bCs/>
          <w:spacing w:val="40"/>
          <w:rtl/>
        </w:rPr>
        <w:t>ו</w:t>
      </w:r>
      <w:r w:rsidRPr="00681586">
        <w:rPr>
          <w:rFonts w:eastAsia="Times New Roman"/>
          <w:bCs/>
          <w:spacing w:val="40"/>
          <w:rtl/>
        </w:rPr>
        <w:t>כני</w:t>
      </w:r>
      <w:r w:rsidRPr="00681586">
        <w:rPr>
          <w:rFonts w:eastAsia="Times New Roman" w:hint="eastAsia"/>
          <w:bCs/>
          <w:spacing w:val="40"/>
          <w:rtl/>
        </w:rPr>
        <w:t>ו</w:t>
      </w:r>
      <w:r w:rsidRPr="00681586">
        <w:rPr>
          <w:rFonts w:eastAsia="Times New Roman"/>
          <w:bCs/>
          <w:spacing w:val="40"/>
          <w:rtl/>
        </w:rPr>
        <w:t>ת טיפול ב</w:t>
      </w:r>
      <w:r w:rsidRPr="00681586">
        <w:rPr>
          <w:rFonts w:eastAsia="Times New Roman" w:hint="cs"/>
          <w:bCs/>
          <w:spacing w:val="40"/>
          <w:rtl/>
        </w:rPr>
        <w:t xml:space="preserve">מסגרת </w:t>
      </w:r>
      <w:r w:rsidRPr="00681586">
        <w:rPr>
          <w:rFonts w:eastAsia="Times New Roman"/>
          <w:bCs/>
          <w:spacing w:val="40"/>
          <w:rtl/>
        </w:rPr>
        <w:t xml:space="preserve">גמלת סיעוד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לאחר קביעת רמת הסיעוד, הזכאי יכול לבחור בין כמה שירותים במסגרת הגמלה, ובהם ביקורים במרכז יום</w:t>
      </w:r>
      <w:r>
        <w:rPr>
          <w:rFonts w:eastAsia="Calibri"/>
          <w:vertAlign w:val="superscript"/>
          <w:rtl/>
        </w:rPr>
        <w:footnoteReference w:id="17"/>
      </w:r>
      <w:r w:rsidRPr="00681586">
        <w:rPr>
          <w:rFonts w:eastAsia="Calibri" w:hint="cs"/>
          <w:rtl/>
        </w:rPr>
        <w:t>, טיפול אישי בבית, לחצן מצוקה, שירותי כביסה, מוצרי ספיגה וחברות בקהילה תומכת. זכאי הגמלה יכול גם לשלב בין השירותים השונים, במסגרת סל הטיפולים שהוא זכאי לו, ויכול גם לקבל חלק מהסל, או במקרים מסוימים את כל הסל, בכסף ולא בשירותים</w:t>
      </w:r>
      <w:r>
        <w:rPr>
          <w:rFonts w:eastAsia="Calibri"/>
          <w:vertAlign w:val="superscript"/>
          <w:rtl/>
        </w:rPr>
        <w:footnoteReference w:id="18"/>
      </w:r>
      <w:r w:rsidRPr="00681586">
        <w:rPr>
          <w:rFonts w:eastAsia="Calibri" w:hint="cs"/>
          <w:rtl/>
        </w:rPr>
        <w:t>. בתרשים להלן שיעורם של זכאי הגמלה שבחרו בכל אחד ממרכיבי סל השירותים</w:t>
      </w:r>
      <w:r>
        <w:rPr>
          <w:rFonts w:eastAsia="Calibri"/>
          <w:vertAlign w:val="superscript"/>
          <w:rtl/>
        </w:rPr>
        <w:footnoteReference w:id="19"/>
      </w:r>
      <w:r w:rsidRPr="00681586">
        <w:rPr>
          <w:rFonts w:eastAsia="Calibri" w:hint="cs"/>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jc w:val="center"/>
        <w:rPr>
          <w:rFonts w:eastAsia="Calibri"/>
          <w:b/>
          <w:bCs/>
          <w:rtl/>
        </w:rPr>
      </w:pPr>
      <w:r w:rsidRPr="00681586">
        <w:rPr>
          <w:rFonts w:eastAsia="Calibri" w:hint="cs"/>
          <w:rtl/>
        </w:rPr>
        <w:t xml:space="preserve">תרשים 4: </w:t>
      </w:r>
      <w:r w:rsidRPr="00681586">
        <w:rPr>
          <w:rFonts w:eastAsia="Calibri" w:hint="cs"/>
          <w:b/>
          <w:bCs/>
          <w:rtl/>
        </w:rPr>
        <w:t>שיעורם של הזכאים לגמלת סיעוד שבחרו בכל אחד ממרכיבי סל השירותים ובגמלה בכסף, דצמבר 2024</w:t>
      </w:r>
    </w:p>
    <w:p w:rsidR="00681586" w:rsidRPr="00681586" w:rsidP="00681586">
      <w:pPr>
        <w:spacing w:line="269" w:lineRule="auto"/>
        <w:jc w:val="center"/>
        <w:rPr>
          <w:rFonts w:eastAsia="Calibri"/>
          <w:b/>
          <w:bCs/>
          <w:rtl/>
        </w:rPr>
      </w:pPr>
      <w:r w:rsidRPr="00681586">
        <w:rPr>
          <w:rFonts w:eastAsia="Calibri"/>
          <w:b/>
          <w:bCs/>
          <w:noProof/>
        </w:rPr>
        <w:drawing>
          <wp:inline distT="0" distB="0" distL="0" distR="0">
            <wp:extent cx="4572635" cy="2743200"/>
            <wp:effectExtent l="0" t="0" r="0" b="0"/>
            <wp:docPr id="78" name="תמונה 78" descr="שיעורם של הזכאים לגמלת סיעוד שבחרו בכל אחד ממרכיבי סל השירותים ובגמלה בכסף, דצמבר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0"/>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635" cy="2743200"/>
                    </a:xfrm>
                    <a:prstGeom prst="rect">
                      <a:avLst/>
                    </a:prstGeom>
                    <a:noFill/>
                  </pic:spPr>
                </pic:pic>
              </a:graphicData>
            </a:graphic>
          </wp:inline>
        </w:drawing>
      </w:r>
    </w:p>
    <w:p w:rsidR="00681586" w:rsidRPr="00681586" w:rsidP="00681586">
      <w:pPr>
        <w:spacing w:line="269" w:lineRule="auto"/>
        <w:jc w:val="left"/>
        <w:rPr>
          <w:rFonts w:eastAsia="Calibri"/>
          <w:szCs w:val="20"/>
          <w:rtl/>
        </w:rPr>
      </w:pPr>
      <w:r w:rsidRPr="00681586">
        <w:rPr>
          <w:rFonts w:eastAsia="Calibri" w:hint="cs"/>
          <w:szCs w:val="20"/>
          <w:rtl/>
        </w:rPr>
        <w:t xml:space="preserve">על פי נתוני המוסד לביטוח לאומי, </w:t>
      </w:r>
      <w:r w:rsidRPr="00681586">
        <w:rPr>
          <w:rFonts w:eastAsia="Calibri" w:hint="eastAsia"/>
          <w:szCs w:val="20"/>
          <w:rtl/>
        </w:rPr>
        <w:t>בעיבוד</w:t>
      </w:r>
      <w:r w:rsidRPr="00681586">
        <w:rPr>
          <w:rFonts w:eastAsia="Calibri"/>
          <w:szCs w:val="20"/>
          <w:rtl/>
        </w:rPr>
        <w:t xml:space="preserve"> </w:t>
      </w:r>
      <w:r w:rsidRPr="00681586">
        <w:rPr>
          <w:rFonts w:eastAsia="Calibri" w:hint="eastAsia"/>
          <w:szCs w:val="20"/>
          <w:rtl/>
        </w:rPr>
        <w:t>משרד</w:t>
      </w:r>
      <w:r w:rsidRPr="00681586">
        <w:rPr>
          <w:rFonts w:eastAsia="Calibri"/>
          <w:szCs w:val="20"/>
          <w:rtl/>
        </w:rPr>
        <w:t xml:space="preserve"> </w:t>
      </w:r>
      <w:r w:rsidRPr="00681586">
        <w:rPr>
          <w:rFonts w:eastAsia="Calibri" w:hint="eastAsia"/>
          <w:szCs w:val="20"/>
          <w:rtl/>
        </w:rPr>
        <w:t>מבקר</w:t>
      </w:r>
      <w:r w:rsidRPr="00681586">
        <w:rPr>
          <w:rFonts w:eastAsia="Calibri"/>
          <w:szCs w:val="20"/>
          <w:rtl/>
        </w:rPr>
        <w:t xml:space="preserve"> </w:t>
      </w:r>
      <w:r w:rsidRPr="00681586">
        <w:rPr>
          <w:rFonts w:eastAsia="Calibri" w:hint="eastAsia"/>
          <w:szCs w:val="20"/>
          <w:rtl/>
        </w:rPr>
        <w:t>המדינה</w:t>
      </w:r>
      <w:r w:rsidRPr="00681586">
        <w:rPr>
          <w:rFonts w:eastAsia="Calibri"/>
          <w:szCs w:val="20"/>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szCs w:val="20"/>
          <w:rtl/>
        </w:rPr>
      </w:pPr>
      <w:r w:rsidRPr="00681586">
        <w:rPr>
          <w:rFonts w:eastAsia="Calibri" w:hint="eastAsia"/>
          <w:b/>
          <w:bCs/>
          <w:sz w:val="24"/>
          <w:rtl/>
        </w:rPr>
        <w:t>מהתרשים</w:t>
      </w:r>
      <w:r w:rsidRPr="00681586">
        <w:rPr>
          <w:rFonts w:eastAsia="Calibri"/>
          <w:b/>
          <w:bCs/>
          <w:sz w:val="24"/>
          <w:rtl/>
        </w:rPr>
        <w:t xml:space="preserve"> עולה כי כ-81% מ</w:t>
      </w:r>
      <w:r w:rsidRPr="00681586">
        <w:rPr>
          <w:rFonts w:eastAsia="Calibri" w:hint="cs"/>
          <w:b/>
          <w:bCs/>
          <w:sz w:val="24"/>
          <w:rtl/>
        </w:rPr>
        <w:t>ה</w:t>
      </w:r>
      <w:r w:rsidRPr="00681586">
        <w:rPr>
          <w:rFonts w:eastAsia="Calibri"/>
          <w:b/>
          <w:bCs/>
          <w:sz w:val="24"/>
          <w:rtl/>
        </w:rPr>
        <w:t>זכאים לגמלת סיעוד בוחרים לקבל את הגמלה</w:t>
      </w:r>
      <w:r w:rsidRPr="00681586">
        <w:rPr>
          <w:rFonts w:eastAsia="Calibri" w:hint="cs"/>
          <w:b/>
          <w:bCs/>
          <w:sz w:val="24"/>
          <w:rtl/>
        </w:rPr>
        <w:t xml:space="preserve"> (כולה או חלקה)</w:t>
      </w:r>
      <w:r w:rsidRPr="00681586">
        <w:rPr>
          <w:rFonts w:eastAsia="Calibri"/>
          <w:b/>
          <w:bCs/>
          <w:sz w:val="24"/>
          <w:rtl/>
        </w:rPr>
        <w:t xml:space="preserve"> בכסף</w:t>
      </w:r>
      <w:r w:rsidRPr="00681586">
        <w:rPr>
          <w:rFonts w:eastAsia="Calibri" w:hint="cs"/>
          <w:b/>
          <w:bCs/>
          <w:sz w:val="24"/>
          <w:rtl/>
        </w:rPr>
        <w:t>,</w:t>
      </w:r>
      <w:r w:rsidRPr="00681586">
        <w:rPr>
          <w:rFonts w:eastAsia="Calibri"/>
          <w:b/>
          <w:bCs/>
          <w:sz w:val="24"/>
          <w:rtl/>
        </w:rPr>
        <w:t xml:space="preserve"> וכ-78% </w:t>
      </w:r>
      <w:r w:rsidRPr="00681586">
        <w:rPr>
          <w:rFonts w:eastAsia="Calibri" w:hint="cs"/>
          <w:b/>
          <w:bCs/>
          <w:sz w:val="24"/>
          <w:rtl/>
        </w:rPr>
        <w:t>ב</w:t>
      </w:r>
      <w:r w:rsidRPr="00681586">
        <w:rPr>
          <w:rFonts w:eastAsia="Calibri"/>
          <w:b/>
          <w:bCs/>
          <w:sz w:val="24"/>
          <w:rtl/>
        </w:rPr>
        <w:t xml:space="preserve">טיפול אישי. מיעוט </w:t>
      </w:r>
      <w:r w:rsidRPr="00681586">
        <w:rPr>
          <w:rFonts w:eastAsia="Calibri" w:hint="cs"/>
          <w:b/>
          <w:bCs/>
          <w:sz w:val="24"/>
          <w:rtl/>
        </w:rPr>
        <w:t>מה</w:t>
      </w:r>
      <w:r w:rsidRPr="00681586">
        <w:rPr>
          <w:rFonts w:eastAsia="Calibri"/>
          <w:b/>
          <w:bCs/>
          <w:sz w:val="24"/>
          <w:rtl/>
        </w:rPr>
        <w:t xml:space="preserve">זכאים בוחרים בשירותים אחרים כמו קהילה תומכת ומרכזי </w:t>
      </w:r>
      <w:r w:rsidRPr="00681586">
        <w:rPr>
          <w:rFonts w:eastAsia="Calibri" w:hint="eastAsia"/>
          <w:b/>
          <w:bCs/>
          <w:sz w:val="24"/>
          <w:rtl/>
        </w:rPr>
        <w:t>יום</w:t>
      </w:r>
      <w:r w:rsidRPr="00681586">
        <w:rPr>
          <w:rFonts w:eastAsia="Calibri" w:hint="cs"/>
          <w:b/>
          <w:bCs/>
          <w:szCs w:val="20"/>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עוד עולה מניתוח הנתונים כי </w:t>
      </w:r>
      <w:r w:rsidRPr="00681586">
        <w:rPr>
          <w:rFonts w:eastAsia="Calibri"/>
          <w:b/>
          <w:bCs/>
          <w:rtl/>
        </w:rPr>
        <w:t xml:space="preserve">כ-59% מהזכאים לגמלת סיעוד משלבים גמלה בכסף וטיפול אישי, וכן כי סך הסכום </w:t>
      </w:r>
      <w:r w:rsidRPr="00681586">
        <w:rPr>
          <w:rFonts w:eastAsia="Calibri" w:hint="cs"/>
          <w:b/>
          <w:bCs/>
          <w:rtl/>
        </w:rPr>
        <w:t>ששולם</w:t>
      </w:r>
      <w:r w:rsidRPr="00681586">
        <w:rPr>
          <w:rFonts w:eastAsia="Calibri"/>
          <w:b/>
          <w:bCs/>
          <w:rtl/>
        </w:rPr>
        <w:t xml:space="preserve"> ישירות לזכאים כגמלה כספית </w:t>
      </w:r>
      <w:r w:rsidRPr="00681586">
        <w:rPr>
          <w:rFonts w:eastAsia="Calibri" w:hint="cs"/>
          <w:b/>
          <w:bCs/>
          <w:rtl/>
        </w:rPr>
        <w:t>בשנת 2025 היה</w:t>
      </w:r>
      <w:r w:rsidRPr="00681586">
        <w:rPr>
          <w:rFonts w:eastAsia="Calibri"/>
          <w:b/>
          <w:bCs/>
          <w:rtl/>
        </w:rPr>
        <w:t xml:space="preserve"> כ-</w:t>
      </w:r>
      <w:r w:rsidRPr="00681586">
        <w:rPr>
          <w:rFonts w:eastAsia="Calibri" w:hint="cs"/>
          <w:b/>
          <w:bCs/>
          <w:rtl/>
        </w:rPr>
        <w:t>6.7</w:t>
      </w:r>
      <w:r w:rsidRPr="00681586">
        <w:rPr>
          <w:rFonts w:eastAsia="Calibri"/>
          <w:b/>
          <w:bCs/>
          <w:rtl/>
        </w:rPr>
        <w:t xml:space="preserve"> מיליארד ש"ח.</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בט"ל ציין בתשובתו ממאי 2026 (להלן - תשובת בט"ל) כי </w:t>
      </w:r>
      <w:r w:rsidRPr="00681586">
        <w:rPr>
          <w:rFonts w:eastAsia="Calibri"/>
          <w:rtl/>
        </w:rPr>
        <w:t>משנת 2021 ואילך</w:t>
      </w:r>
      <w:r w:rsidRPr="00681586">
        <w:rPr>
          <w:rFonts w:eastAsia="Calibri" w:hint="cs"/>
          <w:rtl/>
        </w:rPr>
        <w:t>,</w:t>
      </w:r>
      <w:r w:rsidRPr="00681586">
        <w:rPr>
          <w:rFonts w:eastAsia="Calibri"/>
          <w:rtl/>
        </w:rPr>
        <w:t xml:space="preserve"> עם העלייה במקבלי גמלת הסיעוד והשינויים שחלו בקצבת הזקנה ובהשלמת הכנסה, </w:t>
      </w:r>
      <w:r w:rsidRPr="00681586">
        <w:rPr>
          <w:rFonts w:eastAsia="Calibri" w:hint="cs"/>
          <w:rtl/>
        </w:rPr>
        <w:t>חלה</w:t>
      </w:r>
      <w:r w:rsidRPr="00681586">
        <w:rPr>
          <w:rFonts w:eastAsia="Calibri"/>
          <w:rtl/>
        </w:rPr>
        <w:t xml:space="preserve"> ירידה בתחולת העוני בקרב קשישים בישראל (ירידה מ-17% ל-12.5%)</w:t>
      </w:r>
      <w:r w:rsidRPr="00681586">
        <w:rPr>
          <w:rFonts w:eastAsia="Calibri" w:hint="cs"/>
          <w:rtl/>
        </w:rPr>
        <w:t xml:space="preserve">. עוד ציין כי </w:t>
      </w:r>
      <w:r w:rsidRPr="00681586">
        <w:rPr>
          <w:rFonts w:eastAsia="Calibri"/>
          <w:rtl/>
        </w:rPr>
        <w:t xml:space="preserve">שליש ממקבלי גמלת סיעוד מקבלים השלמת הכנסה </w:t>
      </w:r>
      <w:r w:rsidRPr="00681586">
        <w:rPr>
          <w:rFonts w:eastAsia="Calibri" w:hint="cs"/>
          <w:rtl/>
        </w:rPr>
        <w:t>ו</w:t>
      </w:r>
      <w:r w:rsidRPr="00681586">
        <w:rPr>
          <w:rFonts w:eastAsia="Calibri"/>
          <w:rtl/>
        </w:rPr>
        <w:t xml:space="preserve">ל-43% </w:t>
      </w:r>
      <w:r w:rsidRPr="00681586">
        <w:rPr>
          <w:rFonts w:eastAsia="Calibri" w:hint="cs"/>
          <w:rtl/>
        </w:rPr>
        <w:t xml:space="preserve">בלבד מתוכם </w:t>
      </w:r>
      <w:r w:rsidRPr="00681586">
        <w:rPr>
          <w:rFonts w:eastAsia="Calibri"/>
          <w:rtl/>
        </w:rPr>
        <w:t>יש פנסיה</w:t>
      </w:r>
      <w:r w:rsidRPr="00681586">
        <w:rPr>
          <w:rFonts w:eastAsia="Calibri" w:hint="cs"/>
          <w:rtl/>
        </w:rPr>
        <w:t>, בנוסף על גמלת הסיעוד.</w:t>
      </w:r>
      <w:r w:rsidRPr="00681586">
        <w:rPr>
          <w:rFonts w:eastAsia="Calibri"/>
          <w:rtl/>
        </w:rPr>
        <w:t xml:space="preserve"> כך שגמלת סיעוד </w:t>
      </w:r>
      <w:r w:rsidRPr="00681586">
        <w:rPr>
          <w:rFonts w:eastAsia="Calibri" w:hint="cs"/>
          <w:rtl/>
        </w:rPr>
        <w:t>בהכרח</w:t>
      </w:r>
      <w:r w:rsidRPr="00681586">
        <w:rPr>
          <w:rFonts w:eastAsia="Calibri"/>
          <w:rtl/>
        </w:rPr>
        <w:t xml:space="preserve"> תורמת לשיפור איכות חייהם.</w:t>
      </w:r>
      <w:r w:rsidRPr="00681586">
        <w:rPr>
          <w:rFonts w:eastAsia="Calibri" w:hint="cs"/>
          <w:rtl/>
        </w:rPr>
        <w:t xml:space="preserve"> כמו כן ציין בט"ל כי על פי חישובים שערך,</w:t>
      </w:r>
      <w:r w:rsidRPr="00681586">
        <w:rPr>
          <w:rFonts w:eastAsia="Calibri"/>
          <w:rtl/>
        </w:rPr>
        <w:t xml:space="preserve"> אם כל הקשישים המטופלים בגמלת סיעוד ברמה 5 ו-6 היו מטופלים בבתי אבות</w:t>
      </w:r>
      <w:r w:rsidRPr="00681586">
        <w:rPr>
          <w:rFonts w:eastAsia="Calibri" w:hint="cs"/>
          <w:rtl/>
        </w:rPr>
        <w:t>,</w:t>
      </w:r>
      <w:r w:rsidRPr="00681586">
        <w:rPr>
          <w:rFonts w:eastAsia="Calibri"/>
          <w:rtl/>
        </w:rPr>
        <w:t xml:space="preserve"> הייתה נדרשת תוספת של 7 מיליארד עלות נטו בשנה.</w:t>
      </w:r>
      <w:r w:rsidRPr="00681586">
        <w:rPr>
          <w:rFonts w:eastAsia="Calibri" w:hint="cs"/>
          <w:rtl/>
        </w:rPr>
        <w:t xml:space="preserve"> </w:t>
      </w:r>
    </w:p>
    <w:p w:rsidR="00681586" w:rsidRPr="00681586" w:rsidP="00681586">
      <w:pPr>
        <w:keepNext/>
        <w:keepLines/>
        <w:spacing w:line="269" w:lineRule="auto"/>
        <w:outlineLvl w:val="3"/>
        <w:rPr>
          <w:rFonts w:eastAsia="Times New Roman"/>
          <w:bCs/>
          <w:szCs w:val="26"/>
          <w:rtl/>
        </w:rPr>
      </w:pPr>
      <w:r w:rsidRPr="00681586">
        <w:rPr>
          <w:rFonts w:eastAsia="Times New Roman" w:hint="cs"/>
          <w:bCs/>
          <w:szCs w:val="26"/>
          <w:rtl/>
        </w:rPr>
        <w:t>ביטוחי הסיעוד בקופות החולים</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נוסף על הביטוח הסיעודי של בט"ל, המכסה את כלל תושבי ישראל העומדים בתנאיו כמפורט לעיל, כל תושב בישראל יכול לבחור לרכוש ביטוח סיעודי נוסף דרך קופות החולים. תנאי הביטוח זהים בין הקופות, אך גובה הפרמיה משתנה מקופה לקופה, וכן משתנה בהתאם לגיל המבוטח. בשונה מגמלת הסיעוד של בט"ל, בביטוח הסיעודי דרך קופות החולים גם צעירים העומדים בתנאי הזכאות זכאים לתגמולי הביטוח</w:t>
      </w:r>
      <w:r>
        <w:rPr>
          <w:rFonts w:eastAsia="Calibri"/>
          <w:vertAlign w:val="superscript"/>
          <w:rtl/>
        </w:rPr>
        <w:footnoteReference w:id="20"/>
      </w:r>
      <w:r w:rsidRPr="00681586">
        <w:rPr>
          <w:rFonts w:eastAsia="Calibri" w:hint="cs"/>
          <w:rtl/>
        </w:rPr>
        <w:t>. מבוטח שנמצא זכאי ועומד בתנאי הביטוח יקבל פיצוי כספי של 5,000 ש"ח לחודש למשך 60 חודשים אם הוא שוהה בביתו, ושיפוי כספי בסך 10,000 ש"ח לחודש למשך 60 חודשים אם שוהה במוסד סיעודי</w:t>
      </w:r>
      <w:r>
        <w:rPr>
          <w:rFonts w:eastAsia="Calibri"/>
          <w:vertAlign w:val="superscript"/>
          <w:rtl/>
        </w:rPr>
        <w:footnoteReference w:id="21"/>
      </w:r>
      <w:r w:rsidRPr="00681586">
        <w:rPr>
          <w:rFonts w:eastAsia="Calibri" w:hint="cs"/>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כספי הפרמיות של המבוטחים בניכוי דמי הניהול המשולמים לחברת הביטוח נצברים בנפרד לכל קופת חולים בקרן שנקראת "קרן המבוטחים". את הקרן מנהלת חברת הביטוח שנבחרה במכרז, במטרה להשיא תשואה עבורה והיא אחראית ליציבותה. החל מדצמבר 2024, התגמולים עבור מבוטחים שנמצאו זכאים לתגמולי הביטוח משולמים כולם מקרן המבוטחים. כלומר, קרן המבוטחים משמשת מקור כספי בלעדי לתשלום התביעות השוטפות והיא מהווה עתודה לתשלום תביעות עתידיות. לפיכך, יציבות הקרן היא תנאי הכרחי ליציבות הביטוחים הסיעודיים הקבוצתיים המסופקים באמצעות קופות החולים.</w:t>
      </w:r>
    </w:p>
    <w:p w:rsidR="00681586" w:rsidRPr="00681586" w:rsidP="00681586">
      <w:pPr>
        <w:spacing w:line="269" w:lineRule="auto"/>
        <w:rPr>
          <w:rFonts w:eastAsia="Calibri"/>
          <w:rtl/>
        </w:rPr>
      </w:pPr>
    </w:p>
    <w:p w:rsidR="00681586" w:rsidRPr="00681586" w:rsidP="00681586">
      <w:pPr>
        <w:keepNext/>
        <w:keepLines/>
        <w:spacing w:line="269" w:lineRule="auto"/>
        <w:outlineLvl w:val="4"/>
        <w:rPr>
          <w:rFonts w:eastAsia="Times New Roman"/>
          <w:bCs/>
          <w:spacing w:val="40"/>
          <w:rtl/>
        </w:rPr>
      </w:pPr>
      <w:r w:rsidRPr="00681586">
        <w:rPr>
          <w:rFonts w:eastAsia="Times New Roman" w:hint="cs"/>
          <w:bCs/>
          <w:spacing w:val="40"/>
          <w:rtl/>
        </w:rPr>
        <w:t>מבנה האסדרה (הרגולציה) על הביטוח</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רשות שוק ההון, ביטוח וחיסכון (להלן - הרשות או רשות שוק ההון) היא המאסדר על חברות הביטוח הפרטיות מתוקף חוק הפיקוח על שירותים פיננסיים (ביטוח), התשמ"א-1981</w:t>
      </w:r>
      <w:r>
        <w:rPr>
          <w:rFonts w:eastAsia="Calibri"/>
          <w:vertAlign w:val="superscript"/>
          <w:rtl/>
        </w:rPr>
        <w:footnoteReference w:id="22"/>
      </w:r>
      <w:r w:rsidRPr="00681586">
        <w:rPr>
          <w:rFonts w:eastAsia="Calibri" w:hint="cs"/>
          <w:rtl/>
        </w:rPr>
        <w:t xml:space="preserve">. תפקידי הרשות הם, בין היתר, </w:t>
      </w:r>
      <w:r w:rsidRPr="00681586">
        <w:rPr>
          <w:rFonts w:eastAsia="Calibri"/>
          <w:rtl/>
        </w:rPr>
        <w:t>הגנה ושמירה על עניינם של המבוטחים, העמיתים ולקוחות הגופים המפוקחים</w:t>
      </w:r>
      <w:r w:rsidRPr="00681586">
        <w:rPr>
          <w:rFonts w:eastAsia="Calibri" w:hint="cs"/>
          <w:rtl/>
        </w:rPr>
        <w:t xml:space="preserve"> ו</w:t>
      </w:r>
      <w:r w:rsidRPr="00681586">
        <w:rPr>
          <w:rFonts w:eastAsia="Calibri"/>
          <w:rtl/>
        </w:rPr>
        <w:t>הבטחת היציבות והניהול התקין של הגופים המפוקחים</w:t>
      </w:r>
      <w:r w:rsidRPr="00681586">
        <w:rPr>
          <w:rFonts w:eastAsia="Calibri" w:hint="cs"/>
          <w:rtl/>
        </w:rPr>
        <w:t>. כיוון שניהול קרנות המבוטחים והליך ההכרה בזכאות לתגמולי הביטוח מתבצע על ידי חברות ביטוח פרטיות, הרשות היא הגורם המאסדר את ביטוחי הסיעוד של קופות החולים.</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rtl/>
        </w:rPr>
      </w:pPr>
      <w:r w:rsidRPr="00681586">
        <w:rPr>
          <w:rFonts w:eastAsia="Calibri" w:hint="cs"/>
          <w:rtl/>
        </w:rPr>
        <w:t>משרד הבריאות אמון על האסדרה בקופות החולים מתוקף חוק</w:t>
      </w:r>
      <w:r w:rsidRPr="00681586">
        <w:rPr>
          <w:rFonts w:eastAsia="Calibri"/>
          <w:b/>
          <w:bCs/>
          <w:rtl/>
        </w:rPr>
        <w:t xml:space="preserve"> </w:t>
      </w:r>
      <w:r w:rsidRPr="00681586">
        <w:rPr>
          <w:rFonts w:eastAsia="Calibri"/>
          <w:rtl/>
        </w:rPr>
        <w:t>ביטוח בריאות ממלכתי</w:t>
      </w:r>
      <w:r w:rsidRPr="00681586">
        <w:rPr>
          <w:rFonts w:eastAsia="Calibri" w:hint="cs"/>
          <w:rtl/>
        </w:rPr>
        <w:t>,</w:t>
      </w:r>
      <w:r w:rsidRPr="00681586">
        <w:rPr>
          <w:rFonts w:eastAsia="Calibri"/>
          <w:rtl/>
        </w:rPr>
        <w:t xml:space="preserve"> </w:t>
      </w:r>
      <w:r w:rsidRPr="00681586">
        <w:rPr>
          <w:rFonts w:eastAsia="Calibri" w:hint="cs"/>
          <w:rtl/>
        </w:rPr>
        <w:t>ה</w:t>
      </w:r>
      <w:r w:rsidRPr="00681586">
        <w:rPr>
          <w:rFonts w:eastAsia="Calibri"/>
          <w:rtl/>
        </w:rPr>
        <w:t>תשנ</w:t>
      </w:r>
      <w:r w:rsidRPr="00681586">
        <w:rPr>
          <w:rFonts w:eastAsia="Calibri" w:hint="cs"/>
          <w:rtl/>
        </w:rPr>
        <w:t>"ה-</w:t>
      </w:r>
      <w:r w:rsidRPr="00681586">
        <w:rPr>
          <w:rFonts w:eastAsia="Calibri"/>
          <w:rtl/>
        </w:rPr>
        <w:t>1995</w:t>
      </w:r>
      <w:r w:rsidRPr="00681586">
        <w:rPr>
          <w:rFonts w:eastAsia="Calibri"/>
          <w:b/>
          <w:rtl/>
        </w:rPr>
        <w:t>.</w:t>
      </w:r>
      <w:r w:rsidRPr="00681586">
        <w:rPr>
          <w:rFonts w:eastAsia="Calibri" w:hint="cs"/>
          <w:bCs/>
          <w:rtl/>
        </w:rPr>
        <w:t xml:space="preserve"> </w:t>
      </w:r>
      <w:r w:rsidRPr="00681586">
        <w:rPr>
          <w:rFonts w:eastAsia="Calibri" w:hint="cs"/>
          <w:b/>
          <w:rtl/>
        </w:rPr>
        <w:t>כיוון שקופות החולים הן בעלות הפוליסה, מנהלות את המכרזים לבחירת חברת הביטוח ומתפעלות את גביית הכספים עבור חברת הביטוח</w:t>
      </w:r>
      <w:r w:rsidRPr="00681586">
        <w:rPr>
          <w:rFonts w:eastAsia="Calibri" w:hint="cs"/>
          <w:bCs/>
          <w:rtl/>
        </w:rPr>
        <w:t xml:space="preserve">, </w:t>
      </w:r>
      <w:r w:rsidRPr="00681586">
        <w:rPr>
          <w:rFonts w:eastAsia="Calibri" w:hint="cs"/>
          <w:b/>
          <w:rtl/>
        </w:rPr>
        <w:t>משרד הבריאות הוא גם מאסדר אשר רלוונטי לביטוחי הסיעוד של קופות החולים.</w:t>
      </w:r>
    </w:p>
    <w:p w:rsidR="00681586" w:rsidRPr="00681586" w:rsidP="00681586">
      <w:pPr>
        <w:spacing w:line="269" w:lineRule="auto"/>
        <w:ind w:left="-567"/>
        <w:rPr>
          <w:rFonts w:eastAsia="Calibri"/>
          <w:szCs w:val="20"/>
          <w:rtl/>
        </w:rPr>
      </w:pPr>
    </w:p>
    <w:p w:rsidR="00681586">
      <w:pPr>
        <w:bidi w:val="0"/>
        <w:spacing w:after="200" w:line="276" w:lineRule="auto"/>
        <w:rPr>
          <w:rFonts w:ascii="David" w:eastAsia="Aptos" w:hAnsi="David"/>
          <w:kern w:val="2"/>
          <w:sz w:val="24"/>
          <w:rtl/>
          <w14:ligatures w14:val="standardContextual"/>
        </w:rPr>
      </w:pPr>
      <w:r>
        <w:rPr>
          <w:rFonts w:ascii="David" w:eastAsia="Aptos" w:hAnsi="David"/>
          <w:kern w:val="2"/>
          <w:sz w:val="24"/>
          <w:rtl/>
          <w14:ligatures w14:val="standardContextual"/>
        </w:rPr>
        <w:br w:type="page"/>
      </w:r>
    </w:p>
    <w:p w:rsidR="00681586" w:rsidRPr="00681586" w:rsidP="00681586">
      <w:pPr>
        <w:spacing w:line="269" w:lineRule="auto"/>
        <w:rPr>
          <w:rFonts w:ascii="David" w:eastAsia="Aptos" w:hAnsi="David"/>
          <w:kern w:val="2"/>
          <w:sz w:val="24"/>
          <w:rtl/>
          <w14:ligatures w14:val="standardContextual"/>
        </w:rPr>
      </w:pPr>
      <w:r w:rsidRPr="00681586">
        <w:rPr>
          <w:rFonts w:ascii="David" w:eastAsia="Aptos" w:hAnsi="David" w:hint="cs"/>
          <w:kern w:val="2"/>
          <w:sz w:val="24"/>
          <w:rtl/>
          <w14:ligatures w14:val="standardContextual"/>
        </w:rPr>
        <w:t xml:space="preserve">בתרשים </w:t>
      </w:r>
      <w:r w:rsidR="00BA015C">
        <w:rPr>
          <w:rFonts w:ascii="David" w:eastAsia="Aptos" w:hAnsi="David" w:hint="cs"/>
          <w:kern w:val="2"/>
          <w:sz w:val="24"/>
          <w:rtl/>
          <w14:ligatures w14:val="standardContextual"/>
        </w:rPr>
        <w:t>ש</w:t>
      </w:r>
      <w:r w:rsidRPr="00681586">
        <w:rPr>
          <w:rFonts w:ascii="David" w:eastAsia="Aptos" w:hAnsi="David" w:hint="cs"/>
          <w:kern w:val="2"/>
          <w:sz w:val="24"/>
          <w:rtl/>
          <w14:ligatures w14:val="standardContextual"/>
        </w:rPr>
        <w:t>להלן מבנה האסדרה על הביטוחים הסיעודיים של קופות החולים:</w:t>
      </w:r>
    </w:p>
    <w:p w:rsidR="00681586" w:rsidRPr="00681586" w:rsidP="00681586">
      <w:pPr>
        <w:spacing w:line="269" w:lineRule="auto"/>
        <w:ind w:left="-567"/>
        <w:rPr>
          <w:rFonts w:eastAsia="Calibri"/>
          <w:szCs w:val="20"/>
          <w:rtl/>
        </w:rPr>
      </w:pPr>
    </w:p>
    <w:p w:rsidR="00681586" w:rsidRPr="00681586" w:rsidP="00681586">
      <w:pPr>
        <w:keepNext/>
        <w:keepLines/>
        <w:spacing w:line="269" w:lineRule="auto"/>
        <w:jc w:val="center"/>
        <w:rPr>
          <w:rFonts w:ascii="David" w:eastAsia="Aptos" w:hAnsi="David"/>
          <w:kern w:val="2"/>
          <w:sz w:val="24"/>
          <w:rtl/>
          <w14:ligatures w14:val="standardContextual"/>
        </w:rPr>
      </w:pPr>
      <w:r w:rsidRPr="00681586">
        <w:rPr>
          <w:rFonts w:ascii="David" w:eastAsia="Aptos" w:hAnsi="David" w:hint="cs"/>
          <w:kern w:val="2"/>
          <w:sz w:val="24"/>
          <w:rtl/>
          <w14:ligatures w14:val="standardContextual"/>
        </w:rPr>
        <w:t xml:space="preserve">תרשים 5: </w:t>
      </w:r>
      <w:r w:rsidRPr="00681586">
        <w:rPr>
          <w:rFonts w:ascii="David" w:eastAsia="Aptos" w:hAnsi="David" w:hint="cs"/>
          <w:b/>
          <w:bCs/>
          <w:kern w:val="2"/>
          <w:sz w:val="24"/>
          <w:rtl/>
          <w14:ligatures w14:val="standardContextual"/>
        </w:rPr>
        <w:t>מבנה הרגולציה על ביטוחי הסיעוד באמצעות קופות החולים</w:t>
      </w:r>
    </w:p>
    <w:p w:rsidR="00681586" w:rsidRPr="00681586" w:rsidP="00BA015C">
      <w:pPr>
        <w:spacing w:line="269" w:lineRule="auto"/>
        <w:jc w:val="center"/>
        <w:rPr>
          <w:rFonts w:ascii="David" w:eastAsia="Aptos" w:hAnsi="David"/>
          <w:kern w:val="2"/>
          <w:sz w:val="24"/>
          <w:rtl/>
          <w14:ligatures w14:val="standardContextual"/>
        </w:rPr>
      </w:pPr>
      <w:r w:rsidRPr="00681586">
        <w:rPr>
          <w:rFonts w:ascii="David" w:eastAsia="Aptos" w:hAnsi="David"/>
          <w:noProof/>
          <w:kern w:val="2"/>
          <w:sz w:val="24"/>
          <w14:ligatures w14:val="standardContextual"/>
        </w:rPr>
        <w:drawing>
          <wp:inline distT="0" distB="0" distL="0" distR="0">
            <wp:extent cx="4576287" cy="2692400"/>
            <wp:effectExtent l="0" t="0" r="0" b="0"/>
            <wp:docPr id="91" name="תמונה 91" descr="מבנה הרגולציה על ביטוחי הסיעוד באמצעות קופות החו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3"/>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9181" cy="2699986"/>
                    </a:xfrm>
                    <a:prstGeom prst="rect">
                      <a:avLst/>
                    </a:prstGeom>
                    <a:noFill/>
                  </pic:spPr>
                </pic:pic>
              </a:graphicData>
            </a:graphic>
          </wp:inline>
        </w:drawing>
      </w:r>
    </w:p>
    <w:p w:rsidR="00681586" w:rsidRPr="00681586" w:rsidP="00681586">
      <w:pPr>
        <w:spacing w:line="269" w:lineRule="auto"/>
        <w:rPr>
          <w:rFonts w:eastAsia="Calibri"/>
          <w:rtl/>
        </w:rPr>
      </w:pPr>
    </w:p>
    <w:p w:rsidR="00681586" w:rsidRPr="00681586" w:rsidP="00681586">
      <w:pPr>
        <w:spacing w:line="269" w:lineRule="auto"/>
        <w:rPr>
          <w:rFonts w:eastAsia="Calibri"/>
          <w:rtl/>
        </w:rPr>
      </w:pPr>
      <w:r w:rsidRPr="00681586">
        <w:rPr>
          <w:rFonts w:eastAsia="Calibri" w:hint="cs"/>
          <w:b/>
          <w:bCs/>
          <w:rtl/>
        </w:rPr>
        <w:t>מהתרשים עולה כי מבנה שוק הביטוחים הפרטיים מורכב משילוב בין גופים ציבוריים, קופות החולים, לבין גופים פרטיים, חברות הביטוח. עוד עולה כי במבנה זה קיימים שני מאסדרים רלוונטיים: משרד הבריאות הוא מאסדר של קופות החולים, ורשות שוק ההון היא מאסדר של חברות הביטוח הפרטיות</w:t>
      </w:r>
      <w:r w:rsidRPr="00681586">
        <w:rPr>
          <w:rFonts w:eastAsia="Calibri" w:hint="cs"/>
          <w:rtl/>
        </w:rPr>
        <w:t xml:space="preserve">. </w:t>
      </w:r>
      <w:r w:rsidRPr="00681586">
        <w:rPr>
          <w:rFonts w:eastAsia="Calibri" w:hint="cs"/>
          <w:b/>
          <w:bCs/>
          <w:rtl/>
        </w:rPr>
        <w:t>יצויין כי</w:t>
      </w:r>
      <w:r w:rsidRPr="00681586">
        <w:rPr>
          <w:rFonts w:eastAsia="Calibri" w:hint="cs"/>
          <w:rtl/>
        </w:rPr>
        <w:t xml:space="preserve"> </w:t>
      </w:r>
      <w:r w:rsidRPr="00681586">
        <w:rPr>
          <w:rFonts w:eastAsia="Calibri" w:hint="cs"/>
          <w:b/>
          <w:bCs/>
          <w:rtl/>
        </w:rPr>
        <w:t>רשות שוק ההון היא הרגולטור של הביטוח הסיעודי הקבוצתי, בדומה לכלל ענפי הביטוח.</w:t>
      </w:r>
      <w:r w:rsidRPr="00681586">
        <w:rPr>
          <w:rFonts w:eastAsia="Calibri" w:hint="cs"/>
          <w:rtl/>
        </w:rPr>
        <w:t xml:space="preserve"> </w:t>
      </w:r>
    </w:p>
    <w:p w:rsidR="00681586" w:rsidRPr="00681586" w:rsidP="00681586">
      <w:pPr>
        <w:spacing w:line="269" w:lineRule="auto"/>
        <w:rPr>
          <w:rFonts w:eastAsia="Calibri"/>
          <w:rtl/>
        </w:rPr>
      </w:pPr>
    </w:p>
    <w:p w:rsidR="00681586" w:rsidRPr="00681586" w:rsidP="00681586">
      <w:pPr>
        <w:keepNext/>
        <w:keepLines/>
        <w:spacing w:line="269" w:lineRule="auto"/>
        <w:outlineLvl w:val="3"/>
        <w:rPr>
          <w:rFonts w:eastAsia="Times New Roman"/>
          <w:bCs/>
          <w:szCs w:val="26"/>
          <w:rtl/>
        </w:rPr>
      </w:pPr>
      <w:r w:rsidRPr="00681586">
        <w:rPr>
          <w:rFonts w:eastAsia="Times New Roman"/>
          <w:bCs/>
          <w:szCs w:val="26"/>
          <w:rtl/>
        </w:rPr>
        <w:t>סיכונים לאיתנות הפיננסית של מערך הביטחון הסוציאלי והביטוח הסיעודי בישראל</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בט"ל</w:t>
      </w:r>
      <w:r w:rsidRPr="00681586">
        <w:rPr>
          <w:rFonts w:eastAsia="Calibri"/>
          <w:rtl/>
        </w:rPr>
        <w:t xml:space="preserve"> הוא הגוף האחראי במדינת ישראל לתשלומי גמלאות סוציאליות ולתשלומים נוספים, ובכל שנה מיליוני זכאים מקבלים ממנו מגוון גמלאות</w:t>
      </w:r>
      <w:r w:rsidRPr="00681586">
        <w:rPr>
          <w:rFonts w:eastAsia="Calibri" w:hint="cs"/>
          <w:rtl/>
        </w:rPr>
        <w:t xml:space="preserve">. לפיכך, </w:t>
      </w:r>
      <w:r w:rsidRPr="00681586">
        <w:rPr>
          <w:rFonts w:eastAsia="Calibri"/>
          <w:rtl/>
        </w:rPr>
        <w:t>השמירה על איתנותו הפיננסית בטווח הארוך חשובה ביותר להבטחת רשת ביטחון סוציאלי לתושבי ישראל</w:t>
      </w:r>
      <w:r>
        <w:rPr>
          <w:rFonts w:eastAsia="Calibri"/>
          <w:vertAlign w:val="superscript"/>
          <w:rtl/>
        </w:rPr>
        <w:footnoteReference w:id="23"/>
      </w:r>
      <w:r w:rsidRPr="00681586">
        <w:rPr>
          <w:rFonts w:eastAsia="Calibri"/>
          <w:rtl/>
        </w:rPr>
        <w:t>.</w:t>
      </w:r>
      <w:r w:rsidRPr="00681586">
        <w:rPr>
          <w:rFonts w:eastAsia="Calibri" w:hint="cs"/>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קרן בט"ל היא העודפים שצברה בט"ל לטובת תשלומי קצבאות עתידיים. על פי ה</w:t>
      </w:r>
      <w:r w:rsidRPr="00681586">
        <w:rPr>
          <w:rFonts w:eastAsia="Calibri"/>
          <w:b/>
          <w:bCs/>
          <w:rtl/>
        </w:rPr>
        <w:t xml:space="preserve">הערכה </w:t>
      </w:r>
      <w:r w:rsidRPr="00681586">
        <w:rPr>
          <w:rFonts w:eastAsia="Calibri" w:hint="cs"/>
          <w:b/>
          <w:bCs/>
          <w:rtl/>
        </w:rPr>
        <w:t xml:space="preserve">של בט"ל משנת 2024 על </w:t>
      </w:r>
      <w:r w:rsidRPr="00681586">
        <w:rPr>
          <w:rFonts w:eastAsia="Calibri"/>
          <w:b/>
          <w:bCs/>
          <w:rtl/>
        </w:rPr>
        <w:t>מצבו הפיננסי ארוך הטווח ויכולתו להמשיך ולשלם בצורה יציבה ועקבית את הקצבאות בעתיד</w:t>
      </w:r>
      <w:r>
        <w:rPr>
          <w:rFonts w:eastAsia="Calibri"/>
          <w:b/>
          <w:bCs/>
          <w:vertAlign w:val="superscript"/>
          <w:rtl/>
        </w:rPr>
        <w:footnoteReference w:id="24"/>
      </w:r>
      <w:r w:rsidRPr="00681586">
        <w:rPr>
          <w:rFonts w:eastAsia="Calibri" w:hint="cs"/>
          <w:b/>
          <w:bCs/>
          <w:rtl/>
        </w:rPr>
        <w:t>, צפויה הקרן התאפס בשנת 2036. כלומר, ללא מימון נוסף, המוסד לא יוכל לשלם את מלוא התחייבויותיו על פי החוק. עוד צוין בהערכה כי שינויים בגמלת הסיעוד של בט"ל הקדימו את שנת איפוס הקרן ב-6.3 שנים, ביחס לשנת האיפוס שנקבעה בהערכה הקודמת משנת 2020 (להרחבה ראו בהמשך). במהלך הביקורת מסר בט"ל למשרד מבקר המדינה כי על פי הערכתו העדכנית (דצמבר 2025) שנת איפוס הקרן הוקדמה לשנת 2035.</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b/>
          <w:bCs/>
          <w:rtl/>
        </w:rPr>
        <w:t>בתחילת שנת 2023</w:t>
      </w:r>
      <w:r w:rsidRPr="00681586">
        <w:rPr>
          <w:rFonts w:eastAsia="Calibri" w:hint="cs"/>
          <w:b/>
          <w:bCs/>
          <w:rtl/>
        </w:rPr>
        <w:t>,</w:t>
      </w:r>
      <w:r w:rsidRPr="00681586">
        <w:rPr>
          <w:rFonts w:eastAsia="Calibri"/>
          <w:b/>
          <w:bCs/>
          <w:rtl/>
        </w:rPr>
        <w:t xml:space="preserve"> </w:t>
      </w:r>
      <w:r w:rsidRPr="00681586">
        <w:rPr>
          <w:rFonts w:eastAsia="Calibri" w:hint="cs"/>
          <w:b/>
          <w:bCs/>
          <w:rtl/>
        </w:rPr>
        <w:t xml:space="preserve">חברת הביטוח המבטחת בביטוח סיעודי את חברי שירותי בריאות כללית (להלן - </w:t>
      </w:r>
      <w:r w:rsidRPr="00681586">
        <w:rPr>
          <w:rFonts w:eastAsia="Calibri"/>
          <w:b/>
          <w:bCs/>
          <w:rtl/>
        </w:rPr>
        <w:t>קופת חולים כללית</w:t>
      </w:r>
      <w:r w:rsidRPr="00681586">
        <w:rPr>
          <w:rFonts w:eastAsia="Calibri" w:hint="cs"/>
          <w:b/>
          <w:bCs/>
          <w:rtl/>
        </w:rPr>
        <w:t xml:space="preserve"> או כללית),</w:t>
      </w:r>
      <w:r w:rsidRPr="00681586">
        <w:rPr>
          <w:rFonts w:eastAsia="Calibri"/>
          <w:b/>
          <w:bCs/>
          <w:rtl/>
        </w:rPr>
        <w:t xml:space="preserve"> </w:t>
      </w:r>
      <w:r w:rsidRPr="00681586">
        <w:rPr>
          <w:rFonts w:eastAsia="Calibri" w:hint="cs"/>
          <w:b/>
          <w:bCs/>
          <w:rtl/>
        </w:rPr>
        <w:t xml:space="preserve">הקופה </w:t>
      </w:r>
      <w:r w:rsidRPr="00681586">
        <w:rPr>
          <w:rFonts w:eastAsia="Calibri"/>
          <w:b/>
          <w:bCs/>
          <w:rtl/>
        </w:rPr>
        <w:t xml:space="preserve">שאחראית לספק שירותי בריאות על </w:t>
      </w:r>
      <w:r w:rsidRPr="00681586">
        <w:rPr>
          <w:rFonts w:eastAsia="Calibri" w:hint="cs"/>
          <w:b/>
          <w:bCs/>
          <w:rtl/>
        </w:rPr>
        <w:t xml:space="preserve">פי </w:t>
      </w:r>
      <w:r w:rsidRPr="00681586">
        <w:rPr>
          <w:rFonts w:eastAsia="Calibri"/>
          <w:b/>
          <w:bCs/>
          <w:rtl/>
        </w:rPr>
        <w:t xml:space="preserve">חוק בריאות ממלכתי לכ-50% מתושבי ישראל, </w:t>
      </w:r>
      <w:r w:rsidRPr="00681586">
        <w:rPr>
          <w:rFonts w:eastAsia="Calibri" w:hint="cs"/>
          <w:b/>
          <w:bCs/>
          <w:rtl/>
        </w:rPr>
        <w:t xml:space="preserve">התריעה </w:t>
      </w:r>
      <w:bookmarkStart w:id="2" w:name="_Hlk223268034"/>
      <w:bookmarkStart w:id="3" w:name="_Hlk223268072"/>
      <w:r w:rsidRPr="00681586">
        <w:rPr>
          <w:rFonts w:eastAsia="Calibri"/>
          <w:b/>
          <w:bCs/>
          <w:rtl/>
        </w:rPr>
        <w:t>על שחיקה בקרן המבוטחים</w:t>
      </w:r>
      <w:r w:rsidRPr="00681586">
        <w:rPr>
          <w:rFonts w:eastAsia="Calibri" w:hint="cs"/>
          <w:b/>
          <w:bCs/>
          <w:rtl/>
        </w:rPr>
        <w:t>. השחיקה</w:t>
      </w:r>
      <w:r w:rsidRPr="00681586">
        <w:rPr>
          <w:rFonts w:eastAsia="Calibri"/>
          <w:b/>
          <w:bCs/>
          <w:rtl/>
        </w:rPr>
        <w:t xml:space="preserve"> </w:t>
      </w:r>
      <w:bookmarkEnd w:id="2"/>
      <w:bookmarkEnd w:id="3"/>
      <w:r w:rsidRPr="00681586">
        <w:rPr>
          <w:rFonts w:eastAsia="Calibri" w:hint="cs"/>
          <w:b/>
          <w:bCs/>
          <w:rtl/>
        </w:rPr>
        <w:t>החלה בסוף שנת 2021, ו</w:t>
      </w:r>
      <w:r w:rsidRPr="00681586">
        <w:rPr>
          <w:rFonts w:eastAsia="Calibri"/>
          <w:b/>
          <w:bCs/>
          <w:rtl/>
        </w:rPr>
        <w:t xml:space="preserve">החריפה בשנת 2022 והובילה לחשש ממשי </w:t>
      </w:r>
      <w:r w:rsidRPr="00681586">
        <w:rPr>
          <w:rFonts w:eastAsia="Calibri" w:hint="cs"/>
          <w:b/>
          <w:bCs/>
          <w:rtl/>
        </w:rPr>
        <w:t>מ</w:t>
      </w:r>
      <w:r w:rsidRPr="00681586">
        <w:rPr>
          <w:rFonts w:eastAsia="Calibri"/>
          <w:b/>
          <w:bCs/>
          <w:rtl/>
        </w:rPr>
        <w:t>כניסת הקרן לג</w:t>
      </w:r>
      <w:r w:rsidRPr="00681586">
        <w:rPr>
          <w:rFonts w:eastAsia="Calibri" w:hint="cs"/>
          <w:b/>
          <w:bCs/>
          <w:rtl/>
        </w:rPr>
        <w:t>י</w:t>
      </w:r>
      <w:r w:rsidRPr="00681586">
        <w:rPr>
          <w:rFonts w:eastAsia="Calibri"/>
          <w:b/>
          <w:bCs/>
          <w:rtl/>
        </w:rPr>
        <w:t>רעון</w:t>
      </w:r>
      <w:r w:rsidRPr="00681586">
        <w:rPr>
          <w:rFonts w:eastAsia="Calibri" w:hint="cs"/>
          <w:b/>
          <w:bCs/>
          <w:rtl/>
        </w:rPr>
        <w:t>.</w:t>
      </w:r>
      <w:r w:rsidRPr="00681586">
        <w:rPr>
          <w:rFonts w:eastAsia="Calibri"/>
          <w:b/>
          <w:bCs/>
          <w:rtl/>
        </w:rPr>
        <w:t xml:space="preserve"> בעקבות </w:t>
      </w:r>
      <w:r w:rsidRPr="00681586">
        <w:rPr>
          <w:rFonts w:eastAsia="Calibri" w:hint="cs"/>
          <w:b/>
          <w:bCs/>
          <w:rtl/>
        </w:rPr>
        <w:t xml:space="preserve">השחיקה </w:t>
      </w:r>
      <w:r w:rsidRPr="00681586">
        <w:rPr>
          <w:rFonts w:eastAsia="Calibri"/>
          <w:b/>
          <w:bCs/>
          <w:rtl/>
        </w:rPr>
        <w:t>הודיעה</w:t>
      </w:r>
      <w:r w:rsidRPr="00681586">
        <w:rPr>
          <w:rFonts w:eastAsia="Calibri" w:hint="cs"/>
          <w:b/>
          <w:bCs/>
          <w:rtl/>
        </w:rPr>
        <w:t xml:space="preserve"> חברת הביטוח</w:t>
      </w:r>
      <w:r w:rsidRPr="00681586">
        <w:rPr>
          <w:rFonts w:eastAsia="Calibri"/>
          <w:b/>
          <w:bCs/>
          <w:rtl/>
        </w:rPr>
        <w:t xml:space="preserve"> כי לא תחדש את ההסכם להפעלת הביטוח. לאחר מגעים ממושכים בין הגורמים המעורבים, שכללו גם הליך משפטי, בוצעו שינויים בתנאי הביטוח ובגובה התגמולים, </w:t>
      </w:r>
      <w:r w:rsidRPr="00681586">
        <w:rPr>
          <w:rFonts w:eastAsia="Calibri" w:hint="cs"/>
          <w:b/>
          <w:bCs/>
          <w:rtl/>
        </w:rPr>
        <w:t>והחברה</w:t>
      </w:r>
      <w:r w:rsidRPr="00681586">
        <w:rPr>
          <w:rFonts w:eastAsia="Calibri"/>
          <w:b/>
          <w:bCs/>
          <w:rtl/>
        </w:rPr>
        <w:t xml:space="preserve"> הסכימה להמשיך להפעיל את הביטוח הסיעודי לחברי קופת חולים כללית עד סוף שנת 2026 (להרחבה ראו בהמשך).</w:t>
      </w:r>
    </w:p>
    <w:p w:rsidR="002A401B" w:rsidP="00681586">
      <w:pPr>
        <w:spacing w:line="269" w:lineRule="auto"/>
        <w:rPr>
          <w:rFonts w:eastAsia="Calibri"/>
          <w:b/>
          <w:bCs/>
          <w:rtl/>
        </w:rPr>
      </w:pPr>
      <w:r w:rsidRPr="00681586">
        <w:rPr>
          <w:rFonts w:eastAsia="Calibri" w:hint="eastAsia"/>
          <w:b/>
          <w:bCs/>
          <w:rtl/>
        </w:rPr>
        <w:t>הערכות</w:t>
      </w:r>
      <w:r w:rsidRPr="00681586">
        <w:rPr>
          <w:rFonts w:eastAsia="Calibri"/>
          <w:b/>
          <w:bCs/>
          <w:rtl/>
        </w:rPr>
        <w:t xml:space="preserve"> </w:t>
      </w:r>
      <w:r w:rsidRPr="00681586">
        <w:rPr>
          <w:rFonts w:eastAsia="Calibri" w:hint="eastAsia"/>
          <w:b/>
          <w:bCs/>
          <w:rtl/>
        </w:rPr>
        <w:t>של</w:t>
      </w:r>
      <w:r w:rsidRPr="00681586">
        <w:rPr>
          <w:rFonts w:eastAsia="Calibri"/>
          <w:b/>
          <w:bCs/>
          <w:rtl/>
        </w:rPr>
        <w:t xml:space="preserve"> </w:t>
      </w:r>
      <w:r w:rsidRPr="00681586">
        <w:rPr>
          <w:rFonts w:eastAsia="Calibri" w:hint="eastAsia"/>
          <w:b/>
          <w:bCs/>
          <w:rtl/>
        </w:rPr>
        <w:t>בט</w:t>
      </w:r>
      <w:r w:rsidRPr="00681586">
        <w:rPr>
          <w:rFonts w:eastAsia="Calibri"/>
          <w:b/>
          <w:bCs/>
          <w:rtl/>
        </w:rPr>
        <w:t xml:space="preserve">"ל </w:t>
      </w:r>
      <w:r w:rsidRPr="00681586">
        <w:rPr>
          <w:rFonts w:eastAsia="Calibri" w:hint="eastAsia"/>
          <w:b/>
          <w:bCs/>
          <w:rtl/>
        </w:rPr>
        <w:t>בעניין</w:t>
      </w:r>
      <w:r w:rsidRPr="00681586">
        <w:rPr>
          <w:rFonts w:eastAsia="Calibri"/>
          <w:b/>
          <w:bCs/>
          <w:rtl/>
        </w:rPr>
        <w:t xml:space="preserve"> </w:t>
      </w:r>
      <w:r w:rsidRPr="00681586">
        <w:rPr>
          <w:rFonts w:eastAsia="Calibri" w:hint="eastAsia"/>
          <w:b/>
          <w:bCs/>
          <w:rtl/>
        </w:rPr>
        <w:t>מצבו</w:t>
      </w:r>
      <w:r w:rsidRPr="00681586">
        <w:rPr>
          <w:rFonts w:eastAsia="Calibri"/>
          <w:b/>
          <w:bCs/>
          <w:rtl/>
        </w:rPr>
        <w:t xml:space="preserve"> </w:t>
      </w:r>
      <w:r w:rsidRPr="00681586">
        <w:rPr>
          <w:rFonts w:eastAsia="Calibri" w:hint="eastAsia"/>
          <w:b/>
          <w:bCs/>
          <w:rtl/>
        </w:rPr>
        <w:t>הפיננסי</w:t>
      </w:r>
      <w:r w:rsidRPr="00681586">
        <w:rPr>
          <w:rFonts w:eastAsia="Calibri"/>
          <w:b/>
          <w:bCs/>
          <w:rtl/>
        </w:rPr>
        <w:t xml:space="preserve"> </w:t>
      </w:r>
      <w:r w:rsidRPr="00681586">
        <w:rPr>
          <w:rFonts w:eastAsia="Calibri" w:hint="eastAsia"/>
          <w:b/>
          <w:bCs/>
          <w:rtl/>
        </w:rPr>
        <w:t>של</w:t>
      </w:r>
      <w:r w:rsidRPr="00681586">
        <w:rPr>
          <w:rFonts w:eastAsia="Calibri"/>
          <w:b/>
          <w:bCs/>
          <w:rtl/>
        </w:rPr>
        <w:t xml:space="preserve"> </w:t>
      </w:r>
      <w:r w:rsidRPr="00681586">
        <w:rPr>
          <w:rFonts w:eastAsia="Calibri" w:hint="eastAsia"/>
          <w:b/>
          <w:bCs/>
          <w:rtl/>
        </w:rPr>
        <w:t>המוסד</w:t>
      </w:r>
      <w:r w:rsidRPr="00681586">
        <w:rPr>
          <w:rFonts w:eastAsia="Calibri"/>
          <w:b/>
          <w:bCs/>
          <w:rtl/>
        </w:rPr>
        <w:t>, לצד ההתפתחויות בביטוחי הסיעוד המופעלים באמצעות קופות החולים, מצביע</w:t>
      </w:r>
      <w:r w:rsidRPr="00681586">
        <w:rPr>
          <w:rFonts w:eastAsia="Calibri" w:hint="eastAsia"/>
          <w:b/>
          <w:bCs/>
          <w:rtl/>
        </w:rPr>
        <w:t>ות</w:t>
      </w:r>
      <w:r w:rsidRPr="00681586">
        <w:rPr>
          <w:rFonts w:eastAsia="Calibri"/>
          <w:b/>
          <w:bCs/>
          <w:rtl/>
        </w:rPr>
        <w:t xml:space="preserve"> על חוסר יציבות מתמשך באיתנות הפיננסית של מערך הביטוח הסיעודי בישראל. הקדמת מועד איפוס </w:t>
      </w:r>
      <w:r w:rsidRPr="00681586">
        <w:rPr>
          <w:rFonts w:eastAsia="Calibri" w:hint="eastAsia"/>
          <w:b/>
          <w:bCs/>
          <w:rtl/>
        </w:rPr>
        <w:t>ה</w:t>
      </w:r>
      <w:r w:rsidRPr="00681586">
        <w:rPr>
          <w:rFonts w:eastAsia="Calibri"/>
          <w:b/>
          <w:bCs/>
          <w:rtl/>
        </w:rPr>
        <w:t xml:space="preserve">קרן </w:t>
      </w:r>
      <w:r w:rsidRPr="00681586">
        <w:rPr>
          <w:rFonts w:eastAsia="Calibri" w:hint="eastAsia"/>
          <w:b/>
          <w:bCs/>
          <w:rtl/>
        </w:rPr>
        <w:t>של</w:t>
      </w:r>
      <w:r w:rsidRPr="00681586">
        <w:rPr>
          <w:rFonts w:eastAsia="Calibri"/>
          <w:b/>
          <w:bCs/>
          <w:rtl/>
        </w:rPr>
        <w:t xml:space="preserve"> </w:t>
      </w:r>
      <w:r w:rsidRPr="00681586">
        <w:rPr>
          <w:rFonts w:eastAsia="Calibri" w:hint="eastAsia"/>
          <w:b/>
          <w:bCs/>
          <w:rtl/>
        </w:rPr>
        <w:t>בט</w:t>
      </w:r>
      <w:r w:rsidRPr="00681586">
        <w:rPr>
          <w:rFonts w:eastAsia="Calibri"/>
          <w:b/>
          <w:bCs/>
          <w:rtl/>
        </w:rPr>
        <w:t xml:space="preserve">"ל, </w:t>
      </w:r>
      <w:r w:rsidRPr="00681586">
        <w:rPr>
          <w:rFonts w:eastAsia="Calibri" w:hint="eastAsia"/>
          <w:b/>
          <w:bCs/>
          <w:rtl/>
        </w:rPr>
        <w:t>לצד</w:t>
      </w:r>
      <w:r w:rsidRPr="00681586">
        <w:rPr>
          <w:rFonts w:eastAsia="Calibri"/>
          <w:b/>
          <w:bCs/>
          <w:rtl/>
        </w:rPr>
        <w:t xml:space="preserve"> השחיקה וההתערבות הרגולטורית שנדרשה בביטוחי הסיעוד בקופות החולים, עלולות להעמיד סיכון ממשי ליכולת של המערכת לעמוד בהתחייבויותיה לאורך זמן. מציאות זו עלולה לפגוע ביציבות הכיסוי הביטוחי ובזכויות </w:t>
      </w:r>
      <w:r w:rsidRPr="00681586">
        <w:rPr>
          <w:rFonts w:eastAsia="Calibri" w:hint="eastAsia"/>
          <w:b/>
          <w:bCs/>
          <w:rtl/>
        </w:rPr>
        <w:t>של</w:t>
      </w:r>
      <w:r w:rsidRPr="00681586">
        <w:rPr>
          <w:rFonts w:eastAsia="Calibri"/>
          <w:b/>
          <w:bCs/>
          <w:rtl/>
        </w:rPr>
        <w:t xml:space="preserve"> כלל המבוטחים בביטוח הסיעודי, ומדגישה את הצורך בבחינה מערכתית ובצעדים להבטחת קיימותו של הביטוח הסיעודי לטווח הארוך.</w:t>
      </w:r>
    </w:p>
    <w:p w:rsidR="00681586" w:rsidRPr="00681586" w:rsidP="00681586">
      <w:pPr>
        <w:spacing w:line="269" w:lineRule="auto"/>
        <w:rPr>
          <w:rFonts w:eastAsia="Calibri"/>
          <w:b/>
          <w:bCs/>
          <w:rtl/>
        </w:rPr>
      </w:pPr>
    </w:p>
    <w:p w:rsidR="00681586" w:rsidRPr="00681586" w:rsidP="00681586">
      <w:pPr>
        <w:keepNext/>
        <w:keepLines/>
        <w:spacing w:line="269" w:lineRule="auto"/>
        <w:outlineLvl w:val="2"/>
        <w:rPr>
          <w:rFonts w:eastAsia="Times New Roman"/>
          <w:bCs/>
          <w:szCs w:val="28"/>
          <w:u w:val="single"/>
          <w:rtl/>
        </w:rPr>
      </w:pPr>
      <w:r w:rsidRPr="00681586">
        <w:rPr>
          <w:rFonts w:eastAsia="Times New Roman" w:hint="cs"/>
          <w:bCs/>
          <w:szCs w:val="28"/>
          <w:u w:val="single"/>
          <w:rtl/>
        </w:rPr>
        <w:t>פעולות הביקורת</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בחודשים דצמבר 2024 עד נובמבר 2025, בעקבות החמרת הגירעון האקטוארי של בט"ל</w:t>
      </w:r>
      <w:r w:rsidRPr="00681586">
        <w:rPr>
          <w:rFonts w:eastAsia="Calibri"/>
        </w:rPr>
        <w:t xml:space="preserve"> </w:t>
      </w:r>
      <w:r w:rsidRPr="00681586">
        <w:rPr>
          <w:rFonts w:eastAsia="Calibri" w:hint="cs"/>
          <w:rtl/>
        </w:rPr>
        <w:t>והמשבר בביטוחי הסיעוד הפרטיים דרך קופות החולים, בדק משרד מבקר המדינה את פעולות הממשלה בנושא הביטוחים הסיעודיים בבט"ל ובקופות החולים. הביקורת בוצעה בבט"ל ובמשרד האוצר - אגף התקציבים ורשות שוק ההון. ביקורת השלמה בוצעה במשרד הבריאות, בקופות החולים (שירותי בריאות כללית, מכבי שירותי בריאות, קופת חולים מאוחדת, לאומית שירותי בריאות) ובמועצה הלאומית לכלכלה במשרד ראש הממשלה, וכן נערכו ביקורים במרכזי יום לקשישים סיעודיים.</w:t>
      </w:r>
    </w:p>
    <w:p w:rsidR="00681586" w:rsidRPr="00681586" w:rsidP="00681586">
      <w:pPr>
        <w:spacing w:line="269" w:lineRule="auto"/>
        <w:rPr>
          <w:rFonts w:eastAsia="Calibri"/>
          <w:rtl/>
        </w:rPr>
      </w:pPr>
    </w:p>
    <w:p w:rsidR="00681586" w:rsidRPr="00681586" w:rsidP="00681586">
      <w:pPr>
        <w:keepNext/>
        <w:keepLines/>
        <w:spacing w:line="269" w:lineRule="auto"/>
        <w:outlineLvl w:val="2"/>
        <w:rPr>
          <w:rFonts w:eastAsia="Times New Roman"/>
          <w:bCs/>
          <w:szCs w:val="28"/>
          <w:u w:val="single"/>
          <w:rtl/>
        </w:rPr>
      </w:pPr>
      <w:r w:rsidRPr="00681586">
        <w:rPr>
          <w:rFonts w:eastAsia="Times New Roman" w:hint="cs"/>
          <w:bCs/>
          <w:szCs w:val="28"/>
          <w:u w:val="single"/>
          <w:rtl/>
        </w:rPr>
        <w:t>יציבותו של מערך הביטוח הסיעודי</w:t>
      </w:r>
    </w:p>
    <w:p w:rsidR="00681586" w:rsidRPr="00681586" w:rsidP="00681586">
      <w:pPr>
        <w:rPr>
          <w:rFonts w:eastAsia="Calibri"/>
          <w:rtl/>
        </w:rPr>
      </w:pPr>
    </w:p>
    <w:p w:rsidR="00681586" w:rsidRPr="00681586" w:rsidP="00681586">
      <w:pPr>
        <w:keepNext/>
        <w:keepLines/>
        <w:spacing w:line="269" w:lineRule="auto"/>
        <w:outlineLvl w:val="3"/>
        <w:rPr>
          <w:rFonts w:eastAsia="Times New Roman"/>
          <w:bCs/>
          <w:szCs w:val="26"/>
          <w:rtl/>
        </w:rPr>
      </w:pPr>
      <w:r w:rsidRPr="00681586">
        <w:rPr>
          <w:rFonts w:eastAsia="Times New Roman" w:hint="cs"/>
          <w:bCs/>
          <w:szCs w:val="26"/>
          <w:rtl/>
        </w:rPr>
        <w:t xml:space="preserve">סוגיית </w:t>
      </w:r>
      <w:r w:rsidRPr="00681586">
        <w:rPr>
          <w:rFonts w:eastAsia="Times New Roman"/>
          <w:bCs/>
          <w:szCs w:val="26"/>
          <w:rtl/>
        </w:rPr>
        <w:t xml:space="preserve">יציבות הביטוח הסיעודי של </w:t>
      </w:r>
      <w:r w:rsidRPr="00681586">
        <w:rPr>
          <w:rFonts w:eastAsia="Times New Roman" w:hint="cs"/>
          <w:bCs/>
          <w:szCs w:val="26"/>
          <w:rtl/>
        </w:rPr>
        <w:t>המוסד לביטוח לאומי</w:t>
      </w:r>
    </w:p>
    <w:p w:rsidR="00681586" w:rsidRPr="00681586" w:rsidP="00681586">
      <w:pPr>
        <w:spacing w:line="269" w:lineRule="auto"/>
        <w:rPr>
          <w:rFonts w:eastAsia="Calibri"/>
          <w:rtl/>
        </w:rPr>
      </w:pPr>
    </w:p>
    <w:p w:rsidR="00681586" w:rsidRPr="00681586" w:rsidP="00681586">
      <w:pPr>
        <w:keepNext/>
        <w:keepLines/>
        <w:spacing w:line="269" w:lineRule="auto"/>
        <w:outlineLvl w:val="4"/>
        <w:rPr>
          <w:rFonts w:eastAsia="Times New Roman"/>
          <w:bCs/>
          <w:spacing w:val="40"/>
          <w:rtl/>
        </w:rPr>
      </w:pPr>
      <w:r w:rsidRPr="00681586">
        <w:rPr>
          <w:rFonts w:eastAsia="Times New Roman" w:hint="cs"/>
          <w:bCs/>
          <w:spacing w:val="40"/>
          <w:rtl/>
        </w:rPr>
        <w:t>הרפורמה בסיעוד והשפעתה על היקף הזכאים לגמלת סיעוד</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בשנת 2018, </w:t>
      </w:r>
      <w:r w:rsidRPr="00681586">
        <w:rPr>
          <w:rFonts w:eastAsia="Calibri"/>
          <w:rtl/>
        </w:rPr>
        <w:t>כחלק מתוכנית הסיעוד הלאומית</w:t>
      </w:r>
      <w:r>
        <w:rPr>
          <w:rFonts w:eastAsia="Calibri"/>
          <w:vertAlign w:val="superscript"/>
          <w:rtl/>
        </w:rPr>
        <w:footnoteReference w:id="25"/>
      </w:r>
      <w:r w:rsidRPr="00681586">
        <w:rPr>
          <w:rFonts w:eastAsia="Calibri" w:hint="cs"/>
          <w:rtl/>
        </w:rPr>
        <w:t>,</w:t>
      </w:r>
      <w:r w:rsidRPr="00681586">
        <w:rPr>
          <w:rFonts w:eastAsia="Calibri"/>
          <w:rtl/>
        </w:rPr>
        <w:t xml:space="preserve"> ובמטרה להרחיב, לשפר ולייעל את שירותי הסיעוד הניתנים לקשישים הסיעודיים בישראל</w:t>
      </w:r>
      <w:r w:rsidRPr="00681586">
        <w:rPr>
          <w:rFonts w:eastAsia="Calibri" w:hint="cs"/>
          <w:rtl/>
        </w:rPr>
        <w:t>, התקבלה החלטת הממשלה בנושא "תוכנית סיעוד לאומית"</w:t>
      </w:r>
      <w:r>
        <w:rPr>
          <w:rFonts w:eastAsia="Calibri"/>
          <w:vertAlign w:val="superscript"/>
          <w:rtl/>
        </w:rPr>
        <w:footnoteReference w:id="26"/>
      </w:r>
      <w:r w:rsidRPr="00681586">
        <w:rPr>
          <w:rFonts w:eastAsia="Calibri" w:hint="cs"/>
          <w:rtl/>
        </w:rPr>
        <w:t xml:space="preserve">. בהמשך להחלטה זו, </w:t>
      </w:r>
      <w:bookmarkStart w:id="4" w:name="_Hlk222815042"/>
      <w:r w:rsidRPr="00681586">
        <w:rPr>
          <w:rFonts w:eastAsia="Calibri" w:hint="cs"/>
          <w:rtl/>
        </w:rPr>
        <w:t>נחקקה</w:t>
      </w:r>
      <w:r w:rsidRPr="00681586">
        <w:rPr>
          <w:rFonts w:eastAsia="Calibri"/>
          <w:rtl/>
        </w:rPr>
        <w:t xml:space="preserve"> הרפורמה בביטוח סיעוד</w:t>
      </w:r>
      <w:r w:rsidRPr="00681586">
        <w:rPr>
          <w:rFonts w:eastAsia="Calibri" w:hint="cs"/>
          <w:rtl/>
        </w:rPr>
        <w:t xml:space="preserve"> שנכנסה לתוקף בנובמבר 2018</w:t>
      </w:r>
      <w:bookmarkEnd w:id="4"/>
      <w:r>
        <w:rPr>
          <w:rFonts w:eastAsia="Calibri"/>
          <w:vertAlign w:val="superscript"/>
          <w:rtl/>
        </w:rPr>
        <w:footnoteReference w:id="27"/>
      </w:r>
      <w:r w:rsidRPr="00681586">
        <w:rPr>
          <w:rFonts w:eastAsia="Calibri" w:hint="cs"/>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מרכיבי הרפורמה העיקריים כוללים</w:t>
      </w:r>
      <w:r>
        <w:rPr>
          <w:rFonts w:eastAsia="Calibri"/>
          <w:vertAlign w:val="superscript"/>
          <w:rtl/>
        </w:rPr>
        <w:footnoteReference w:id="28"/>
      </w:r>
      <w:r w:rsidRPr="00681586">
        <w:rPr>
          <w:rFonts w:eastAsia="Calibri" w:hint="cs"/>
          <w:rtl/>
        </w:rPr>
        <w:t>:</w:t>
      </w:r>
    </w:p>
    <w:p w:rsidR="00681586" w:rsidRPr="00681586" w:rsidP="00681586">
      <w:pPr>
        <w:spacing w:line="269" w:lineRule="auto"/>
        <w:rPr>
          <w:rFonts w:eastAsia="Calibri"/>
          <w:rtl/>
        </w:rPr>
      </w:pPr>
    </w:p>
    <w:p w:rsidR="00681586" w:rsidRPr="00681586" w:rsidP="00681586">
      <w:pPr>
        <w:numPr>
          <w:ilvl w:val="0"/>
          <w:numId w:val="19"/>
        </w:numPr>
        <w:spacing w:line="269" w:lineRule="auto"/>
        <w:contextualSpacing/>
        <w:rPr>
          <w:rFonts w:eastAsia="Calibri"/>
        </w:rPr>
      </w:pPr>
      <w:r w:rsidRPr="00681586">
        <w:rPr>
          <w:rFonts w:eastAsia="Times New Roman" w:hint="cs"/>
          <w:bCs/>
          <w:spacing w:val="40"/>
          <w:rtl/>
        </w:rPr>
        <w:t>מעבר משלוש רמות לשש רמות גמלה:</w:t>
      </w:r>
      <w:r w:rsidRPr="00681586">
        <w:rPr>
          <w:rFonts w:eastAsia="Calibri" w:hint="cs"/>
          <w:rtl/>
        </w:rPr>
        <w:t xml:space="preserve"> עד הרפורמה בסיעוד היו שלוש רמות גמלה בלבד, ואילו לאחריה קבע החוק כי יש לקבוע שש רמות לגמלת הסיעוד. המעבר לשש רמות אפשר מתן מענה מדויק יותר לצורכי זכאי חוק הסיעוד</w:t>
      </w:r>
      <w:r>
        <w:rPr>
          <w:rFonts w:eastAsia="Calibri"/>
          <w:vertAlign w:val="superscript"/>
          <w:rtl/>
        </w:rPr>
        <w:footnoteReference w:id="29"/>
      </w:r>
      <w:r w:rsidRPr="00681586">
        <w:rPr>
          <w:rFonts w:eastAsia="Calibri" w:hint="cs"/>
          <w:rtl/>
        </w:rPr>
        <w:t>.</w:t>
      </w:r>
    </w:p>
    <w:p w:rsidR="00681586" w:rsidRPr="00681586" w:rsidP="00681586">
      <w:pPr>
        <w:spacing w:line="269" w:lineRule="auto"/>
        <w:ind w:left="720"/>
        <w:contextualSpacing/>
        <w:rPr>
          <w:rFonts w:eastAsia="Calibri"/>
        </w:rPr>
      </w:pPr>
    </w:p>
    <w:p w:rsidR="00681586" w:rsidRPr="00681586" w:rsidP="00681586">
      <w:pPr>
        <w:numPr>
          <w:ilvl w:val="0"/>
          <w:numId w:val="19"/>
        </w:numPr>
        <w:spacing w:line="269" w:lineRule="auto"/>
        <w:contextualSpacing/>
        <w:rPr>
          <w:rFonts w:eastAsia="Calibri"/>
        </w:rPr>
      </w:pPr>
      <w:r w:rsidRPr="00681586">
        <w:rPr>
          <w:rFonts w:eastAsia="Times New Roman" w:hint="cs"/>
          <w:bCs/>
          <w:spacing w:val="40"/>
          <w:rtl/>
        </w:rPr>
        <w:t>קבלת גמלה בכסף:</w:t>
      </w:r>
      <w:r w:rsidRPr="00681586">
        <w:rPr>
          <w:rFonts w:eastAsia="Calibri" w:hint="cs"/>
          <w:rtl/>
        </w:rPr>
        <w:t xml:space="preserve"> בעקבות הרפורמה הורחבה האפשרות </w:t>
      </w:r>
      <w:r w:rsidRPr="00681586">
        <w:rPr>
          <w:rFonts w:eastAsia="Calibri"/>
          <w:rtl/>
        </w:rPr>
        <w:t>לבחירה בגמלה בכסף ו</w:t>
      </w:r>
      <w:r w:rsidRPr="00681586">
        <w:rPr>
          <w:rFonts w:eastAsia="Calibri" w:hint="cs"/>
          <w:rtl/>
        </w:rPr>
        <w:t>כן ה</w:t>
      </w:r>
      <w:r w:rsidRPr="00681586">
        <w:rPr>
          <w:rFonts w:eastAsia="Calibri"/>
          <w:rtl/>
        </w:rPr>
        <w:t xml:space="preserve">אפשרות של שילוב גמלה בכסף </w:t>
      </w:r>
      <w:r w:rsidRPr="00681586">
        <w:rPr>
          <w:rFonts w:eastAsia="Calibri" w:hint="cs"/>
          <w:rtl/>
        </w:rPr>
        <w:t>ו</w:t>
      </w:r>
      <w:r w:rsidRPr="00681586">
        <w:rPr>
          <w:rFonts w:eastAsia="Calibri"/>
          <w:rtl/>
        </w:rPr>
        <w:t>שירותים</w:t>
      </w:r>
      <w:r w:rsidRPr="00681586">
        <w:rPr>
          <w:rFonts w:eastAsia="Calibri" w:hint="cs"/>
          <w:rtl/>
        </w:rPr>
        <w:t>. מטרת רכיב זה ברפורמה הייתה</w:t>
      </w:r>
      <w:r w:rsidRPr="00681586">
        <w:rPr>
          <w:rFonts w:eastAsia="Calibri"/>
          <w:rtl/>
        </w:rPr>
        <w:t xml:space="preserve"> לאפשר למבוטח לנצל את הגמלה עבור צרכים נוספים מלבד השירותים שניתנים על ידי </w:t>
      </w:r>
      <w:r w:rsidRPr="00681586">
        <w:rPr>
          <w:rFonts w:eastAsia="Calibri" w:hint="cs"/>
          <w:rtl/>
        </w:rPr>
        <w:t>בט"ל</w:t>
      </w:r>
      <w:r w:rsidRPr="00681586">
        <w:rPr>
          <w:rFonts w:eastAsia="Calibri"/>
        </w:rPr>
        <w:t>.</w:t>
      </w:r>
      <w:r w:rsidRPr="00681586">
        <w:rPr>
          <w:rFonts w:eastAsia="Calibri" w:hint="cs"/>
          <w:rtl/>
        </w:rPr>
        <w:t xml:space="preserve"> ברמות 2 עד 6 ניתנה אפשרות לזכאי לקבל </w:t>
      </w:r>
      <w:r w:rsidRPr="00681586">
        <w:rPr>
          <w:rFonts w:eastAsia="Calibri"/>
          <w:rtl/>
        </w:rPr>
        <w:t>עד שליש גמלה בכסף</w:t>
      </w:r>
      <w:r>
        <w:rPr>
          <w:rFonts w:eastAsia="Calibri"/>
          <w:vertAlign w:val="superscript"/>
          <w:rtl/>
        </w:rPr>
        <w:footnoteReference w:id="30"/>
      </w:r>
      <w:r w:rsidRPr="00681586">
        <w:rPr>
          <w:rFonts w:eastAsia="Calibri"/>
          <w:rtl/>
        </w:rPr>
        <w:t>.</w:t>
      </w:r>
    </w:p>
    <w:p w:rsidR="00BA015C" w:rsidP="00681586">
      <w:pPr>
        <w:spacing w:line="269" w:lineRule="auto"/>
        <w:rPr>
          <w:rFonts w:eastAsia="Calibri"/>
          <w:rtl/>
        </w:rPr>
      </w:pPr>
    </w:p>
    <w:p w:rsidR="00681586" w:rsidRPr="00681586" w:rsidP="00681586">
      <w:pPr>
        <w:spacing w:line="269" w:lineRule="auto"/>
        <w:rPr>
          <w:rFonts w:eastAsia="Calibri"/>
          <w:rtl/>
        </w:rPr>
      </w:pPr>
      <w:r w:rsidRPr="00681586">
        <w:rPr>
          <w:rFonts w:eastAsia="Calibri" w:hint="cs"/>
          <w:rtl/>
        </w:rPr>
        <w:t>במקביל לשינויים בחוק, בשנת 2018 חלו שינויים נוספים בתקנות החוק ובנהלים של בט"ל הכוללים בין היתר:</w:t>
      </w:r>
    </w:p>
    <w:p w:rsidR="00681586" w:rsidRPr="00681586" w:rsidP="00681586">
      <w:pPr>
        <w:numPr>
          <w:ilvl w:val="0"/>
          <w:numId w:val="20"/>
        </w:numPr>
        <w:spacing w:line="269" w:lineRule="auto"/>
        <w:contextualSpacing/>
        <w:rPr>
          <w:rFonts w:eastAsia="Calibri"/>
        </w:rPr>
      </w:pPr>
      <w:r w:rsidRPr="00681586">
        <w:rPr>
          <w:rFonts w:eastAsia="Times New Roman" w:hint="cs"/>
          <w:bCs/>
          <w:spacing w:val="40"/>
          <w:rtl/>
        </w:rPr>
        <w:t xml:space="preserve">אי-הפחתה או אי-שלילה של היקף הזכאות לגמלת סיעוד בעקבות בקשה להחמרה </w:t>
      </w:r>
      <w:bookmarkStart w:id="5" w:name="_Hlk222662942"/>
      <w:r w:rsidRPr="00681586">
        <w:rPr>
          <w:rFonts w:eastAsia="Times New Roman" w:hint="cs"/>
          <w:bCs/>
          <w:spacing w:val="40"/>
          <w:rtl/>
        </w:rPr>
        <w:t>גם בנסיבות של שיפור תפקודי</w:t>
      </w:r>
      <w:bookmarkEnd w:id="5"/>
      <w:r w:rsidRPr="00681586">
        <w:rPr>
          <w:rFonts w:eastAsia="Times New Roman" w:hint="cs"/>
          <w:bCs/>
          <w:spacing w:val="40"/>
          <w:rtl/>
        </w:rPr>
        <w:t>:</w:t>
      </w:r>
      <w:r w:rsidRPr="00681586">
        <w:rPr>
          <w:rFonts w:eastAsia="Calibri" w:hint="cs"/>
          <w:rtl/>
        </w:rPr>
        <w:t xml:space="preserve"> הותקנו תקנות הקובעות שבעקבות תביעה להחמרה במצב סיעודי, לא תישלל או תופחת רמת הסיעוד שנקבעה לזכאי לגמלה, גם אם יימצא בהערכת התלות שמצבו התפקודי השתפר</w:t>
      </w:r>
      <w:r>
        <w:rPr>
          <w:rFonts w:eastAsia="Calibri"/>
          <w:vertAlign w:val="superscript"/>
          <w:rtl/>
        </w:rPr>
        <w:footnoteReference w:id="31"/>
      </w:r>
      <w:r w:rsidRPr="00681586">
        <w:rPr>
          <w:rFonts w:eastAsia="Calibri" w:hint="cs"/>
          <w:rtl/>
        </w:rPr>
        <w:t>.</w:t>
      </w:r>
    </w:p>
    <w:p w:rsidR="00681586" w:rsidRPr="00681586" w:rsidP="00681586">
      <w:pPr>
        <w:spacing w:line="269" w:lineRule="auto"/>
        <w:ind w:left="720"/>
        <w:contextualSpacing/>
        <w:rPr>
          <w:rFonts w:eastAsia="Calibri"/>
        </w:rPr>
      </w:pPr>
    </w:p>
    <w:p w:rsidR="00681586" w:rsidRPr="00681586" w:rsidP="00681586">
      <w:pPr>
        <w:numPr>
          <w:ilvl w:val="0"/>
          <w:numId w:val="20"/>
        </w:numPr>
        <w:spacing w:line="269" w:lineRule="auto"/>
        <w:contextualSpacing/>
        <w:rPr>
          <w:rFonts w:eastAsia="Calibri"/>
        </w:rPr>
      </w:pPr>
      <w:r w:rsidRPr="00681586">
        <w:rPr>
          <w:rFonts w:eastAsia="Times New Roman" w:hint="cs"/>
          <w:bCs/>
          <w:spacing w:val="40"/>
          <w:rtl/>
        </w:rPr>
        <w:t>אפשרות להעסיק בני משפחה בטיפול בזכאים לגמלת סיעוד:</w:t>
      </w:r>
      <w:r w:rsidRPr="00681586">
        <w:rPr>
          <w:rFonts w:eastAsia="Calibri" w:hint="cs"/>
          <w:rtl/>
        </w:rPr>
        <w:t xml:space="preserve"> הנהלים של בט"ל שונו כך שיתאפשר לבן משפחה של זכאי לגמלת סיעוד לקבל שכר מחברת הסיעוד בעבור טיפול בזכאי. לפני שינוי זה הדבר היה אסור לקרובים מדרגה ראשונה ולבני זוגם</w:t>
      </w:r>
      <w:r>
        <w:rPr>
          <w:rFonts w:eastAsia="Calibri"/>
          <w:vertAlign w:val="superscript"/>
          <w:rtl/>
        </w:rPr>
        <w:footnoteReference w:id="32"/>
      </w:r>
      <w:r w:rsidRPr="00681586">
        <w:rPr>
          <w:rFonts w:eastAsia="Calibri" w:hint="cs"/>
          <w:rtl/>
        </w:rPr>
        <w:t>.</w:t>
      </w:r>
    </w:p>
    <w:p w:rsidR="00681586" w:rsidRPr="00681586" w:rsidP="00681586">
      <w:pPr>
        <w:spacing w:line="269" w:lineRule="auto"/>
        <w:ind w:left="720"/>
        <w:contextualSpacing/>
        <w:rPr>
          <w:rFonts w:eastAsia="Calibri"/>
          <w:rtl/>
        </w:rPr>
      </w:pPr>
    </w:p>
    <w:p w:rsidR="00681586" w:rsidRPr="00681586" w:rsidP="00681586">
      <w:pPr>
        <w:keepNext/>
        <w:keepLines/>
        <w:spacing w:line="269" w:lineRule="auto"/>
        <w:outlineLvl w:val="5"/>
        <w:rPr>
          <w:rFonts w:eastAsia="Times New Roman"/>
          <w:spacing w:val="40"/>
          <w:rtl/>
        </w:rPr>
      </w:pPr>
      <w:r w:rsidRPr="00681586">
        <w:rPr>
          <w:rFonts w:eastAsia="Times New Roman" w:hint="cs"/>
          <w:spacing w:val="40"/>
          <w:rtl/>
        </w:rPr>
        <w:t>השפעות הרפורמה בסיעוד והשינויים בתקנות ובנהלים על מספר התביעות להכרה ולהחמרה במצב סיעודי</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כחלק מהליך ההכרה בזכאות לגמלת סיעוד, קיימים שני סוגי תביעות - תביעות חדשות לגמלה (להלן - תביעות להכרה) ותביעות להחמרת מצב (להלן - תביעות להחמרה). התביעות להכרה נועדו למי שלא היו זכאים לגמלה בזמן הגשת התביעה, והתביעות להחמרה נועדו לבעלי זכאות לגמלה ברמות 1 עד 5, שחשים שתלותם בזולת גברה והם זקוקים לעזרה רבה יותר</w:t>
      </w:r>
      <w:r>
        <w:rPr>
          <w:rFonts w:eastAsia="Calibri"/>
          <w:vertAlign w:val="superscript"/>
          <w:rtl/>
        </w:rPr>
        <w:footnoteReference w:id="33"/>
      </w:r>
      <w:r w:rsidRPr="00681586">
        <w:rPr>
          <w:rFonts w:eastAsia="Calibri" w:hint="cs"/>
          <w:rtl/>
        </w:rPr>
        <w:t>.</w:t>
      </w:r>
    </w:p>
    <w:p w:rsidR="00681586" w:rsidRPr="00681586" w:rsidP="00681586">
      <w:pPr>
        <w:spacing w:line="269" w:lineRule="auto"/>
        <w:ind w:left="-567"/>
        <w:rPr>
          <w:rFonts w:eastAsia="Times New Roman"/>
          <w:spacing w:val="40"/>
          <w:rtl/>
        </w:rPr>
      </w:pPr>
    </w:p>
    <w:p w:rsidR="00681586" w:rsidRPr="00681586" w:rsidP="00681586">
      <w:pPr>
        <w:spacing w:line="269" w:lineRule="auto"/>
        <w:rPr>
          <w:rFonts w:eastAsia="Calibri"/>
          <w:rtl/>
        </w:rPr>
      </w:pPr>
      <w:r w:rsidRPr="00681586">
        <w:rPr>
          <w:rFonts w:eastAsia="Times New Roman" w:hint="cs"/>
          <w:bCs/>
          <w:spacing w:val="40"/>
          <w:rtl/>
        </w:rPr>
        <w:t>עלייה חדה בתביעות להכרה עקב הרפורמה:</w:t>
      </w:r>
      <w:r w:rsidRPr="00681586">
        <w:rPr>
          <w:rFonts w:eastAsia="Calibri" w:hint="cs"/>
          <w:rtl/>
        </w:rPr>
        <w:t xml:space="preserve"> מספר התביעות להכרה עולה בהתמדה בשנים האחרונות, וביתר שאת לאחר הרפורמה בסיעוד. בתרשים להלן ניתן לראות את מספר התביעות להכרה, ומתוכן את מספר התביעות להכרה שאושרו בכל שנה</w:t>
      </w:r>
      <w:r w:rsidRPr="00681586">
        <w:rPr>
          <w:rFonts w:eastAsia="Calibri"/>
          <w:vertAlign w:val="superscript"/>
          <w:rtl/>
        </w:rPr>
        <w:t xml:space="preserve"> </w:t>
      </w:r>
      <w:r w:rsidRPr="00681586">
        <w:rPr>
          <w:rFonts w:eastAsia="Calibri" w:hint="cs"/>
          <w:rtl/>
        </w:rPr>
        <w:t>ואת אחוז אישורי התביעות</w:t>
      </w:r>
      <w:r>
        <w:rPr>
          <w:rFonts w:eastAsia="Calibri"/>
          <w:vertAlign w:val="superscript"/>
          <w:rtl/>
        </w:rPr>
        <w:footnoteReference w:id="34"/>
      </w:r>
      <w:r w:rsidRPr="00681586">
        <w:rPr>
          <w:rFonts w:eastAsia="Calibri" w:hint="cs"/>
          <w:rtl/>
        </w:rPr>
        <w:t>, לפני הרפורמה ואחריה.</w:t>
      </w:r>
    </w:p>
    <w:p w:rsidR="002A401B" w:rsidP="00681586">
      <w:pPr>
        <w:spacing w:line="269" w:lineRule="auto"/>
        <w:ind w:left="-567"/>
        <w:rPr>
          <w:rFonts w:eastAsia="Calibri"/>
          <w:szCs w:val="20"/>
          <w:rtl/>
        </w:rPr>
      </w:pPr>
    </w:p>
    <w:p w:rsidR="00681586" w:rsidRPr="00681586" w:rsidP="00257305">
      <w:pPr>
        <w:keepNext/>
        <w:keepLines/>
        <w:spacing w:after="120" w:line="269" w:lineRule="auto"/>
        <w:jc w:val="center"/>
        <w:rPr>
          <w:rFonts w:eastAsia="Calibri"/>
          <w:b/>
          <w:bCs/>
          <w:rtl/>
        </w:rPr>
      </w:pPr>
      <w:r w:rsidRPr="00681586">
        <w:rPr>
          <w:rFonts w:eastAsia="Calibri" w:hint="cs"/>
          <w:rtl/>
        </w:rPr>
        <w:t>תרשים 6:</w:t>
      </w:r>
      <w:r w:rsidRPr="00681586">
        <w:rPr>
          <w:rFonts w:eastAsia="Calibri" w:hint="cs"/>
          <w:b/>
          <w:bCs/>
          <w:rtl/>
        </w:rPr>
        <w:t xml:space="preserve"> מספר התביעות בשנה, מספר התביעות שאושרו מתוכן ושיעור התביעות המאושרות להכרה במצב סיעודי, 2014 - 2024 (באלפים)</w:t>
      </w:r>
    </w:p>
    <w:p w:rsidR="00681586" w:rsidRPr="00681586" w:rsidP="00681586">
      <w:pPr>
        <w:spacing w:line="269" w:lineRule="auto"/>
        <w:jc w:val="center"/>
        <w:rPr>
          <w:rFonts w:eastAsia="Calibri"/>
          <w:rtl/>
        </w:rPr>
      </w:pPr>
      <w:r w:rsidRPr="00681586">
        <w:rPr>
          <w:rFonts w:eastAsia="Calibri"/>
          <w:noProof/>
        </w:rPr>
        <w:drawing>
          <wp:inline distT="0" distB="0" distL="0" distR="0">
            <wp:extent cx="4957590" cy="2990850"/>
            <wp:effectExtent l="0" t="0" r="0" b="0"/>
            <wp:docPr id="72" name="תמונה 72" descr="מספר התביעות בשנה, מספר התביעות שאושרו מתוכן ושיעור התביעות המאושרות להכרה במצב סיעודי, 2014 - 2024 (באל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988555" cy="3009531"/>
                    </a:xfrm>
                    <a:prstGeom prst="rect">
                      <a:avLst/>
                    </a:prstGeom>
                    <a:noFill/>
                  </pic:spPr>
                </pic:pic>
              </a:graphicData>
            </a:graphic>
          </wp:inline>
        </w:drawing>
      </w:r>
    </w:p>
    <w:p w:rsidR="00681586" w:rsidRPr="00681586" w:rsidP="00681586">
      <w:pPr>
        <w:spacing w:line="269" w:lineRule="auto"/>
        <w:jc w:val="left"/>
        <w:rPr>
          <w:rFonts w:eastAsia="Calibri"/>
          <w:sz w:val="16"/>
          <w:szCs w:val="20"/>
          <w:rtl/>
        </w:rPr>
      </w:pPr>
      <w:r w:rsidRPr="00681586">
        <w:rPr>
          <w:rFonts w:eastAsia="Calibri" w:hint="cs"/>
          <w:szCs w:val="20"/>
          <w:rtl/>
        </w:rPr>
        <w:t xml:space="preserve">על פי נתוני המוסד לביטוח לאומי, </w:t>
      </w:r>
      <w:r w:rsidRPr="00681586">
        <w:rPr>
          <w:rFonts w:eastAsia="Calibri" w:hint="cs"/>
          <w:sz w:val="16"/>
          <w:szCs w:val="20"/>
          <w:rtl/>
        </w:rPr>
        <w:t>בעיבוד משרד מבקר המדינה.</w:t>
      </w:r>
    </w:p>
    <w:p w:rsidR="00681586" w:rsidRPr="00681586" w:rsidP="00681586">
      <w:pPr>
        <w:spacing w:line="269" w:lineRule="auto"/>
        <w:rPr>
          <w:rFonts w:eastAsia="Calibri"/>
          <w:b/>
          <w:bCs/>
          <w:rtl/>
        </w:rPr>
      </w:pPr>
      <w:r w:rsidRPr="00681586">
        <w:rPr>
          <w:rFonts w:eastAsia="Calibri" w:hint="cs"/>
          <w:b/>
          <w:bCs/>
          <w:rtl/>
        </w:rPr>
        <w:t>מהתרשים עולה כי בשנים 2019 - 2024, לאחר הרפורמה בסיעוד, עלה מספר התביעות להכרה במצב סיעודי בכ-48% (מ-91,000 בשנת 2018 ל-135,000 בשנת 2024) - גידול שנתי ממוצע של כ-8%. לעומת זאת, לפני הרפורמה בסיעוד, בשנים 2014 - 2018, עלה מספר התביעות להכרה בכ-10% בלבד (מ-83,000 ל-91,000) - גידול שנתי ממוצע של כ-2.5%. במקביל, לאחר הרפורמה חל גידול בשיעור התביעות המאושרות מ-52% לפני הרפורמה ל71% מיד לאחריה, ובהמשך שיעור אישורי התביעות ירד בהדרגה עד ל-58%, אך עדיין נותר גבוה משיעור האישורים לפני הרפורמה.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Times New Roman" w:hint="cs"/>
          <w:bCs/>
          <w:spacing w:val="40"/>
          <w:rtl/>
        </w:rPr>
        <w:t>תביעות להחמרה:</w:t>
      </w:r>
      <w:r w:rsidRPr="00681586">
        <w:rPr>
          <w:rFonts w:eastAsia="Calibri" w:hint="cs"/>
          <w:rtl/>
        </w:rPr>
        <w:t xml:space="preserve"> כאמור, הותקנו תקנות לפיהן גם אם במסגרת תביעה להחמרה יתברר באמצעות בדיקה מחודשת של הערכת התלות כי חל שיפור במצבו התפקודי של התובע, לא תישלל או תופחת קצבת הסיעוד שלו. יצוין כי בדיון בוועדת העבודה, הרווחה והבריאות של הכנסת מיום 18.12.17, בט"ל הציג תחשיב של העלות התקציבית של התיקון שנאמד בכ-13 מיליון ש"ח. לפי התחשיב, בשנה אחת חל שיפור במצבם של כ-300 זכאי חוק סיעוד בלבד, כאשר לדוגמה בשנת 2017 (לפני הרפורמה), שבה נערך הדיון, היו כ-54</w:t>
      </w:r>
      <w:r w:rsidR="00BA015C">
        <w:rPr>
          <w:rFonts w:eastAsia="Calibri" w:hint="cs"/>
          <w:rtl/>
        </w:rPr>
        <w:t>,000</w:t>
      </w:r>
      <w:r w:rsidRPr="00681586">
        <w:rPr>
          <w:rFonts w:eastAsia="Calibri" w:hint="cs"/>
          <w:rtl/>
        </w:rPr>
        <w:t xml:space="preserve"> בקשות להחמרה, כלומר מדובר בכ-0.6% מהבקשות</w:t>
      </w:r>
      <w:r>
        <w:rPr>
          <w:rFonts w:eastAsia="Calibri"/>
          <w:vertAlign w:val="superscript"/>
          <w:rtl/>
        </w:rPr>
        <w:footnoteReference w:id="35"/>
      </w:r>
      <w:r w:rsidRPr="00681586">
        <w:rPr>
          <w:rFonts w:eastAsia="Calibri" w:hint="cs"/>
          <w:rtl/>
        </w:rPr>
        <w:t xml:space="preserve"> שהוגשו להחמרה.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בתרשים שלהלן מספר התביעות להחמרה בכל שנה, מספר התביעות להחמרה שאושרו ושיעור אישורי התביעות לפני השינוי בתקנות החוק ואחריו</w:t>
      </w:r>
      <w:r>
        <w:rPr>
          <w:rFonts w:eastAsia="Calibri"/>
          <w:vertAlign w:val="superscript"/>
          <w:rtl/>
        </w:rPr>
        <w:footnoteReference w:id="36"/>
      </w:r>
      <w:r w:rsidRPr="00681586">
        <w:rPr>
          <w:rFonts w:eastAsia="Calibri" w:hint="cs"/>
          <w:rtl/>
        </w:rPr>
        <w:t>:</w:t>
      </w:r>
    </w:p>
    <w:p w:rsidR="00681586" w:rsidRPr="00681586" w:rsidP="00681586">
      <w:pPr>
        <w:spacing w:line="269" w:lineRule="auto"/>
        <w:ind w:left="-567"/>
        <w:rPr>
          <w:rFonts w:eastAsia="Calibri"/>
          <w:szCs w:val="20"/>
          <w:rtl/>
        </w:rPr>
      </w:pPr>
    </w:p>
    <w:p w:rsidR="00681586" w:rsidRPr="00681586" w:rsidP="00681586">
      <w:pPr>
        <w:keepNext/>
        <w:keepLines/>
        <w:spacing w:line="269" w:lineRule="auto"/>
        <w:jc w:val="center"/>
        <w:rPr>
          <w:rFonts w:eastAsia="Calibri"/>
          <w:b/>
          <w:bCs/>
          <w:rtl/>
        </w:rPr>
      </w:pPr>
      <w:r w:rsidRPr="00681586">
        <w:rPr>
          <w:rFonts w:eastAsia="Calibri" w:hint="cs"/>
          <w:rtl/>
        </w:rPr>
        <w:t xml:space="preserve">תרשים 7: </w:t>
      </w:r>
      <w:r w:rsidRPr="00681586">
        <w:rPr>
          <w:rFonts w:eastAsia="Calibri" w:hint="cs"/>
          <w:b/>
          <w:bCs/>
          <w:rtl/>
        </w:rPr>
        <w:t>מספר התביעות בשנה, מספר התביעות המאושרות ושיעור אישורי התביעות להחמרה במצב סיעודי, 2014 - 2024 (באלפים ובאחוזים)</w:t>
      </w:r>
    </w:p>
    <w:p w:rsidR="00681586" w:rsidRPr="00681586" w:rsidP="00681586">
      <w:pPr>
        <w:spacing w:line="269" w:lineRule="auto"/>
        <w:jc w:val="center"/>
        <w:rPr>
          <w:rFonts w:eastAsia="Calibri"/>
          <w:rtl/>
        </w:rPr>
      </w:pPr>
      <w:r w:rsidRPr="00681586">
        <w:rPr>
          <w:rFonts w:eastAsia="Calibri"/>
          <w:noProof/>
        </w:rPr>
        <w:drawing>
          <wp:inline distT="0" distB="0" distL="0" distR="0">
            <wp:extent cx="5262310" cy="3252487"/>
            <wp:effectExtent l="0" t="0" r="0" b="5080"/>
            <wp:docPr id="63" name="תמונה 63" descr="מספר התביעות בשנה, מספר התביעות המאושרות ושיעור אישורי התביעות להחמרה במצב סיעודי, 2014 - 2024 (באלפים ובאחוז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283617" cy="3265656"/>
                    </a:xfrm>
                    <a:prstGeom prst="rect">
                      <a:avLst/>
                    </a:prstGeom>
                    <a:noFill/>
                  </pic:spPr>
                </pic:pic>
              </a:graphicData>
            </a:graphic>
          </wp:inline>
        </w:drawing>
      </w:r>
    </w:p>
    <w:p w:rsidR="00681586" w:rsidRPr="00681586" w:rsidP="00681586">
      <w:pPr>
        <w:spacing w:line="269" w:lineRule="auto"/>
        <w:jc w:val="left"/>
        <w:rPr>
          <w:rFonts w:eastAsia="Calibri"/>
          <w:sz w:val="16"/>
          <w:szCs w:val="20"/>
          <w:rtl/>
        </w:rPr>
      </w:pPr>
      <w:r w:rsidRPr="00681586">
        <w:rPr>
          <w:rFonts w:eastAsia="Calibri" w:hint="cs"/>
          <w:szCs w:val="20"/>
          <w:rtl/>
        </w:rPr>
        <w:t xml:space="preserve">על פי נתוני המוסד לביטוח לאומי, </w:t>
      </w:r>
      <w:r w:rsidRPr="00681586">
        <w:rPr>
          <w:rFonts w:eastAsia="Calibri" w:hint="cs"/>
          <w:sz w:val="16"/>
          <w:szCs w:val="20"/>
          <w:rtl/>
        </w:rPr>
        <w:t>בעיבוד משרד מבקר המדינה.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מהתרשים עולה כי בשנים 2019 - 2024, לאחר התקנת התקנות החדשות, עלה מספר הבקשות להחמרה במצב סיעודי בכ-233% (מ-49,000 בשנת 2018 ל-163,000 בשנת 2024) - גידול שנתי ממוצע של כ-39%. לעומת זאת, לפני הרפורמה בסיעוד, בשנים 2014 - 2018, עלה מספר התביעות להחמרה בכ-26% בלבד (מ-39,000 ל-49,000) - גידול שנתי ממוצע של כ-6.5% בלבד. </w:t>
      </w:r>
      <w:r w:rsidRPr="00681586">
        <w:rPr>
          <w:rFonts w:eastAsia="Calibri" w:hint="cs"/>
          <w:b/>
          <w:bCs/>
          <w:rtl/>
        </w:rPr>
        <w:t>במקביל חל גידול בשיעור התביעות המאושרות מ-53% לפני הרפורמה (26,000</w:t>
      </w:r>
      <w:r w:rsidRPr="00681586">
        <w:rPr>
          <w:rFonts w:eastAsia="Calibri"/>
          <w:b/>
          <w:bCs/>
        </w:rPr>
        <w:t xml:space="preserve"> </w:t>
      </w:r>
      <w:r w:rsidRPr="00681586">
        <w:rPr>
          <w:rFonts w:eastAsia="Calibri" w:hint="cs"/>
          <w:b/>
          <w:bCs/>
          <w:rtl/>
        </w:rPr>
        <w:t xml:space="preserve">תביעות מאושרות) ל-72% מיד לאחריה (56,000), ובהמשך שיעור אישורי התביעות ירד בהדרגה עד </w:t>
      </w:r>
      <w:r w:rsidR="00C839DB">
        <w:rPr>
          <w:rFonts w:eastAsia="Calibri"/>
          <w:b/>
          <w:bCs/>
          <w:rtl/>
        </w:rPr>
        <w:br/>
      </w:r>
      <w:r w:rsidRPr="00681586">
        <w:rPr>
          <w:rFonts w:eastAsia="Calibri" w:hint="cs"/>
          <w:b/>
          <w:bCs/>
          <w:rtl/>
        </w:rPr>
        <w:t xml:space="preserve">ל-43% (70,000 תביעות מאושרות).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בסך הכול עלה מספרן של כלל הערכות התלות</w:t>
      </w:r>
      <w:r>
        <w:rPr>
          <w:rFonts w:eastAsia="Calibri"/>
          <w:vertAlign w:val="superscript"/>
          <w:rtl/>
        </w:rPr>
        <w:footnoteReference w:id="37"/>
      </w:r>
      <w:r w:rsidRPr="00681586">
        <w:rPr>
          <w:rFonts w:eastAsia="Calibri" w:hint="cs"/>
          <w:rtl/>
        </w:rPr>
        <w:t xml:space="preserve"> בשנת 2024 ביותר מפי שניים (כ-110.5%) לעומת מספר הערכות התלות בשנת 2018</w:t>
      </w:r>
      <w:r>
        <w:rPr>
          <w:rFonts w:eastAsia="Calibri"/>
          <w:vertAlign w:val="superscript"/>
          <w:rtl/>
        </w:rPr>
        <w:footnoteReference w:id="38"/>
      </w:r>
      <w:r w:rsidRPr="00681586">
        <w:rPr>
          <w:rFonts w:eastAsia="Calibri" w:hint="cs"/>
          <w:rtl/>
        </w:rPr>
        <w:t xml:space="preserve">. </w:t>
      </w:r>
    </w:p>
    <w:p w:rsidR="00681586" w:rsidRPr="00681586" w:rsidP="00681586">
      <w:pPr>
        <w:spacing w:line="269" w:lineRule="auto"/>
        <w:rPr>
          <w:rFonts w:eastAsia="Calibri"/>
        </w:rPr>
      </w:pPr>
    </w:p>
    <w:p w:rsidR="00681586" w:rsidRPr="00681586" w:rsidP="00681586">
      <w:pPr>
        <w:keepNext/>
        <w:keepLines/>
        <w:spacing w:line="269" w:lineRule="auto"/>
        <w:outlineLvl w:val="5"/>
        <w:rPr>
          <w:rFonts w:eastAsia="Times New Roman"/>
          <w:spacing w:val="40"/>
          <w:rtl/>
        </w:rPr>
      </w:pPr>
      <w:r w:rsidRPr="00681586">
        <w:rPr>
          <w:rFonts w:eastAsia="Times New Roman" w:hint="cs"/>
          <w:spacing w:val="40"/>
          <w:rtl/>
        </w:rPr>
        <w:t>השפעות הרפורמה בסיעוד על מספר הקשישים הסיעודיים</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בתרשים </w:t>
      </w:r>
      <w:r w:rsidR="00BA015C">
        <w:rPr>
          <w:rFonts w:eastAsia="Calibri" w:hint="cs"/>
          <w:rtl/>
        </w:rPr>
        <w:t>ש</w:t>
      </w:r>
      <w:r w:rsidRPr="00681586">
        <w:rPr>
          <w:rFonts w:eastAsia="Calibri" w:hint="cs"/>
          <w:rtl/>
        </w:rPr>
        <w:t>להלן מספר הקשישים הסיעודיים בכל שנה</w:t>
      </w:r>
      <w:r>
        <w:rPr>
          <w:rFonts w:eastAsia="Calibri"/>
          <w:vertAlign w:val="superscript"/>
          <w:rtl/>
        </w:rPr>
        <w:footnoteReference w:id="39"/>
      </w:r>
      <w:r w:rsidRPr="00681586">
        <w:rPr>
          <w:rFonts w:eastAsia="Calibri" w:hint="cs"/>
          <w:rtl/>
        </w:rPr>
        <w:t xml:space="preserve"> בשנים 2014 - 2025.</w:t>
      </w:r>
    </w:p>
    <w:p w:rsidR="00681586" w:rsidRPr="00681586" w:rsidP="00681586">
      <w:pPr>
        <w:spacing w:line="269" w:lineRule="auto"/>
        <w:ind w:left="-567"/>
        <w:rPr>
          <w:rFonts w:eastAsia="Calibri"/>
          <w:szCs w:val="20"/>
          <w:rtl/>
        </w:rPr>
      </w:pPr>
    </w:p>
    <w:p w:rsidR="00681586" w:rsidRPr="00681586" w:rsidP="00681586">
      <w:pPr>
        <w:keepNext/>
        <w:keepLines/>
        <w:spacing w:line="269" w:lineRule="auto"/>
        <w:jc w:val="center"/>
        <w:rPr>
          <w:rFonts w:eastAsia="Calibri"/>
          <w:rtl/>
        </w:rPr>
      </w:pPr>
      <w:r w:rsidRPr="00681586">
        <w:rPr>
          <w:rFonts w:eastAsia="Calibri" w:hint="cs"/>
          <w:rtl/>
        </w:rPr>
        <w:t xml:space="preserve">תרשים 8: </w:t>
      </w:r>
      <w:r w:rsidRPr="00681586">
        <w:rPr>
          <w:rFonts w:eastAsia="Calibri" w:hint="cs"/>
          <w:b/>
          <w:bCs/>
          <w:rtl/>
        </w:rPr>
        <w:t>מספר הקשישים הסיעודיים, 2014 - 2025 (באלפים)</w:t>
      </w:r>
    </w:p>
    <w:p w:rsidR="00681586" w:rsidRPr="00681586" w:rsidP="00681586">
      <w:pPr>
        <w:spacing w:line="269" w:lineRule="auto"/>
        <w:jc w:val="center"/>
        <w:rPr>
          <w:rFonts w:eastAsia="Calibri"/>
        </w:rPr>
      </w:pPr>
      <w:r w:rsidRPr="00681586">
        <w:rPr>
          <w:rFonts w:eastAsia="Calibri"/>
          <w:noProof/>
        </w:rPr>
        <w:drawing>
          <wp:inline distT="0" distB="0" distL="0" distR="0">
            <wp:extent cx="5096510" cy="2548255"/>
            <wp:effectExtent l="0" t="0" r="8890" b="4445"/>
            <wp:docPr id="79" name="תמונה 79" descr="מספר הקשישים הסיעודיים, 2014 - 2025 (באל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096510" cy="2548255"/>
                    </a:xfrm>
                    <a:prstGeom prst="rect">
                      <a:avLst/>
                    </a:prstGeom>
                    <a:noFill/>
                  </pic:spPr>
                </pic:pic>
              </a:graphicData>
            </a:graphic>
          </wp:inline>
        </w:drawing>
      </w:r>
    </w:p>
    <w:p w:rsidR="00681586" w:rsidRPr="00681586" w:rsidP="00681586">
      <w:pPr>
        <w:spacing w:line="269" w:lineRule="auto"/>
        <w:jc w:val="left"/>
        <w:rPr>
          <w:rFonts w:eastAsia="Calibri"/>
          <w:szCs w:val="20"/>
          <w:rtl/>
        </w:rPr>
      </w:pPr>
      <w:r w:rsidRPr="00681586">
        <w:rPr>
          <w:rFonts w:eastAsia="Calibri" w:hint="cs"/>
          <w:szCs w:val="20"/>
          <w:rtl/>
        </w:rPr>
        <w:t xml:space="preserve">על פי נתוני המוסד לביטוח לאומי, </w:t>
      </w:r>
      <w:r w:rsidRPr="00681586">
        <w:rPr>
          <w:rFonts w:eastAsia="Calibri" w:hint="eastAsia"/>
          <w:szCs w:val="20"/>
          <w:rtl/>
        </w:rPr>
        <w:t>בעיבוד</w:t>
      </w:r>
      <w:r w:rsidRPr="00681586">
        <w:rPr>
          <w:rFonts w:eastAsia="Calibri"/>
          <w:szCs w:val="20"/>
          <w:rtl/>
        </w:rPr>
        <w:t xml:space="preserve"> </w:t>
      </w:r>
      <w:r w:rsidRPr="00681586">
        <w:rPr>
          <w:rFonts w:eastAsia="Calibri" w:hint="eastAsia"/>
          <w:szCs w:val="20"/>
          <w:rtl/>
        </w:rPr>
        <w:t>משרד</w:t>
      </w:r>
      <w:r w:rsidRPr="00681586">
        <w:rPr>
          <w:rFonts w:eastAsia="Calibri"/>
          <w:szCs w:val="20"/>
          <w:rtl/>
        </w:rPr>
        <w:t xml:space="preserve"> </w:t>
      </w:r>
      <w:r w:rsidRPr="00681586">
        <w:rPr>
          <w:rFonts w:eastAsia="Calibri" w:hint="eastAsia"/>
          <w:szCs w:val="20"/>
          <w:rtl/>
        </w:rPr>
        <w:t>מבקר</w:t>
      </w:r>
      <w:r w:rsidRPr="00681586">
        <w:rPr>
          <w:rFonts w:eastAsia="Calibri"/>
          <w:szCs w:val="20"/>
          <w:rtl/>
        </w:rPr>
        <w:t xml:space="preserve"> </w:t>
      </w:r>
      <w:r w:rsidRPr="00681586">
        <w:rPr>
          <w:rFonts w:eastAsia="Calibri" w:hint="eastAsia"/>
          <w:szCs w:val="20"/>
          <w:rtl/>
        </w:rPr>
        <w:t>המדינה</w:t>
      </w:r>
      <w:r w:rsidRPr="00681586">
        <w:rPr>
          <w:rFonts w:eastAsia="Calibri"/>
          <w:szCs w:val="20"/>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Pr>
      </w:pPr>
      <w:r w:rsidRPr="00681586">
        <w:rPr>
          <w:rFonts w:eastAsia="Calibri" w:hint="cs"/>
          <w:b/>
          <w:bCs/>
          <w:rtl/>
        </w:rPr>
        <w:t>מהתרשים עולה כי מספר הקשישים הזכאים לגמלת סיעוד עלה מכ-180,000 בשנת 2018, ערב הרפורמה</w:t>
      </w:r>
      <w:r>
        <w:rPr>
          <w:rFonts w:eastAsia="Calibri"/>
          <w:b/>
          <w:bCs/>
          <w:vertAlign w:val="superscript"/>
          <w:rtl/>
        </w:rPr>
        <w:footnoteReference w:id="40"/>
      </w:r>
      <w:r w:rsidRPr="00681586">
        <w:rPr>
          <w:rFonts w:eastAsia="Calibri" w:hint="cs"/>
          <w:b/>
          <w:bCs/>
          <w:rtl/>
        </w:rPr>
        <w:t>, לכ-392,000 בשנת 2025, כשבע שנים לאחר יישומה</w:t>
      </w:r>
      <w:r>
        <w:rPr>
          <w:rFonts w:eastAsia="Calibri"/>
          <w:b/>
          <w:bCs/>
          <w:vertAlign w:val="superscript"/>
          <w:rtl/>
        </w:rPr>
        <w:footnoteReference w:id="41"/>
      </w:r>
      <w:r w:rsidRPr="00681586">
        <w:rPr>
          <w:rFonts w:eastAsia="Calibri" w:hint="cs"/>
          <w:b/>
          <w:bCs/>
          <w:rtl/>
        </w:rPr>
        <w:t>. מדובר בגידול של כ-118%, כך שההוצאה של בט"ל על הסיעוד</w:t>
      </w:r>
      <w:r>
        <w:rPr>
          <w:rFonts w:eastAsia="Calibri"/>
          <w:b/>
          <w:bCs/>
          <w:vertAlign w:val="superscript"/>
          <w:rtl/>
        </w:rPr>
        <w:footnoteReference w:id="42"/>
      </w:r>
      <w:r w:rsidRPr="00681586">
        <w:rPr>
          <w:rFonts w:eastAsia="Calibri" w:hint="cs"/>
          <w:b/>
          <w:bCs/>
          <w:rtl/>
        </w:rPr>
        <w:t xml:space="preserve"> עלתה מ-7 מיליארד ש"ח ערב הרפורמה ל-21.1 מיליארד בשנת 2025.</w:t>
      </w:r>
    </w:p>
    <w:p w:rsidR="00681586" w:rsidRPr="00D96040">
      <w:pPr>
        <w:bidi w:val="0"/>
        <w:spacing w:after="200" w:line="276" w:lineRule="auto"/>
        <w:rPr>
          <w:rFonts w:eastAsia="Calibri"/>
          <w:sz w:val="16"/>
          <w:szCs w:val="20"/>
          <w:rtl/>
        </w:rPr>
      </w:pPr>
    </w:p>
    <w:p w:rsidR="00681586" w:rsidRPr="00681586" w:rsidP="00681586">
      <w:pPr>
        <w:spacing w:line="269" w:lineRule="auto"/>
        <w:rPr>
          <w:rFonts w:eastAsia="Calibri"/>
          <w:rtl/>
        </w:rPr>
      </w:pPr>
      <w:r w:rsidRPr="00681586">
        <w:rPr>
          <w:rFonts w:eastAsia="Calibri" w:hint="cs"/>
          <w:rtl/>
        </w:rPr>
        <w:t xml:space="preserve">בתרשים </w:t>
      </w:r>
      <w:r w:rsidR="00D96040">
        <w:rPr>
          <w:rFonts w:eastAsia="Calibri" w:hint="cs"/>
          <w:rtl/>
        </w:rPr>
        <w:t>ש</w:t>
      </w:r>
      <w:r w:rsidRPr="00681586">
        <w:rPr>
          <w:rFonts w:eastAsia="Calibri" w:hint="cs"/>
          <w:rtl/>
        </w:rPr>
        <w:t>להלן שיעור הגידול באוכלוסייה בגיל פרישה וכן שיעור הגידול באוכלוסייה של זכאי חוק סיעוד</w:t>
      </w:r>
      <w:r>
        <w:rPr>
          <w:rFonts w:eastAsia="Calibri"/>
          <w:vertAlign w:val="superscript"/>
          <w:rtl/>
        </w:rPr>
        <w:footnoteReference w:id="43"/>
      </w:r>
      <w:r w:rsidRPr="00681586">
        <w:rPr>
          <w:rFonts w:eastAsia="Calibri" w:hint="cs"/>
          <w:rtl/>
        </w:rPr>
        <w:t>.</w:t>
      </w:r>
    </w:p>
    <w:p w:rsidR="00681586" w:rsidRPr="00681586" w:rsidP="00681586">
      <w:pPr>
        <w:spacing w:line="269" w:lineRule="auto"/>
        <w:ind w:left="-567"/>
        <w:rPr>
          <w:rFonts w:eastAsia="Calibri"/>
          <w:szCs w:val="20"/>
          <w:rtl/>
        </w:rPr>
      </w:pPr>
    </w:p>
    <w:p w:rsidR="002A401B" w:rsidP="00681586">
      <w:pPr>
        <w:keepNext/>
        <w:keepLines/>
        <w:spacing w:line="269" w:lineRule="auto"/>
        <w:jc w:val="center"/>
        <w:rPr>
          <w:rFonts w:eastAsia="Calibri"/>
          <w:noProof/>
          <w:rtl/>
        </w:rPr>
      </w:pPr>
      <w:r w:rsidRPr="00681586">
        <w:rPr>
          <w:rFonts w:eastAsia="Calibri" w:hint="cs"/>
          <w:rtl/>
        </w:rPr>
        <w:t xml:space="preserve">תרשים 9: </w:t>
      </w:r>
      <w:r w:rsidRPr="00681586">
        <w:rPr>
          <w:rFonts w:eastAsia="Calibri" w:hint="cs"/>
          <w:b/>
          <w:bCs/>
          <w:rtl/>
        </w:rPr>
        <w:t>שיעור הגידול באוכלוסייה בגיל פרישה ושיעור הגידול באוכלוסייה של זכאי חוק סיעוד, 2013 - 2025</w:t>
      </w:r>
      <w:r w:rsidRPr="00681586">
        <w:rPr>
          <w:rFonts w:eastAsia="Calibri"/>
          <w:noProof/>
        </w:rPr>
        <w:t xml:space="preserve"> </w:t>
      </w:r>
    </w:p>
    <w:p w:rsidR="00257305" w:rsidP="00681586">
      <w:pPr>
        <w:keepNext/>
        <w:keepLines/>
        <w:spacing w:line="269" w:lineRule="auto"/>
        <w:jc w:val="center"/>
        <w:rPr>
          <w:rFonts w:eastAsia="Calibri"/>
          <w:noProof/>
          <w:rtl/>
        </w:rPr>
      </w:pPr>
    </w:p>
    <w:p w:rsidR="00681586" w:rsidRPr="00681586" w:rsidP="00681586">
      <w:pPr>
        <w:spacing w:line="269" w:lineRule="auto"/>
        <w:jc w:val="center"/>
        <w:rPr>
          <w:rFonts w:eastAsia="Calibri"/>
          <w:rtl/>
        </w:rPr>
      </w:pPr>
      <w:r w:rsidRPr="00681586">
        <w:rPr>
          <w:rFonts w:eastAsia="Calibri"/>
          <w:noProof/>
        </w:rPr>
        <w:drawing>
          <wp:inline distT="0" distB="0" distL="0" distR="0">
            <wp:extent cx="4438650" cy="2357219"/>
            <wp:effectExtent l="0" t="0" r="0" b="5080"/>
            <wp:docPr id="80" name="תמונה 80" descr="שיעור הגידול באוכלוסייה בגיל פרישה ושיעור הגידול באוכלוסייה של זכאי חוק סיעוד, 2013 -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438650" cy="2357219"/>
                    </a:xfrm>
                    <a:prstGeom prst="rect">
                      <a:avLst/>
                    </a:prstGeom>
                    <a:noFill/>
                  </pic:spPr>
                </pic:pic>
              </a:graphicData>
            </a:graphic>
          </wp:inline>
        </w:drawing>
      </w:r>
    </w:p>
    <w:p w:rsidR="00681586" w:rsidRPr="00681586" w:rsidP="00681586">
      <w:pPr>
        <w:spacing w:line="269" w:lineRule="auto"/>
        <w:jc w:val="left"/>
        <w:rPr>
          <w:rFonts w:eastAsia="Calibri"/>
          <w:szCs w:val="20"/>
          <w:rtl/>
        </w:rPr>
      </w:pPr>
      <w:r w:rsidRPr="00681586">
        <w:rPr>
          <w:rFonts w:eastAsia="Calibri" w:hint="cs"/>
          <w:szCs w:val="20"/>
          <w:rtl/>
        </w:rPr>
        <w:t>על פי נתוני המוסד לביטוח לאומי</w:t>
      </w:r>
      <w:r>
        <w:rPr>
          <w:rFonts w:eastAsia="Calibri"/>
          <w:vertAlign w:val="superscript"/>
          <w:rtl/>
        </w:rPr>
        <w:footnoteReference w:id="44"/>
      </w:r>
      <w:r w:rsidRPr="00681586">
        <w:rPr>
          <w:rFonts w:eastAsia="Calibri"/>
          <w:szCs w:val="20"/>
          <w:rtl/>
        </w:rPr>
        <w:t>, בעיבוד משרד מבקר המדינה.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b/>
          <w:bCs/>
          <w:rtl/>
        </w:rPr>
        <w:t xml:space="preserve">מנתוני התרשים עולה כי בשנים שלפני הרפורמה בסיעוד עלה שיעורם של מקבלי גמלת סיעוד מעט פחות משיעור גידול האוכלוסייה בגיל פרישה. כך למשל בשנים 2013 - 2018 גדלה האוכלוסייה בגיל פרישה בכ-21%, ומספר מקבלי גמלת סיעוד עלה בכ-14%. לאחר הרפורמה מגמה זו השתנתה, ושיעור הגידול במקבלי גמלת סיעוד היה גבוה בצורה ניכרת משיעור גידול האוכלוסייה בגיל פרישה. כך בשנים 2018 - 2025 גדלה האוכלוסייה בגיל פרישה בכ-17%, ואילו מספר מקבלי גמלת סיעוד עלה בכ-118%. </w:t>
      </w:r>
    </w:p>
    <w:p w:rsidR="00681586" w:rsidRPr="00681586" w:rsidP="00681586">
      <w:pPr>
        <w:spacing w:line="269" w:lineRule="auto"/>
        <w:ind w:left="-567"/>
        <w:rPr>
          <w:rFonts w:eastAsia="Calibri"/>
          <w:szCs w:val="20"/>
        </w:rPr>
      </w:pPr>
    </w:p>
    <w:p w:rsidR="00681586" w:rsidRPr="00681586" w:rsidP="00681586">
      <w:pPr>
        <w:spacing w:line="269" w:lineRule="auto"/>
        <w:rPr>
          <w:rFonts w:eastAsia="Calibri"/>
          <w:rtl/>
        </w:rPr>
      </w:pPr>
      <w:r w:rsidRPr="00681586">
        <w:rPr>
          <w:rFonts w:eastAsia="Calibri" w:hint="cs"/>
          <w:rtl/>
        </w:rPr>
        <w:t xml:space="preserve">בתרשים להלן השינוי לאורך השנים בשיעורם של מקבלי קצבת סיעוד מתוך אלו המקבלים קצבת זקנה, כלומר כמה קשישים בכל שנה מוגדרים סיעודיים, מתוך סך הקשישים שהגיעו לגיל פרישה, ותחזית לשיעור זה בהינתן שמגמות הגידול באוכלוסיית הזכאים לגמלת סיעוד </w:t>
      </w:r>
      <w:r w:rsidR="00257305">
        <w:rPr>
          <w:rFonts w:eastAsia="Calibri" w:hint="cs"/>
          <w:rtl/>
        </w:rPr>
        <w:t>י</w:t>
      </w:r>
      <w:r w:rsidRPr="00681586">
        <w:rPr>
          <w:rFonts w:eastAsia="Calibri" w:hint="cs"/>
          <w:rtl/>
        </w:rPr>
        <w:t>ימשכ</w:t>
      </w:r>
      <w:r w:rsidR="00257305">
        <w:rPr>
          <w:rFonts w:eastAsia="Calibri" w:hint="cs"/>
          <w:rtl/>
        </w:rPr>
        <w:t>ו</w:t>
      </w:r>
      <w:r w:rsidRPr="00681586">
        <w:rPr>
          <w:rFonts w:eastAsia="Calibri" w:hint="cs"/>
          <w:rtl/>
        </w:rPr>
        <w:t>.</w:t>
      </w:r>
    </w:p>
    <w:p w:rsidR="00681586" w:rsidRPr="00681586" w:rsidP="00681586">
      <w:pPr>
        <w:spacing w:line="269" w:lineRule="auto"/>
        <w:ind w:left="-567"/>
        <w:rPr>
          <w:rFonts w:eastAsia="Calibri"/>
          <w:szCs w:val="20"/>
          <w:rtl/>
        </w:rPr>
      </w:pPr>
    </w:p>
    <w:p w:rsidR="00681586" w:rsidP="00681586">
      <w:pPr>
        <w:keepNext/>
        <w:keepLines/>
        <w:spacing w:line="269" w:lineRule="auto"/>
        <w:jc w:val="center"/>
        <w:rPr>
          <w:rFonts w:eastAsia="Calibri"/>
          <w:rtl/>
        </w:rPr>
      </w:pPr>
      <w:r w:rsidRPr="00681586">
        <w:rPr>
          <w:rFonts w:eastAsia="Calibri" w:hint="cs"/>
          <w:rtl/>
        </w:rPr>
        <w:t xml:space="preserve">תרשים 10: </w:t>
      </w:r>
      <w:r w:rsidRPr="00681586">
        <w:rPr>
          <w:rFonts w:eastAsia="Calibri" w:hint="cs"/>
          <w:b/>
          <w:bCs/>
          <w:rtl/>
        </w:rPr>
        <w:t>מקבלי קצבת סיעוד מתוך האוכלוסייה בגיל פרישה, 2014 - 2025, ותחזית לשנים 2026 - 2030</w:t>
      </w:r>
    </w:p>
    <w:p w:rsidR="00257305" w:rsidRPr="00681586" w:rsidP="00681586">
      <w:pPr>
        <w:keepNext/>
        <w:keepLines/>
        <w:spacing w:line="269" w:lineRule="auto"/>
        <w:jc w:val="center"/>
        <w:rPr>
          <w:rFonts w:eastAsia="Calibri"/>
          <w:rtl/>
        </w:rPr>
      </w:pPr>
    </w:p>
    <w:p w:rsidR="00681586" w:rsidRPr="00681586" w:rsidP="00681586">
      <w:pPr>
        <w:spacing w:line="269" w:lineRule="auto"/>
        <w:jc w:val="center"/>
        <w:rPr>
          <w:rFonts w:eastAsia="Calibri"/>
          <w:rtl/>
        </w:rPr>
      </w:pPr>
      <w:r w:rsidRPr="00681586">
        <w:rPr>
          <w:rFonts w:eastAsia="Calibri"/>
          <w:noProof/>
        </w:rPr>
        <w:drawing>
          <wp:inline distT="0" distB="0" distL="0" distR="0">
            <wp:extent cx="5218430" cy="2499360"/>
            <wp:effectExtent l="0" t="0" r="1270" b="0"/>
            <wp:docPr id="82" name="תמונה 82" descr=" מקבלי קצבת סיעוד מתוך האוכלוסייה בגיל פרישה, 2014 - 2025, ותחזית לשנים 2030-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4"/>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8430" cy="2499360"/>
                    </a:xfrm>
                    <a:prstGeom prst="rect">
                      <a:avLst/>
                    </a:prstGeom>
                    <a:noFill/>
                  </pic:spPr>
                </pic:pic>
              </a:graphicData>
            </a:graphic>
          </wp:inline>
        </w:drawing>
      </w:r>
    </w:p>
    <w:p w:rsidR="00681586" w:rsidRPr="00681586" w:rsidP="00681586">
      <w:pPr>
        <w:spacing w:line="269" w:lineRule="auto"/>
        <w:rPr>
          <w:rFonts w:eastAsia="Calibri"/>
          <w:szCs w:val="20"/>
          <w:rtl/>
        </w:rPr>
      </w:pPr>
      <w:r w:rsidRPr="00681586">
        <w:rPr>
          <w:rFonts w:eastAsia="Calibri" w:hint="cs"/>
          <w:szCs w:val="20"/>
          <w:rtl/>
        </w:rPr>
        <w:t xml:space="preserve">על פי נתוני המוסד לביטוח לאומי, </w:t>
      </w:r>
      <w:r w:rsidRPr="00681586">
        <w:rPr>
          <w:rFonts w:eastAsia="Calibri" w:hint="eastAsia"/>
          <w:szCs w:val="20"/>
          <w:rtl/>
        </w:rPr>
        <w:t>בעיבוד</w:t>
      </w:r>
      <w:r w:rsidRPr="00681586">
        <w:rPr>
          <w:rFonts w:eastAsia="Calibri"/>
          <w:szCs w:val="20"/>
          <w:rtl/>
        </w:rPr>
        <w:t xml:space="preserve"> </w:t>
      </w:r>
      <w:r w:rsidRPr="00681586">
        <w:rPr>
          <w:rFonts w:eastAsia="Calibri" w:hint="eastAsia"/>
          <w:szCs w:val="20"/>
          <w:rtl/>
        </w:rPr>
        <w:t>משרד</w:t>
      </w:r>
      <w:r w:rsidRPr="00681586">
        <w:rPr>
          <w:rFonts w:eastAsia="Calibri"/>
          <w:szCs w:val="20"/>
          <w:rtl/>
        </w:rPr>
        <w:t xml:space="preserve"> </w:t>
      </w:r>
      <w:r w:rsidRPr="00681586">
        <w:rPr>
          <w:rFonts w:eastAsia="Calibri" w:hint="eastAsia"/>
          <w:szCs w:val="20"/>
          <w:rtl/>
        </w:rPr>
        <w:t>מבקר</w:t>
      </w:r>
      <w:r w:rsidRPr="00681586">
        <w:rPr>
          <w:rFonts w:eastAsia="Calibri"/>
          <w:szCs w:val="20"/>
          <w:rtl/>
        </w:rPr>
        <w:t xml:space="preserve"> </w:t>
      </w:r>
      <w:r w:rsidRPr="00681586">
        <w:rPr>
          <w:rFonts w:eastAsia="Calibri" w:hint="eastAsia"/>
          <w:szCs w:val="20"/>
          <w:rtl/>
        </w:rPr>
        <w:t>המדינה</w:t>
      </w:r>
      <w:r w:rsidRPr="00681586">
        <w:rPr>
          <w:rFonts w:eastAsia="Calibri"/>
          <w:szCs w:val="20"/>
          <w:rtl/>
        </w:rPr>
        <w:t>.</w:t>
      </w:r>
    </w:p>
    <w:p w:rsidR="00681586" w:rsidRPr="00681586" w:rsidP="00681586">
      <w:pPr>
        <w:spacing w:line="269" w:lineRule="auto"/>
        <w:rPr>
          <w:rFonts w:eastAsia="Calibri"/>
          <w:b/>
          <w:bCs/>
          <w:rtl/>
        </w:rPr>
      </w:pPr>
      <w:r w:rsidRPr="00681586">
        <w:rPr>
          <w:rFonts w:eastAsia="Calibri" w:hint="cs"/>
          <w:b/>
          <w:bCs/>
          <w:rtl/>
        </w:rPr>
        <w:t xml:space="preserve">משני התרשימים לעיל עולה כי בשנים בטרם הרפורמה שיעור הגידול של הזכאים לגמלת סיעוד היה דומה לשיעור הגידול של האוכלוסייה בגיל פרישה. עם זאת, מאז הרפורמה קיימת מגמה עקבית של הרחבת מעגל הזכאים לגמלה מתוך אוכלוסיית הקשישים, מעבר למגמת הגידול בשיעור הקשישים באוכלוסייה. כך, לפני הרפורמה בסיעוד, שיעורם של מקבלי קצבת סיעוד מתוך מקבלי קצבת זקנה היה קבוע ועמד על כ-16%, ואילו לאחר הרפורמה חל גידול עקבי בשיעור זה, עד שבשנת 2025 כמעט הוכפל והגיע לכ-30%.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מתחזית שביצע משרד מבקר המדינה לשנת 2030 עולה כי ללא שינוי במדיניות בט"ל, יעלה שיעור הקשישים הסיעודיים לכ-34% מאוכלוסיית הקשישים, וההוצאה על הסיעוד צפויה להגיע לכ-40 מיליארד ש"ח בשנה</w:t>
      </w:r>
      <w:r>
        <w:rPr>
          <w:rFonts w:eastAsia="Calibri"/>
          <w:b/>
          <w:bCs/>
          <w:vertAlign w:val="superscript"/>
          <w:rtl/>
        </w:rPr>
        <w:footnoteReference w:id="45"/>
      </w:r>
      <w:r w:rsidRPr="00681586">
        <w:rPr>
          <w:rFonts w:eastAsia="Calibri" w:hint="cs"/>
          <w:b/>
          <w:bCs/>
          <w:rtl/>
        </w:rPr>
        <w:t>, אל מול הוצאה של כ-21.1 מיליארד ש"ח על סיעוד בשנת 2025 (עליה של כ-100%).</w:t>
      </w:r>
    </w:p>
    <w:p w:rsidR="00681586" w:rsidRPr="00681586" w:rsidP="00681586">
      <w:pPr>
        <w:spacing w:line="269" w:lineRule="auto"/>
        <w:rPr>
          <w:rFonts w:eastAsia="Calibri"/>
          <w:b/>
          <w:bCs/>
          <w:rtl/>
        </w:rPr>
      </w:pPr>
    </w:p>
    <w:p w:rsidR="00681586" w:rsidRPr="00681586" w:rsidP="00681586">
      <w:pPr>
        <w:keepNext/>
        <w:keepLines/>
        <w:spacing w:line="269" w:lineRule="auto"/>
        <w:outlineLvl w:val="6"/>
        <w:rPr>
          <w:rFonts w:eastAsia="Times New Roman"/>
          <w:bCs/>
          <w:spacing w:val="40"/>
          <w:rtl/>
        </w:rPr>
      </w:pPr>
      <w:r w:rsidRPr="00681586">
        <w:rPr>
          <w:rFonts w:eastAsia="Times New Roman" w:hint="cs"/>
          <w:bCs/>
          <w:spacing w:val="40"/>
          <w:rtl/>
        </w:rPr>
        <w:t>היקף מקבלי הקצבאות בהשוואה בין-לאומית</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התרשים </w:t>
      </w:r>
      <w:r w:rsidR="00D96040">
        <w:rPr>
          <w:rFonts w:eastAsia="Calibri" w:hint="cs"/>
          <w:rtl/>
        </w:rPr>
        <w:t>ש</w:t>
      </w:r>
      <w:r w:rsidRPr="00681586">
        <w:rPr>
          <w:rFonts w:eastAsia="Calibri" w:hint="cs"/>
          <w:rtl/>
        </w:rPr>
        <w:t>להלן מציג השוואה בין-לאומית של שיעורם של מקבלי טיפול סיעודי בקרב גילי 65 ומעלה במדינות ה-</w:t>
      </w:r>
      <w:r w:rsidRPr="00681586">
        <w:rPr>
          <w:rFonts w:eastAsia="Calibri" w:hint="cs"/>
        </w:rPr>
        <w:t>OECD</w:t>
      </w:r>
      <w:r>
        <w:rPr>
          <w:rFonts w:eastAsia="Calibri"/>
          <w:vertAlign w:val="superscript"/>
          <w:rtl/>
        </w:rPr>
        <w:footnoteReference w:id="46"/>
      </w:r>
      <w:r w:rsidRPr="00681586">
        <w:rPr>
          <w:rFonts w:eastAsia="Calibri" w:hint="cs"/>
          <w:rtl/>
        </w:rPr>
        <w:t>.</w:t>
      </w:r>
    </w:p>
    <w:p w:rsidR="00681586" w:rsidRPr="00681586" w:rsidP="00681586">
      <w:pPr>
        <w:spacing w:line="269" w:lineRule="auto"/>
        <w:ind w:left="-567"/>
        <w:rPr>
          <w:rFonts w:eastAsia="Calibri"/>
          <w:szCs w:val="20"/>
          <w:rtl/>
        </w:rPr>
      </w:pPr>
    </w:p>
    <w:p w:rsidR="00681586" w:rsidRPr="00681586" w:rsidP="00681586">
      <w:pPr>
        <w:keepNext/>
        <w:keepLines/>
        <w:spacing w:line="269" w:lineRule="auto"/>
        <w:jc w:val="center"/>
        <w:rPr>
          <w:rFonts w:eastAsia="Calibri"/>
          <w:rtl/>
        </w:rPr>
      </w:pPr>
      <w:r w:rsidRPr="00681586">
        <w:rPr>
          <w:rFonts w:eastAsia="Calibri" w:hint="cs"/>
          <w:rtl/>
        </w:rPr>
        <w:t xml:space="preserve">תרשים 11: </w:t>
      </w:r>
      <w:r w:rsidRPr="00681586">
        <w:rPr>
          <w:rFonts w:eastAsia="Calibri" w:hint="cs"/>
          <w:b/>
          <w:bCs/>
          <w:rtl/>
        </w:rPr>
        <w:t>שיעורם של מקבלי טיפול סיעודי בגילי 65 ומעלה במדינות ה-</w:t>
      </w:r>
      <w:r w:rsidRPr="00681586">
        <w:rPr>
          <w:rFonts w:eastAsia="Calibri" w:hint="cs"/>
          <w:b/>
          <w:bCs/>
        </w:rPr>
        <w:t>OECD</w:t>
      </w:r>
      <w:r w:rsidRPr="00681586">
        <w:rPr>
          <w:rFonts w:eastAsia="Calibri" w:hint="cs"/>
          <w:b/>
          <w:bCs/>
          <w:rtl/>
        </w:rPr>
        <w:t>, 2023</w:t>
      </w:r>
    </w:p>
    <w:p w:rsidR="00681586" w:rsidRPr="00681586" w:rsidP="00681586">
      <w:pPr>
        <w:spacing w:line="269" w:lineRule="auto"/>
        <w:jc w:val="center"/>
        <w:rPr>
          <w:rFonts w:eastAsia="Calibri"/>
          <w:rtl/>
        </w:rPr>
      </w:pPr>
      <w:r w:rsidRPr="00681586">
        <w:rPr>
          <w:rFonts w:eastAsia="Calibri"/>
          <w:noProof/>
        </w:rPr>
        <w:drawing>
          <wp:inline distT="0" distB="0" distL="0" distR="0">
            <wp:extent cx="3494376" cy="5031689"/>
            <wp:effectExtent l="0" t="0" r="0" b="0"/>
            <wp:docPr id="31" name="תמונה 31" descr="שיעורם של מקבלי טיפול סיעודי בגילי 65 ומעלה במדינות ה-OEC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3507966" cy="5051258"/>
                    </a:xfrm>
                    <a:prstGeom prst="rect">
                      <a:avLst/>
                    </a:prstGeom>
                    <a:noFill/>
                  </pic:spPr>
                </pic:pic>
              </a:graphicData>
            </a:graphic>
          </wp:inline>
        </w:drawing>
      </w:r>
    </w:p>
    <w:p w:rsidR="00681586" w:rsidRPr="00681586" w:rsidP="00681586">
      <w:pPr>
        <w:spacing w:line="269" w:lineRule="auto"/>
        <w:rPr>
          <w:rFonts w:ascii="David" w:eastAsia="Calibri" w:hAnsi="David"/>
          <w:szCs w:val="20"/>
          <w:rtl/>
        </w:rPr>
      </w:pPr>
      <w:r w:rsidRPr="00681586">
        <w:rPr>
          <w:rFonts w:ascii="David" w:eastAsia="Calibri" w:hAnsi="David" w:hint="eastAsia"/>
          <w:szCs w:val="20"/>
          <w:rtl/>
        </w:rPr>
        <w:t>על</w:t>
      </w:r>
      <w:r w:rsidRPr="00681586">
        <w:rPr>
          <w:rFonts w:ascii="David" w:eastAsia="Calibri" w:hAnsi="David"/>
          <w:szCs w:val="20"/>
          <w:rtl/>
        </w:rPr>
        <w:t xml:space="preserve"> פי </w:t>
      </w:r>
      <w:r w:rsidRPr="00681586">
        <w:rPr>
          <w:rFonts w:ascii="David" w:eastAsia="Calibri" w:hAnsi="David" w:hint="eastAsia"/>
          <w:szCs w:val="20"/>
          <w:rtl/>
        </w:rPr>
        <w:t>נתוני</w:t>
      </w:r>
      <w:r w:rsidRPr="00681586">
        <w:rPr>
          <w:rFonts w:ascii="David" w:eastAsia="Calibri" w:hAnsi="David"/>
          <w:szCs w:val="20"/>
          <w:rtl/>
        </w:rPr>
        <w:t xml:space="preserve"> </w:t>
      </w:r>
      <w:r w:rsidRPr="00681586">
        <w:rPr>
          <w:rFonts w:ascii="David" w:eastAsia="Calibri" w:hAnsi="David" w:hint="eastAsia"/>
          <w:szCs w:val="20"/>
          <w:rtl/>
        </w:rPr>
        <w:t>ה</w:t>
      </w:r>
      <w:r w:rsidRPr="00681586">
        <w:rPr>
          <w:rFonts w:ascii="David" w:eastAsia="Calibri" w:hAnsi="David"/>
          <w:szCs w:val="20"/>
          <w:rtl/>
        </w:rPr>
        <w:t>-</w:t>
      </w:r>
      <w:r w:rsidRPr="00681586">
        <w:rPr>
          <w:rFonts w:ascii="David" w:eastAsia="Calibri" w:hAnsi="David"/>
          <w:szCs w:val="20"/>
        </w:rPr>
        <w:t>OECD</w:t>
      </w:r>
      <w:r w:rsidRPr="00681586">
        <w:rPr>
          <w:rFonts w:ascii="David" w:eastAsia="Calibri" w:hAnsi="David"/>
          <w:szCs w:val="20"/>
          <w:rtl/>
        </w:rPr>
        <w:t>, בעיבוד משרד מבקר המדינה</w:t>
      </w:r>
      <w:r>
        <w:rPr>
          <w:rFonts w:ascii="David" w:eastAsia="Calibri" w:hAnsi="David"/>
          <w:vertAlign w:val="superscript"/>
          <w:rtl/>
        </w:rPr>
        <w:footnoteReference w:id="47"/>
      </w:r>
      <w:r w:rsidRPr="00681586">
        <w:rPr>
          <w:rFonts w:ascii="David" w:eastAsia="Calibri" w:hAnsi="David"/>
          <w:szCs w:val="20"/>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b/>
          <w:bCs/>
          <w:rtl/>
        </w:rPr>
        <w:t>מהתרשים עולה כי בהשוואה בין-לאומית, שיעור מקבלי טיפול סיעודי מקרב האוכלוסייה בגיל 65 ומעלה בישראל גבוה ושני רק לליטא. עוד נמצא כי השיעור הממוצע במדינות ה-</w:t>
      </w:r>
      <w:r w:rsidRPr="00681586">
        <w:rPr>
          <w:rFonts w:eastAsia="Calibri" w:hint="cs"/>
          <w:b/>
          <w:bCs/>
        </w:rPr>
        <w:t>OECD</w:t>
      </w:r>
      <w:r w:rsidRPr="00681586">
        <w:rPr>
          <w:rFonts w:eastAsia="Calibri" w:hint="cs"/>
          <w:b/>
          <w:bCs/>
          <w:rtl/>
        </w:rPr>
        <w:t xml:space="preserve"> עומד על כ-12%, ואילו בישראל הוא מעל 30%, שיעור שהוא יותר מכפול מהשיעור הממוצע ב-</w:t>
      </w:r>
      <w:r w:rsidRPr="00681586">
        <w:rPr>
          <w:rFonts w:eastAsia="Calibri" w:hint="cs"/>
          <w:b/>
          <w:bCs/>
        </w:rPr>
        <w:t>OECD</w:t>
      </w:r>
      <w:r w:rsidRPr="00681586">
        <w:rPr>
          <w:rFonts w:eastAsia="Calibri" w:hint="cs"/>
          <w:b/>
          <w:bCs/>
          <w:rtl/>
        </w:rPr>
        <w:t>, וזאת אף על פי שבישראל הרכב הגילים צעיר יותר בהשוואה למדינות אחרות</w:t>
      </w:r>
      <w:r>
        <w:rPr>
          <w:rFonts w:eastAsia="Calibri"/>
          <w:b/>
          <w:bCs/>
          <w:vertAlign w:val="superscript"/>
          <w:rtl/>
        </w:rPr>
        <w:footnoteReference w:id="48"/>
      </w:r>
      <w:r w:rsidRPr="00681586">
        <w:rPr>
          <w:rFonts w:eastAsia="Calibri" w:hint="cs"/>
          <w:rtl/>
        </w:rPr>
        <w:t>.</w:t>
      </w:r>
    </w:p>
    <w:p w:rsidR="00681586" w:rsidRPr="00681586" w:rsidP="00681586">
      <w:pPr>
        <w:spacing w:line="269" w:lineRule="auto"/>
        <w:ind w:left="-567"/>
        <w:rPr>
          <w:rFonts w:eastAsia="Calibri"/>
          <w:szCs w:val="20"/>
          <w:rtl/>
        </w:rPr>
      </w:pPr>
    </w:p>
    <w:p w:rsidR="00681586" w:rsidRPr="00681586" w:rsidP="00681586">
      <w:pPr>
        <w:keepNext/>
        <w:keepLines/>
        <w:spacing w:line="269" w:lineRule="auto"/>
        <w:outlineLvl w:val="5"/>
        <w:rPr>
          <w:rFonts w:eastAsia="Times New Roman"/>
          <w:spacing w:val="40"/>
          <w:rtl/>
        </w:rPr>
      </w:pPr>
      <w:r w:rsidRPr="00681586">
        <w:rPr>
          <w:rFonts w:eastAsia="Times New Roman" w:hint="cs"/>
          <w:spacing w:val="40"/>
          <w:rtl/>
        </w:rPr>
        <w:t>השפעת הרפורמה על המצב האקטוארי של המוסד לביטוח לאומי</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בתחשיב שערך אגף התקציבים במשרד האוצר</w:t>
      </w:r>
      <w:r>
        <w:rPr>
          <w:rFonts w:eastAsia="Calibri"/>
          <w:vertAlign w:val="superscript"/>
          <w:rtl/>
        </w:rPr>
        <w:footnoteReference w:id="49"/>
      </w:r>
      <w:r w:rsidRPr="00681586">
        <w:rPr>
          <w:rFonts w:eastAsia="Calibri" w:hint="cs"/>
          <w:rtl/>
        </w:rPr>
        <w:t xml:space="preserve"> לפני כניסת הרפורמה לתוקף, נאמדה עלות התוספת השנתית להוצאה של בט"ל על סיעוד בעקבות הרפורמה הצפויה בסיעוד ב-1.3 מיליארד ש"ח</w:t>
      </w:r>
      <w:r>
        <w:rPr>
          <w:rFonts w:eastAsia="Calibri"/>
          <w:vertAlign w:val="superscript"/>
          <w:rtl/>
        </w:rPr>
        <w:footnoteReference w:id="50"/>
      </w:r>
      <w:r w:rsidRPr="00681586">
        <w:rPr>
          <w:rFonts w:eastAsia="Calibri" w:hint="cs"/>
          <w:rtl/>
        </w:rPr>
        <w:t xml:space="preserve">. התחשיב כלל בין היתר את העלות של התאמת היקף התשלום על שעות סיעוד, עלות </w:t>
      </w:r>
      <w:r w:rsidRPr="00681586">
        <w:rPr>
          <w:rFonts w:eastAsia="Calibri" w:hint="cs"/>
          <w:rtl/>
        </w:rPr>
        <w:t>הכשרת מטפלים בסיעוד והעלאת שכרם, שיפור מנגנוני הבקרה של בט"ל, פיתוח והרחבה של שירותים בקהילה, לרבות מרכזי היום, והחיסכון הכספי הנובע ממתן גמלה בכסף במקום בעין</w:t>
      </w:r>
      <w:r>
        <w:rPr>
          <w:rFonts w:eastAsia="Calibri"/>
          <w:vertAlign w:val="superscript"/>
          <w:rtl/>
        </w:rPr>
        <w:footnoteReference w:id="51"/>
      </w:r>
      <w:r w:rsidRPr="00681586">
        <w:rPr>
          <w:rFonts w:eastAsia="Calibri" w:hint="cs"/>
          <w:rtl/>
        </w:rPr>
        <w:t>.</w:t>
      </w:r>
    </w:p>
    <w:p w:rsidR="00681586" w:rsidRPr="00681586" w:rsidP="00681586">
      <w:pPr>
        <w:spacing w:line="269" w:lineRule="auto"/>
        <w:ind w:left="-567"/>
        <w:rPr>
          <w:rFonts w:eastAsia="Calibri"/>
          <w:szCs w:val="20"/>
          <w:rtl/>
        </w:rPr>
      </w:pPr>
    </w:p>
    <w:p w:rsidR="00681586" w:rsidRPr="00681586" w:rsidP="00681586">
      <w:pPr>
        <w:spacing w:line="269" w:lineRule="auto"/>
        <w:jc w:val="left"/>
        <w:rPr>
          <w:rFonts w:eastAsia="Calibri"/>
          <w:rtl/>
        </w:rPr>
      </w:pPr>
      <w:r w:rsidRPr="00681586">
        <w:rPr>
          <w:rFonts w:eastAsia="Calibri" w:hint="cs"/>
          <w:rtl/>
        </w:rPr>
        <w:t>התרשים שלהלן מציג את הגידול בפועל בהוצאה על סיעוד בשנים 2014 - 2025.</w:t>
      </w:r>
    </w:p>
    <w:p w:rsidR="00681586" w:rsidRPr="00681586" w:rsidP="00681586">
      <w:pPr>
        <w:spacing w:line="269" w:lineRule="auto"/>
        <w:ind w:left="-567"/>
        <w:rPr>
          <w:rFonts w:eastAsia="Calibri"/>
          <w:szCs w:val="20"/>
          <w:rtl/>
        </w:rPr>
      </w:pPr>
    </w:p>
    <w:p w:rsidR="00681586" w:rsidRPr="00681586" w:rsidP="00681586">
      <w:pPr>
        <w:spacing w:line="269" w:lineRule="auto"/>
        <w:jc w:val="center"/>
        <w:rPr>
          <w:rFonts w:eastAsia="Calibri"/>
          <w:b/>
          <w:bCs/>
          <w:rtl/>
        </w:rPr>
      </w:pPr>
      <w:r w:rsidRPr="00681586">
        <w:rPr>
          <w:rFonts w:eastAsia="Calibri" w:hint="cs"/>
          <w:rtl/>
        </w:rPr>
        <w:t xml:space="preserve">תרשים 12: </w:t>
      </w:r>
      <w:r w:rsidRPr="00681586">
        <w:rPr>
          <w:rFonts w:eastAsia="Calibri" w:hint="cs"/>
          <w:b/>
          <w:bCs/>
          <w:rtl/>
        </w:rPr>
        <w:t>ההוצאה על סיעוד במחירים שוטפים, 2014 - 2025 (במיליארדי ש"ח)</w:t>
      </w:r>
    </w:p>
    <w:p w:rsidR="00681586" w:rsidRPr="00681586" w:rsidP="00681586">
      <w:pPr>
        <w:spacing w:line="269" w:lineRule="auto"/>
        <w:jc w:val="center"/>
        <w:rPr>
          <w:rFonts w:eastAsia="Calibri"/>
          <w:rtl/>
        </w:rPr>
      </w:pPr>
    </w:p>
    <w:p w:rsidR="00681586" w:rsidRPr="00681586" w:rsidP="00681586">
      <w:pPr>
        <w:spacing w:line="269" w:lineRule="auto"/>
        <w:jc w:val="center"/>
        <w:rPr>
          <w:rFonts w:eastAsia="Calibri"/>
          <w:rtl/>
        </w:rPr>
      </w:pPr>
      <w:r w:rsidRPr="00681586">
        <w:rPr>
          <w:rFonts w:eastAsia="Calibri"/>
          <w:noProof/>
        </w:rPr>
        <w:drawing>
          <wp:inline distT="0" distB="0" distL="0" distR="0">
            <wp:extent cx="5212715" cy="2621280"/>
            <wp:effectExtent l="0" t="0" r="6985" b="7620"/>
            <wp:docPr id="83" name="תמונה 83" descr="ההוצאה על סיעוד במחירים שוטפים, 2014 - 2025 (במיליארדי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5"/>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2715" cy="2621280"/>
                    </a:xfrm>
                    <a:prstGeom prst="rect">
                      <a:avLst/>
                    </a:prstGeom>
                    <a:noFill/>
                  </pic:spPr>
                </pic:pic>
              </a:graphicData>
            </a:graphic>
          </wp:inline>
        </w:drawing>
      </w:r>
    </w:p>
    <w:p w:rsidR="00681586" w:rsidRPr="00681586" w:rsidP="00681586">
      <w:pPr>
        <w:spacing w:line="269" w:lineRule="auto"/>
        <w:rPr>
          <w:rFonts w:eastAsia="Calibri"/>
          <w:szCs w:val="20"/>
          <w:rtl/>
        </w:rPr>
      </w:pPr>
      <w:r w:rsidRPr="00681586">
        <w:rPr>
          <w:rFonts w:eastAsia="Calibri" w:hint="eastAsia"/>
          <w:szCs w:val="20"/>
          <w:rtl/>
        </w:rPr>
        <w:t>על</w:t>
      </w:r>
      <w:r w:rsidRPr="00681586">
        <w:rPr>
          <w:rFonts w:eastAsia="Calibri"/>
          <w:szCs w:val="20"/>
          <w:rtl/>
        </w:rPr>
        <w:t xml:space="preserve"> פי </w:t>
      </w:r>
      <w:r w:rsidRPr="00681586">
        <w:rPr>
          <w:rFonts w:eastAsia="Calibri" w:hint="eastAsia"/>
          <w:szCs w:val="20"/>
          <w:rtl/>
        </w:rPr>
        <w:t>נתוני</w:t>
      </w:r>
      <w:r w:rsidRPr="00681586">
        <w:rPr>
          <w:rFonts w:eastAsia="Calibri"/>
          <w:szCs w:val="20"/>
          <w:rtl/>
        </w:rPr>
        <w:t xml:space="preserve"> </w:t>
      </w:r>
      <w:r w:rsidRPr="00681586">
        <w:rPr>
          <w:rFonts w:eastAsia="Calibri" w:hint="cs"/>
          <w:szCs w:val="20"/>
          <w:rtl/>
        </w:rPr>
        <w:t>המוסד ל</w:t>
      </w:r>
      <w:r w:rsidRPr="00681586">
        <w:rPr>
          <w:rFonts w:eastAsia="Calibri" w:hint="eastAsia"/>
          <w:szCs w:val="20"/>
          <w:rtl/>
        </w:rPr>
        <w:t>ביטוח</w:t>
      </w:r>
      <w:r w:rsidRPr="00681586">
        <w:rPr>
          <w:rFonts w:eastAsia="Calibri"/>
          <w:szCs w:val="20"/>
          <w:rtl/>
        </w:rPr>
        <w:t xml:space="preserve"> </w:t>
      </w:r>
      <w:r w:rsidRPr="00681586">
        <w:rPr>
          <w:rFonts w:eastAsia="Calibri" w:hint="eastAsia"/>
          <w:szCs w:val="20"/>
          <w:rtl/>
        </w:rPr>
        <w:t>לאומי</w:t>
      </w:r>
      <w:r w:rsidRPr="00681586">
        <w:rPr>
          <w:rFonts w:eastAsia="Calibri" w:hint="cs"/>
          <w:szCs w:val="20"/>
          <w:rtl/>
        </w:rPr>
        <w:t>,</w:t>
      </w:r>
      <w:r w:rsidRPr="00681586">
        <w:rPr>
          <w:rFonts w:eastAsia="Calibri"/>
          <w:szCs w:val="20"/>
          <w:rtl/>
        </w:rPr>
        <w:t xml:space="preserve"> בעיבוד משרד מבקר המדינה</w:t>
      </w:r>
      <w:r>
        <w:rPr>
          <w:rFonts w:eastAsia="Calibri"/>
          <w:vertAlign w:val="superscript"/>
          <w:rtl/>
        </w:rPr>
        <w:footnoteReference w:id="52"/>
      </w:r>
      <w:r w:rsidRPr="00681586">
        <w:rPr>
          <w:rFonts w:eastAsia="Calibri"/>
          <w:szCs w:val="20"/>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מהתרשים עולה כי אף שהאומדן של אגף התקציבים במשרד האוצר, ערב אישור הרפורמה בשנת 2018, אודות עלות התוספת השנתית להוצאה על סיעוד בעקבות הרפורמה, עמד על כ-1.3 מיליארד ש"ח, תוספת ההוצאה השנתית בפועל על הסיעוד לאחר הרפורמה הייתה כ-14.1 מיליארד </w:t>
      </w:r>
      <w:r w:rsidRPr="00681586">
        <w:rPr>
          <w:rFonts w:eastAsia="Calibri" w:hint="eastAsia"/>
          <w:b/>
          <w:bCs/>
          <w:rtl/>
        </w:rPr>
        <w:t>ש</w:t>
      </w:r>
      <w:r w:rsidRPr="00681586">
        <w:rPr>
          <w:rFonts w:eastAsia="Calibri"/>
          <w:b/>
          <w:bCs/>
          <w:rtl/>
        </w:rPr>
        <w:t>"ח,</w:t>
      </w:r>
      <w:r w:rsidRPr="00681586">
        <w:rPr>
          <w:rFonts w:eastAsia="Calibri" w:hint="cs"/>
          <w:b/>
          <w:bCs/>
          <w:rtl/>
        </w:rPr>
        <w:t xml:space="preserve"> מ-7 מיליארד ש"ח ערב הרפורמה ל-21.1 מיליארד </w:t>
      </w:r>
      <w:r w:rsidRPr="00681586">
        <w:rPr>
          <w:rFonts w:eastAsia="Calibri" w:hint="eastAsia"/>
          <w:b/>
          <w:bCs/>
          <w:rtl/>
        </w:rPr>
        <w:t>ש</w:t>
      </w:r>
      <w:r w:rsidRPr="00681586">
        <w:rPr>
          <w:rFonts w:eastAsia="Calibri"/>
          <w:b/>
          <w:bCs/>
          <w:rtl/>
        </w:rPr>
        <w:t xml:space="preserve">"ח </w:t>
      </w:r>
      <w:r w:rsidRPr="00681586">
        <w:rPr>
          <w:rFonts w:eastAsia="Calibri" w:hint="eastAsia"/>
          <w:b/>
          <w:bCs/>
          <w:rtl/>
        </w:rPr>
        <w:t>בשנת</w:t>
      </w:r>
      <w:r w:rsidRPr="00681586">
        <w:rPr>
          <w:rFonts w:eastAsia="Calibri" w:hint="cs"/>
          <w:b/>
          <w:bCs/>
          <w:rtl/>
        </w:rPr>
        <w:t xml:space="preserve"> 2025, כשבע שנים לאחר יישום הרפורמה. מדובר בגידול של כ-201%. יוצא מכך כי הפער בין התוספת השנתית בפועל להוצאה על סיעוד לאחר הרפורמה, לבין </w:t>
      </w:r>
      <w:r w:rsidRPr="00681586">
        <w:rPr>
          <w:rFonts w:eastAsia="Calibri" w:hint="eastAsia"/>
          <w:b/>
          <w:bCs/>
          <w:rtl/>
        </w:rPr>
        <w:t>אומדן</w:t>
      </w:r>
      <w:r w:rsidRPr="00681586">
        <w:rPr>
          <w:rFonts w:eastAsia="Calibri"/>
          <w:b/>
          <w:bCs/>
          <w:rtl/>
        </w:rPr>
        <w:t xml:space="preserve"> </w:t>
      </w:r>
      <w:r w:rsidRPr="00681586">
        <w:rPr>
          <w:rFonts w:eastAsia="Calibri" w:hint="eastAsia"/>
          <w:b/>
          <w:bCs/>
          <w:rtl/>
        </w:rPr>
        <w:t>אג</w:t>
      </w:r>
      <w:r w:rsidRPr="00681586">
        <w:rPr>
          <w:rFonts w:eastAsia="Calibri"/>
          <w:b/>
          <w:bCs/>
          <w:rtl/>
        </w:rPr>
        <w:t>"ת</w:t>
      </w:r>
      <w:r w:rsidRPr="00681586">
        <w:rPr>
          <w:rFonts w:eastAsia="Calibri" w:hint="cs"/>
          <w:b/>
          <w:bCs/>
          <w:rtl/>
        </w:rPr>
        <w:t xml:space="preserve"> לתוספת זו, עומד על כ-12.8 מיליאר</w:t>
      </w:r>
      <w:r w:rsidRPr="00681586">
        <w:rPr>
          <w:rFonts w:eastAsia="Calibri" w:hint="eastAsia"/>
          <w:b/>
          <w:bCs/>
          <w:rtl/>
        </w:rPr>
        <w:t>ד</w:t>
      </w:r>
      <w:r w:rsidRPr="00681586">
        <w:rPr>
          <w:rFonts w:eastAsia="Calibri" w:hint="cs"/>
          <w:b/>
          <w:bCs/>
          <w:rtl/>
        </w:rPr>
        <w:t xml:space="preserve"> ש"ח.</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rtl/>
        </w:rPr>
      </w:pPr>
      <w:r w:rsidRPr="00681586">
        <w:rPr>
          <w:rFonts w:eastAsia="Calibri"/>
          <w:rtl/>
        </w:rPr>
        <w:t xml:space="preserve">לפי חוק </w:t>
      </w:r>
      <w:r w:rsidRPr="00681586">
        <w:rPr>
          <w:rFonts w:eastAsia="Calibri" w:hint="cs"/>
          <w:rtl/>
        </w:rPr>
        <w:t>בט"ל</w:t>
      </w:r>
      <w:r>
        <w:rPr>
          <w:rFonts w:eastAsia="Calibri"/>
          <w:vertAlign w:val="superscript"/>
          <w:rtl/>
        </w:rPr>
        <w:footnoteReference w:id="53"/>
      </w:r>
      <w:r w:rsidRPr="00681586">
        <w:rPr>
          <w:rFonts w:eastAsia="Calibri"/>
          <w:rtl/>
        </w:rPr>
        <w:t xml:space="preserve">, המוסד הוא תאגיד סטטוטורי הפועל </w:t>
      </w:r>
      <w:r w:rsidRPr="00681586">
        <w:rPr>
          <w:rFonts w:eastAsia="Calibri" w:hint="cs"/>
          <w:rtl/>
        </w:rPr>
        <w:t>ב</w:t>
      </w:r>
      <w:r w:rsidRPr="00681586">
        <w:rPr>
          <w:rFonts w:eastAsia="Calibri"/>
          <w:b/>
          <w:rtl/>
        </w:rPr>
        <w:t xml:space="preserve">פיקוחו של שר </w:t>
      </w:r>
      <w:r w:rsidRPr="00681586">
        <w:rPr>
          <w:rFonts w:eastAsia="Calibri" w:hint="cs"/>
          <w:b/>
          <w:rtl/>
        </w:rPr>
        <w:t>העבודה</w:t>
      </w:r>
      <w:r w:rsidRPr="00681586">
        <w:rPr>
          <w:rFonts w:eastAsia="Calibri"/>
          <w:b/>
          <w:rtl/>
        </w:rPr>
        <w:t xml:space="preserve"> </w:t>
      </w:r>
      <w:r w:rsidRPr="00681586">
        <w:rPr>
          <w:rFonts w:eastAsia="Calibri" w:hint="cs"/>
          <w:b/>
          <w:rtl/>
        </w:rPr>
        <w:t>(להלן - השר)</w:t>
      </w:r>
      <w:r w:rsidRPr="00681586">
        <w:rPr>
          <w:rFonts w:eastAsia="Calibri"/>
          <w:rtl/>
        </w:rPr>
        <w:t xml:space="preserve">. </w:t>
      </w:r>
      <w:r w:rsidRPr="00681586">
        <w:rPr>
          <w:rFonts w:eastAsia="Calibri" w:hint="cs"/>
          <w:rtl/>
        </w:rPr>
        <w:t>הרשות העליונה של</w:t>
      </w:r>
      <w:r w:rsidRPr="00681586">
        <w:rPr>
          <w:rFonts w:eastAsia="Calibri"/>
          <w:rtl/>
        </w:rPr>
        <w:t xml:space="preserve"> המוסד </w:t>
      </w:r>
      <w:r w:rsidRPr="00681586">
        <w:rPr>
          <w:rFonts w:eastAsia="Calibri" w:hint="cs"/>
          <w:rtl/>
        </w:rPr>
        <w:t>היא</w:t>
      </w:r>
      <w:r w:rsidRPr="00681586">
        <w:rPr>
          <w:rFonts w:eastAsia="Calibri"/>
          <w:rtl/>
        </w:rPr>
        <w:t xml:space="preserve"> המועצ</w:t>
      </w:r>
      <w:r w:rsidRPr="00681586">
        <w:rPr>
          <w:rFonts w:eastAsia="Calibri" w:hint="cs"/>
          <w:rtl/>
        </w:rPr>
        <w:t>ה,</w:t>
      </w:r>
      <w:r w:rsidRPr="00681586">
        <w:rPr>
          <w:rFonts w:eastAsia="Calibri"/>
        </w:rPr>
        <w:t xml:space="preserve"> </w:t>
      </w:r>
      <w:r w:rsidRPr="00681586">
        <w:rPr>
          <w:rFonts w:eastAsia="Calibri" w:hint="cs"/>
          <w:rtl/>
        </w:rPr>
        <w:t>ומינהלת המוסד הינה הרשות המנהלת והמבצעת של המוסד. על פי חוק בט"ל</w:t>
      </w:r>
      <w:r>
        <w:rPr>
          <w:rFonts w:eastAsia="Calibri"/>
          <w:vertAlign w:val="superscript"/>
          <w:rtl/>
        </w:rPr>
        <w:footnoteReference w:id="54"/>
      </w:r>
      <w:r w:rsidRPr="00681586">
        <w:rPr>
          <w:rFonts w:eastAsia="Calibri" w:hint="cs"/>
          <w:rtl/>
        </w:rPr>
        <w:t>, ה</w:t>
      </w:r>
      <w:r w:rsidRPr="00681586">
        <w:rPr>
          <w:rFonts w:eastAsia="Calibri"/>
          <w:rtl/>
        </w:rPr>
        <w:t>שר ימנה את האקטואר של המוסד בהתייעצות עם המועצה</w:t>
      </w:r>
      <w:r w:rsidRPr="00681586">
        <w:rPr>
          <w:rFonts w:eastAsia="Calibri" w:hint="cs"/>
          <w:rtl/>
        </w:rPr>
        <w:t>, ועל האקטואר של בט"ל להגיש</w:t>
      </w:r>
      <w:r w:rsidRPr="00681586">
        <w:rPr>
          <w:rFonts w:eastAsia="Calibri"/>
          <w:rtl/>
        </w:rPr>
        <w:t xml:space="preserve"> לשר ולמועצה דין וחשבון אקטוארי מלא </w:t>
      </w:r>
      <w:r w:rsidRPr="00681586">
        <w:rPr>
          <w:rFonts w:eastAsia="Calibri" w:hint="cs"/>
          <w:rtl/>
        </w:rPr>
        <w:t xml:space="preserve">מדי שלוש שנים. </w:t>
      </w:r>
      <w:r w:rsidRPr="00681586">
        <w:rPr>
          <w:rFonts w:eastAsia="Calibri"/>
          <w:b/>
          <w:rtl/>
        </w:rPr>
        <w:t xml:space="preserve">הדוח </w:t>
      </w:r>
      <w:r w:rsidRPr="00681586">
        <w:rPr>
          <w:rFonts w:eastAsia="Calibri" w:hint="cs"/>
          <w:b/>
          <w:rtl/>
        </w:rPr>
        <w:t xml:space="preserve">האקטוארי </w:t>
      </w:r>
      <w:r w:rsidRPr="00681586">
        <w:rPr>
          <w:rFonts w:eastAsia="Calibri"/>
          <w:b/>
          <w:rtl/>
        </w:rPr>
        <w:t xml:space="preserve">מספק הערכה </w:t>
      </w:r>
      <w:r w:rsidRPr="00681586">
        <w:rPr>
          <w:rFonts w:eastAsia="Calibri" w:hint="cs"/>
          <w:b/>
          <w:rtl/>
        </w:rPr>
        <w:t xml:space="preserve">על </w:t>
      </w:r>
      <w:r w:rsidRPr="00681586">
        <w:rPr>
          <w:rFonts w:eastAsia="Calibri"/>
          <w:b/>
          <w:rtl/>
        </w:rPr>
        <w:t>מצבו הפיננסי ארוך הטווח של המוסד ו</w:t>
      </w:r>
      <w:r w:rsidRPr="00681586">
        <w:rPr>
          <w:rFonts w:eastAsia="Calibri" w:hint="cs"/>
          <w:b/>
          <w:rtl/>
        </w:rPr>
        <w:t xml:space="preserve">על </w:t>
      </w:r>
      <w:r w:rsidRPr="00681586">
        <w:rPr>
          <w:rFonts w:eastAsia="Calibri"/>
          <w:b/>
          <w:rtl/>
        </w:rPr>
        <w:t>יכולתו להמשיך ולשלם בצורה יציבה ועקבית את הקצבאות בעתיד</w:t>
      </w:r>
      <w:r>
        <w:rPr>
          <w:rFonts w:eastAsia="Calibri"/>
          <w:b/>
          <w:vertAlign w:val="superscript"/>
          <w:rtl/>
        </w:rPr>
        <w:footnoteReference w:id="55"/>
      </w:r>
      <w:r w:rsidRPr="00681586">
        <w:rPr>
          <w:rFonts w:eastAsia="Calibri"/>
          <w:b/>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הדוח האקטוארי מתבסס על מודל אקטוארי של בט"ל, המשקלל נתונים רבים, ובהם תוחלת החיים הצפויה, הגידול הצפוי בהכנסות במשק, שיעור הילודה, שיעור התעסוקה הצפוי, הריבית, וכן ההסתברות לתחלואה, כלומר ההסתברות להיות זכאי לגמלאות כמו נכות או סיעוד כתלות במין ובגיל המבוטח. כדי להפיק דוח אקטוארי מהימן, יש לעדכן נתונים אלו במידת הצורך ולחשב את סך ההכנסות הצפויות מול סך ההוצאות הצפויות של בט"ל בטווח הארוך. התוצאה העיקרית של הרצת המודל האקטוארי היא שנת איפוס הקרן. </w:t>
      </w:r>
      <w:r w:rsidRPr="00681586">
        <w:rPr>
          <w:rFonts w:eastAsia="Calibri"/>
          <w:rtl/>
        </w:rPr>
        <w:t xml:space="preserve">שנת איפוס הקרן מוגדרת כשנה הראשונה </w:t>
      </w:r>
      <w:r w:rsidRPr="00681586">
        <w:rPr>
          <w:rFonts w:eastAsia="Calibri"/>
          <w:rtl/>
        </w:rPr>
        <w:t xml:space="preserve">בתחזית </w:t>
      </w:r>
      <w:r w:rsidRPr="00681586">
        <w:rPr>
          <w:rFonts w:eastAsia="Calibri" w:hint="cs"/>
          <w:rtl/>
        </w:rPr>
        <w:t>ש</w:t>
      </w:r>
      <w:r w:rsidRPr="00681586">
        <w:rPr>
          <w:rFonts w:eastAsia="Calibri"/>
          <w:rtl/>
        </w:rPr>
        <w:t xml:space="preserve">בה קרן המוסד מתאפסת. זהו מצב חמור </w:t>
      </w:r>
      <w:r w:rsidRPr="00681586">
        <w:rPr>
          <w:rFonts w:eastAsia="Calibri" w:hint="cs"/>
          <w:rtl/>
        </w:rPr>
        <w:t>ש</w:t>
      </w:r>
      <w:r w:rsidRPr="00681586">
        <w:rPr>
          <w:rFonts w:eastAsia="Calibri"/>
          <w:rtl/>
        </w:rPr>
        <w:t>בו המוסד יימצא בגירעון תזרימי, וללא מימון נוסף הוא לא יהיה מסוגל לשלם את מלוא התחייבויותיו על פי החוק</w:t>
      </w:r>
      <w:r>
        <w:rPr>
          <w:rFonts w:eastAsia="Calibri"/>
          <w:vertAlign w:val="superscript"/>
          <w:rtl/>
        </w:rPr>
        <w:footnoteReference w:id="56"/>
      </w:r>
      <w:r w:rsidRPr="00681586">
        <w:rPr>
          <w:rFonts w:eastAsia="Calibri"/>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הדוח האקטוארי המלא האחרון שפורסם הוגש בינואר 2024, והיה נכון לתאריך 31.12.22 (להלן הדוח האקטוארי האחרון שפורסם). בדוח דווח כי שנת איפוס הקרן תהיה 2036, ואילו בדוח האקטוארי שלפניו</w:t>
      </w:r>
      <w:r>
        <w:rPr>
          <w:rFonts w:eastAsia="Calibri"/>
          <w:vertAlign w:val="superscript"/>
          <w:rtl/>
        </w:rPr>
        <w:footnoteReference w:id="57"/>
      </w:r>
      <w:r w:rsidRPr="00681586">
        <w:rPr>
          <w:rFonts w:eastAsia="Calibri" w:hint="cs"/>
          <w:rtl/>
        </w:rPr>
        <w:t xml:space="preserve">, שהוגש ביוני 2020 והיה נכון לתאריך 31.12.16, דווח כי שנת איפוס הקרן תהיה 2044. כלומר, בשנים אלו הוקדמה שנת איפוס הקרן בשמונה שנים. בדוח האקטוארי האחרון שפורסם צוין בין היתר כי הסיבה העיקרית להקדמת שנת איפוס הקרן היא </w:t>
      </w:r>
      <w:r w:rsidRPr="00681586">
        <w:rPr>
          <w:rFonts w:eastAsia="Calibri"/>
          <w:rtl/>
        </w:rPr>
        <w:t xml:space="preserve">מספר מקבלי קצבה </w:t>
      </w:r>
      <w:r w:rsidRPr="00681586">
        <w:rPr>
          <w:rFonts w:eastAsia="Calibri" w:hint="cs"/>
          <w:rtl/>
        </w:rPr>
        <w:t>ש</w:t>
      </w:r>
      <w:r w:rsidRPr="00681586">
        <w:rPr>
          <w:rFonts w:eastAsia="Calibri"/>
          <w:rtl/>
        </w:rPr>
        <w:t xml:space="preserve">גדל באופן ניכר ולא צפוי, בעיקר בסיעוד אבל גם בנכות כללית, </w:t>
      </w:r>
      <w:r w:rsidRPr="00681586">
        <w:rPr>
          <w:rFonts w:eastAsia="Calibri" w:hint="cs"/>
          <w:rtl/>
        </w:rPr>
        <w:t>גידול</w:t>
      </w:r>
      <w:r w:rsidRPr="00681586">
        <w:rPr>
          <w:rFonts w:eastAsia="Calibri"/>
          <w:rtl/>
        </w:rPr>
        <w:t xml:space="preserve"> </w:t>
      </w:r>
      <w:r w:rsidRPr="00681586">
        <w:rPr>
          <w:rFonts w:eastAsia="Calibri" w:hint="cs"/>
          <w:rtl/>
        </w:rPr>
        <w:t>ש</w:t>
      </w:r>
      <w:r w:rsidRPr="00681586">
        <w:rPr>
          <w:rFonts w:eastAsia="Calibri"/>
          <w:rtl/>
        </w:rPr>
        <w:t xml:space="preserve">גרם לתשלומי </w:t>
      </w:r>
      <w:r w:rsidRPr="00681586">
        <w:rPr>
          <w:rFonts w:eastAsia="Calibri" w:hint="cs"/>
          <w:rtl/>
        </w:rPr>
        <w:t>ה</w:t>
      </w:r>
      <w:r w:rsidRPr="00681586">
        <w:rPr>
          <w:rFonts w:eastAsia="Calibri"/>
          <w:rtl/>
        </w:rPr>
        <w:t>סיעוד ו</w:t>
      </w:r>
      <w:r w:rsidRPr="00681586">
        <w:rPr>
          <w:rFonts w:eastAsia="Calibri" w:hint="cs"/>
          <w:rtl/>
        </w:rPr>
        <w:t>ה</w:t>
      </w:r>
      <w:r w:rsidRPr="00681586">
        <w:rPr>
          <w:rFonts w:eastAsia="Calibri"/>
          <w:rtl/>
        </w:rPr>
        <w:t>נכות כללית בפועל בשנים 2018</w:t>
      </w:r>
      <w:r w:rsidRPr="00681586">
        <w:rPr>
          <w:rFonts w:eastAsia="Calibri" w:hint="cs"/>
          <w:rtl/>
        </w:rPr>
        <w:t xml:space="preserve"> - </w:t>
      </w:r>
      <w:r w:rsidRPr="00681586">
        <w:rPr>
          <w:rFonts w:eastAsia="Calibri"/>
          <w:rtl/>
        </w:rPr>
        <w:t xml:space="preserve">2022 להיות גבוהים בהרבה מהצפוי בתחזית </w:t>
      </w:r>
      <w:r w:rsidRPr="00681586">
        <w:rPr>
          <w:rFonts w:eastAsia="Calibri" w:hint="cs"/>
          <w:rtl/>
        </w:rPr>
        <w:t>הדוח הקודם</w:t>
      </w:r>
      <w:r>
        <w:rPr>
          <w:rFonts w:eastAsia="Calibri"/>
          <w:vertAlign w:val="superscript"/>
          <w:rtl/>
        </w:rPr>
        <w:footnoteReference w:id="58"/>
      </w:r>
      <w:r w:rsidRPr="00681586">
        <w:rPr>
          <w:rFonts w:eastAsia="Calibri" w:hint="cs"/>
          <w:rtl/>
        </w:rPr>
        <w:t>. לוח 1 מציג את ההשפעה של השינוי בנתונים של כל אחת מהגמלאות על שנת איפוס הקרן.</w:t>
      </w:r>
    </w:p>
    <w:p w:rsidR="00681586" w:rsidRPr="00681586" w:rsidP="00681586">
      <w:pPr>
        <w:spacing w:line="269" w:lineRule="auto"/>
        <w:ind w:left="-567"/>
        <w:rPr>
          <w:rFonts w:eastAsia="Calibri"/>
          <w:szCs w:val="20"/>
          <w:rtl/>
        </w:rPr>
      </w:pPr>
    </w:p>
    <w:p w:rsidR="00681586" w:rsidRPr="00681586" w:rsidP="00257305">
      <w:pPr>
        <w:spacing w:after="120" w:line="269" w:lineRule="auto"/>
        <w:jc w:val="center"/>
        <w:rPr>
          <w:rFonts w:eastAsia="Calibri"/>
          <w:b/>
          <w:bCs/>
          <w:rtl/>
        </w:rPr>
      </w:pPr>
      <w:r w:rsidRPr="00681586">
        <w:rPr>
          <w:rFonts w:eastAsia="Calibri" w:hint="cs"/>
          <w:rtl/>
        </w:rPr>
        <w:t xml:space="preserve">לוח 1: </w:t>
      </w:r>
      <w:r w:rsidRPr="00681586">
        <w:rPr>
          <w:rFonts w:eastAsia="Calibri" w:hint="cs"/>
          <w:b/>
          <w:bCs/>
          <w:rtl/>
        </w:rPr>
        <w:t>הגורמים להקדמת שנת איפוס הקרן</w:t>
      </w:r>
    </w:p>
    <w:tbl>
      <w:tblPr>
        <w:tblStyle w:val="TableGrid"/>
        <w:bidiVisual/>
        <w:tblW w:w="0" w:type="auto"/>
        <w:tblLook w:val="04A0"/>
      </w:tblPr>
      <w:tblGrid>
        <w:gridCol w:w="4105"/>
        <w:gridCol w:w="4105"/>
      </w:tblGrid>
      <w:tr w:rsidTr="00BA015C">
        <w:tblPrEx>
          <w:tblW w:w="0" w:type="auto"/>
          <w:tblLook w:val="04A0"/>
        </w:tblPrEx>
        <w:tc>
          <w:tcPr>
            <w:tcW w:w="4105" w:type="dxa"/>
          </w:tcPr>
          <w:p w:rsidR="00681586" w:rsidRPr="00681586" w:rsidP="00681586">
            <w:pPr>
              <w:spacing w:line="269" w:lineRule="auto"/>
              <w:rPr>
                <w:rFonts w:eastAsia="Calibri"/>
                <w:sz w:val="18"/>
                <w:szCs w:val="22"/>
                <w:rtl/>
              </w:rPr>
            </w:pPr>
            <w:r w:rsidRPr="00681586">
              <w:rPr>
                <w:rFonts w:eastAsia="Calibri" w:hint="cs"/>
                <w:sz w:val="18"/>
                <w:szCs w:val="22"/>
                <w:rtl/>
              </w:rPr>
              <w:t>סיעוד</w:t>
            </w:r>
          </w:p>
        </w:tc>
        <w:tc>
          <w:tcPr>
            <w:tcW w:w="4106" w:type="dxa"/>
          </w:tcPr>
          <w:p w:rsidR="00681586" w:rsidRPr="00681586" w:rsidP="00681586">
            <w:pPr>
              <w:tabs>
                <w:tab w:val="left" w:pos="1402"/>
              </w:tabs>
              <w:spacing w:line="269" w:lineRule="auto"/>
              <w:rPr>
                <w:rFonts w:eastAsia="Calibri"/>
                <w:sz w:val="18"/>
                <w:szCs w:val="22"/>
                <w:rtl/>
              </w:rPr>
            </w:pPr>
            <w:r w:rsidRPr="00681586">
              <w:rPr>
                <w:rFonts w:eastAsia="Calibri" w:hint="cs"/>
                <w:sz w:val="18"/>
                <w:szCs w:val="22"/>
                <w:rtl/>
              </w:rPr>
              <w:t>6.3-</w:t>
            </w:r>
          </w:p>
        </w:tc>
      </w:tr>
      <w:tr w:rsidTr="00BA015C">
        <w:tblPrEx>
          <w:tblW w:w="0" w:type="auto"/>
          <w:tblLook w:val="04A0"/>
        </w:tblPrEx>
        <w:tc>
          <w:tcPr>
            <w:tcW w:w="4105" w:type="dxa"/>
          </w:tcPr>
          <w:p w:rsidR="00681586" w:rsidRPr="00681586" w:rsidP="00681586">
            <w:pPr>
              <w:spacing w:line="269" w:lineRule="auto"/>
              <w:rPr>
                <w:rFonts w:eastAsia="Calibri"/>
                <w:sz w:val="18"/>
                <w:szCs w:val="22"/>
                <w:rtl/>
              </w:rPr>
            </w:pPr>
            <w:r w:rsidRPr="00681586">
              <w:rPr>
                <w:rFonts w:eastAsia="Calibri"/>
                <w:sz w:val="18"/>
                <w:szCs w:val="22"/>
                <w:rtl/>
              </w:rPr>
              <w:t>עדכון יתרת הקרן בפועל לסוף שנת 2022</w:t>
            </w:r>
          </w:p>
        </w:tc>
        <w:tc>
          <w:tcPr>
            <w:tcW w:w="4106" w:type="dxa"/>
          </w:tcPr>
          <w:p w:rsidR="00681586" w:rsidRPr="00681586" w:rsidP="00681586">
            <w:pPr>
              <w:spacing w:line="269" w:lineRule="auto"/>
              <w:rPr>
                <w:rFonts w:eastAsia="Calibri"/>
                <w:sz w:val="18"/>
                <w:szCs w:val="22"/>
                <w:rtl/>
              </w:rPr>
            </w:pPr>
            <w:r w:rsidRPr="00681586">
              <w:rPr>
                <w:rFonts w:eastAsia="Calibri" w:hint="cs"/>
                <w:sz w:val="18"/>
                <w:szCs w:val="22"/>
                <w:rtl/>
              </w:rPr>
              <w:t>1.2-</w:t>
            </w:r>
          </w:p>
        </w:tc>
      </w:tr>
      <w:tr w:rsidTr="00BA015C">
        <w:tblPrEx>
          <w:tblW w:w="0" w:type="auto"/>
          <w:tblLook w:val="04A0"/>
        </w:tblPrEx>
        <w:tc>
          <w:tcPr>
            <w:tcW w:w="4105" w:type="dxa"/>
          </w:tcPr>
          <w:p w:rsidR="00681586" w:rsidRPr="00681586" w:rsidP="00681586">
            <w:pPr>
              <w:spacing w:line="269" w:lineRule="auto"/>
              <w:rPr>
                <w:rFonts w:eastAsia="Calibri"/>
                <w:sz w:val="18"/>
                <w:szCs w:val="22"/>
                <w:rtl/>
              </w:rPr>
            </w:pPr>
            <w:r w:rsidRPr="00681586">
              <w:rPr>
                <w:rFonts w:eastAsia="Calibri" w:hint="cs"/>
                <w:sz w:val="18"/>
                <w:szCs w:val="22"/>
                <w:rtl/>
              </w:rPr>
              <w:t>נכות כללית</w:t>
            </w:r>
          </w:p>
        </w:tc>
        <w:tc>
          <w:tcPr>
            <w:tcW w:w="4106" w:type="dxa"/>
          </w:tcPr>
          <w:p w:rsidR="00681586" w:rsidRPr="00681586" w:rsidP="00681586">
            <w:pPr>
              <w:spacing w:line="269" w:lineRule="auto"/>
              <w:rPr>
                <w:rFonts w:eastAsia="Calibri"/>
                <w:sz w:val="18"/>
                <w:szCs w:val="22"/>
                <w:rtl/>
              </w:rPr>
            </w:pPr>
            <w:r w:rsidRPr="00681586">
              <w:rPr>
                <w:rFonts w:eastAsia="Calibri" w:hint="cs"/>
                <w:sz w:val="18"/>
                <w:szCs w:val="22"/>
                <w:rtl/>
              </w:rPr>
              <w:t>2.7-</w:t>
            </w:r>
          </w:p>
        </w:tc>
      </w:tr>
      <w:tr w:rsidTr="00BA015C">
        <w:tblPrEx>
          <w:tblW w:w="0" w:type="auto"/>
          <w:tblLook w:val="04A0"/>
        </w:tblPrEx>
        <w:tc>
          <w:tcPr>
            <w:tcW w:w="4105" w:type="dxa"/>
          </w:tcPr>
          <w:p w:rsidR="00681586" w:rsidRPr="00681586" w:rsidP="00681586">
            <w:pPr>
              <w:spacing w:line="269" w:lineRule="auto"/>
              <w:rPr>
                <w:rFonts w:eastAsia="Calibri"/>
                <w:sz w:val="18"/>
                <w:szCs w:val="22"/>
                <w:rtl/>
              </w:rPr>
            </w:pPr>
            <w:r w:rsidRPr="00681586">
              <w:rPr>
                <w:rFonts w:eastAsia="Calibri" w:hint="cs"/>
                <w:sz w:val="18"/>
                <w:szCs w:val="22"/>
                <w:rtl/>
              </w:rPr>
              <w:t>נפגעי עבודה</w:t>
            </w:r>
          </w:p>
        </w:tc>
        <w:tc>
          <w:tcPr>
            <w:tcW w:w="4106" w:type="dxa"/>
          </w:tcPr>
          <w:p w:rsidR="00681586" w:rsidRPr="00681586" w:rsidP="00681586">
            <w:pPr>
              <w:spacing w:line="269" w:lineRule="auto"/>
              <w:rPr>
                <w:rFonts w:eastAsia="Calibri"/>
                <w:sz w:val="18"/>
                <w:szCs w:val="22"/>
                <w:rtl/>
              </w:rPr>
            </w:pPr>
            <w:r w:rsidRPr="00681586">
              <w:rPr>
                <w:rFonts w:eastAsia="Calibri" w:hint="cs"/>
                <w:sz w:val="18"/>
                <w:szCs w:val="22"/>
                <w:rtl/>
              </w:rPr>
              <w:t>1.1-</w:t>
            </w:r>
          </w:p>
        </w:tc>
      </w:tr>
      <w:tr w:rsidTr="00BA015C">
        <w:tblPrEx>
          <w:tblW w:w="0" w:type="auto"/>
          <w:tblLook w:val="04A0"/>
        </w:tblPrEx>
        <w:tc>
          <w:tcPr>
            <w:tcW w:w="4105" w:type="dxa"/>
          </w:tcPr>
          <w:p w:rsidR="00681586" w:rsidRPr="00681586" w:rsidP="00681586">
            <w:pPr>
              <w:spacing w:line="269" w:lineRule="auto"/>
              <w:rPr>
                <w:rFonts w:eastAsia="Calibri"/>
                <w:sz w:val="18"/>
                <w:szCs w:val="22"/>
                <w:rtl/>
              </w:rPr>
            </w:pPr>
            <w:r w:rsidRPr="00681586">
              <w:rPr>
                <w:rFonts w:eastAsia="Calibri" w:hint="cs"/>
                <w:sz w:val="18"/>
                <w:szCs w:val="22"/>
                <w:rtl/>
              </w:rPr>
              <w:t>הגדלת התקבולים</w:t>
            </w:r>
          </w:p>
        </w:tc>
        <w:tc>
          <w:tcPr>
            <w:tcW w:w="4106" w:type="dxa"/>
          </w:tcPr>
          <w:p w:rsidR="00681586" w:rsidRPr="00681586" w:rsidP="00681586">
            <w:pPr>
              <w:spacing w:line="269" w:lineRule="auto"/>
              <w:rPr>
                <w:rFonts w:eastAsia="Calibri"/>
                <w:sz w:val="18"/>
                <w:szCs w:val="22"/>
                <w:rtl/>
              </w:rPr>
            </w:pPr>
            <w:r w:rsidRPr="00681586">
              <w:rPr>
                <w:rFonts w:eastAsia="Calibri" w:hint="cs"/>
                <w:sz w:val="18"/>
                <w:szCs w:val="22"/>
                <w:rtl/>
              </w:rPr>
              <w:t>3.2</w:t>
            </w:r>
          </w:p>
        </w:tc>
      </w:tr>
      <w:tr w:rsidTr="00BA015C">
        <w:tblPrEx>
          <w:tblW w:w="0" w:type="auto"/>
          <w:tblLook w:val="04A0"/>
        </w:tblPrEx>
        <w:tc>
          <w:tcPr>
            <w:tcW w:w="4105" w:type="dxa"/>
          </w:tcPr>
          <w:p w:rsidR="00681586" w:rsidRPr="00681586" w:rsidP="00681586">
            <w:pPr>
              <w:spacing w:line="269" w:lineRule="auto"/>
              <w:rPr>
                <w:rFonts w:eastAsia="Calibri"/>
                <w:sz w:val="18"/>
                <w:szCs w:val="22"/>
                <w:rtl/>
              </w:rPr>
            </w:pPr>
            <w:r w:rsidRPr="00681586">
              <w:rPr>
                <w:rFonts w:eastAsia="Calibri" w:hint="cs"/>
                <w:sz w:val="18"/>
                <w:szCs w:val="22"/>
                <w:rtl/>
              </w:rPr>
              <w:t>סיבות אחרות</w:t>
            </w:r>
          </w:p>
        </w:tc>
        <w:tc>
          <w:tcPr>
            <w:tcW w:w="4106" w:type="dxa"/>
          </w:tcPr>
          <w:p w:rsidR="00681586" w:rsidRPr="00681586" w:rsidP="00681586">
            <w:pPr>
              <w:spacing w:line="269" w:lineRule="auto"/>
              <w:rPr>
                <w:rFonts w:eastAsia="Calibri"/>
                <w:sz w:val="18"/>
                <w:szCs w:val="22"/>
                <w:rtl/>
              </w:rPr>
            </w:pPr>
            <w:r w:rsidRPr="00681586">
              <w:rPr>
                <w:rFonts w:eastAsia="Calibri" w:hint="cs"/>
                <w:sz w:val="18"/>
                <w:szCs w:val="22"/>
                <w:rtl/>
              </w:rPr>
              <w:t>0.5-</w:t>
            </w:r>
          </w:p>
        </w:tc>
      </w:tr>
      <w:tr w:rsidTr="00681586">
        <w:tblPrEx>
          <w:tblW w:w="0" w:type="auto"/>
          <w:tblLook w:val="04A0"/>
        </w:tblPrEx>
        <w:tc>
          <w:tcPr>
            <w:tcW w:w="4105" w:type="dxa"/>
            <w:shd w:val="clear" w:color="auto" w:fill="A6A6A6"/>
          </w:tcPr>
          <w:p w:rsidR="00681586" w:rsidRPr="00681586" w:rsidP="00681586">
            <w:pPr>
              <w:spacing w:line="269" w:lineRule="auto"/>
              <w:rPr>
                <w:rFonts w:eastAsia="Calibri"/>
                <w:sz w:val="18"/>
                <w:szCs w:val="22"/>
                <w:rtl/>
              </w:rPr>
            </w:pPr>
            <w:r w:rsidRPr="00681586">
              <w:rPr>
                <w:rFonts w:eastAsia="Calibri" w:hint="cs"/>
                <w:sz w:val="18"/>
                <w:szCs w:val="22"/>
                <w:rtl/>
              </w:rPr>
              <w:t>סך הכול</w:t>
            </w:r>
          </w:p>
        </w:tc>
        <w:tc>
          <w:tcPr>
            <w:tcW w:w="4106" w:type="dxa"/>
            <w:shd w:val="clear" w:color="auto" w:fill="A6A6A6"/>
          </w:tcPr>
          <w:p w:rsidR="00681586" w:rsidRPr="00681586" w:rsidP="00681586">
            <w:pPr>
              <w:spacing w:line="269" w:lineRule="auto"/>
              <w:rPr>
                <w:rFonts w:eastAsia="Calibri"/>
                <w:sz w:val="18"/>
                <w:szCs w:val="22"/>
                <w:rtl/>
              </w:rPr>
            </w:pPr>
            <w:r w:rsidRPr="00681586">
              <w:rPr>
                <w:rFonts w:eastAsia="Calibri" w:hint="cs"/>
                <w:sz w:val="18"/>
                <w:szCs w:val="22"/>
                <w:rtl/>
              </w:rPr>
              <w:t>8.6-</w:t>
            </w:r>
          </w:p>
        </w:tc>
      </w:tr>
    </w:tbl>
    <w:p w:rsidR="00681586" w:rsidRPr="00681586" w:rsidP="00257305">
      <w:pPr>
        <w:spacing w:before="120" w:line="269" w:lineRule="auto"/>
        <w:ind w:left="-567" w:firstLine="567"/>
        <w:rPr>
          <w:rFonts w:eastAsia="Calibri"/>
          <w:szCs w:val="20"/>
          <w:rtl/>
        </w:rPr>
      </w:pPr>
      <w:r w:rsidRPr="00681586">
        <w:rPr>
          <w:rFonts w:eastAsia="Calibri" w:hint="cs"/>
          <w:szCs w:val="20"/>
          <w:rtl/>
        </w:rPr>
        <w:t>על פי נתוני המוסד לביטוח לאומי, בעיבוד משרד מבקר המדינה.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מהלוח עולה כי הסיבה העיקרית להקדמת שנת איפוס הקרן היא העדכונים שבוצעו בהנחות </w:t>
      </w:r>
      <w:r w:rsidRPr="00681586">
        <w:rPr>
          <w:rFonts w:eastAsia="Calibri"/>
          <w:b/>
          <w:bCs/>
          <w:rtl/>
        </w:rPr>
        <w:t>האקטואריות שישמשו בסיס לחשוב ההוצאה על</w:t>
      </w:r>
      <w:r w:rsidRPr="00681586">
        <w:rPr>
          <w:rFonts w:eastAsia="Calibri" w:hint="cs"/>
          <w:b/>
          <w:bCs/>
          <w:rtl/>
        </w:rPr>
        <w:t xml:space="preserve"> סיעוד, שגרמו להקדמת שנת האיפוס ב-6.3 שנים. מכאן, בשל יישום הרפורמה בסיעוד ובשל שינויים נוספים בתקנות ובנהלים, נפגע האיזון האקטוארי של בט"ל ונפגעה יכולתו להבטיח לשלם למבוטחיו את מלוא התחייבויותיו בעתיד. משמעות הדבר היא כי הגידול בהיקף הזכאים לגמלת סיעוד, פגע ביכולתו של המוסד להתחייב לזכויות הקשישים הסיעודיים בעתיד. יצוין כי על פי הדוח האקטוארי האחרון, שטרם פורסם לציבור, שנת איפוס הקרן הוקדמה לשנת 2035.</w:t>
      </w:r>
    </w:p>
    <w:p w:rsidR="00681586" w:rsidRPr="00681586" w:rsidP="00681586">
      <w:pPr>
        <w:spacing w:line="269" w:lineRule="auto"/>
        <w:rPr>
          <w:rFonts w:eastAsia="Calibri"/>
          <w:b/>
          <w:bCs/>
          <w:rtl/>
        </w:rPr>
      </w:pPr>
    </w:p>
    <w:p w:rsidR="00681586" w:rsidRPr="00681586" w:rsidP="00681586">
      <w:pPr>
        <w:spacing w:line="269" w:lineRule="auto"/>
        <w:jc w:val="center"/>
        <w:rPr>
          <w:rFonts w:ascii="Arial" w:eastAsia="Calibri" w:hAnsi="Arial" w:cs="Arial"/>
          <w:b/>
          <w:bCs/>
          <w:sz w:val="36"/>
          <w:rtl/>
        </w:rPr>
      </w:pPr>
      <w:r w:rsidRPr="00681586">
        <w:rPr>
          <w:rFonts w:ascii="Segoe UI Symbol" w:eastAsia="Calibri" w:hAnsi="Segoe UI Symbol" w:cs="Segoe UI Symbol" w:hint="cs"/>
          <w:b/>
          <w:bCs/>
          <w:sz w:val="36"/>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Pr>
      </w:pPr>
      <w:r w:rsidRPr="00681586">
        <w:rPr>
          <w:rFonts w:eastAsia="Calibri" w:hint="cs"/>
          <w:b/>
          <w:bCs/>
          <w:rtl/>
        </w:rPr>
        <w:t>הרפורמה בסיעוד שכללה שינויים בחוק בט"ל, בתקנות ובנהלים הפנימיים של בט"ל, גרמה לגידול של יותר מפי שניים (כ-110.5%) במספר הערכות התלות שביצע בט"ל בעקבות תביעות להכרה ולהחמרה במצב סיעודי, ולגידול של יותר מפי שניים במספר הזכאים לגמלה (כ-118%). אלו הובילו לגידול חד של כ-14.1 מיליארד ש"ח בשנה בהוצאות הסיעוד של בט"ל, כאשר האומדן של אגף התקציבים ערב אישור הרפורמה, בשנת 2018, אודות תוספת זו עמד על 1.3 מיליארד ש"ח בלבד. הגידול בהוצאה על סיעוד החמיר את הגירעון האקטוארי של בט"ל והקדים ב-6.3 שנים את שנת איפוס הקרן, השנה שבה בט"ל ייוותר ללא משאבים.</w:t>
      </w:r>
      <w:r w:rsidRPr="00681586">
        <w:rPr>
          <w:rFonts w:eastAsia="Calibri"/>
          <w:b/>
          <w:bCs/>
        </w:rPr>
        <w:t xml:space="preserve"> </w:t>
      </w:r>
      <w:r w:rsidRPr="00681586">
        <w:rPr>
          <w:rFonts w:eastAsia="Calibri" w:hint="cs"/>
          <w:b/>
          <w:bCs/>
          <w:rtl/>
        </w:rPr>
        <w:t>נכון למועד סיום הביקורת שנת איפוס הקרן עומדת על שנת 2035.</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מומלץ לאגף התקציבים לבחון את אומדן התוספת השנתית לעלויות שביצע ערב הרפורמה בסיעוד לתקפו, ולהציג בממשלה אומדן מעודכן ומתוקף, שיהווה תשתית מעודכנת לקבלת החלטות.</w:t>
      </w:r>
    </w:p>
    <w:p w:rsidR="00681586" w:rsidRPr="00681586" w:rsidP="00681586">
      <w:pPr>
        <w:spacing w:line="269" w:lineRule="auto"/>
        <w:rPr>
          <w:rFonts w:eastAsia="Calibri"/>
          <w:rtl/>
        </w:rPr>
      </w:pPr>
    </w:p>
    <w:p w:rsidR="00681586" w:rsidRPr="00681586" w:rsidP="00681586">
      <w:pPr>
        <w:keepNext/>
        <w:keepLines/>
        <w:spacing w:line="269" w:lineRule="auto"/>
        <w:outlineLvl w:val="4"/>
        <w:rPr>
          <w:rFonts w:eastAsia="Times New Roman"/>
          <w:bCs/>
          <w:spacing w:val="40"/>
          <w:rtl/>
        </w:rPr>
      </w:pPr>
      <w:r w:rsidRPr="00681586">
        <w:rPr>
          <w:rFonts w:eastAsia="Times New Roman" w:hint="eastAsia"/>
          <w:bCs/>
          <w:spacing w:val="40"/>
          <w:rtl/>
        </w:rPr>
        <w:t>הכרה</w:t>
      </w:r>
      <w:r w:rsidRPr="00681586">
        <w:rPr>
          <w:rFonts w:eastAsia="Times New Roman"/>
          <w:bCs/>
          <w:spacing w:val="40"/>
          <w:rtl/>
        </w:rPr>
        <w:t xml:space="preserve"> </w:t>
      </w:r>
      <w:r w:rsidRPr="00681586">
        <w:rPr>
          <w:rFonts w:eastAsia="Times New Roman" w:hint="eastAsia"/>
          <w:bCs/>
          <w:spacing w:val="40"/>
          <w:rtl/>
        </w:rPr>
        <w:t>במצב</w:t>
      </w:r>
      <w:r w:rsidRPr="00681586">
        <w:rPr>
          <w:rFonts w:eastAsia="Times New Roman"/>
          <w:bCs/>
          <w:spacing w:val="40"/>
          <w:rtl/>
        </w:rPr>
        <w:t xml:space="preserve"> </w:t>
      </w:r>
      <w:r w:rsidRPr="00681586">
        <w:rPr>
          <w:rFonts w:eastAsia="Times New Roman" w:hint="eastAsia"/>
          <w:bCs/>
          <w:spacing w:val="40"/>
          <w:rtl/>
        </w:rPr>
        <w:t>סיעודי</w:t>
      </w:r>
      <w:r w:rsidRPr="00681586">
        <w:rPr>
          <w:rFonts w:eastAsia="Times New Roman"/>
          <w:bCs/>
          <w:spacing w:val="40"/>
          <w:rtl/>
        </w:rPr>
        <w:t xml:space="preserve"> </w:t>
      </w:r>
      <w:r w:rsidRPr="00681586">
        <w:rPr>
          <w:rFonts w:eastAsia="Times New Roman" w:hint="eastAsia"/>
          <w:bCs/>
          <w:spacing w:val="40"/>
          <w:rtl/>
        </w:rPr>
        <w:t>ובהחמרתו</w:t>
      </w:r>
      <w:r w:rsidRPr="00681586">
        <w:rPr>
          <w:rFonts w:eastAsia="Times New Roman" w:hint="cs"/>
          <w:bCs/>
          <w:spacing w:val="40"/>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על פי חוק בט"ל</w:t>
      </w:r>
      <w:r>
        <w:rPr>
          <w:rFonts w:eastAsia="Calibri"/>
          <w:vertAlign w:val="superscript"/>
          <w:rtl/>
        </w:rPr>
        <w:footnoteReference w:id="59"/>
      </w:r>
      <w:r w:rsidRPr="00681586">
        <w:rPr>
          <w:rFonts w:eastAsia="Calibri" w:hint="cs"/>
          <w:rtl/>
        </w:rPr>
        <w:t xml:space="preserve">, בדיקה של מידת התלות בעזרת זולת (להלן - הערכת התלות או </w:t>
      </w:r>
      <w:r w:rsidRPr="00681586">
        <w:rPr>
          <w:rFonts w:eastAsia="Calibri" w:hint="cs"/>
        </w:rPr>
        <w:t>ADL</w:t>
      </w:r>
      <w:r w:rsidRPr="00681586">
        <w:rPr>
          <w:rFonts w:eastAsia="Calibri" w:hint="cs"/>
          <w:rtl/>
        </w:rPr>
        <w:t>) בוחנת באיזו מידה האדם הזקוק לסיוע בפעילות היום-יום או להשגחה בשל פגיעה ביכולת קוגניטיבית, הידרדרות בבריאות הנפשית או בשל מצב פיזי. פעולות היום-יום הן רחצה, הלבשה, ניידות, טיפול בהפרשות ואכילה. בט"ל מבצע את מבחן התלות באמצעות מעריכות מקצועיות - אחיות העוברות הכשרה מתאימה, והוא מתקיים בבתי התובעים או על פי מסמכים רפואיים ושיחות טלפון משלימות עם התובעים או עם בני משפחותיהם. הניקוד שניתן בהערכת התלות נקבע על פי המסמכים הרפואיים שהוגשו בתביעה, ריאיון עם התובע ועם בני משפחתו והתרשמות המעריך או המעריכה אם התקיים ביקור</w:t>
      </w:r>
      <w:r>
        <w:rPr>
          <w:rFonts w:eastAsia="Calibri"/>
          <w:vertAlign w:val="superscript"/>
          <w:rtl/>
        </w:rPr>
        <w:footnoteReference w:id="60"/>
      </w:r>
      <w:r w:rsidRPr="00681586">
        <w:rPr>
          <w:rFonts w:eastAsia="Calibri" w:hint="cs"/>
          <w:rtl/>
        </w:rPr>
        <w:t xml:space="preserve">. </w:t>
      </w:r>
    </w:p>
    <w:p w:rsidR="00681586" w:rsidRPr="00681586" w:rsidP="00681586">
      <w:pPr>
        <w:spacing w:line="269" w:lineRule="auto"/>
        <w:rPr>
          <w:rFonts w:eastAsia="Calibri"/>
          <w:rtl/>
        </w:rPr>
      </w:pPr>
    </w:p>
    <w:p w:rsidR="00681586" w:rsidRPr="00681586" w:rsidP="00681586">
      <w:pPr>
        <w:keepNext/>
        <w:keepLines/>
        <w:spacing w:line="269" w:lineRule="auto"/>
        <w:outlineLvl w:val="5"/>
        <w:rPr>
          <w:rFonts w:eastAsia="Times New Roman"/>
          <w:spacing w:val="40"/>
          <w:rtl/>
        </w:rPr>
      </w:pPr>
      <w:r w:rsidRPr="00681586">
        <w:rPr>
          <w:rFonts w:eastAsia="Times New Roman" w:hint="cs"/>
          <w:spacing w:val="40"/>
          <w:rtl/>
        </w:rPr>
        <w:t xml:space="preserve">הכרה במצב סיעודי על סמך מסמכים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הגידול המשמעותי בתביעות, הן להכרה והן להחמרה במצב סיעודי, הקשה על בט"ל לשלוח הערכות תלות לבתיהם של הקשישים לצורך ביצוע המבחן באופן בלתי אמצעי - פיזי. על כן, משכי הזמן לטיפול בתביעות התארכו מאוד, וגדל בהדרגה מספר הערכות התלות שנבדקו על סמך מסמכים רפואיים</w:t>
      </w:r>
      <w:r>
        <w:rPr>
          <w:rFonts w:eastAsia="Calibri"/>
          <w:vertAlign w:val="superscript"/>
          <w:rtl/>
        </w:rPr>
        <w:footnoteReference w:id="61"/>
      </w:r>
      <w:r w:rsidRPr="00681586">
        <w:rPr>
          <w:rFonts w:eastAsia="Calibri" w:hint="cs"/>
          <w:rtl/>
        </w:rPr>
        <w:t>, כולל שיחות טלפון עם המבקש או מי מטעמו (להלן - הערכת תלות על סמך מסמכים רפואיים), ללא בדיקה פרונטלית-פיזית של המבקש. כמו כן, במהלך מגפת הקורונה</w:t>
      </w:r>
      <w:r>
        <w:rPr>
          <w:rFonts w:eastAsia="Calibri"/>
          <w:vertAlign w:val="superscript"/>
          <w:rtl/>
        </w:rPr>
        <w:footnoteReference w:id="62"/>
      </w:r>
      <w:r w:rsidRPr="00681586">
        <w:rPr>
          <w:rFonts w:eastAsia="Calibri" w:hint="cs"/>
          <w:rtl/>
        </w:rPr>
        <w:t xml:space="preserve">, וכדי להגן על קשישים סיעודיים מהתפרצות הנגיף, הפכה הערכת התלות לפי מסמכים רפואיים לערוץ העיקרי להערכה. עם זאת, גם עם שוך המגפה המשיך בט"ל בביצוע הערכות תלות על סמך מסמכים רפואיים, ומבחני תלות שבוצעו בבית הקשיש באופן פרונטלי היו בשיעור מזערי בלבד מכלל הבדיקות.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בתרשים שלהלן ניתן לראות את שיעורן של הערכות התלות שבוצעו בבתי הקשישים מתוך סך ההערכות בשנים 2007 - 2024, לפני ואחרי הרפורמה בסיעוד ושינוי התקנות ומגפת הקורונה:</w:t>
      </w:r>
    </w:p>
    <w:p w:rsidR="00681586" w:rsidRPr="00681586" w:rsidP="00681586">
      <w:pPr>
        <w:spacing w:line="269" w:lineRule="auto"/>
        <w:ind w:left="-567"/>
        <w:rPr>
          <w:rFonts w:eastAsia="Calibri"/>
          <w:szCs w:val="20"/>
          <w:rtl/>
        </w:rPr>
      </w:pPr>
    </w:p>
    <w:p w:rsidR="00681586" w:rsidRPr="00681586" w:rsidP="00681586">
      <w:pPr>
        <w:keepNext/>
        <w:keepLines/>
        <w:spacing w:line="269" w:lineRule="auto"/>
        <w:jc w:val="center"/>
        <w:rPr>
          <w:rFonts w:eastAsia="Calibri"/>
          <w:b/>
          <w:bCs/>
          <w:rtl/>
        </w:rPr>
      </w:pPr>
      <w:r w:rsidRPr="00681586">
        <w:rPr>
          <w:rFonts w:eastAsia="Calibri" w:hint="cs"/>
          <w:rtl/>
        </w:rPr>
        <w:t xml:space="preserve">תרשים 13: </w:t>
      </w:r>
      <w:r w:rsidRPr="00681586">
        <w:rPr>
          <w:rFonts w:eastAsia="Calibri" w:hint="cs"/>
          <w:b/>
          <w:bCs/>
          <w:rtl/>
        </w:rPr>
        <w:t>שיעורן של הערכות התלות על סמך מסמכים רפואיים, 2007 - 2024</w:t>
      </w:r>
    </w:p>
    <w:p w:rsidR="00681586" w:rsidRPr="00681586" w:rsidP="00681586">
      <w:pPr>
        <w:spacing w:line="269" w:lineRule="auto"/>
        <w:rPr>
          <w:rFonts w:eastAsia="Calibri"/>
          <w:rtl/>
        </w:rPr>
      </w:pPr>
      <w:r w:rsidRPr="00681586">
        <w:rPr>
          <w:rFonts w:eastAsia="Calibri"/>
          <w:noProof/>
        </w:rPr>
        <w:drawing>
          <wp:inline distT="0" distB="0" distL="0" distR="0">
            <wp:extent cx="4191000" cy="3001595"/>
            <wp:effectExtent l="0" t="0" r="0" b="8890"/>
            <wp:docPr id="828943877" name="תמונה 828943877" descr="שיעורן של הערכות התלות על סמך מסמכים רפואיים, 2007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43877" name="Picture 39"/>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01651" cy="3009223"/>
                    </a:xfrm>
                    <a:prstGeom prst="rect">
                      <a:avLst/>
                    </a:prstGeom>
                    <a:noFill/>
                  </pic:spPr>
                </pic:pic>
              </a:graphicData>
            </a:graphic>
          </wp:inline>
        </w:drawing>
      </w:r>
    </w:p>
    <w:p w:rsidR="00681586" w:rsidRPr="00681586" w:rsidP="00681586">
      <w:pPr>
        <w:spacing w:line="269" w:lineRule="auto"/>
        <w:jc w:val="left"/>
        <w:rPr>
          <w:rFonts w:eastAsia="Calibri"/>
          <w:szCs w:val="20"/>
          <w:rtl/>
        </w:rPr>
      </w:pPr>
      <w:r w:rsidRPr="00681586">
        <w:rPr>
          <w:rFonts w:eastAsia="Calibri" w:hint="cs"/>
          <w:szCs w:val="20"/>
          <w:rtl/>
        </w:rPr>
        <w:t xml:space="preserve">על פי נתוני המוסד לביטוח לאומי, </w:t>
      </w:r>
      <w:r w:rsidRPr="00681586">
        <w:rPr>
          <w:rFonts w:eastAsia="Calibri" w:hint="eastAsia"/>
          <w:szCs w:val="20"/>
          <w:rtl/>
        </w:rPr>
        <w:t>בעיבוד</w:t>
      </w:r>
      <w:r w:rsidRPr="00681586">
        <w:rPr>
          <w:rFonts w:eastAsia="Calibri"/>
          <w:szCs w:val="20"/>
          <w:rtl/>
        </w:rPr>
        <w:t xml:space="preserve"> </w:t>
      </w:r>
      <w:r w:rsidRPr="00681586">
        <w:rPr>
          <w:rFonts w:eastAsia="Calibri" w:hint="eastAsia"/>
          <w:szCs w:val="20"/>
          <w:rtl/>
        </w:rPr>
        <w:t>משרד</w:t>
      </w:r>
      <w:r w:rsidRPr="00681586">
        <w:rPr>
          <w:rFonts w:eastAsia="Calibri"/>
          <w:szCs w:val="20"/>
          <w:rtl/>
        </w:rPr>
        <w:t xml:space="preserve"> </w:t>
      </w:r>
      <w:r w:rsidRPr="00681586">
        <w:rPr>
          <w:rFonts w:eastAsia="Calibri" w:hint="eastAsia"/>
          <w:szCs w:val="20"/>
          <w:rtl/>
        </w:rPr>
        <w:t>מבקר</w:t>
      </w:r>
      <w:r w:rsidRPr="00681586">
        <w:rPr>
          <w:rFonts w:eastAsia="Calibri"/>
          <w:szCs w:val="20"/>
          <w:rtl/>
        </w:rPr>
        <w:t xml:space="preserve"> </w:t>
      </w:r>
      <w:r w:rsidRPr="00681586">
        <w:rPr>
          <w:rFonts w:eastAsia="Calibri" w:hint="eastAsia"/>
          <w:szCs w:val="20"/>
          <w:rtl/>
        </w:rPr>
        <w:t>המדינה</w:t>
      </w:r>
      <w:r w:rsidRPr="00681586">
        <w:rPr>
          <w:rFonts w:eastAsia="Calibri"/>
          <w:szCs w:val="20"/>
          <w:rtl/>
        </w:rPr>
        <w:t>.</w:t>
      </w:r>
    </w:p>
    <w:p w:rsidR="00681586" w:rsidRPr="00681586" w:rsidP="00681586">
      <w:pPr>
        <w:spacing w:line="269" w:lineRule="auto"/>
        <w:rPr>
          <w:rFonts w:eastAsia="Calibri"/>
          <w:b/>
          <w:bCs/>
          <w:rtl/>
        </w:rPr>
      </w:pPr>
      <w:r w:rsidRPr="00681586">
        <w:rPr>
          <w:rFonts w:eastAsia="Calibri" w:hint="cs"/>
          <w:b/>
          <w:bCs/>
          <w:rtl/>
        </w:rPr>
        <w:t xml:space="preserve">מהתרשים עולה כי לאורך השנים </w:t>
      </w:r>
      <w:r w:rsidRPr="00681586">
        <w:rPr>
          <w:rFonts w:eastAsia="Calibri"/>
          <w:b/>
          <w:bCs/>
          <w:rtl/>
        </w:rPr>
        <w:t xml:space="preserve">חלקן של </w:t>
      </w:r>
      <w:r w:rsidRPr="00681586">
        <w:rPr>
          <w:rFonts w:eastAsia="Calibri" w:hint="cs"/>
          <w:b/>
          <w:bCs/>
          <w:rtl/>
        </w:rPr>
        <w:t>הערכות התלות שבוצעו על סמך מסמכים רפואיים עלה</w:t>
      </w:r>
      <w:r w:rsidRPr="00681586">
        <w:rPr>
          <w:rFonts w:eastAsia="Calibri"/>
          <w:b/>
          <w:bCs/>
          <w:rtl/>
        </w:rPr>
        <w:t xml:space="preserve"> מ</w:t>
      </w:r>
      <w:r w:rsidRPr="00681586">
        <w:rPr>
          <w:rFonts w:eastAsia="Calibri" w:hint="cs"/>
          <w:b/>
          <w:bCs/>
          <w:rtl/>
        </w:rPr>
        <w:t>-</w:t>
      </w:r>
      <w:r w:rsidRPr="00681586">
        <w:rPr>
          <w:rFonts w:eastAsia="Calibri"/>
          <w:b/>
          <w:bCs/>
          <w:rtl/>
        </w:rPr>
        <w:t>0%</w:t>
      </w:r>
      <w:r w:rsidRPr="00681586">
        <w:rPr>
          <w:rFonts w:eastAsia="Calibri" w:hint="cs"/>
          <w:b/>
          <w:bCs/>
          <w:rtl/>
        </w:rPr>
        <w:t xml:space="preserve"> </w:t>
      </w:r>
      <w:r w:rsidRPr="00681586">
        <w:rPr>
          <w:rFonts w:eastAsia="Calibri"/>
          <w:b/>
          <w:bCs/>
          <w:rtl/>
        </w:rPr>
        <w:t>ב</w:t>
      </w:r>
      <w:r w:rsidRPr="00681586">
        <w:rPr>
          <w:rFonts w:eastAsia="Calibri" w:hint="cs"/>
          <w:b/>
          <w:bCs/>
          <w:rtl/>
        </w:rPr>
        <w:t xml:space="preserve">שנת </w:t>
      </w:r>
      <w:r w:rsidRPr="00681586">
        <w:rPr>
          <w:rFonts w:eastAsia="Calibri"/>
          <w:b/>
          <w:bCs/>
          <w:rtl/>
        </w:rPr>
        <w:t>2007 ל</w:t>
      </w:r>
      <w:r w:rsidRPr="00681586">
        <w:rPr>
          <w:rFonts w:eastAsia="Calibri" w:hint="cs"/>
          <w:b/>
          <w:bCs/>
          <w:rtl/>
        </w:rPr>
        <w:t>כ</w:t>
      </w:r>
      <w:r w:rsidRPr="00681586">
        <w:rPr>
          <w:rFonts w:eastAsia="Calibri"/>
          <w:b/>
          <w:bCs/>
          <w:rtl/>
        </w:rPr>
        <w:t>-</w:t>
      </w:r>
      <w:r w:rsidRPr="00681586">
        <w:rPr>
          <w:rFonts w:eastAsia="Calibri" w:hint="cs"/>
          <w:b/>
          <w:bCs/>
          <w:rtl/>
        </w:rPr>
        <w:t>25</w:t>
      </w:r>
      <w:r w:rsidRPr="00681586">
        <w:rPr>
          <w:rFonts w:eastAsia="Calibri"/>
          <w:b/>
          <w:bCs/>
          <w:rtl/>
        </w:rPr>
        <w:t>% ב</w:t>
      </w:r>
      <w:r w:rsidRPr="00681586">
        <w:rPr>
          <w:rFonts w:eastAsia="Calibri" w:hint="cs"/>
          <w:b/>
          <w:bCs/>
          <w:rtl/>
        </w:rPr>
        <w:t>שנת 2</w:t>
      </w:r>
      <w:r w:rsidRPr="00681586">
        <w:rPr>
          <w:rFonts w:eastAsia="Calibri"/>
          <w:b/>
          <w:bCs/>
          <w:rtl/>
        </w:rPr>
        <w:t>019</w:t>
      </w:r>
      <w:r w:rsidRPr="00681586">
        <w:rPr>
          <w:rFonts w:eastAsia="Calibri" w:hint="cs"/>
          <w:b/>
          <w:bCs/>
          <w:rtl/>
        </w:rPr>
        <w:t>.שיעור זה המשיך לגדול בהתמדה, כך ש</w:t>
      </w:r>
      <w:r w:rsidRPr="00681586">
        <w:rPr>
          <w:rFonts w:eastAsia="Calibri"/>
          <w:b/>
          <w:bCs/>
          <w:rtl/>
        </w:rPr>
        <w:t xml:space="preserve">חלקן של </w:t>
      </w:r>
      <w:r w:rsidRPr="00681586">
        <w:rPr>
          <w:rFonts w:eastAsia="Calibri" w:hint="cs"/>
          <w:b/>
          <w:bCs/>
          <w:rtl/>
        </w:rPr>
        <w:t>הערכות התלות</w:t>
      </w:r>
      <w:r w:rsidRPr="00681586">
        <w:rPr>
          <w:rFonts w:eastAsia="Calibri"/>
          <w:b/>
          <w:bCs/>
          <w:rtl/>
        </w:rPr>
        <w:t xml:space="preserve"> על </w:t>
      </w:r>
      <w:r w:rsidRPr="00681586">
        <w:rPr>
          <w:rFonts w:eastAsia="Calibri" w:hint="cs"/>
          <w:b/>
          <w:bCs/>
          <w:rtl/>
        </w:rPr>
        <w:t>סמך</w:t>
      </w:r>
      <w:r w:rsidRPr="00681586">
        <w:rPr>
          <w:rFonts w:eastAsia="Calibri"/>
          <w:b/>
          <w:bCs/>
          <w:rtl/>
        </w:rPr>
        <w:t xml:space="preserve"> מסמכים </w:t>
      </w:r>
      <w:r w:rsidRPr="00681586">
        <w:rPr>
          <w:rFonts w:eastAsia="Calibri" w:hint="cs"/>
          <w:b/>
          <w:bCs/>
          <w:rtl/>
        </w:rPr>
        <w:t xml:space="preserve">רפואיים בפרוץ מגפת הקורונה עלה והגיע לכ-70%. </w:t>
      </w:r>
      <w:r w:rsidRPr="00681586">
        <w:rPr>
          <w:rFonts w:eastAsia="Calibri"/>
          <w:b/>
          <w:bCs/>
          <w:rtl/>
        </w:rPr>
        <w:t>מ</w:t>
      </w:r>
      <w:r w:rsidRPr="00681586">
        <w:rPr>
          <w:rFonts w:eastAsia="Calibri" w:hint="cs"/>
          <w:b/>
          <w:bCs/>
          <w:rtl/>
        </w:rPr>
        <w:t>שנת</w:t>
      </w:r>
      <w:r w:rsidRPr="00681586">
        <w:rPr>
          <w:rFonts w:eastAsia="Calibri"/>
          <w:b/>
          <w:bCs/>
          <w:rtl/>
        </w:rPr>
        <w:t xml:space="preserve"> </w:t>
      </w:r>
      <w:r w:rsidRPr="00681586">
        <w:rPr>
          <w:rFonts w:eastAsia="Calibri" w:hint="cs"/>
          <w:b/>
          <w:bCs/>
          <w:rtl/>
        </w:rPr>
        <w:t>2</w:t>
      </w:r>
      <w:r w:rsidRPr="00681586">
        <w:rPr>
          <w:rFonts w:eastAsia="Calibri"/>
          <w:b/>
          <w:bCs/>
          <w:rtl/>
        </w:rPr>
        <w:t>020</w:t>
      </w:r>
      <w:r w:rsidRPr="00681586">
        <w:rPr>
          <w:rFonts w:eastAsia="Calibri" w:hint="cs"/>
          <w:b/>
          <w:bCs/>
          <w:rtl/>
        </w:rPr>
        <w:t>,</w:t>
      </w:r>
      <w:r w:rsidRPr="00681586">
        <w:rPr>
          <w:rFonts w:eastAsia="Calibri"/>
          <w:b/>
          <w:bCs/>
          <w:rtl/>
        </w:rPr>
        <w:t xml:space="preserve"> בעקבות מגפת הקורונה, </w:t>
      </w:r>
      <w:r w:rsidRPr="00681586">
        <w:rPr>
          <w:rFonts w:eastAsia="Calibri" w:hint="cs"/>
          <w:b/>
          <w:bCs/>
          <w:rtl/>
        </w:rPr>
        <w:t>הערכות תלות</w:t>
      </w:r>
      <w:r w:rsidRPr="00681586">
        <w:rPr>
          <w:rFonts w:eastAsia="Calibri"/>
          <w:b/>
          <w:bCs/>
          <w:rtl/>
        </w:rPr>
        <w:t xml:space="preserve"> </w:t>
      </w:r>
      <w:r w:rsidRPr="00681586">
        <w:rPr>
          <w:rFonts w:eastAsia="Calibri" w:hint="cs"/>
          <w:b/>
          <w:bCs/>
          <w:rtl/>
        </w:rPr>
        <w:t>על סמך</w:t>
      </w:r>
      <w:r w:rsidRPr="00681586">
        <w:rPr>
          <w:rFonts w:eastAsia="Calibri"/>
          <w:b/>
          <w:bCs/>
          <w:rtl/>
        </w:rPr>
        <w:t xml:space="preserve"> מסמכים </w:t>
      </w:r>
      <w:r w:rsidRPr="00681586">
        <w:rPr>
          <w:rFonts w:eastAsia="Calibri" w:hint="cs"/>
          <w:b/>
          <w:bCs/>
          <w:rtl/>
        </w:rPr>
        <w:t xml:space="preserve">רפואיים הפכו </w:t>
      </w:r>
      <w:r w:rsidRPr="00681586">
        <w:rPr>
          <w:rFonts w:eastAsia="Calibri"/>
          <w:b/>
          <w:bCs/>
          <w:rtl/>
        </w:rPr>
        <w:t xml:space="preserve">לערוץ העיקרי: </w:t>
      </w:r>
      <w:r w:rsidRPr="00681586">
        <w:rPr>
          <w:rFonts w:eastAsia="Calibri" w:hint="cs"/>
          <w:b/>
          <w:bCs/>
          <w:rtl/>
        </w:rPr>
        <w:t>כ-89</w:t>
      </w:r>
      <w:r w:rsidRPr="00681586">
        <w:rPr>
          <w:rFonts w:eastAsia="Calibri"/>
          <w:b/>
          <w:bCs/>
          <w:rtl/>
        </w:rPr>
        <w:t>% מה</w:t>
      </w:r>
      <w:r w:rsidRPr="00681586">
        <w:rPr>
          <w:rFonts w:eastAsia="Calibri" w:hint="cs"/>
          <w:b/>
          <w:bCs/>
          <w:rtl/>
        </w:rPr>
        <w:t>הערכות</w:t>
      </w:r>
      <w:r w:rsidRPr="00681586">
        <w:rPr>
          <w:rFonts w:eastAsia="Calibri"/>
          <w:b/>
          <w:bCs/>
          <w:rtl/>
        </w:rPr>
        <w:t xml:space="preserve"> </w:t>
      </w:r>
      <w:r w:rsidRPr="00681586">
        <w:rPr>
          <w:rFonts w:eastAsia="Calibri" w:hint="cs"/>
          <w:b/>
          <w:bCs/>
          <w:rtl/>
        </w:rPr>
        <w:t>בוצעו</w:t>
      </w:r>
      <w:r w:rsidRPr="00681586">
        <w:rPr>
          <w:rFonts w:eastAsia="Calibri"/>
          <w:b/>
          <w:bCs/>
          <w:rtl/>
        </w:rPr>
        <w:t xml:space="preserve"> על </w:t>
      </w:r>
      <w:r w:rsidRPr="00681586">
        <w:rPr>
          <w:rFonts w:eastAsia="Calibri" w:hint="cs"/>
          <w:b/>
          <w:bCs/>
          <w:rtl/>
        </w:rPr>
        <w:t>סמך</w:t>
      </w:r>
      <w:r w:rsidRPr="00681586">
        <w:rPr>
          <w:rFonts w:eastAsia="Calibri"/>
          <w:b/>
          <w:bCs/>
          <w:rtl/>
        </w:rPr>
        <w:t xml:space="preserve"> מסמכים ב</w:t>
      </w:r>
      <w:r w:rsidRPr="00681586">
        <w:rPr>
          <w:rFonts w:eastAsia="Calibri" w:hint="cs"/>
          <w:b/>
          <w:bCs/>
          <w:rtl/>
        </w:rPr>
        <w:t xml:space="preserve">שנת </w:t>
      </w:r>
      <w:r w:rsidRPr="00681586">
        <w:rPr>
          <w:rFonts w:eastAsia="Calibri"/>
          <w:b/>
          <w:bCs/>
          <w:rtl/>
        </w:rPr>
        <w:t>2021</w:t>
      </w:r>
      <w:r w:rsidRPr="00681586">
        <w:rPr>
          <w:rFonts w:eastAsia="Calibri" w:hint="cs"/>
          <w:b/>
          <w:bCs/>
          <w:rtl/>
        </w:rPr>
        <w:t>.</w:t>
      </w:r>
      <w:r w:rsidRPr="00681586">
        <w:rPr>
          <w:rFonts w:eastAsia="Calibri"/>
          <w:b/>
          <w:bCs/>
          <w:rtl/>
        </w:rPr>
        <w:t xml:space="preserve"> </w:t>
      </w:r>
      <w:r w:rsidRPr="00681586">
        <w:rPr>
          <w:rFonts w:eastAsia="Calibri" w:hint="cs"/>
          <w:b/>
          <w:bCs/>
          <w:rtl/>
        </w:rPr>
        <w:t>המגמה נמשכה גם עם</w:t>
      </w:r>
      <w:r w:rsidRPr="00681586">
        <w:rPr>
          <w:rFonts w:eastAsia="Calibri"/>
          <w:b/>
          <w:bCs/>
          <w:rtl/>
        </w:rPr>
        <w:t xml:space="preserve"> </w:t>
      </w:r>
      <w:r w:rsidRPr="00681586">
        <w:rPr>
          <w:rFonts w:eastAsia="Calibri" w:hint="cs"/>
          <w:b/>
          <w:bCs/>
          <w:rtl/>
        </w:rPr>
        <w:t xml:space="preserve">סיומו של </w:t>
      </w:r>
      <w:r w:rsidRPr="00681586">
        <w:rPr>
          <w:rFonts w:eastAsia="Calibri"/>
          <w:b/>
          <w:bCs/>
          <w:rtl/>
        </w:rPr>
        <w:t>משבר הקורונה</w:t>
      </w:r>
      <w:r w:rsidRPr="00681586">
        <w:rPr>
          <w:rFonts w:eastAsia="Calibri" w:hint="cs"/>
          <w:b/>
          <w:bCs/>
          <w:rtl/>
        </w:rPr>
        <w:t>,</w:t>
      </w:r>
      <w:r w:rsidRPr="00681586">
        <w:rPr>
          <w:rFonts w:eastAsia="Calibri"/>
          <w:b/>
          <w:bCs/>
          <w:rtl/>
        </w:rPr>
        <w:t xml:space="preserve"> </w:t>
      </w:r>
      <w:r w:rsidRPr="00681586">
        <w:rPr>
          <w:rFonts w:eastAsia="Calibri" w:hint="cs"/>
          <w:b/>
          <w:bCs/>
          <w:rtl/>
        </w:rPr>
        <w:t>כך שבשנת 2024</w:t>
      </w:r>
      <w:r w:rsidRPr="00681586">
        <w:rPr>
          <w:rFonts w:eastAsia="Calibri"/>
          <w:b/>
          <w:bCs/>
        </w:rPr>
        <w:t xml:space="preserve"> </w:t>
      </w:r>
      <w:r w:rsidRPr="00681586">
        <w:rPr>
          <w:rFonts w:eastAsia="Calibri" w:hint="cs"/>
          <w:b/>
          <w:bCs/>
          <w:rtl/>
        </w:rPr>
        <w:t>97%</w:t>
      </w:r>
      <w:r w:rsidRPr="00681586">
        <w:rPr>
          <w:rFonts w:eastAsia="Calibri"/>
          <w:b/>
          <w:bCs/>
          <w:rtl/>
        </w:rPr>
        <w:t xml:space="preserve"> </w:t>
      </w:r>
      <w:r w:rsidRPr="00681586">
        <w:rPr>
          <w:rFonts w:eastAsia="Calibri" w:hint="cs"/>
          <w:b/>
          <w:bCs/>
          <w:rtl/>
        </w:rPr>
        <w:t>מהערכות התלות</w:t>
      </w:r>
      <w:r w:rsidRPr="00681586">
        <w:rPr>
          <w:rFonts w:eastAsia="Calibri"/>
          <w:b/>
          <w:bCs/>
          <w:rtl/>
        </w:rPr>
        <w:t xml:space="preserve"> </w:t>
      </w:r>
      <w:r w:rsidRPr="00681586">
        <w:rPr>
          <w:rFonts w:eastAsia="Calibri" w:hint="cs"/>
          <w:b/>
          <w:bCs/>
          <w:rtl/>
        </w:rPr>
        <w:t>בוצעו</w:t>
      </w:r>
      <w:r w:rsidRPr="00681586">
        <w:rPr>
          <w:rFonts w:eastAsia="Calibri"/>
          <w:b/>
          <w:bCs/>
          <w:rtl/>
        </w:rPr>
        <w:t xml:space="preserve"> ע</w:t>
      </w:r>
      <w:r w:rsidRPr="00681586">
        <w:rPr>
          <w:rFonts w:eastAsia="Calibri" w:hint="cs"/>
          <w:b/>
          <w:bCs/>
          <w:rtl/>
        </w:rPr>
        <w:t>ל סמך</w:t>
      </w:r>
      <w:r w:rsidRPr="00681586">
        <w:rPr>
          <w:rFonts w:eastAsia="Calibri"/>
          <w:b/>
          <w:bCs/>
          <w:rtl/>
        </w:rPr>
        <w:t xml:space="preserve"> מסמכים</w:t>
      </w:r>
      <w:r w:rsidRPr="00681586">
        <w:rPr>
          <w:rFonts w:eastAsia="Calibri" w:hint="cs"/>
          <w:b/>
          <w:bCs/>
          <w:rtl/>
        </w:rPr>
        <w:t xml:space="preserve"> רפואיים,</w:t>
      </w:r>
      <w:r w:rsidRPr="00681586">
        <w:rPr>
          <w:rFonts w:eastAsia="Calibri"/>
          <w:b/>
          <w:bCs/>
          <w:rtl/>
        </w:rPr>
        <w:t xml:space="preserve"> ורק </w:t>
      </w:r>
      <w:r w:rsidRPr="00681586">
        <w:rPr>
          <w:rFonts w:eastAsia="Calibri" w:hint="cs"/>
          <w:b/>
          <w:bCs/>
          <w:rtl/>
        </w:rPr>
        <w:t>כ-1</w:t>
      </w:r>
      <w:r w:rsidRPr="00681586">
        <w:rPr>
          <w:rFonts w:eastAsia="Calibri"/>
          <w:b/>
          <w:bCs/>
          <w:rtl/>
        </w:rPr>
        <w:t>% נעשו בבתים</w:t>
      </w:r>
      <w:r w:rsidRPr="00681586">
        <w:rPr>
          <w:rFonts w:eastAsia="Calibri" w:hint="cs"/>
          <w:b/>
          <w:bCs/>
          <w:rtl/>
        </w:rPr>
        <w:t xml:space="preserve"> באופן פרונטלי</w:t>
      </w:r>
      <w:r>
        <w:rPr>
          <w:rFonts w:eastAsia="Calibri"/>
          <w:b/>
          <w:bCs/>
          <w:vertAlign w:val="superscript"/>
          <w:rtl/>
        </w:rPr>
        <w:footnoteReference w:id="63"/>
      </w:r>
      <w:r w:rsidRPr="00681586">
        <w:rPr>
          <w:rFonts w:eastAsia="Calibri" w:hint="cs"/>
          <w:b/>
          <w:bCs/>
          <w:rtl/>
        </w:rPr>
        <w:t>.</w:t>
      </w:r>
    </w:p>
    <w:p w:rsidR="00681586" w:rsidRPr="00681586" w:rsidP="00681586">
      <w:pPr>
        <w:spacing w:line="269" w:lineRule="auto"/>
        <w:rPr>
          <w:rFonts w:eastAsia="Calibri"/>
          <w:b/>
          <w:bCs/>
          <w:rtl/>
        </w:rPr>
      </w:pPr>
    </w:p>
    <w:p w:rsidR="00681586" w:rsidRPr="00681586" w:rsidP="00681586">
      <w:pPr>
        <w:keepNext/>
        <w:keepLines/>
        <w:spacing w:line="269" w:lineRule="auto"/>
        <w:outlineLvl w:val="6"/>
        <w:rPr>
          <w:rFonts w:eastAsia="Times New Roman"/>
          <w:bCs/>
          <w:spacing w:val="40"/>
          <w:rtl/>
        </w:rPr>
      </w:pPr>
      <w:r w:rsidRPr="00681586">
        <w:rPr>
          <w:rFonts w:eastAsia="Times New Roman" w:hint="cs"/>
          <w:bCs/>
          <w:spacing w:val="40"/>
          <w:rtl/>
        </w:rPr>
        <w:t>ביצוע הערכות תלות לצורך הכרה במצב סיעודי ב-</w:t>
      </w:r>
      <w:r w:rsidRPr="00681586">
        <w:rPr>
          <w:rFonts w:eastAsia="Times New Roman"/>
          <w:b/>
          <w:spacing w:val="40"/>
        </w:rPr>
        <w:t>OECD</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rtl/>
        </w:rPr>
        <w:t>ככל שהאוכלוסיות מזדקנות, הביקוש לטיפול סיעודי</w:t>
      </w:r>
      <w:r w:rsidRPr="00681586">
        <w:rPr>
          <w:rFonts w:eastAsia="Calibri"/>
        </w:rPr>
        <w:t xml:space="preserve"> </w:t>
      </w:r>
      <w:r w:rsidRPr="00681586">
        <w:rPr>
          <w:rFonts w:eastAsia="Calibri" w:hint="cs"/>
          <w:rtl/>
        </w:rPr>
        <w:t>(</w:t>
      </w:r>
      <w:r w:rsidRPr="00681586">
        <w:rPr>
          <w:rFonts w:eastAsia="Calibri"/>
        </w:rPr>
        <w:t>long term care</w:t>
      </w:r>
      <w:r w:rsidRPr="00681586">
        <w:rPr>
          <w:rFonts w:eastAsia="Calibri" w:hint="cs"/>
          <w:rtl/>
        </w:rPr>
        <w:t xml:space="preserve">) </w:t>
      </w:r>
      <w:r w:rsidRPr="00681586">
        <w:rPr>
          <w:rFonts w:eastAsia="Calibri"/>
          <w:rtl/>
        </w:rPr>
        <w:t xml:space="preserve">הכולל מגוון שירותי טיפול אישי וסיוע, נמצא בעלייה מתמדת במדינות </w:t>
      </w:r>
      <w:r w:rsidRPr="00681586">
        <w:rPr>
          <w:rFonts w:eastAsia="Calibri" w:hint="cs"/>
          <w:rtl/>
        </w:rPr>
        <w:t>ה-</w:t>
      </w:r>
      <w:r w:rsidRPr="00681586">
        <w:rPr>
          <w:rFonts w:eastAsia="Calibri" w:hint="cs"/>
        </w:rPr>
        <w:t>OECD</w:t>
      </w:r>
      <w:r w:rsidRPr="00681586">
        <w:rPr>
          <w:rFonts w:eastAsia="Calibri" w:hint="cs"/>
          <w:rtl/>
        </w:rPr>
        <w:t>. מחקר</w:t>
      </w:r>
      <w:r>
        <w:rPr>
          <w:rFonts w:eastAsia="Calibri"/>
          <w:vertAlign w:val="superscript"/>
          <w:rtl/>
        </w:rPr>
        <w:footnoteReference w:id="64"/>
      </w:r>
      <w:r w:rsidRPr="00681586">
        <w:rPr>
          <w:rFonts w:eastAsia="Calibri" w:hint="cs"/>
          <w:rtl/>
        </w:rPr>
        <w:t xml:space="preserve"> שביצע ארגון ה-</w:t>
      </w:r>
      <w:r w:rsidRPr="00681586">
        <w:rPr>
          <w:rFonts w:eastAsia="Calibri" w:hint="cs"/>
        </w:rPr>
        <w:t>OECD</w:t>
      </w:r>
      <w:r w:rsidRPr="00681586">
        <w:rPr>
          <w:rFonts w:eastAsia="Calibri" w:hint="cs"/>
          <w:rtl/>
        </w:rPr>
        <w:t xml:space="preserve"> השווה בין המדינות החברות בארגון בנוגע לביטוחי הסיעוד, לקריטריונים לזכאות של גמלאות הסיעוד, לאופי השירות הניתן ולהיקפו. המחקר גם בדק את המיקום שבו מתבצעות הערכות התלות במדינות השונות, בין שבוצעו בבית התובע, כלומר באופן פרונטלי-פיזי, ובין שבוצעו על בסיס מסמכים רפואיים. בתרשים להלן </w:t>
      </w:r>
      <w:r w:rsidRPr="00681586">
        <w:rPr>
          <w:rFonts w:eastAsia="Calibri"/>
          <w:rtl/>
        </w:rPr>
        <w:t>מיקו</w:t>
      </w:r>
      <w:r w:rsidRPr="00681586">
        <w:rPr>
          <w:rFonts w:eastAsia="Calibri" w:hint="cs"/>
          <w:rtl/>
        </w:rPr>
        <w:t>מן של</w:t>
      </w:r>
      <w:r w:rsidRPr="00681586">
        <w:rPr>
          <w:rFonts w:eastAsia="Calibri"/>
          <w:rtl/>
        </w:rPr>
        <w:t xml:space="preserve"> </w:t>
      </w:r>
      <w:r w:rsidRPr="00681586">
        <w:rPr>
          <w:rFonts w:eastAsia="Calibri" w:hint="cs"/>
          <w:rtl/>
        </w:rPr>
        <w:t>הערכות</w:t>
      </w:r>
      <w:r w:rsidRPr="00681586">
        <w:rPr>
          <w:rFonts w:eastAsia="Calibri"/>
          <w:rtl/>
        </w:rPr>
        <w:t xml:space="preserve"> התלות במדינות ה-</w:t>
      </w:r>
      <w:r w:rsidRPr="00681586">
        <w:rPr>
          <w:rFonts w:eastAsia="Calibri"/>
        </w:rPr>
        <w:t>OECD</w:t>
      </w:r>
      <w:r w:rsidRPr="00681586">
        <w:rPr>
          <w:rFonts w:eastAsia="Calibri" w:hint="cs"/>
          <w:rtl/>
        </w:rPr>
        <w:t xml:space="preserve"> ב</w:t>
      </w:r>
      <w:r w:rsidRPr="00681586">
        <w:rPr>
          <w:rFonts w:eastAsia="Calibri"/>
          <w:rtl/>
        </w:rPr>
        <w:t>שנת 2025</w:t>
      </w:r>
      <w:r w:rsidRPr="00681586">
        <w:rPr>
          <w:rFonts w:eastAsia="Calibri" w:hint="cs"/>
          <w:rtl/>
        </w:rPr>
        <w:t>.</w:t>
      </w:r>
    </w:p>
    <w:p w:rsidR="00681586" w:rsidRPr="00681586" w:rsidP="00681586">
      <w:pPr>
        <w:spacing w:line="269" w:lineRule="auto"/>
        <w:ind w:left="-567"/>
        <w:rPr>
          <w:rFonts w:eastAsia="Calibri"/>
          <w:szCs w:val="20"/>
          <w:rtl/>
        </w:rPr>
      </w:pPr>
    </w:p>
    <w:p w:rsidR="00681586" w:rsidRPr="00681586" w:rsidP="00681586">
      <w:pPr>
        <w:keepNext/>
        <w:keepLines/>
        <w:spacing w:line="269" w:lineRule="auto"/>
        <w:jc w:val="center"/>
        <w:rPr>
          <w:rFonts w:eastAsia="Calibri"/>
          <w:b/>
          <w:bCs/>
        </w:rPr>
      </w:pPr>
      <w:bookmarkStart w:id="8" w:name="_Hlk209021862"/>
      <w:r w:rsidRPr="00681586">
        <w:rPr>
          <w:rFonts w:eastAsia="Calibri" w:hint="cs"/>
          <w:rtl/>
        </w:rPr>
        <w:t xml:space="preserve">תרשים 14: </w:t>
      </w:r>
      <w:r w:rsidRPr="00681586">
        <w:rPr>
          <w:rFonts w:eastAsia="Calibri" w:hint="cs"/>
          <w:b/>
          <w:bCs/>
          <w:rtl/>
        </w:rPr>
        <w:t>מיקומן של בחינות התלות במדינות</w:t>
      </w:r>
      <w:r>
        <w:rPr>
          <w:rFonts w:eastAsia="Calibri"/>
          <w:b/>
          <w:bCs/>
          <w:vertAlign w:val="superscript"/>
          <w:rtl/>
        </w:rPr>
        <w:footnoteReference w:id="65"/>
      </w:r>
      <w:r w:rsidRPr="00681586">
        <w:rPr>
          <w:rFonts w:eastAsia="Calibri" w:hint="cs"/>
          <w:b/>
          <w:bCs/>
          <w:rtl/>
        </w:rPr>
        <w:t xml:space="preserve"> ה-</w:t>
      </w:r>
      <w:r w:rsidRPr="00681586">
        <w:rPr>
          <w:rFonts w:eastAsia="Calibri" w:hint="cs"/>
          <w:b/>
          <w:bCs/>
        </w:rPr>
        <w:t>OECD</w:t>
      </w:r>
      <w:r w:rsidRPr="00681586">
        <w:rPr>
          <w:rFonts w:eastAsia="Calibri" w:hint="cs"/>
          <w:b/>
          <w:bCs/>
          <w:rtl/>
        </w:rPr>
        <w:t>, 2025</w:t>
      </w:r>
    </w:p>
    <w:p w:rsidR="00681586" w:rsidRPr="00681586" w:rsidP="00681586">
      <w:pPr>
        <w:spacing w:line="269" w:lineRule="auto"/>
        <w:jc w:val="center"/>
        <w:rPr>
          <w:rFonts w:eastAsia="Calibri"/>
          <w:rtl/>
        </w:rPr>
      </w:pPr>
      <w:r w:rsidRPr="00681586">
        <w:rPr>
          <w:rFonts w:eastAsia="Calibri"/>
          <w:noProof/>
        </w:rPr>
        <w:drawing>
          <wp:inline distT="0" distB="0" distL="0" distR="0">
            <wp:extent cx="4445074" cy="3013592"/>
            <wp:effectExtent l="0" t="0" r="0" b="0"/>
            <wp:docPr id="110" name="תמונה 110" descr="מיקומן של בחינות התלות במדינות  ה-OECD,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4"/>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t="19833" b="18099"/>
                    <a:stretch>
                      <a:fillRect/>
                    </a:stretch>
                  </pic:blipFill>
                  <pic:spPr bwMode="auto">
                    <a:xfrm>
                      <a:off x="0" y="0"/>
                      <a:ext cx="4458574" cy="302274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81586" w:rsidRPr="00681586" w:rsidP="00681586">
      <w:pPr>
        <w:spacing w:line="269" w:lineRule="auto"/>
        <w:ind w:left="720"/>
        <w:jc w:val="left"/>
        <w:rPr>
          <w:rFonts w:eastAsia="Calibri"/>
          <w:sz w:val="16"/>
          <w:szCs w:val="20"/>
          <w:rtl/>
        </w:rPr>
      </w:pPr>
    </w:p>
    <w:p w:rsidR="00681586" w:rsidRPr="00681586" w:rsidP="00681586">
      <w:pPr>
        <w:spacing w:line="269" w:lineRule="auto"/>
        <w:jc w:val="left"/>
        <w:rPr>
          <w:rFonts w:ascii="David" w:eastAsia="Calibri" w:hAnsi="David"/>
          <w:szCs w:val="20"/>
          <w:rtl/>
        </w:rPr>
      </w:pPr>
      <w:r w:rsidRPr="00681586">
        <w:rPr>
          <w:rFonts w:ascii="David" w:eastAsia="Calibri" w:hAnsi="David" w:hint="eastAsia"/>
          <w:szCs w:val="20"/>
          <w:rtl/>
        </w:rPr>
        <w:t>על</w:t>
      </w:r>
      <w:r w:rsidRPr="00681586">
        <w:rPr>
          <w:rFonts w:ascii="David" w:eastAsia="Calibri" w:hAnsi="David"/>
          <w:szCs w:val="20"/>
          <w:rtl/>
        </w:rPr>
        <w:t xml:space="preserve"> פי </w:t>
      </w:r>
      <w:r w:rsidRPr="00681586">
        <w:rPr>
          <w:rFonts w:ascii="David" w:eastAsia="Calibri" w:hAnsi="David" w:hint="eastAsia"/>
          <w:szCs w:val="20"/>
          <w:rtl/>
        </w:rPr>
        <w:t>נתוני</w:t>
      </w:r>
      <w:r w:rsidRPr="00681586">
        <w:rPr>
          <w:rFonts w:ascii="David" w:eastAsia="Calibri" w:hAnsi="David"/>
          <w:szCs w:val="20"/>
          <w:rtl/>
        </w:rPr>
        <w:t xml:space="preserve"> </w:t>
      </w:r>
      <w:r w:rsidRPr="00681586">
        <w:rPr>
          <w:rFonts w:ascii="David" w:eastAsia="Calibri" w:hAnsi="David" w:hint="eastAsia"/>
          <w:szCs w:val="20"/>
          <w:rtl/>
        </w:rPr>
        <w:t>ה</w:t>
      </w:r>
      <w:r w:rsidRPr="00681586">
        <w:rPr>
          <w:rFonts w:ascii="David" w:eastAsia="Calibri" w:hAnsi="David"/>
          <w:szCs w:val="20"/>
          <w:rtl/>
        </w:rPr>
        <w:t>-</w:t>
      </w:r>
      <w:r w:rsidRPr="00681586">
        <w:rPr>
          <w:rFonts w:ascii="David" w:eastAsia="Calibri" w:hAnsi="David"/>
          <w:szCs w:val="20"/>
        </w:rPr>
        <w:t>OECD</w:t>
      </w:r>
      <w:r w:rsidRPr="00681586">
        <w:rPr>
          <w:rFonts w:ascii="David" w:eastAsia="Calibri" w:hAnsi="David"/>
          <w:szCs w:val="20"/>
          <w:rtl/>
        </w:rPr>
        <w:t>, בעיבוד משרד מבקר המדינה.</w:t>
      </w:r>
    </w:p>
    <w:p w:rsidR="00681586" w:rsidRPr="00681586" w:rsidP="00681586">
      <w:pPr>
        <w:spacing w:line="269" w:lineRule="auto"/>
        <w:jc w:val="left"/>
        <w:rPr>
          <w:rFonts w:eastAsia="Calibri"/>
          <w:sz w:val="16"/>
          <w:szCs w:val="20"/>
          <w:rtl/>
        </w:rPr>
      </w:pPr>
      <w:r w:rsidRPr="00681586">
        <w:rPr>
          <w:rFonts w:eastAsia="Calibri" w:hint="cs"/>
          <w:sz w:val="16"/>
          <w:szCs w:val="20"/>
          <w:rtl/>
        </w:rPr>
        <w:t>* בישראל 97% מבחינות התלות מתבצעות מרחוק על ידי מסמכים ושיחות טלפון, ורק 1% מבחינות התלות מתבצעות בבית הקשיש או במוסדות.</w:t>
      </w:r>
    </w:p>
    <w:bookmarkEnd w:id="8"/>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sz w:val="24"/>
          <w:rtl/>
        </w:rPr>
      </w:pPr>
      <w:r w:rsidRPr="00681586">
        <w:rPr>
          <w:rFonts w:eastAsia="Calibri" w:hint="cs"/>
          <w:b/>
          <w:bCs/>
          <w:sz w:val="24"/>
          <w:rtl/>
        </w:rPr>
        <w:t xml:space="preserve">המחקר מצא גם כי </w:t>
      </w:r>
      <w:r w:rsidRPr="00681586">
        <w:rPr>
          <w:rFonts w:eastAsia="Calibri"/>
          <w:b/>
          <w:bCs/>
          <w:sz w:val="24"/>
          <w:rtl/>
        </w:rPr>
        <w:t>במהלך מגפת הקורונה נעשה שימוש נרחב בהערכות מקוונות</w:t>
      </w:r>
      <w:r w:rsidRPr="00681586">
        <w:rPr>
          <w:rFonts w:eastAsia="Calibri" w:hint="cs"/>
          <w:b/>
          <w:bCs/>
          <w:sz w:val="24"/>
          <w:rtl/>
        </w:rPr>
        <w:t xml:space="preserve"> במדינות רבות ב-</w:t>
      </w:r>
      <w:r w:rsidRPr="00681586">
        <w:rPr>
          <w:rFonts w:eastAsia="Calibri"/>
          <w:b/>
          <w:bCs/>
          <w:szCs w:val="20"/>
        </w:rPr>
        <w:t>OECD</w:t>
      </w:r>
      <w:r w:rsidRPr="00681586">
        <w:rPr>
          <w:rFonts w:eastAsia="Calibri"/>
          <w:b/>
          <w:bCs/>
          <w:sz w:val="24"/>
          <w:rtl/>
        </w:rPr>
        <w:t xml:space="preserve">. </w:t>
      </w:r>
      <w:r w:rsidRPr="00681586">
        <w:rPr>
          <w:rFonts w:eastAsia="Calibri" w:hint="cs"/>
          <w:b/>
          <w:bCs/>
          <w:sz w:val="24"/>
          <w:rtl/>
        </w:rPr>
        <w:t xml:space="preserve">אולם, כפי שעולה מהתרשים, בשנת 2025, </w:t>
      </w:r>
      <w:r w:rsidRPr="00681586">
        <w:rPr>
          <w:rFonts w:eastAsia="Calibri"/>
          <w:b/>
          <w:bCs/>
          <w:sz w:val="24"/>
          <w:rtl/>
        </w:rPr>
        <w:t>ארבע שנים לאחר מכן, כמעט כל המדינות חזרו להסדרים הקודמים כדי להבטיח שההערכה תוכל להתבצע באופן פרונטלי</w:t>
      </w:r>
      <w:r>
        <w:rPr>
          <w:rFonts w:eastAsia="Calibri"/>
          <w:b/>
          <w:bCs/>
          <w:vertAlign w:val="superscript"/>
          <w:rtl/>
        </w:rPr>
        <w:footnoteReference w:id="66"/>
      </w:r>
      <w:r w:rsidRPr="00681586">
        <w:rPr>
          <w:rFonts w:eastAsia="Calibri" w:hint="cs"/>
          <w:b/>
          <w:bCs/>
          <w:rtl/>
        </w:rPr>
        <w:t>.</w:t>
      </w:r>
      <w:r w:rsidRPr="00681586">
        <w:rPr>
          <w:rFonts w:eastAsia="Calibri" w:hint="cs"/>
          <w:rtl/>
        </w:rPr>
        <w:t xml:space="preserve"> </w:t>
      </w:r>
    </w:p>
    <w:p w:rsidR="00681586" w:rsidRPr="00681586" w:rsidP="00681586">
      <w:pPr>
        <w:spacing w:line="269" w:lineRule="auto"/>
        <w:rPr>
          <w:rFonts w:eastAsia="Calibri"/>
          <w:szCs w:val="20"/>
          <w:rtl/>
        </w:rPr>
      </w:pPr>
      <w:r w:rsidRPr="00681586">
        <w:rPr>
          <w:rFonts w:eastAsia="Calibri" w:hint="cs"/>
          <w:b/>
          <w:bCs/>
          <w:sz w:val="24"/>
          <w:rtl/>
        </w:rPr>
        <w:t>יוצא אפוא כי נכון לשנת 2025, ישראל היא המדינה היחידה מבין המדינות ה-</w:t>
      </w:r>
      <w:r w:rsidRPr="00681586">
        <w:rPr>
          <w:rFonts w:eastAsia="Calibri"/>
          <w:b/>
          <w:bCs/>
          <w:szCs w:val="20"/>
        </w:rPr>
        <w:t>OECD</w:t>
      </w:r>
      <w:r w:rsidRPr="00681586">
        <w:rPr>
          <w:rFonts w:eastAsia="Calibri" w:hint="cs"/>
          <w:b/>
          <w:bCs/>
          <w:sz w:val="24"/>
          <w:rtl/>
        </w:rPr>
        <w:t xml:space="preserve"> שמקיימת באופן שיטתי וגורף הערכות תלות ללא פגישה של פנים אל פנים עם הנבדקים. עוד נמצא כי בישראל רק כ-1% מהערכות התלות מבוצעות בבית הקשיש, ואילו במדינות רבות </w:t>
      </w:r>
      <w:r w:rsidRPr="00681586">
        <w:rPr>
          <w:rFonts w:eastAsia="Calibri"/>
          <w:b/>
          <w:bCs/>
          <w:sz w:val="24"/>
          <w:rtl/>
        </w:rPr>
        <w:t>הערכות</w:t>
      </w:r>
      <w:r w:rsidRPr="00681586">
        <w:rPr>
          <w:rFonts w:eastAsia="Calibri" w:hint="cs"/>
          <w:b/>
          <w:bCs/>
          <w:sz w:val="24"/>
          <w:rtl/>
        </w:rPr>
        <w:t xml:space="preserve"> תלות</w:t>
      </w:r>
      <w:r w:rsidRPr="00681586">
        <w:rPr>
          <w:rFonts w:eastAsia="Calibri"/>
          <w:b/>
          <w:bCs/>
          <w:sz w:val="24"/>
          <w:rtl/>
        </w:rPr>
        <w:t xml:space="preserve"> ביתיות הן </w:t>
      </w:r>
      <w:r w:rsidRPr="00681586">
        <w:rPr>
          <w:rFonts w:eastAsia="Calibri" w:hint="cs"/>
          <w:b/>
          <w:bCs/>
          <w:sz w:val="24"/>
          <w:rtl/>
        </w:rPr>
        <w:t xml:space="preserve">דווקא </w:t>
      </w:r>
      <w:r w:rsidRPr="00681586">
        <w:rPr>
          <w:rFonts w:eastAsia="Calibri"/>
          <w:b/>
          <w:bCs/>
          <w:sz w:val="24"/>
          <w:rtl/>
        </w:rPr>
        <w:t>הנפוצות ביותר, עם אפשרות לבצע הערכות גם בבתי אבות, בבתי חולים או במרכזי שיקום כאשר יש צורך בכך.</w:t>
      </w:r>
      <w:r w:rsidRPr="00681586">
        <w:rPr>
          <w:rFonts w:eastAsia="Calibri"/>
          <w:szCs w:val="20"/>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יצוין כי </w:t>
      </w:r>
      <w:r w:rsidRPr="00681586">
        <w:rPr>
          <w:rFonts w:eastAsia="Calibri" w:hint="eastAsia"/>
          <w:b/>
          <w:bCs/>
          <w:rtl/>
        </w:rPr>
        <w:t>דוח</w:t>
      </w:r>
      <w:r w:rsidRPr="00681586">
        <w:rPr>
          <w:rFonts w:eastAsia="Calibri" w:hint="cs"/>
          <w:b/>
          <w:bCs/>
          <w:rtl/>
        </w:rPr>
        <w:t xml:space="preserve"> נוסף שפרסם ארגון ה-</w:t>
      </w:r>
      <w:r w:rsidRPr="00681586">
        <w:rPr>
          <w:rFonts w:eastAsia="Calibri" w:hint="cs"/>
          <w:b/>
          <w:bCs/>
        </w:rPr>
        <w:t>OECD</w:t>
      </w:r>
      <w:r w:rsidRPr="00681586">
        <w:rPr>
          <w:rFonts w:eastAsia="Calibri" w:hint="cs"/>
          <w:b/>
          <w:bCs/>
          <w:rtl/>
        </w:rPr>
        <w:t>, שעסק בנושא הסיעוד וכלל המלצות לישראל, ציין גם הוא את העובדה שישראל היא היחידה מבין המדינות שנבדקו שמבצעת את בדיקות התלות על בסיס מסמכים רפואיים בלבד ללא התרשמות פנים אל פנים. הוא המליץ לישראל לשנות את המדיניות הזו ולהחיל כנורמה בדיקות תלות המתבצעות בפגישה פנים אל פנים בבית הקשיש. על פי הדוח, פגישה בבית הקשיש מסייעת למעריך התלות גם לבחון את הצרכים הפיזיים והקוגניטיביים של הקשיש וכן את ההקשר הסוציאלי שממנו הוא מגיע</w:t>
      </w:r>
      <w:r>
        <w:rPr>
          <w:rFonts w:eastAsia="Calibri"/>
          <w:b/>
          <w:bCs/>
          <w:vertAlign w:val="superscript"/>
          <w:rtl/>
        </w:rPr>
        <w:footnoteReference w:id="67"/>
      </w:r>
      <w:r w:rsidRPr="00681586">
        <w:rPr>
          <w:rFonts w:eastAsia="Calibri" w:hint="cs"/>
          <w:b/>
          <w:bCs/>
          <w:rtl/>
        </w:rPr>
        <w:t>.</w:t>
      </w:r>
    </w:p>
    <w:p w:rsidR="00681586" w:rsidRPr="00681586" w:rsidP="00681586">
      <w:pPr>
        <w:spacing w:line="269" w:lineRule="auto"/>
        <w:rPr>
          <w:rFonts w:eastAsia="Calibri"/>
          <w:rtl/>
        </w:rPr>
      </w:pPr>
    </w:p>
    <w:p w:rsidR="00681586" w:rsidRPr="00681586" w:rsidP="00681586">
      <w:pPr>
        <w:keepNext/>
        <w:keepLines/>
        <w:spacing w:line="269" w:lineRule="auto"/>
        <w:outlineLvl w:val="6"/>
        <w:rPr>
          <w:rFonts w:eastAsia="Times New Roman"/>
          <w:bCs/>
          <w:spacing w:val="40"/>
          <w:rtl/>
        </w:rPr>
      </w:pPr>
      <w:r w:rsidRPr="00681586">
        <w:rPr>
          <w:rFonts w:eastAsia="Times New Roman" w:hint="cs"/>
          <w:bCs/>
          <w:spacing w:val="40"/>
          <w:rtl/>
        </w:rPr>
        <w:t xml:space="preserve">השפעת אופן הבדיקה של הערכות התלות על ההסתברות לאישורה של תביעה לגמלת סיעוד </w:t>
      </w:r>
    </w:p>
    <w:p w:rsidR="00681586" w:rsidRPr="00681586" w:rsidP="00681586">
      <w:pPr>
        <w:spacing w:line="269" w:lineRule="auto"/>
        <w:ind w:left="-567"/>
        <w:rPr>
          <w:rFonts w:eastAsia="Calibri"/>
          <w:szCs w:val="20"/>
          <w:rtl/>
        </w:rPr>
      </w:pPr>
    </w:p>
    <w:p w:rsidR="00681586" w:rsidRPr="00681586" w:rsidP="00681586">
      <w:pPr>
        <w:spacing w:line="269" w:lineRule="auto"/>
        <w:rPr>
          <w:rFonts w:ascii="Arial" w:eastAsia="Calibri" w:hAnsi="Arial"/>
          <w:color w:val="000000"/>
          <w:rtl/>
        </w:rPr>
      </w:pPr>
      <w:r w:rsidRPr="00681586">
        <w:rPr>
          <w:rFonts w:eastAsia="Calibri" w:hint="cs"/>
          <w:rtl/>
        </w:rPr>
        <w:t>משרד מבקר המדינה בחן את ההשפעה שיש לאופן ביצוע הערכת התלות על ההסתברות לאישור הבקשה לקבלת גמלת סיעוד. כדי לנטרל את ההבדלים באופן אישור הבקשות הנובעים מהמצב האובייקטיבי של מגיש הבקשה (</w:t>
      </w:r>
      <w:r w:rsidRPr="00681586">
        <w:rPr>
          <w:rFonts w:eastAsia="Calibri"/>
        </w:rPr>
        <w:t>selection bias</w:t>
      </w:r>
      <w:r w:rsidRPr="00681586">
        <w:rPr>
          <w:rFonts w:eastAsia="Calibri" w:hint="cs"/>
          <w:rtl/>
        </w:rPr>
        <w:t>), נבחנו רק בקשות ראשונות להכרה במצב סיעודי, ללא ערעורים ובקשות חוזרות וללא בקשות להחמרה. כל מגישי הבקשות שנבדקו לא היו זכאים לגמלת סיעוד בעת הבקשה להכרה. אישור הבקשה הוגדר כמתן ניקוד של 2.5 נקודות או יותר, כלומר, קביעת רמה סיעודית של 1 לפחות</w:t>
      </w:r>
      <w:r>
        <w:rPr>
          <w:rFonts w:eastAsia="Calibri"/>
          <w:vertAlign w:val="superscript"/>
          <w:rtl/>
        </w:rPr>
        <w:footnoteReference w:id="68"/>
      </w:r>
      <w:r w:rsidRPr="00681586">
        <w:rPr>
          <w:rFonts w:eastAsia="Calibri" w:hint="cs"/>
          <w:rtl/>
        </w:rPr>
        <w:t>. מסד הנתונים כלל 65,655 בקשות להכרה במצב סיעודי, שהן כל הבקשות שהוגשו בתקופה שבין חודש ינואר 2021 לדצמבר 2021</w:t>
      </w:r>
      <w:r>
        <w:rPr>
          <w:rFonts w:eastAsia="Calibri"/>
          <w:vertAlign w:val="superscript"/>
          <w:rtl/>
        </w:rPr>
        <w:footnoteReference w:id="69"/>
      </w:r>
      <w:r w:rsidRPr="00681586">
        <w:rPr>
          <w:rFonts w:eastAsia="Calibri" w:hint="cs"/>
          <w:rtl/>
        </w:rPr>
        <w:t>,</w:t>
      </w:r>
      <w:r w:rsidRPr="00681586">
        <w:rPr>
          <w:rFonts w:eastAsia="Calibri"/>
          <w:vertAlign w:val="superscript"/>
          <w:rtl/>
        </w:rPr>
        <w:t xml:space="preserve"> </w:t>
      </w:r>
      <w:r w:rsidRPr="00681586">
        <w:rPr>
          <w:rFonts w:eastAsia="Calibri" w:hint="cs"/>
          <w:rtl/>
        </w:rPr>
        <w:t xml:space="preserve">ואופן ביצוע הערכת התלות היה על ידי </w:t>
      </w:r>
      <w:r w:rsidRPr="00681586">
        <w:rPr>
          <w:rFonts w:eastAsia="Calibri"/>
          <w:rtl/>
        </w:rPr>
        <w:t>מבחן מעריך רגיל</w:t>
      </w:r>
      <w:r w:rsidRPr="00681586">
        <w:rPr>
          <w:rFonts w:eastAsia="Calibri" w:hint="cs"/>
          <w:rtl/>
        </w:rPr>
        <w:t xml:space="preserve"> (בדיקה פרונטלית בבית הקשיש), או על ידי </w:t>
      </w:r>
      <w:r w:rsidRPr="00681586">
        <w:rPr>
          <w:rFonts w:ascii="Arial" w:eastAsia="Calibri" w:hAnsi="Arial"/>
          <w:color w:val="000000"/>
          <w:rtl/>
        </w:rPr>
        <w:t>מעריך</w:t>
      </w:r>
      <w:r w:rsidRPr="00681586">
        <w:rPr>
          <w:rFonts w:ascii="Arial" w:eastAsia="Calibri" w:hAnsi="Arial" w:hint="cs"/>
          <w:color w:val="000000"/>
          <w:rtl/>
        </w:rPr>
        <w:t xml:space="preserve"> שבודק את הבקשה על סמך</w:t>
      </w:r>
      <w:r w:rsidRPr="00681586">
        <w:rPr>
          <w:rFonts w:ascii="Arial" w:eastAsia="Calibri" w:hAnsi="Arial"/>
          <w:color w:val="000000"/>
          <w:rtl/>
        </w:rPr>
        <w:t xml:space="preserve"> מסמ</w:t>
      </w:r>
      <w:r w:rsidRPr="00681586">
        <w:rPr>
          <w:rFonts w:ascii="Arial" w:eastAsia="Calibri" w:hAnsi="Arial" w:hint="cs"/>
          <w:color w:val="000000"/>
          <w:rtl/>
        </w:rPr>
        <w:t>כים רפואיים</w:t>
      </w:r>
      <w:r>
        <w:rPr>
          <w:rFonts w:ascii="Arial" w:eastAsia="Calibri" w:hAnsi="Arial"/>
          <w:color w:val="000000"/>
          <w:vertAlign w:val="superscript"/>
          <w:rtl/>
        </w:rPr>
        <w:footnoteReference w:id="70"/>
      </w:r>
      <w:r w:rsidRPr="00681586">
        <w:rPr>
          <w:rFonts w:ascii="Arial" w:eastAsia="Calibri" w:hAnsi="Arial" w:hint="cs"/>
          <w:color w:val="000000"/>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מניתוח הנתונים עלה כי בקשות שבהן הערכות התלות בוצעו על סמך מסמכים רפואיים, אושרו בשיעור הגבוה באופן מובהק</w:t>
      </w:r>
      <w:r>
        <w:rPr>
          <w:rFonts w:eastAsia="Calibri"/>
          <w:b/>
          <w:bCs/>
          <w:vertAlign w:val="superscript"/>
          <w:rtl/>
        </w:rPr>
        <w:footnoteReference w:id="71"/>
      </w:r>
      <w:r w:rsidRPr="00681586">
        <w:rPr>
          <w:rFonts w:eastAsia="Calibri" w:hint="cs"/>
          <w:b/>
          <w:bCs/>
          <w:rtl/>
        </w:rPr>
        <w:t xml:space="preserve"> בכ-</w:t>
      </w:r>
      <w:r w:rsidRPr="00681586">
        <w:rPr>
          <w:rFonts w:ascii="David" w:eastAsia="Calibri" w:hAnsi="David"/>
          <w:b/>
          <w:bCs/>
          <w:sz w:val="24"/>
        </w:rPr>
        <w:t>16</w:t>
      </w:r>
      <w:r w:rsidRPr="00681586">
        <w:rPr>
          <w:rFonts w:ascii="David" w:eastAsia="Calibri" w:hAnsi="David"/>
          <w:b/>
          <w:bCs/>
          <w:sz w:val="24"/>
          <w:rtl/>
        </w:rPr>
        <w:t xml:space="preserve"> </w:t>
      </w:r>
      <w:r w:rsidRPr="00681586">
        <w:rPr>
          <w:rFonts w:eastAsia="Calibri" w:hint="cs"/>
          <w:b/>
          <w:bCs/>
          <w:rtl/>
        </w:rPr>
        <w:t xml:space="preserve">נקודות אחוז מבקשות שהערכות התלות בהן בוצעו באופן פרונטלי בבית הקשיש.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יוצא מכך כי חלק מההסבר לעלייה בהיקף הזכאים לגמלת סיעוד בשנים אלו נבע מהשינוי באופן ביצוע הערכות התלות, כיוון שבשנים אלו יותר הערכות בוצעו על סמך מסמכים רפואיים ופחות באופן פרונטלי בבית הקשיש.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בתרשים שלהלן הסתברות לאישור תביעות ראשונות</w:t>
      </w:r>
      <w:r>
        <w:rPr>
          <w:rFonts w:eastAsia="Calibri"/>
          <w:vertAlign w:val="superscript"/>
          <w:rtl/>
        </w:rPr>
        <w:footnoteReference w:id="72"/>
      </w:r>
      <w:r w:rsidRPr="00681586">
        <w:rPr>
          <w:rFonts w:eastAsia="Calibri" w:hint="cs"/>
          <w:rtl/>
        </w:rPr>
        <w:t xml:space="preserve"> לגמלת סיעוד בתקופה שבין ינואר 2021 עד דצמבר 2021, על פי אופן הבדיקה על ידי מעריך תלות באופן פרונטלי בבית הקשיש ועל סמך מסמכים רפואיים.</w:t>
      </w:r>
    </w:p>
    <w:p w:rsidR="002A401B" w:rsidP="00681586">
      <w:pPr>
        <w:spacing w:line="269" w:lineRule="auto"/>
        <w:ind w:left="-567"/>
        <w:rPr>
          <w:rFonts w:eastAsia="Calibri"/>
          <w:szCs w:val="20"/>
          <w:rtl/>
        </w:rPr>
      </w:pPr>
    </w:p>
    <w:p w:rsidR="00681586" w:rsidP="00D96040">
      <w:pPr>
        <w:keepNext/>
        <w:keepLines/>
        <w:spacing w:line="269" w:lineRule="auto"/>
        <w:jc w:val="center"/>
        <w:rPr>
          <w:rFonts w:eastAsia="Calibri"/>
          <w:b/>
          <w:bCs/>
          <w:rtl/>
        </w:rPr>
      </w:pPr>
      <w:r w:rsidRPr="00681586">
        <w:rPr>
          <w:rFonts w:eastAsia="Calibri" w:hint="cs"/>
          <w:rtl/>
        </w:rPr>
        <w:t xml:space="preserve">תרשים 15: </w:t>
      </w:r>
      <w:r w:rsidRPr="00681586">
        <w:rPr>
          <w:rFonts w:eastAsia="Calibri" w:hint="eastAsia"/>
          <w:b/>
          <w:bCs/>
          <w:rtl/>
        </w:rPr>
        <w:t>ה</w:t>
      </w:r>
      <w:r w:rsidRPr="00681586">
        <w:rPr>
          <w:rFonts w:eastAsia="Calibri"/>
          <w:b/>
          <w:bCs/>
          <w:rtl/>
        </w:rPr>
        <w:t>הסתברות לאישור</w:t>
      </w:r>
      <w:r w:rsidRPr="00681586">
        <w:rPr>
          <w:rFonts w:eastAsia="Calibri" w:hint="cs"/>
          <w:b/>
          <w:bCs/>
          <w:rtl/>
        </w:rPr>
        <w:t>ן של</w:t>
      </w:r>
      <w:r w:rsidRPr="00681586">
        <w:rPr>
          <w:rFonts w:eastAsia="Calibri"/>
          <w:b/>
          <w:bCs/>
          <w:rtl/>
        </w:rPr>
        <w:t xml:space="preserve"> </w:t>
      </w:r>
      <w:r w:rsidRPr="00681586">
        <w:rPr>
          <w:rFonts w:eastAsia="Calibri" w:hint="cs"/>
          <w:b/>
          <w:bCs/>
          <w:rtl/>
        </w:rPr>
        <w:t>תביעות ראשונות לגמלת סיעוד</w:t>
      </w:r>
      <w:r w:rsidRPr="00681586">
        <w:rPr>
          <w:rFonts w:eastAsia="Calibri"/>
          <w:b/>
          <w:bCs/>
          <w:rtl/>
        </w:rPr>
        <w:t xml:space="preserve"> </w:t>
      </w:r>
      <w:r w:rsidRPr="00681586">
        <w:rPr>
          <w:rFonts w:eastAsia="Calibri" w:hint="cs"/>
          <w:b/>
          <w:bCs/>
          <w:rtl/>
        </w:rPr>
        <w:t xml:space="preserve">על פי אופן ביצוע הבדיקה, ינואר 2021 </w:t>
      </w:r>
      <w:r w:rsidRPr="00681586">
        <w:rPr>
          <w:rFonts w:eastAsia="Calibri"/>
          <w:b/>
          <w:bCs/>
          <w:rtl/>
        </w:rPr>
        <w:t>עד דצמבר 2021</w:t>
      </w:r>
    </w:p>
    <w:p w:rsidR="002F0D96" w:rsidRPr="00681586" w:rsidP="00D96040">
      <w:pPr>
        <w:keepNext/>
        <w:keepLines/>
        <w:spacing w:line="269" w:lineRule="auto"/>
        <w:jc w:val="center"/>
        <w:rPr>
          <w:rFonts w:eastAsia="Calibri"/>
          <w:b/>
          <w:bCs/>
        </w:rPr>
      </w:pPr>
    </w:p>
    <w:p w:rsidR="00681586" w:rsidRPr="00681586" w:rsidP="00681586">
      <w:pPr>
        <w:spacing w:line="269" w:lineRule="auto"/>
        <w:jc w:val="center"/>
        <w:rPr>
          <w:rFonts w:eastAsia="Calibri"/>
          <w:b/>
          <w:bCs/>
          <w:rtl/>
        </w:rPr>
      </w:pPr>
      <w:r w:rsidRPr="00681586">
        <w:rPr>
          <w:rFonts w:eastAsia="Calibri"/>
          <w:b/>
          <w:bCs/>
          <w:noProof/>
        </w:rPr>
        <w:drawing>
          <wp:inline distT="0" distB="0" distL="0" distR="0">
            <wp:extent cx="5218430" cy="2524125"/>
            <wp:effectExtent l="0" t="0" r="1270" b="9525"/>
            <wp:docPr id="92" name="תמונה 92" descr="ההסתברות לאישורן של תביעות ראשונות לגמלת סיעוד על פי אופן ביצוע הבדיקה, ינואר 2021 עד דצמבר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1"/>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8430" cy="2524125"/>
                    </a:xfrm>
                    <a:prstGeom prst="rect">
                      <a:avLst/>
                    </a:prstGeom>
                    <a:noFill/>
                  </pic:spPr>
                </pic:pic>
              </a:graphicData>
            </a:graphic>
          </wp:inline>
        </w:drawing>
      </w:r>
    </w:p>
    <w:p w:rsidR="00681586" w:rsidRPr="00681586" w:rsidP="00681586">
      <w:pPr>
        <w:spacing w:line="269" w:lineRule="auto"/>
        <w:jc w:val="left"/>
        <w:rPr>
          <w:rFonts w:eastAsia="Calibri"/>
          <w:sz w:val="16"/>
          <w:szCs w:val="20"/>
          <w:rtl/>
        </w:rPr>
      </w:pPr>
      <w:r w:rsidRPr="00681586">
        <w:rPr>
          <w:rFonts w:eastAsia="Calibri" w:hint="cs"/>
          <w:szCs w:val="20"/>
          <w:rtl/>
        </w:rPr>
        <w:t xml:space="preserve">על פי נתוני המוסד לביטוח לאומי, </w:t>
      </w:r>
      <w:r w:rsidRPr="00681586">
        <w:rPr>
          <w:rFonts w:eastAsia="Calibri" w:hint="cs"/>
          <w:sz w:val="16"/>
          <w:szCs w:val="20"/>
          <w:rtl/>
        </w:rPr>
        <w:t>בעיבוד משרד מבקר המדינה.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מנתוני התרשים עולה כי בתקופה שבין ינואר 2021</w:t>
      </w:r>
      <w:r w:rsidRPr="00681586">
        <w:rPr>
          <w:rFonts w:eastAsia="Calibri"/>
          <w:b/>
          <w:bCs/>
          <w:rtl/>
        </w:rPr>
        <w:t xml:space="preserve"> </w:t>
      </w:r>
      <w:r w:rsidRPr="00681586">
        <w:rPr>
          <w:rFonts w:eastAsia="Calibri" w:hint="cs"/>
          <w:b/>
          <w:bCs/>
          <w:rtl/>
        </w:rPr>
        <w:t>ל</w:t>
      </w:r>
      <w:r w:rsidRPr="00681586">
        <w:rPr>
          <w:rFonts w:eastAsia="Calibri"/>
          <w:b/>
          <w:bCs/>
          <w:rtl/>
        </w:rPr>
        <w:t>דצמבר 2021</w:t>
      </w:r>
      <w:r w:rsidRPr="00681586">
        <w:rPr>
          <w:rFonts w:eastAsia="Calibri" w:hint="cs"/>
          <w:b/>
          <w:bCs/>
          <w:rtl/>
        </w:rPr>
        <w:t>, שיעור האישורים של גמלת סיעוד על פי הערכות תלות שבוצעו באופן פרונטלי נע בין 53% ל-67%, ואילו שיעור האישורים של גמלת סיעוד על סמך מסמכים רפואיים נע בין 74% ל-78%</w:t>
      </w:r>
      <w:r>
        <w:rPr>
          <w:rFonts w:eastAsia="Calibri"/>
          <w:b/>
          <w:bCs/>
          <w:vertAlign w:val="superscript"/>
          <w:rtl/>
        </w:rPr>
        <w:footnoteReference w:id="73"/>
      </w:r>
      <w:r w:rsidRPr="00681586">
        <w:rPr>
          <w:rFonts w:eastAsia="Calibri" w:hint="cs"/>
          <w:b/>
          <w:bCs/>
          <w:rtl/>
        </w:rPr>
        <w:t>. מכאן, שייתכן והמעבר מהערכת תלות באמצעות בדיקה פרונטלית להערכה באמצעות מסמכים הגדיל את שיעור האישורים לקבלת הגמלה, הגדיל את היקף הזכאים והגדיל את ההוצאה על גמלת הסיעוד.</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בט"ל מסר בתשובתו כי הם בוחנים </w:t>
      </w:r>
      <w:r w:rsidRPr="00681586">
        <w:rPr>
          <w:rFonts w:ascii="David" w:eastAsia="Calibri" w:hAnsi="David"/>
          <w:sz w:val="24"/>
          <w:rtl/>
        </w:rPr>
        <w:t xml:space="preserve">מחדש </w:t>
      </w:r>
      <w:r w:rsidRPr="00681586">
        <w:rPr>
          <w:rFonts w:ascii="David" w:eastAsia="Calibri" w:hAnsi="David" w:hint="cs"/>
          <w:sz w:val="24"/>
          <w:rtl/>
        </w:rPr>
        <w:t>את</w:t>
      </w:r>
      <w:r w:rsidRPr="00681586">
        <w:rPr>
          <w:rFonts w:ascii="David" w:eastAsia="Calibri" w:hAnsi="David"/>
          <w:sz w:val="24"/>
          <w:rtl/>
        </w:rPr>
        <w:t xml:space="preserve"> נושא הבדיקות </w:t>
      </w:r>
      <w:r w:rsidRPr="00681586">
        <w:rPr>
          <w:rFonts w:ascii="David" w:eastAsia="Calibri" w:hAnsi="David" w:hint="cs"/>
          <w:sz w:val="24"/>
          <w:rtl/>
        </w:rPr>
        <w:t>הפרונטליות</w:t>
      </w:r>
      <w:r w:rsidRPr="00681586">
        <w:rPr>
          <w:rFonts w:ascii="David" w:eastAsia="Calibri" w:hAnsi="David"/>
          <w:sz w:val="24"/>
          <w:rtl/>
        </w:rPr>
        <w:t xml:space="preserve"> ו</w:t>
      </w:r>
      <w:r w:rsidRPr="00681586">
        <w:rPr>
          <w:rFonts w:ascii="David" w:eastAsia="Calibri" w:hAnsi="David" w:hint="cs"/>
          <w:sz w:val="24"/>
          <w:rtl/>
        </w:rPr>
        <w:t xml:space="preserve">כי </w:t>
      </w:r>
      <w:r w:rsidRPr="00681586">
        <w:rPr>
          <w:rFonts w:ascii="David" w:eastAsia="Calibri" w:hAnsi="David"/>
          <w:sz w:val="24"/>
          <w:rtl/>
        </w:rPr>
        <w:t>במקומות ש</w:t>
      </w:r>
      <w:r w:rsidRPr="00681586">
        <w:rPr>
          <w:rFonts w:ascii="David" w:eastAsia="Calibri" w:hAnsi="David" w:hint="cs"/>
          <w:sz w:val="24"/>
          <w:rtl/>
        </w:rPr>
        <w:t xml:space="preserve">נמצאו </w:t>
      </w:r>
      <w:r w:rsidRPr="00681586">
        <w:rPr>
          <w:rFonts w:ascii="David" w:eastAsia="Calibri" w:hAnsi="David"/>
          <w:sz w:val="24"/>
          <w:rtl/>
        </w:rPr>
        <w:t>פערים</w:t>
      </w:r>
      <w:r w:rsidRPr="00681586">
        <w:rPr>
          <w:rFonts w:ascii="David" w:eastAsia="Calibri" w:hAnsi="David" w:hint="cs"/>
          <w:sz w:val="24"/>
          <w:rtl/>
        </w:rPr>
        <w:t xml:space="preserve"> מול בדיקות באמצעות מסמכים ושיחות טלפון,</w:t>
      </w:r>
      <w:r w:rsidRPr="00681586">
        <w:rPr>
          <w:rFonts w:ascii="David" w:eastAsia="Calibri" w:hAnsi="David"/>
          <w:sz w:val="24"/>
          <w:rtl/>
        </w:rPr>
        <w:t xml:space="preserve"> בכוונת</w:t>
      </w:r>
      <w:r w:rsidRPr="00681586">
        <w:rPr>
          <w:rFonts w:ascii="David" w:eastAsia="Calibri" w:hAnsi="David" w:hint="cs"/>
          <w:sz w:val="24"/>
          <w:rtl/>
        </w:rPr>
        <w:t>ם</w:t>
      </w:r>
      <w:r w:rsidRPr="00681586">
        <w:rPr>
          <w:rFonts w:ascii="David" w:eastAsia="Calibri" w:hAnsi="David"/>
          <w:sz w:val="24"/>
          <w:rtl/>
        </w:rPr>
        <w:t xml:space="preserve"> להגדיל את מספר הבדיקות </w:t>
      </w:r>
      <w:r w:rsidRPr="00681586">
        <w:rPr>
          <w:rFonts w:ascii="David" w:eastAsia="Calibri" w:hAnsi="David" w:hint="cs"/>
          <w:sz w:val="24"/>
          <w:rtl/>
        </w:rPr>
        <w:t xml:space="preserve">הפרונטליות. בנוסף נבחנת בבט"ל האפשרות לבצע בדיקות באמצעות שיחות וידאו וכלי בינה מלאכותית </w:t>
      </w:r>
      <w:r w:rsidRPr="00681586">
        <w:rPr>
          <w:rFonts w:ascii="David" w:eastAsia="Calibri" w:hAnsi="David"/>
          <w:sz w:val="24"/>
          <w:rtl/>
        </w:rPr>
        <w:t xml:space="preserve">שיכולים לסייע בהערכת התלות ולהצביע על פערים שדורשים בדיקה </w:t>
      </w:r>
      <w:r w:rsidRPr="00681586">
        <w:rPr>
          <w:rFonts w:ascii="David" w:eastAsia="Calibri" w:hAnsi="David" w:hint="cs"/>
          <w:sz w:val="24"/>
          <w:rtl/>
        </w:rPr>
        <w:t>פרונטלית.</w:t>
      </w:r>
      <w:r w:rsidRPr="00681586">
        <w:rPr>
          <w:rFonts w:eastAsia="Calibri" w:hint="cs"/>
          <w:b/>
          <w:bCs/>
          <w:rtl/>
        </w:rPr>
        <w:t xml:space="preserve"> </w:t>
      </w:r>
      <w:r w:rsidRPr="00681586">
        <w:rPr>
          <w:rFonts w:eastAsia="Calibri" w:hint="cs"/>
          <w:rtl/>
        </w:rPr>
        <w:t>בט"ל הוסיף כי אגף הסיעוד של בט"ל הקים ועדה בראשות פרופ' ישראל (איסי) דורון בנושא "גמלת סיעוד לאן?", ובדוח שהגישה במאי 2025 המליצה בין היתר לצמצם את ביצוע הערכת התלות על פי מסמכים ושיחות טלפון</w:t>
      </w:r>
      <w:r>
        <w:rPr>
          <w:rFonts w:eastAsia="Calibri"/>
          <w:vertAlign w:val="superscript"/>
          <w:rtl/>
        </w:rPr>
        <w:footnoteReference w:id="74"/>
      </w:r>
      <w:r w:rsidRPr="00681586">
        <w:rPr>
          <w:rFonts w:eastAsia="Calibri" w:hint="cs"/>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מומלץ כי נוכח המלצת הוועדה לבחינת גמלת הסיעוד כפי שציין בט"ל בתשובתו, ונוכח המלצות ה-</w:t>
      </w:r>
      <w:r w:rsidRPr="00681586">
        <w:rPr>
          <w:rFonts w:eastAsia="Calibri" w:hint="cs"/>
          <w:b/>
          <w:bCs/>
        </w:rPr>
        <w:t>OECD</w:t>
      </w:r>
      <w:r w:rsidRPr="00681586">
        <w:rPr>
          <w:rFonts w:eastAsia="Calibri" w:hint="cs"/>
          <w:b/>
          <w:bCs/>
          <w:rtl/>
        </w:rPr>
        <w:t xml:space="preserve"> לשנות את מדיניות הערכת התלות באמצעות מסמכים ולהחיל כנורמה בדיקות תלות פרונטליות, ישקול בט"ל את מועילות ויעילות השיטה שבה הוא נוהג כיום. מומלץ כי הבחינה תתבצע תוך שקילת רמת הדיוק של הערכות התלות, מידת ההיערכות מבחינת כוח האדם הדרוש ומשכי זמן הטיפול בתביעות. עוד מומלץ לשקול לבצע הערכות תלות על סמך מסמכים רפואיים רק בחלק מהמקרים, כדוגמת מקרים מסוימים של תביעות חוזרות או במקרים מובהקים של תביעות ברמות סיעוד גבוהות.</w:t>
      </w:r>
    </w:p>
    <w:p w:rsidR="00681586" w:rsidRPr="00681586" w:rsidP="00681586">
      <w:pPr>
        <w:spacing w:line="269" w:lineRule="auto"/>
        <w:rPr>
          <w:rFonts w:eastAsia="Calibri"/>
          <w:b/>
          <w:bCs/>
          <w:rtl/>
        </w:rPr>
      </w:pPr>
    </w:p>
    <w:p w:rsidR="00681586">
      <w:pPr>
        <w:bidi w:val="0"/>
        <w:spacing w:after="200" w:line="276" w:lineRule="auto"/>
        <w:rPr>
          <w:rFonts w:eastAsia="Times New Roman"/>
          <w:spacing w:val="40"/>
          <w:rtl/>
        </w:rPr>
      </w:pPr>
      <w:r>
        <w:rPr>
          <w:rFonts w:eastAsia="Times New Roman"/>
          <w:spacing w:val="40"/>
          <w:rtl/>
        </w:rPr>
        <w:br w:type="page"/>
      </w:r>
    </w:p>
    <w:p w:rsidR="00681586" w:rsidRPr="00681586" w:rsidP="00681586">
      <w:pPr>
        <w:keepNext/>
        <w:keepLines/>
        <w:spacing w:line="269" w:lineRule="auto"/>
        <w:outlineLvl w:val="5"/>
        <w:rPr>
          <w:rFonts w:eastAsia="Times New Roman"/>
          <w:spacing w:val="40"/>
          <w:rtl/>
        </w:rPr>
      </w:pPr>
      <w:r w:rsidRPr="00681586">
        <w:rPr>
          <w:rFonts w:eastAsia="Times New Roman" w:hint="cs"/>
          <w:spacing w:val="40"/>
          <w:rtl/>
        </w:rPr>
        <w:t>איכותן של הערכות התלות</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כאמור, הערכות התלות נועדו לאבחן את המצב התפקודי של הקשיש ולקבוע לו את רמת הסיעוד המתאימה לו, וכפועל יוצא, את מידת הסיוע שלה הוא זקוק. מכאן שהערכה איכותית היא הערכה המאבחנת בצורה מדויקת ככל האפשר את מצבו התפקודי של הקשיש. בהערכה מובאים בחשבון הקריטריונים הבאים: ניידות, סיכון לנפילות, הלבשה, רחצה, אכילה וטיפול בהפרשות. בנוסף נקבעת מידת הצורך בהשגחה. לכל אחד מהקריטריונים ניתן ניקוד בהתאם למידת התלות שנמצאה, כאשר סכום הנקודות שניתנו קובע את רמת הסיעוד</w:t>
      </w:r>
      <w:r>
        <w:rPr>
          <w:rFonts w:eastAsia="Calibri"/>
          <w:vertAlign w:val="superscript"/>
          <w:rtl/>
        </w:rPr>
        <w:footnoteReference w:id="75"/>
      </w:r>
      <w:r w:rsidRPr="00681586">
        <w:rPr>
          <w:rFonts w:eastAsia="Calibri" w:hint="cs"/>
          <w:rtl/>
        </w:rPr>
        <w:t xml:space="preserve">. הניקוד הסופי שניתן נע בין 0 ל-10.5 נקודות, 2.5 נקודות הן הסף המינימלי לקבלת גמלת סיעוד.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בביקורת עלה כי אחת מקופות החולים (להלן - קופה א')</w:t>
      </w:r>
      <w:r>
        <w:rPr>
          <w:rFonts w:eastAsia="Calibri"/>
          <w:vertAlign w:val="superscript"/>
          <w:rtl/>
        </w:rPr>
        <w:footnoteReference w:id="76"/>
      </w:r>
      <w:r w:rsidRPr="00681586">
        <w:rPr>
          <w:rFonts w:eastAsia="Calibri" w:hint="cs"/>
          <w:rtl/>
        </w:rPr>
        <w:t xml:space="preserve"> מבצעת מפעם לפעם הערכות תלות (</w:t>
      </w:r>
      <w:r w:rsidRPr="00681586">
        <w:rPr>
          <w:rFonts w:eastAsia="Calibri" w:hint="cs"/>
        </w:rPr>
        <w:t>ADL</w:t>
      </w:r>
      <w:r w:rsidRPr="00681586">
        <w:rPr>
          <w:rFonts w:eastAsia="Calibri" w:hint="cs"/>
          <w:rtl/>
        </w:rPr>
        <w:t>) לקשישים לצרכים רפואיים</w:t>
      </w:r>
      <w:r>
        <w:rPr>
          <w:rFonts w:eastAsia="Calibri"/>
          <w:vertAlign w:val="superscript"/>
          <w:rtl/>
        </w:rPr>
        <w:footnoteReference w:id="77"/>
      </w:r>
      <w:r w:rsidRPr="00681586">
        <w:rPr>
          <w:rFonts w:eastAsia="Calibri" w:hint="cs"/>
          <w:rtl/>
        </w:rPr>
        <w:t>, והיא עושה כן על ידי אחיות או רופאים גריאטריי</w:t>
      </w:r>
      <w:r w:rsidRPr="00681586">
        <w:rPr>
          <w:rFonts w:eastAsia="Calibri" w:hint="eastAsia"/>
          <w:rtl/>
        </w:rPr>
        <w:t>ם</w:t>
      </w:r>
      <w:r w:rsidRPr="00681586">
        <w:rPr>
          <w:rFonts w:eastAsia="Calibri" w:hint="cs"/>
          <w:rtl/>
        </w:rPr>
        <w:t xml:space="preserve"> ולעיתים על ידי רופאי משפחה. ההערכה מבוצעת על פי קריטריונים דומים לאלו של בט"ל ועל פי ניקוד בסולם הערכה דומה</w:t>
      </w:r>
      <w:r>
        <w:rPr>
          <w:rFonts w:eastAsia="Calibri"/>
          <w:vertAlign w:val="superscript"/>
          <w:rtl/>
        </w:rPr>
        <w:footnoteReference w:id="78"/>
      </w:r>
      <w:r w:rsidRPr="00681586">
        <w:rPr>
          <w:rFonts w:eastAsia="Calibri" w:hint="cs"/>
          <w:rtl/>
        </w:rPr>
        <w:t>. עם זאת, בשונה מהערכות התלות בבט"ל, ההערכות בקופה א' מבוצעות באופן פרונטלי (פנים אל פנים).</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כדי לבדוק את ההתאמה של תוצאות הערכות התלות בין בט"ל לקופה א', ביצע משרד מבקר המדינה השוואה בין תוצאות הערכות התלות שבוצעו בגופים, דהיינו הניקוד הניתן לאחר הבדיקה ורמת הסיעוד שנקבעה בה. לצורך ההשוואה נבדקו קשישים שביצעו הערכת תלות בבט"ל, ובתוך 30 הימים שלאחר מכן ביצעו בדיקת תלות נוספת בקופה א'</w:t>
      </w:r>
      <w:r>
        <w:rPr>
          <w:rFonts w:eastAsia="Calibri"/>
          <w:vertAlign w:val="superscript"/>
          <w:rtl/>
        </w:rPr>
        <w:footnoteReference w:id="79"/>
      </w:r>
      <w:r w:rsidRPr="00681586">
        <w:rPr>
          <w:rFonts w:eastAsia="Calibri" w:hint="cs"/>
          <w:rtl/>
        </w:rPr>
        <w:t>. בסה"כ נבדקו 10,523 זוגות של בדיקות שבוצעו בשנים 2018 - 2024, שהם כל הבדיקות העונות על הקריטריונים לעיל.</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קופה א' מבצעת הערכת תלות בסולם הערכה דומה לזה של הערכת התלות של בט"ל, ולכן היה ניתן לצפות שלא יהיה הבדל מובהק בתוצאות ההערכה ביניהן.</w:t>
      </w:r>
      <w:r w:rsidRPr="00681586">
        <w:rPr>
          <w:rFonts w:eastAsia="Calibri" w:hint="cs"/>
          <w:rtl/>
        </w:rPr>
        <w:t xml:space="preserve"> </w:t>
      </w:r>
      <w:r w:rsidRPr="00681586">
        <w:rPr>
          <w:rFonts w:eastAsia="Calibri" w:hint="cs"/>
          <w:b/>
          <w:bCs/>
          <w:rtl/>
        </w:rPr>
        <w:t xml:space="preserve">אולם, בבדיקה של קשישים שביצעו הערכת תלות בבט"ל באמצעות מסמכים, ובתוך 30 הימים שלאחר מכן ביצעו בדיקת תלות נוספת בקופה א' </w:t>
      </w:r>
      <w:r w:rsidRPr="00681586">
        <w:rPr>
          <w:rFonts w:eastAsia="Calibri"/>
          <w:b/>
          <w:bCs/>
          <w:rtl/>
        </w:rPr>
        <w:t>באופן פרונטלי (פנים אל פנים</w:t>
      </w:r>
      <w:r w:rsidRPr="00681586">
        <w:rPr>
          <w:rFonts w:eastAsia="Calibri" w:hint="cs"/>
          <w:b/>
          <w:bCs/>
          <w:rtl/>
        </w:rPr>
        <w:t xml:space="preserve"> - כפי שמתבצע במדינות ה-</w:t>
      </w:r>
      <w:r w:rsidRPr="00681586">
        <w:rPr>
          <w:rFonts w:eastAsia="Calibri" w:hint="cs"/>
          <w:b/>
          <w:bCs/>
        </w:rPr>
        <w:t>OECD</w:t>
      </w:r>
      <w:r w:rsidRPr="00681586">
        <w:rPr>
          <w:rFonts w:eastAsia="Calibri" w:hint="cs"/>
          <w:b/>
          <w:bCs/>
          <w:rtl/>
        </w:rPr>
        <w:t>), נמצא כי הניקוד שנתן בט"ל בהערכות התלות היה בממוצע גבוה באופן מובהק</w:t>
      </w:r>
      <w:r>
        <w:rPr>
          <w:rFonts w:eastAsia="Calibri"/>
          <w:b/>
          <w:bCs/>
          <w:vertAlign w:val="superscript"/>
          <w:rtl/>
        </w:rPr>
        <w:footnoteReference w:id="80"/>
      </w:r>
      <w:r w:rsidRPr="00681586">
        <w:rPr>
          <w:rFonts w:eastAsia="Calibri" w:hint="cs"/>
          <w:b/>
          <w:bCs/>
          <w:rtl/>
        </w:rPr>
        <w:t xml:space="preserve"> בכ-2.5 נקודות מהניקוד שנתנה קופה א' לאותו קשיש (בסולם הערכה מ-0 עד 11). בבדיקה לפי רמת הסיעוד (בסולם הערכה מ-0 עד 6) נמצא כי רמת הסיעוד שנקבעה בבט"ל הייתה גבוהה באופן מובהק</w:t>
      </w:r>
      <w:r>
        <w:rPr>
          <w:rFonts w:eastAsia="Calibri"/>
          <w:b/>
          <w:bCs/>
          <w:vertAlign w:val="superscript"/>
          <w:rtl/>
        </w:rPr>
        <w:footnoteReference w:id="81"/>
      </w:r>
      <w:r w:rsidRPr="00681586">
        <w:rPr>
          <w:rFonts w:eastAsia="Calibri" w:hint="cs"/>
          <w:b/>
          <w:bCs/>
          <w:rtl/>
        </w:rPr>
        <w:t xml:space="preserve"> בכ-1.7 רמות מרמת הסיעוד שנקבעה במבחן התלות של קופה א'.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בתרשים שלהלן מוצגת התפלגות הפער ברמות הסיעוד בין הערכות התלות שביצע בט"ל להערכות התלות שביצעה קופה א'. אם הפער חיובי, משמעותו כי רמת הסיעוד שנקבעה בבט"ל גבוהה מרמת הסיעוד שהייתה נקבעת לפי הערכת התלות שבוצעה בקופה א'. כך למשל פער של שש רמות משמעותו שבט"ל קבע רמת סיעוד 6, ובטווח של עד 30 ימים לאחר מכן, קופה א' נתנה ציון בהערכת התלות המתאים לטווח הציונים של רמה 0 (לא סיעודי). </w:t>
      </w:r>
    </w:p>
    <w:p w:rsidR="00681586" w:rsidRPr="00681586" w:rsidP="00681586">
      <w:pPr>
        <w:spacing w:line="269" w:lineRule="auto"/>
        <w:ind w:left="-567"/>
        <w:rPr>
          <w:rFonts w:eastAsia="Calibri"/>
          <w:szCs w:val="20"/>
          <w:rtl/>
        </w:rPr>
      </w:pPr>
    </w:p>
    <w:p w:rsidR="00681586" w:rsidP="00681586">
      <w:pPr>
        <w:keepNext/>
        <w:keepLines/>
        <w:spacing w:line="269" w:lineRule="auto"/>
        <w:jc w:val="center"/>
        <w:rPr>
          <w:rFonts w:eastAsia="Calibri"/>
          <w:rtl/>
        </w:rPr>
      </w:pPr>
      <w:r w:rsidRPr="00681586">
        <w:rPr>
          <w:rFonts w:eastAsia="Calibri" w:hint="cs"/>
          <w:rtl/>
        </w:rPr>
        <w:t xml:space="preserve">תרשים 16: </w:t>
      </w:r>
      <w:r w:rsidRPr="00681586">
        <w:rPr>
          <w:rFonts w:eastAsia="Calibri" w:hint="cs"/>
          <w:b/>
          <w:bCs/>
          <w:rtl/>
        </w:rPr>
        <w:t xml:space="preserve">התפלגות הפער ברמות הסיעוד בין הערכת התלות שביצע המוסד לביטוח לאומי להערכה שביצעה </w:t>
      </w:r>
      <w:r w:rsidRPr="00681586">
        <w:rPr>
          <w:rFonts w:eastAsia="Calibri"/>
          <w:b/>
          <w:bCs/>
          <w:rtl/>
        </w:rPr>
        <w:t>קופה א'</w:t>
      </w:r>
    </w:p>
    <w:p w:rsidR="002F0D96" w:rsidRPr="00681586" w:rsidP="00681586">
      <w:pPr>
        <w:keepNext/>
        <w:keepLines/>
        <w:spacing w:line="269" w:lineRule="auto"/>
        <w:jc w:val="center"/>
        <w:rPr>
          <w:rFonts w:eastAsia="Calibri"/>
          <w:rtl/>
        </w:rPr>
      </w:pPr>
    </w:p>
    <w:p w:rsidR="00681586" w:rsidRPr="00681586" w:rsidP="00681586">
      <w:pPr>
        <w:spacing w:line="269" w:lineRule="auto"/>
        <w:jc w:val="center"/>
        <w:rPr>
          <w:rFonts w:eastAsia="Calibri"/>
          <w:rtl/>
        </w:rPr>
      </w:pPr>
      <w:r w:rsidRPr="00681586">
        <w:rPr>
          <w:rFonts w:eastAsia="Calibri"/>
          <w:noProof/>
        </w:rPr>
        <w:drawing>
          <wp:inline distT="0" distB="0" distL="0" distR="0">
            <wp:extent cx="5218430" cy="3118854"/>
            <wp:effectExtent l="0" t="0" r="1270" b="5715"/>
            <wp:docPr id="94" name="תמונה 94" descr="התפלגות הפער ברמות הסיעוד בין הערכת התלות שביצע המוסד לביטוח לאומי להערכה שביצעה קופה 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23"/>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t="4555"/>
                    <a:stretch>
                      <a:fillRect/>
                    </a:stretch>
                  </pic:blipFill>
                  <pic:spPr bwMode="auto">
                    <a:xfrm>
                      <a:off x="0" y="0"/>
                      <a:ext cx="5218430" cy="311885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81586" w:rsidRPr="00681586" w:rsidP="00681586">
      <w:pPr>
        <w:spacing w:line="269" w:lineRule="auto"/>
        <w:jc w:val="left"/>
        <w:rPr>
          <w:rFonts w:eastAsia="Calibri"/>
          <w:szCs w:val="20"/>
          <w:rtl/>
        </w:rPr>
      </w:pPr>
      <w:r w:rsidRPr="00681586">
        <w:rPr>
          <w:rFonts w:eastAsia="Calibri" w:hint="cs"/>
          <w:szCs w:val="20"/>
          <w:rtl/>
        </w:rPr>
        <w:t xml:space="preserve">על פי נתוני המוסד לביטוח לאומי </w:t>
      </w:r>
      <w:r w:rsidRPr="00681586">
        <w:rPr>
          <w:rFonts w:eastAsia="Calibri" w:hint="eastAsia"/>
          <w:szCs w:val="20"/>
          <w:rtl/>
        </w:rPr>
        <w:t>ונתוני</w:t>
      </w:r>
      <w:r w:rsidRPr="00681586">
        <w:rPr>
          <w:rFonts w:eastAsia="Calibri"/>
          <w:szCs w:val="20"/>
          <w:rtl/>
        </w:rPr>
        <w:t xml:space="preserve"> </w:t>
      </w:r>
      <w:r w:rsidRPr="00681586">
        <w:rPr>
          <w:rFonts w:eastAsia="Calibri" w:hint="eastAsia"/>
          <w:szCs w:val="20"/>
          <w:rtl/>
        </w:rPr>
        <w:t>קופ</w:t>
      </w:r>
      <w:r w:rsidRPr="00681586">
        <w:rPr>
          <w:rFonts w:eastAsia="Calibri" w:hint="cs"/>
          <w:szCs w:val="20"/>
          <w:rtl/>
        </w:rPr>
        <w:t>ה</w:t>
      </w:r>
      <w:r w:rsidRPr="00681586">
        <w:rPr>
          <w:rFonts w:eastAsia="Calibri"/>
          <w:szCs w:val="20"/>
          <w:rtl/>
        </w:rPr>
        <w:t xml:space="preserve"> א', בעיבוד משרד מבקר המדינה.</w:t>
      </w:r>
    </w:p>
    <w:p w:rsidR="00681586" w:rsidRPr="00681586" w:rsidP="00681586">
      <w:pPr>
        <w:spacing w:line="269" w:lineRule="auto"/>
        <w:jc w:val="center"/>
        <w:rPr>
          <w:rFonts w:eastAsia="Calibri"/>
          <w:rtl/>
        </w:rPr>
      </w:pPr>
    </w:p>
    <w:p w:rsidR="00681586" w:rsidRPr="00681586" w:rsidP="00681586">
      <w:pPr>
        <w:spacing w:line="269" w:lineRule="auto"/>
        <w:rPr>
          <w:rFonts w:eastAsia="Calibri"/>
          <w:b/>
          <w:bCs/>
          <w:rtl/>
        </w:rPr>
      </w:pPr>
      <w:r w:rsidRPr="00681586">
        <w:rPr>
          <w:rFonts w:eastAsia="Calibri" w:hint="cs"/>
          <w:b/>
          <w:bCs/>
          <w:rtl/>
        </w:rPr>
        <w:t xml:space="preserve">מנתוני התרשים עולה כי בכ-75% מהערכות התלות קיים פער חיובי בין רמת הסיעוד שקבע בט"ל לזו שקבעה </w:t>
      </w:r>
      <w:r w:rsidRPr="00681586">
        <w:rPr>
          <w:rFonts w:eastAsia="Calibri"/>
          <w:b/>
          <w:bCs/>
          <w:rtl/>
        </w:rPr>
        <w:t>קופה א'</w:t>
      </w:r>
      <w:r w:rsidRPr="00681586">
        <w:rPr>
          <w:rFonts w:eastAsia="Calibri" w:hint="cs"/>
          <w:b/>
          <w:bCs/>
          <w:rtl/>
        </w:rPr>
        <w:t xml:space="preserve"> (סך אחוז הבדיקות בעמודות 1 - 6), וב-55% מההערכות מדובר בפער של שתי רמות או יותר (סך אחוז הבדיקות בעמודות 2 - 6). זאת, על אף שמדובר בבדיקה דומה, הנערכת בפרק זמן קרוב, ולכן מצופה היה כי הפער הממוצע בין תוצאות ההערכה יהיה קרוב </w:t>
      </w:r>
      <w:r w:rsidR="00C839DB">
        <w:rPr>
          <w:rFonts w:eastAsia="Calibri"/>
          <w:b/>
          <w:bCs/>
          <w:rtl/>
        </w:rPr>
        <w:br/>
      </w:r>
      <w:r w:rsidRPr="00681586">
        <w:rPr>
          <w:rFonts w:eastAsia="Calibri" w:hint="cs"/>
          <w:b/>
          <w:bCs/>
          <w:rtl/>
        </w:rPr>
        <w:t>ל-0. משמעות הדבר היא כי בט"ל נוטה בצורה מובהקת לקבוע רמת סיעוד הגבוהה מרמת הסיעוד שנקבעה על פי בדיקת קופה א'.</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כאמור, רמת הסיעוד שנקבעה בבט"ל גבוהה באופן מובהק בכ-1.7 רמות מרמת הסיעוד שנקבעה בהערכת התלות של קופה א'. משרד מבקר המדינה חישב את אומדן העלות הכספית של קביעת רמה סיעודית אחת עודפת לכלל הקשישים הסיעודיים, נכון לשנת 2025, ומצא כי מדובר בעלות עודפת של כ-5.6 מיליארד ש"ח בשנה</w:t>
      </w:r>
      <w:r>
        <w:rPr>
          <w:rFonts w:eastAsia="Calibri"/>
          <w:b/>
          <w:bCs/>
          <w:vertAlign w:val="superscript"/>
          <w:rtl/>
        </w:rPr>
        <w:footnoteReference w:id="82"/>
      </w:r>
      <w:r w:rsidRPr="00681586">
        <w:rPr>
          <w:rFonts w:eastAsia="Calibri" w:hint="cs"/>
          <w:b/>
          <w:bCs/>
          <w:rtl/>
        </w:rPr>
        <w:t>. מכאן, שהאומדן לעלות העודפת של 1.7 רמות סיעוד הוא 9.5 מיליארד ש"ח בשנה.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הפער בין תוצאות הערכות התלות בקופה א' לתוצאות הערכות התלות בבט"ל בולט במיוחד במקרים שבהם על פי הערכת התלות בקופת החולים הקשיש אינו מוגדר כסיעודי, כלומר בהערכה המילולית של הבדיקה נקבע במפורש כי הקשיש "ללא תלות בזולת בפעילות יום-יום" (ניקוד הנמוך מ-2). בתרשים שלהלן מוצגת ההתפלגות של רמות הסיעוד, על פי הערכות התלות של בט"ל, עבור בדיקות שבהן קופה א' קבעה כי הקשיש אינו מוגדר כסיעודי.</w:t>
      </w:r>
    </w:p>
    <w:p w:rsidR="00681586" w:rsidRPr="00681586" w:rsidP="00681586">
      <w:pPr>
        <w:spacing w:line="269" w:lineRule="auto"/>
        <w:ind w:left="-567"/>
        <w:rPr>
          <w:rFonts w:eastAsia="Calibri"/>
          <w:szCs w:val="20"/>
          <w:rtl/>
        </w:rPr>
      </w:pPr>
    </w:p>
    <w:p w:rsidR="002A401B" w:rsidP="002F0D96">
      <w:pPr>
        <w:keepNext/>
        <w:keepLines/>
        <w:spacing w:after="120" w:line="269" w:lineRule="auto"/>
        <w:jc w:val="center"/>
        <w:rPr>
          <w:rFonts w:eastAsia="Calibri"/>
          <w:b/>
          <w:bCs/>
          <w:rtl/>
        </w:rPr>
      </w:pPr>
      <w:r w:rsidRPr="00681586">
        <w:rPr>
          <w:rFonts w:eastAsia="Calibri" w:hint="cs"/>
          <w:rtl/>
        </w:rPr>
        <w:t xml:space="preserve">תרשים 17: </w:t>
      </w:r>
      <w:r w:rsidRPr="00681586">
        <w:rPr>
          <w:rFonts w:eastAsia="Calibri" w:hint="cs"/>
          <w:b/>
          <w:bCs/>
          <w:rtl/>
        </w:rPr>
        <w:t>התפלגות של רמות הסיעוד על פי המוסד לביטוח לאומי עבור קשישים שלא נמצאו סיעודיים בהערכת התלות בקופה א'</w:t>
      </w:r>
    </w:p>
    <w:p w:rsidR="00681586" w:rsidRPr="00681586" w:rsidP="00681586">
      <w:pPr>
        <w:spacing w:line="269" w:lineRule="auto"/>
        <w:jc w:val="center"/>
        <w:rPr>
          <w:rFonts w:eastAsia="Calibri"/>
          <w:noProof/>
        </w:rPr>
      </w:pPr>
      <w:r w:rsidRPr="00681586">
        <w:rPr>
          <w:rFonts w:eastAsia="Calibri"/>
          <w:noProof/>
        </w:rPr>
        <w:drawing>
          <wp:inline distT="0" distB="0" distL="0" distR="0">
            <wp:extent cx="4578350" cy="2514201"/>
            <wp:effectExtent l="0" t="0" r="0" b="635"/>
            <wp:docPr id="95" name="תמונה 95" descr="התפלגות של רמות הסיעוד על פי המוסד לביטוח לאומי עבור קשישים שלא נמצאו סיעודיים בהערכת התלות בקופה 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4"/>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rcRect t="8156"/>
                    <a:stretch>
                      <a:fillRect/>
                    </a:stretch>
                  </pic:blipFill>
                  <pic:spPr bwMode="auto">
                    <a:xfrm>
                      <a:off x="0" y="0"/>
                      <a:ext cx="4578350" cy="251420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81586" w:rsidRPr="00681586" w:rsidP="00681586">
      <w:pPr>
        <w:spacing w:line="269" w:lineRule="auto"/>
        <w:jc w:val="left"/>
        <w:rPr>
          <w:rFonts w:eastAsia="Calibri"/>
          <w:szCs w:val="20"/>
          <w:rtl/>
        </w:rPr>
      </w:pPr>
      <w:r w:rsidRPr="00681586">
        <w:rPr>
          <w:rFonts w:eastAsia="Calibri" w:hint="cs"/>
          <w:szCs w:val="20"/>
          <w:rtl/>
        </w:rPr>
        <w:t xml:space="preserve">על פי נתוני המוסד לביטוח לאומי </w:t>
      </w:r>
      <w:r w:rsidRPr="00681586">
        <w:rPr>
          <w:rFonts w:eastAsia="Calibri" w:hint="eastAsia"/>
          <w:szCs w:val="20"/>
          <w:rtl/>
        </w:rPr>
        <w:t>ונתוני</w:t>
      </w:r>
      <w:r w:rsidRPr="00681586">
        <w:rPr>
          <w:rFonts w:eastAsia="Calibri"/>
          <w:szCs w:val="20"/>
          <w:rtl/>
        </w:rPr>
        <w:t xml:space="preserve"> </w:t>
      </w:r>
      <w:r w:rsidRPr="00681586">
        <w:rPr>
          <w:rFonts w:eastAsia="Calibri" w:hint="eastAsia"/>
          <w:szCs w:val="20"/>
          <w:rtl/>
        </w:rPr>
        <w:t>קופ</w:t>
      </w:r>
      <w:r w:rsidRPr="00681586">
        <w:rPr>
          <w:rFonts w:eastAsia="Calibri" w:hint="cs"/>
          <w:szCs w:val="20"/>
          <w:rtl/>
        </w:rPr>
        <w:t>ה</w:t>
      </w:r>
      <w:r w:rsidRPr="00681586">
        <w:rPr>
          <w:rFonts w:eastAsia="Calibri"/>
          <w:szCs w:val="20"/>
          <w:rtl/>
        </w:rPr>
        <w:t xml:space="preserve"> א', בעיבוד משרד מבקר המדינה.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מנתוני התרשים עולה כי בכ-82% מהערכות התלות שנבדקו (סך כול שיעור הערכות התלות ברמות סיעוד 1 עד 6), שבהן </w:t>
      </w:r>
      <w:r w:rsidRPr="00681586">
        <w:rPr>
          <w:rFonts w:eastAsia="Calibri"/>
          <w:b/>
          <w:bCs/>
          <w:rtl/>
        </w:rPr>
        <w:t>קופה א'</w:t>
      </w:r>
      <w:r w:rsidRPr="00681586">
        <w:rPr>
          <w:rFonts w:eastAsia="Calibri" w:hint="cs"/>
          <w:b/>
          <w:bCs/>
          <w:rtl/>
        </w:rPr>
        <w:t xml:space="preserve"> בדקה ומצאה כי הקשיש אינו סיעודי, בט"ל קבע שהוא סיעודי. יתרה מכך, בכ-39% מהערכות התלות האלו קבע בט"ל כי דרגת הסיעוד של אותם קשישים היא 3 או יותר, ובהתאם קבע גמלה חודשית שעלותה נעה בין כ-4,000 ל כ-7,400 ש"ח לחודש</w:t>
      </w:r>
      <w:r>
        <w:rPr>
          <w:rFonts w:eastAsia="Calibri"/>
          <w:b/>
          <w:bCs/>
          <w:vertAlign w:val="superscript"/>
          <w:rtl/>
        </w:rPr>
        <w:footnoteReference w:id="83"/>
      </w:r>
      <w:r w:rsidRPr="00681586">
        <w:rPr>
          <w:rFonts w:eastAsia="Calibri" w:hint="cs"/>
          <w:b/>
          <w:bCs/>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בתרשים להלן מוצג הפער הממוצע בניקוד בין הערכות התלות בבט"ל להערכות התלות בקופה א' בשנים 2018 - 2024</w:t>
      </w:r>
      <w:r>
        <w:rPr>
          <w:rFonts w:eastAsia="Calibri"/>
          <w:vertAlign w:val="superscript"/>
          <w:rtl/>
        </w:rPr>
        <w:footnoteReference w:id="84"/>
      </w:r>
      <w:r w:rsidRPr="00681586">
        <w:rPr>
          <w:rFonts w:eastAsia="Calibri" w:hint="cs"/>
          <w:rtl/>
        </w:rPr>
        <w:t>.</w:t>
      </w:r>
    </w:p>
    <w:p w:rsidR="00681586" w:rsidRPr="00681586" w:rsidP="00681586">
      <w:pPr>
        <w:spacing w:line="269" w:lineRule="auto"/>
        <w:ind w:left="-567"/>
        <w:rPr>
          <w:rFonts w:eastAsia="Calibri"/>
          <w:szCs w:val="20"/>
          <w:rtl/>
        </w:rPr>
      </w:pPr>
    </w:p>
    <w:p w:rsidR="00681586" w:rsidRPr="00681586" w:rsidP="00681586">
      <w:pPr>
        <w:spacing w:line="269" w:lineRule="auto"/>
        <w:jc w:val="center"/>
        <w:rPr>
          <w:rFonts w:eastAsia="Calibri"/>
          <w:b/>
          <w:bCs/>
          <w:rtl/>
        </w:rPr>
      </w:pPr>
      <w:r w:rsidRPr="00681586">
        <w:rPr>
          <w:rFonts w:eastAsia="Calibri" w:hint="cs"/>
          <w:rtl/>
        </w:rPr>
        <w:t xml:space="preserve">תרשים 18: </w:t>
      </w:r>
      <w:r w:rsidRPr="00681586">
        <w:rPr>
          <w:rFonts w:eastAsia="Calibri" w:hint="cs"/>
          <w:b/>
          <w:bCs/>
          <w:rtl/>
        </w:rPr>
        <w:t>הפער בין ציון הערכת התלות בביטוח הלאומי לציון ההערכה בקופה א', 2018 - 2024</w:t>
      </w:r>
    </w:p>
    <w:p w:rsidR="00681586" w:rsidRPr="00681586" w:rsidP="00681586">
      <w:pPr>
        <w:spacing w:line="269" w:lineRule="auto"/>
        <w:jc w:val="center"/>
        <w:rPr>
          <w:rFonts w:eastAsia="Calibri"/>
          <w:b/>
          <w:bCs/>
          <w:rtl/>
        </w:rPr>
      </w:pPr>
      <w:r w:rsidRPr="00681586">
        <w:rPr>
          <w:rFonts w:eastAsia="Calibri"/>
          <w:b/>
          <w:bCs/>
          <w:noProof/>
        </w:rPr>
        <w:drawing>
          <wp:inline distT="0" distB="0" distL="0" distR="0">
            <wp:extent cx="4427220" cy="2777995"/>
            <wp:effectExtent l="0" t="0" r="0" b="3810"/>
            <wp:docPr id="32" name="תמונה 32" descr="הפער בין ציון הערכת התלות בביטוח הלאומי לציון ההערכה בקופה א', 2018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4432485" cy="2781299"/>
                    </a:xfrm>
                    <a:prstGeom prst="rect">
                      <a:avLst/>
                    </a:prstGeom>
                    <a:noFill/>
                  </pic:spPr>
                </pic:pic>
              </a:graphicData>
            </a:graphic>
          </wp:inline>
        </w:drawing>
      </w:r>
    </w:p>
    <w:p w:rsidR="00681586" w:rsidRPr="00681586" w:rsidP="00681586">
      <w:pPr>
        <w:spacing w:line="269" w:lineRule="auto"/>
        <w:jc w:val="left"/>
        <w:rPr>
          <w:rFonts w:eastAsia="Calibri"/>
          <w:sz w:val="18"/>
          <w:szCs w:val="22"/>
          <w:rtl/>
        </w:rPr>
      </w:pPr>
      <w:r w:rsidRPr="00681586">
        <w:rPr>
          <w:rFonts w:eastAsia="Calibri" w:hint="cs"/>
          <w:szCs w:val="20"/>
          <w:rtl/>
        </w:rPr>
        <w:t xml:space="preserve">על פי נתוני המוסד לביטוח לאומי </w:t>
      </w:r>
      <w:r w:rsidRPr="00681586">
        <w:rPr>
          <w:rFonts w:eastAsia="Calibri" w:hint="eastAsia"/>
          <w:szCs w:val="20"/>
          <w:rtl/>
        </w:rPr>
        <w:t>ונתוני</w:t>
      </w:r>
      <w:r w:rsidRPr="00681586">
        <w:rPr>
          <w:rFonts w:eastAsia="Calibri"/>
          <w:szCs w:val="20"/>
          <w:rtl/>
        </w:rPr>
        <w:t xml:space="preserve"> </w:t>
      </w:r>
      <w:r w:rsidRPr="00681586">
        <w:rPr>
          <w:rFonts w:eastAsia="Calibri" w:hint="eastAsia"/>
          <w:szCs w:val="20"/>
          <w:rtl/>
        </w:rPr>
        <w:t>קופ</w:t>
      </w:r>
      <w:r w:rsidRPr="00681586">
        <w:rPr>
          <w:rFonts w:eastAsia="Calibri" w:hint="cs"/>
          <w:szCs w:val="20"/>
          <w:rtl/>
        </w:rPr>
        <w:t>ה</w:t>
      </w:r>
      <w:r w:rsidRPr="00681586">
        <w:rPr>
          <w:rFonts w:eastAsia="Calibri"/>
          <w:szCs w:val="20"/>
          <w:rtl/>
        </w:rPr>
        <w:t xml:space="preserve"> א', בעיבוד משרד מבקר המדינה.</w:t>
      </w:r>
    </w:p>
    <w:p w:rsidR="00681586" w:rsidRPr="00681586" w:rsidP="00681586">
      <w:pPr>
        <w:spacing w:line="269" w:lineRule="auto"/>
        <w:rPr>
          <w:rFonts w:eastAsia="Calibri"/>
          <w:b/>
          <w:bCs/>
          <w:rtl/>
        </w:rPr>
      </w:pPr>
      <w:r w:rsidRPr="00681586">
        <w:rPr>
          <w:rFonts w:eastAsia="Calibri" w:hint="cs"/>
          <w:b/>
          <w:bCs/>
          <w:rtl/>
        </w:rPr>
        <w:t>מהתרשים עולה כי בשנים 2018 - 2020 עלה הפער בין הציון בהערכת התלות בבט"ל לציון ב</w:t>
      </w:r>
      <w:r w:rsidRPr="00681586">
        <w:rPr>
          <w:rFonts w:eastAsia="Calibri"/>
          <w:b/>
          <w:bCs/>
          <w:rtl/>
        </w:rPr>
        <w:t>קופה א'</w:t>
      </w:r>
      <w:r w:rsidRPr="00681586">
        <w:rPr>
          <w:rFonts w:eastAsia="Calibri" w:hint="cs"/>
          <w:b/>
          <w:bCs/>
          <w:rtl/>
        </w:rPr>
        <w:t xml:space="preserve"> בהתמדה, ובשנים 2021 - 2024 הוא התייצב על כ-2.5 נקודות.</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b/>
          <w:bCs/>
          <w:rtl/>
        </w:rPr>
        <w:t xml:space="preserve">יצוין לחיוב כי הערכות תלות </w:t>
      </w:r>
      <w:r w:rsidRPr="00681586">
        <w:rPr>
          <w:rFonts w:eastAsia="Calibri" w:hint="cs"/>
          <w:b/>
          <w:bCs/>
          <w:rtl/>
        </w:rPr>
        <w:t xml:space="preserve">המבוצעות </w:t>
      </w:r>
      <w:r w:rsidRPr="00681586">
        <w:rPr>
          <w:rFonts w:eastAsia="Calibri" w:hint="eastAsia"/>
          <w:b/>
          <w:bCs/>
          <w:rtl/>
        </w:rPr>
        <w:t>ע</w:t>
      </w:r>
      <w:r w:rsidRPr="00681586">
        <w:rPr>
          <w:rFonts w:eastAsia="Calibri" w:hint="cs"/>
          <w:b/>
          <w:bCs/>
          <w:rtl/>
        </w:rPr>
        <w:t>ל ידי</w:t>
      </w:r>
      <w:r w:rsidRPr="00681586">
        <w:rPr>
          <w:rFonts w:eastAsia="Calibri"/>
          <w:b/>
          <w:bCs/>
          <w:rtl/>
        </w:rPr>
        <w:t xml:space="preserve"> </w:t>
      </w:r>
      <w:r w:rsidRPr="00681586">
        <w:rPr>
          <w:rFonts w:eastAsia="Calibri" w:hint="eastAsia"/>
          <w:b/>
          <w:bCs/>
          <w:rtl/>
        </w:rPr>
        <w:t>בט</w:t>
      </w:r>
      <w:r w:rsidRPr="00681586">
        <w:rPr>
          <w:rFonts w:eastAsia="Calibri"/>
          <w:b/>
          <w:bCs/>
          <w:rtl/>
        </w:rPr>
        <w:t>"ל</w:t>
      </w:r>
      <w:r w:rsidRPr="00681586">
        <w:rPr>
          <w:rFonts w:eastAsia="Calibri" w:hint="cs"/>
          <w:b/>
          <w:bCs/>
          <w:rtl/>
        </w:rPr>
        <w:t xml:space="preserve"> </w:t>
      </w:r>
      <w:r w:rsidRPr="00681586">
        <w:rPr>
          <w:rFonts w:eastAsia="Calibri"/>
          <w:b/>
          <w:bCs/>
          <w:rtl/>
        </w:rPr>
        <w:t xml:space="preserve">באמצעות מסמכים מקלות </w:t>
      </w:r>
      <w:r w:rsidRPr="00681586">
        <w:rPr>
          <w:rFonts w:eastAsia="Calibri" w:hint="cs"/>
          <w:b/>
          <w:bCs/>
          <w:rtl/>
        </w:rPr>
        <w:t xml:space="preserve">את </w:t>
      </w:r>
      <w:r w:rsidRPr="00681586">
        <w:rPr>
          <w:rFonts w:eastAsia="Calibri"/>
          <w:b/>
          <w:bCs/>
          <w:rtl/>
        </w:rPr>
        <w:t xml:space="preserve">הנטל הבירוקרטי </w:t>
      </w:r>
      <w:r w:rsidRPr="00681586">
        <w:rPr>
          <w:rFonts w:eastAsia="Calibri" w:hint="cs"/>
          <w:b/>
          <w:bCs/>
          <w:rtl/>
        </w:rPr>
        <w:t>על</w:t>
      </w:r>
      <w:r w:rsidRPr="00681586">
        <w:rPr>
          <w:rFonts w:eastAsia="Calibri"/>
          <w:b/>
          <w:bCs/>
          <w:rtl/>
        </w:rPr>
        <w:t xml:space="preserve"> התובעים גמלת סיעוד ושומרות על כבוד האדם התובע את הגמלה.</w:t>
      </w:r>
      <w:r w:rsidRPr="00681586">
        <w:rPr>
          <w:rFonts w:eastAsia="Calibri" w:hint="cs"/>
          <w:b/>
          <w:bCs/>
          <w:rtl/>
        </w:rPr>
        <w:t xml:space="preserve"> עם זאת,</w:t>
      </w:r>
      <w:r w:rsidRPr="00681586">
        <w:rPr>
          <w:rFonts w:eastAsia="Calibri"/>
          <w:b/>
          <w:bCs/>
          <w:rtl/>
        </w:rPr>
        <w:t xml:space="preserve"> </w:t>
      </w:r>
      <w:r w:rsidRPr="00681586">
        <w:rPr>
          <w:rFonts w:eastAsia="Calibri" w:hint="cs"/>
          <w:b/>
          <w:bCs/>
          <w:rtl/>
        </w:rPr>
        <w:t xml:space="preserve">מהמקובץ עולה כי בכ-75% מהמקרים שבהם קשישים ביצעו את שתי הערכות התלות בטווח זמן קצר, קיים פער חיובי בין רמת הסיעוד שקבע בט"ל לזו שקבעה </w:t>
      </w:r>
      <w:r w:rsidRPr="00681586">
        <w:rPr>
          <w:rFonts w:eastAsia="Calibri"/>
          <w:b/>
          <w:bCs/>
          <w:rtl/>
        </w:rPr>
        <w:t>קופה א'</w:t>
      </w:r>
      <w:r w:rsidRPr="00681586">
        <w:rPr>
          <w:rFonts w:eastAsia="Calibri" w:hint="cs"/>
          <w:b/>
          <w:bCs/>
          <w:rtl/>
        </w:rPr>
        <w:t>, כאשר בממוצע מדובר בפער של כ-2.5 נקודות בין הציון שבט"ל נותן בהערכות התלות לציון שניתן ב</w:t>
      </w:r>
      <w:r w:rsidRPr="00681586">
        <w:rPr>
          <w:rFonts w:eastAsia="Calibri"/>
          <w:b/>
          <w:bCs/>
          <w:rtl/>
        </w:rPr>
        <w:t>קופה א'</w:t>
      </w:r>
      <w:r w:rsidRPr="00681586">
        <w:rPr>
          <w:rFonts w:eastAsia="Calibri" w:hint="cs"/>
          <w:b/>
          <w:bCs/>
          <w:rtl/>
        </w:rPr>
        <w:t xml:space="preserve">, והסיבה האפשרית לכך היא בין היתר אופן ביצועה של הערכת התלות - אשר מתבצעות בקופה א' באופן פרונטלי ובבט"ל על בסיס מסמכים. משמעות הדבר היא שייתכן שמקבלי קצבת סיעוד רבים נהנים מקצבה גבוהה מזו שהייתה ניתנת להם לו הערכת התלות הייתה מתבצעת בקופת החולים. הדבר משית על הוצאות בט"ל עלות עודפת, שנאמדת בכ-9.5 מיליארד ש"ח בשנה, והיא אחת הסיבות המרכזיות לגידול בהוצאות על גמלת סיעוד בשנים האחרונות, שהביא לפגיעה ביציבות האקטוארית של בט"ל וגרם להקדמת שנת איפוס הקרן, שעומדת כיום על שנת 2035, ב-6.3 שנים, </w:t>
      </w:r>
      <w:r w:rsidRPr="00681586">
        <w:rPr>
          <w:rFonts w:eastAsia="Calibri" w:hint="eastAsia"/>
          <w:b/>
          <w:bCs/>
          <w:rtl/>
        </w:rPr>
        <w:t>כפי</w:t>
      </w:r>
      <w:r w:rsidRPr="00681586">
        <w:rPr>
          <w:rFonts w:eastAsia="Calibri"/>
          <w:b/>
          <w:bCs/>
          <w:rtl/>
        </w:rPr>
        <w:t xml:space="preserve"> שהוצג </w:t>
      </w:r>
      <w:r w:rsidRPr="00681586">
        <w:rPr>
          <w:rFonts w:eastAsia="Calibri" w:hint="eastAsia"/>
          <w:b/>
          <w:bCs/>
          <w:rtl/>
        </w:rPr>
        <w:t>לעיל</w:t>
      </w:r>
      <w:r w:rsidRPr="00681586">
        <w:rPr>
          <w:rFonts w:eastAsia="Calibri"/>
          <w:b/>
          <w:bCs/>
          <w:rtl/>
        </w:rPr>
        <w:t>.</w:t>
      </w:r>
      <w:bookmarkStart w:id="9" w:name="_Hlk231387830"/>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בט"ל מסר בתשובתו כי העובדה שסולמות המדידה וההערכה של קופה א' ובט"ל דומים, אין משמעותה כי כללי הבדיקה והניקוד זהים בין שני הגופים. כך למשל הערכת התלות של בט"ל מביאה בחשבון תוספות ניקוד ורמה לבודדים, כלומר לקשישים החיים בגפם. עוד ציין בט"ל בתגובתו כי </w:t>
      </w:r>
      <w:r w:rsidRPr="00681586">
        <w:rPr>
          <w:rFonts w:ascii="David" w:eastAsia="Calibri" w:hAnsi="David" w:hint="cs"/>
          <w:sz w:val="24"/>
          <w:rtl/>
        </w:rPr>
        <w:t>נכון לדצמבר 2025, כ-37% (</w:t>
      </w:r>
      <w:r w:rsidRPr="00681586">
        <w:rPr>
          <w:rFonts w:ascii="David" w:eastAsia="Calibri" w:hAnsi="David"/>
          <w:sz w:val="24"/>
          <w:rtl/>
        </w:rPr>
        <w:t>כ-18</w:t>
      </w:r>
      <w:r w:rsidRPr="00681586">
        <w:rPr>
          <w:rFonts w:ascii="David" w:eastAsia="Calibri" w:hAnsi="David" w:hint="cs"/>
          <w:sz w:val="24"/>
          <w:rtl/>
        </w:rPr>
        <w:t>,</w:t>
      </w:r>
      <w:r w:rsidRPr="00681586">
        <w:rPr>
          <w:rFonts w:ascii="David" w:eastAsia="Calibri" w:hAnsi="David"/>
          <w:sz w:val="24"/>
          <w:rtl/>
        </w:rPr>
        <w:t>2</w:t>
      </w:r>
      <w:r w:rsidRPr="00681586">
        <w:rPr>
          <w:rFonts w:ascii="David" w:eastAsia="Calibri" w:hAnsi="David" w:hint="cs"/>
          <w:sz w:val="24"/>
          <w:rtl/>
        </w:rPr>
        <w:t>00</w:t>
      </w:r>
      <w:r w:rsidRPr="00681586">
        <w:rPr>
          <w:rFonts w:ascii="David" w:eastAsia="Calibri" w:hAnsi="David"/>
          <w:sz w:val="24"/>
          <w:rtl/>
        </w:rPr>
        <w:t xml:space="preserve"> מתוך כ-48</w:t>
      </w:r>
      <w:r w:rsidRPr="00681586">
        <w:rPr>
          <w:rFonts w:ascii="David" w:eastAsia="Calibri" w:hAnsi="David" w:hint="cs"/>
          <w:sz w:val="24"/>
          <w:rtl/>
        </w:rPr>
        <w:t>,</w:t>
      </w:r>
      <w:r w:rsidRPr="00681586">
        <w:rPr>
          <w:rFonts w:ascii="David" w:eastAsia="Calibri" w:hAnsi="David"/>
          <w:sz w:val="24"/>
          <w:rtl/>
        </w:rPr>
        <w:t>8</w:t>
      </w:r>
      <w:r w:rsidRPr="00681586">
        <w:rPr>
          <w:rFonts w:ascii="David" w:eastAsia="Calibri" w:hAnsi="David" w:hint="cs"/>
          <w:sz w:val="24"/>
          <w:rtl/>
        </w:rPr>
        <w:t>00)</w:t>
      </w:r>
      <w:r w:rsidRPr="00681586">
        <w:rPr>
          <w:rFonts w:ascii="David" w:eastAsia="Calibri" w:hAnsi="David"/>
          <w:sz w:val="24"/>
          <w:rtl/>
        </w:rPr>
        <w:t xml:space="preserve"> מהזכאים לרמה 1 היו בודדים</w:t>
      </w:r>
      <w:r w:rsidRPr="00681586">
        <w:rPr>
          <w:rFonts w:ascii="David" w:eastAsia="Calibri" w:hAnsi="David" w:hint="cs"/>
          <w:sz w:val="24"/>
          <w:rtl/>
        </w:rPr>
        <w:t>,</w:t>
      </w:r>
      <w:r w:rsidRPr="00681586">
        <w:rPr>
          <w:rFonts w:ascii="David" w:eastAsia="Calibri" w:hAnsi="David"/>
          <w:sz w:val="24"/>
          <w:rtl/>
        </w:rPr>
        <w:t xml:space="preserve"> </w:t>
      </w:r>
      <w:r w:rsidRPr="00681586">
        <w:rPr>
          <w:rFonts w:ascii="David" w:eastAsia="Calibri" w:hAnsi="David" w:hint="cs"/>
          <w:sz w:val="24"/>
          <w:rtl/>
        </w:rPr>
        <w:t>כך ש</w:t>
      </w:r>
      <w:r w:rsidRPr="00681586">
        <w:rPr>
          <w:rFonts w:ascii="David" w:eastAsia="Calibri" w:hAnsi="David"/>
          <w:sz w:val="24"/>
          <w:rtl/>
        </w:rPr>
        <w:t xml:space="preserve">תוספת ניקוד לבודד </w:t>
      </w:r>
      <w:r w:rsidRPr="00681586">
        <w:rPr>
          <w:rFonts w:ascii="David" w:eastAsia="Calibri" w:hAnsi="David" w:hint="cs"/>
          <w:sz w:val="24"/>
          <w:rtl/>
        </w:rPr>
        <w:t>היא זו ש</w:t>
      </w:r>
      <w:r w:rsidRPr="00681586">
        <w:rPr>
          <w:rFonts w:ascii="David" w:eastAsia="Calibri" w:hAnsi="David"/>
          <w:sz w:val="24"/>
          <w:rtl/>
        </w:rPr>
        <w:t>נתנה להם את הניקוד המינימלי הנדרש לזכאות</w:t>
      </w:r>
      <w:r w:rsidRPr="00681586">
        <w:rPr>
          <w:rFonts w:eastAsia="Calibri" w:hint="cs"/>
          <w:rtl/>
        </w:rPr>
        <w:t xml:space="preserve">. עוד ציין כי </w:t>
      </w:r>
      <w:r w:rsidRPr="00681586">
        <w:rPr>
          <w:rFonts w:ascii="David" w:eastAsia="Calibri" w:hAnsi="David"/>
          <w:sz w:val="24"/>
          <w:rtl/>
        </w:rPr>
        <w:t>י</w:t>
      </w:r>
      <w:r w:rsidRPr="00681586">
        <w:rPr>
          <w:rFonts w:ascii="David" w:eastAsia="Calibri" w:hAnsi="David" w:hint="cs"/>
          <w:sz w:val="24"/>
          <w:rtl/>
        </w:rPr>
        <w:t>י</w:t>
      </w:r>
      <w:r w:rsidRPr="00681586">
        <w:rPr>
          <w:rFonts w:ascii="David" w:eastAsia="Calibri" w:hAnsi="David"/>
          <w:sz w:val="24"/>
          <w:rtl/>
        </w:rPr>
        <w:t>תכנו גם מקרי</w:t>
      </w:r>
      <w:r w:rsidRPr="00681586">
        <w:rPr>
          <w:rFonts w:ascii="David" w:eastAsia="Calibri" w:hAnsi="David" w:hint="cs"/>
          <w:sz w:val="24"/>
          <w:rtl/>
        </w:rPr>
        <w:t>ם</w:t>
      </w:r>
      <w:r w:rsidRPr="00681586">
        <w:rPr>
          <w:rFonts w:ascii="David" w:eastAsia="Calibri" w:hAnsi="David"/>
          <w:sz w:val="24"/>
          <w:rtl/>
        </w:rPr>
        <w:t xml:space="preserve"> של טעות בניקוד שניתן, וכאשר הדבר מתברר בבקרה או בבדיקה נוספת בהמשך</w:t>
      </w:r>
      <w:r w:rsidRPr="00681586">
        <w:rPr>
          <w:rFonts w:ascii="David" w:eastAsia="Calibri" w:hAnsi="David" w:hint="cs"/>
          <w:sz w:val="24"/>
          <w:rtl/>
        </w:rPr>
        <w:t>,</w:t>
      </w:r>
      <w:r w:rsidRPr="00681586">
        <w:rPr>
          <w:rFonts w:ascii="David" w:eastAsia="Calibri" w:hAnsi="David"/>
          <w:sz w:val="24"/>
          <w:rtl/>
        </w:rPr>
        <w:t xml:space="preserve"> לא ניתן להוריד</w:t>
      </w:r>
      <w:r w:rsidRPr="00681586">
        <w:rPr>
          <w:rFonts w:ascii="David" w:eastAsia="Calibri" w:hAnsi="David" w:hint="cs"/>
          <w:sz w:val="24"/>
          <w:rtl/>
        </w:rPr>
        <w:t xml:space="preserve"> או </w:t>
      </w:r>
      <w:r w:rsidRPr="00681586">
        <w:rPr>
          <w:rFonts w:ascii="David" w:eastAsia="Calibri" w:hAnsi="David"/>
          <w:sz w:val="24"/>
          <w:rtl/>
        </w:rPr>
        <w:t>לבטל את הזכאות</w:t>
      </w:r>
      <w:r w:rsidRPr="00681586">
        <w:rPr>
          <w:rFonts w:eastAsia="Calibri" w:hint="cs"/>
          <w:rtl/>
        </w:rPr>
        <w:t xml:space="preserve"> כתוצאה מתקנות החוק.</w:t>
      </w:r>
    </w:p>
    <w:p w:rsidR="00681586" w:rsidRPr="00681586" w:rsidP="00681586">
      <w:pPr>
        <w:spacing w:line="269" w:lineRule="auto"/>
        <w:ind w:left="-567"/>
        <w:rPr>
          <w:rFonts w:eastAsia="Calibri"/>
          <w:szCs w:val="20"/>
          <w:rtl/>
        </w:rPr>
      </w:pPr>
      <w:bookmarkStart w:id="10" w:name="_Hlk231215115"/>
      <w:bookmarkStart w:id="11" w:name="_Hlk231215181"/>
    </w:p>
    <w:bookmarkEnd w:id="10"/>
    <w:bookmarkEnd w:id="11"/>
    <w:p w:rsidR="00681586" w:rsidRPr="00681586" w:rsidP="00681586">
      <w:pPr>
        <w:spacing w:line="269" w:lineRule="auto"/>
        <w:rPr>
          <w:rFonts w:eastAsia="Calibri"/>
          <w:b/>
          <w:bCs/>
          <w:rtl/>
        </w:rPr>
      </w:pPr>
      <w:r w:rsidRPr="00681586">
        <w:rPr>
          <w:rFonts w:eastAsia="Calibri" w:hint="cs"/>
          <w:b/>
          <w:bCs/>
          <w:rtl/>
        </w:rPr>
        <w:t xml:space="preserve">משרד מבקר המדינה מעיר לבט"ל כי ההחלטה </w:t>
      </w:r>
      <w:r w:rsidRPr="00681586">
        <w:rPr>
          <w:rFonts w:eastAsia="Calibri"/>
          <w:b/>
          <w:bCs/>
          <w:rtl/>
        </w:rPr>
        <w:t>להעניק</w:t>
      </w:r>
      <w:r w:rsidRPr="00681586">
        <w:rPr>
          <w:rFonts w:eastAsia="Calibri" w:hint="cs"/>
          <w:b/>
          <w:bCs/>
          <w:rtl/>
        </w:rPr>
        <w:t xml:space="preserve"> לקשישים שחיים בגפם ניקוד נוסף, שבעקבותיו ניתנת גם רמת סיעוד גבוהה יותר, היא החלטה מינהלית פנימית של בט"ל שאינה מעוגנת בחוק או בתקנות. החלטה זו, לצד החלטות נוספות המורידות את סף הזכאות, מגדילה את מספר הזכאים לגמלת סיעוד, אף שלפי התבחינים הרפואיים הם אינם מצויים במצב סיעודי בפועל. להחלטות אלה משמעות תקציבית הנאמדת כאמור במיליארדי שקלים.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עוד מסר בט"ל בתשובתו כי </w:t>
      </w:r>
      <w:r w:rsidRPr="00681586">
        <w:rPr>
          <w:rFonts w:eastAsia="Calibri"/>
          <w:rtl/>
        </w:rPr>
        <w:t>בשנת 2025 הותאמה מערכת לביצוע בקרות על הערכות התלות וברבעון השני של שנת 2026 מתוכננת הדרכת יועצים בנושא לקראת הטמעה.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כדי לוודא כי קשישים אשר נזקקים לעזרת הזולת ימשיכו לקבל את הסיוע הדרוש להם גם בשנים הבאות, וכן כדי להבטיח כי צעירים המשלמים כיום את דמי הביטוח הלאומי יוכלו ליהנות מהזכויות המוקנות להם מתוקף דמי הביטוח הללו בהגיעם לגיל זקנה, כשיצטרכו את עזרת הזולת, על בט"ל לוודא באמצעות בחינת הקריטריונים לניקוד הערכת התלות והתאמתם לקריטריונים הרפואיים, כי הכספים של גמלת הסיעוד מועברים רק לקשישים הנזקקים לכך. </w:t>
      </w:r>
    </w:p>
    <w:p w:rsidR="00681586" w:rsidRPr="00681586" w:rsidP="00681586">
      <w:pPr>
        <w:spacing w:line="269" w:lineRule="auto"/>
        <w:ind w:left="-567"/>
        <w:rPr>
          <w:rFonts w:eastAsia="Calibri"/>
          <w:szCs w:val="20"/>
          <w:rtl/>
        </w:rPr>
      </w:pPr>
    </w:p>
    <w:p w:rsidR="00681586" w:rsidP="00681586">
      <w:pPr>
        <w:spacing w:line="269" w:lineRule="auto"/>
        <w:rPr>
          <w:rFonts w:eastAsia="Calibri"/>
          <w:b/>
          <w:bCs/>
        </w:rPr>
      </w:pPr>
      <w:r w:rsidRPr="00681586">
        <w:rPr>
          <w:rFonts w:eastAsia="Calibri" w:hint="eastAsia"/>
          <w:b/>
          <w:bCs/>
          <w:rtl/>
        </w:rPr>
        <w:t>כמו</w:t>
      </w:r>
      <w:r w:rsidRPr="00681586">
        <w:rPr>
          <w:rFonts w:eastAsia="Calibri"/>
          <w:b/>
          <w:bCs/>
          <w:rtl/>
        </w:rPr>
        <w:t xml:space="preserve"> </w:t>
      </w:r>
      <w:r w:rsidRPr="00681586">
        <w:rPr>
          <w:rFonts w:eastAsia="Calibri" w:hint="eastAsia"/>
          <w:b/>
          <w:bCs/>
          <w:rtl/>
        </w:rPr>
        <w:t>כן</w:t>
      </w:r>
      <w:r w:rsidRPr="00681586">
        <w:rPr>
          <w:rFonts w:eastAsia="Calibri" w:hint="cs"/>
          <w:b/>
          <w:bCs/>
          <w:rtl/>
        </w:rPr>
        <w:t xml:space="preserve"> </w:t>
      </w:r>
      <w:r w:rsidRPr="00681586">
        <w:rPr>
          <w:rFonts w:eastAsia="Calibri"/>
          <w:b/>
          <w:bCs/>
          <w:rtl/>
        </w:rPr>
        <w:t xml:space="preserve">מומלץ </w:t>
      </w:r>
      <w:r w:rsidRPr="00681586">
        <w:rPr>
          <w:rFonts w:eastAsia="Calibri" w:hint="eastAsia"/>
          <w:b/>
          <w:bCs/>
          <w:rtl/>
        </w:rPr>
        <w:t>כי</w:t>
      </w:r>
      <w:r w:rsidRPr="00681586">
        <w:rPr>
          <w:rFonts w:eastAsia="Calibri"/>
          <w:b/>
          <w:bCs/>
          <w:rtl/>
        </w:rPr>
        <w:t xml:space="preserve"> </w:t>
      </w:r>
      <w:r w:rsidRPr="00681586">
        <w:rPr>
          <w:rFonts w:eastAsia="Calibri" w:hint="eastAsia"/>
          <w:b/>
          <w:bCs/>
          <w:rtl/>
        </w:rPr>
        <w:t>בט</w:t>
      </w:r>
      <w:r w:rsidRPr="00681586">
        <w:rPr>
          <w:rFonts w:eastAsia="Calibri"/>
          <w:b/>
          <w:bCs/>
          <w:rtl/>
        </w:rPr>
        <w:t xml:space="preserve">"ל </w:t>
      </w:r>
      <w:r w:rsidRPr="00681586">
        <w:rPr>
          <w:rFonts w:eastAsia="Calibri" w:hint="eastAsia"/>
          <w:b/>
          <w:bCs/>
          <w:rtl/>
        </w:rPr>
        <w:t>יפעל</w:t>
      </w:r>
      <w:r w:rsidRPr="00681586">
        <w:rPr>
          <w:rFonts w:eastAsia="Calibri"/>
          <w:b/>
          <w:bCs/>
          <w:rtl/>
        </w:rPr>
        <w:t xml:space="preserve"> </w:t>
      </w:r>
      <w:r w:rsidRPr="00681586">
        <w:rPr>
          <w:rFonts w:eastAsia="Calibri" w:hint="eastAsia"/>
          <w:b/>
          <w:bCs/>
          <w:rtl/>
        </w:rPr>
        <w:t>לגבש</w:t>
      </w:r>
      <w:r w:rsidRPr="00681586">
        <w:rPr>
          <w:rFonts w:eastAsia="Calibri"/>
          <w:b/>
          <w:bCs/>
          <w:rtl/>
        </w:rPr>
        <w:t xml:space="preserve"> הצעה </w:t>
      </w:r>
      <w:r w:rsidRPr="00681586">
        <w:rPr>
          <w:rFonts w:eastAsia="Calibri" w:hint="eastAsia"/>
          <w:b/>
          <w:bCs/>
          <w:rtl/>
        </w:rPr>
        <w:t>לתיקון</w:t>
      </w:r>
      <w:r w:rsidRPr="00681586">
        <w:rPr>
          <w:rFonts w:eastAsia="Calibri"/>
          <w:b/>
          <w:bCs/>
          <w:rtl/>
        </w:rPr>
        <w:t xml:space="preserve"> </w:t>
      </w:r>
      <w:r w:rsidRPr="00681586">
        <w:rPr>
          <w:rFonts w:eastAsia="Calibri" w:hint="cs"/>
          <w:b/>
          <w:bCs/>
          <w:rtl/>
        </w:rPr>
        <w:t>התקנות לחוק בט"ל</w:t>
      </w:r>
      <w:r>
        <w:rPr>
          <w:rFonts w:eastAsia="Calibri"/>
          <w:vertAlign w:val="superscript"/>
          <w:rtl/>
        </w:rPr>
        <w:footnoteReference w:id="85"/>
      </w:r>
      <w:r w:rsidRPr="00681586">
        <w:rPr>
          <w:rFonts w:eastAsia="Calibri" w:hint="cs"/>
          <w:b/>
          <w:bCs/>
          <w:rtl/>
        </w:rPr>
        <w:t xml:space="preserve">, </w:t>
      </w:r>
      <w:r w:rsidRPr="00681586">
        <w:rPr>
          <w:rFonts w:eastAsia="Calibri" w:hint="eastAsia"/>
          <w:b/>
          <w:bCs/>
          <w:rtl/>
        </w:rPr>
        <w:t>כך</w:t>
      </w:r>
      <w:r w:rsidRPr="00681586">
        <w:rPr>
          <w:rFonts w:eastAsia="Calibri"/>
          <w:b/>
          <w:bCs/>
          <w:rtl/>
        </w:rPr>
        <w:t xml:space="preserve"> שיתאפשר </w:t>
      </w:r>
      <w:r w:rsidRPr="00681586">
        <w:rPr>
          <w:rFonts w:eastAsia="Calibri" w:hint="eastAsia"/>
          <w:b/>
          <w:bCs/>
          <w:rtl/>
        </w:rPr>
        <w:t>להפחית</w:t>
      </w:r>
      <w:r w:rsidRPr="00681586">
        <w:rPr>
          <w:rFonts w:eastAsia="Calibri"/>
          <w:b/>
          <w:bCs/>
          <w:rtl/>
        </w:rPr>
        <w:t xml:space="preserve"> </w:t>
      </w:r>
      <w:r w:rsidRPr="00681586">
        <w:rPr>
          <w:rFonts w:eastAsia="Calibri" w:hint="eastAsia"/>
          <w:b/>
          <w:bCs/>
          <w:rtl/>
        </w:rPr>
        <w:t>רמת</w:t>
      </w:r>
      <w:r w:rsidRPr="00681586">
        <w:rPr>
          <w:rFonts w:eastAsia="Calibri"/>
          <w:b/>
          <w:bCs/>
          <w:rtl/>
        </w:rPr>
        <w:t xml:space="preserve"> </w:t>
      </w:r>
      <w:r w:rsidRPr="00681586">
        <w:rPr>
          <w:rFonts w:eastAsia="Calibri" w:hint="eastAsia"/>
          <w:b/>
          <w:bCs/>
          <w:rtl/>
        </w:rPr>
        <w:t>זכאות</w:t>
      </w:r>
      <w:r w:rsidRPr="00681586">
        <w:rPr>
          <w:rFonts w:eastAsia="Calibri"/>
          <w:b/>
          <w:bCs/>
          <w:rtl/>
        </w:rPr>
        <w:t xml:space="preserve"> </w:t>
      </w:r>
      <w:r w:rsidRPr="00681586">
        <w:rPr>
          <w:rFonts w:eastAsia="Calibri" w:hint="eastAsia"/>
          <w:b/>
          <w:bCs/>
          <w:rtl/>
        </w:rPr>
        <w:t>לגמלת</w:t>
      </w:r>
      <w:r w:rsidRPr="00681586">
        <w:rPr>
          <w:rFonts w:eastAsia="Calibri"/>
          <w:b/>
          <w:bCs/>
          <w:rtl/>
        </w:rPr>
        <w:t xml:space="preserve"> </w:t>
      </w:r>
      <w:r w:rsidRPr="00681586">
        <w:rPr>
          <w:rFonts w:eastAsia="Calibri" w:hint="eastAsia"/>
          <w:b/>
          <w:bCs/>
          <w:rtl/>
        </w:rPr>
        <w:t>סיעוד</w:t>
      </w:r>
      <w:r w:rsidRPr="00681586">
        <w:rPr>
          <w:rFonts w:eastAsia="Calibri"/>
          <w:b/>
          <w:bCs/>
          <w:rtl/>
        </w:rPr>
        <w:t xml:space="preserve">, </w:t>
      </w:r>
      <w:r w:rsidRPr="00681586">
        <w:rPr>
          <w:rFonts w:eastAsia="Calibri" w:hint="cs"/>
          <w:b/>
          <w:bCs/>
          <w:rtl/>
        </w:rPr>
        <w:t xml:space="preserve">אם </w:t>
      </w:r>
      <w:r w:rsidRPr="00681586">
        <w:rPr>
          <w:rFonts w:eastAsia="Calibri" w:hint="eastAsia"/>
          <w:b/>
          <w:bCs/>
          <w:rtl/>
        </w:rPr>
        <w:t>בבדיקה</w:t>
      </w:r>
      <w:r w:rsidRPr="00681586">
        <w:rPr>
          <w:rFonts w:eastAsia="Calibri"/>
          <w:b/>
          <w:bCs/>
          <w:rtl/>
        </w:rPr>
        <w:t xml:space="preserve"> </w:t>
      </w:r>
      <w:r w:rsidRPr="00681586">
        <w:rPr>
          <w:rFonts w:eastAsia="Calibri" w:hint="eastAsia"/>
          <w:b/>
          <w:bCs/>
          <w:rtl/>
        </w:rPr>
        <w:t>להחמרה</w:t>
      </w:r>
      <w:r w:rsidRPr="00681586">
        <w:rPr>
          <w:rFonts w:eastAsia="Calibri"/>
          <w:b/>
          <w:bCs/>
          <w:rtl/>
        </w:rPr>
        <w:t xml:space="preserve"> </w:t>
      </w:r>
      <w:r w:rsidRPr="00681586">
        <w:rPr>
          <w:rFonts w:eastAsia="Calibri" w:hint="eastAsia"/>
          <w:b/>
          <w:bCs/>
          <w:rtl/>
        </w:rPr>
        <w:t>התגלה</w:t>
      </w:r>
      <w:r w:rsidRPr="00681586">
        <w:rPr>
          <w:rFonts w:eastAsia="Calibri"/>
          <w:b/>
          <w:bCs/>
          <w:rtl/>
        </w:rPr>
        <w:t xml:space="preserve"> </w:t>
      </w:r>
      <w:r w:rsidRPr="00681586">
        <w:rPr>
          <w:rFonts w:eastAsia="Calibri" w:hint="eastAsia"/>
          <w:b/>
          <w:bCs/>
          <w:rtl/>
        </w:rPr>
        <w:t>כי</w:t>
      </w:r>
      <w:r w:rsidRPr="00681586">
        <w:rPr>
          <w:rFonts w:eastAsia="Calibri"/>
          <w:b/>
          <w:bCs/>
          <w:rtl/>
        </w:rPr>
        <w:t xml:space="preserve"> </w:t>
      </w:r>
      <w:r w:rsidRPr="00681586">
        <w:rPr>
          <w:rFonts w:eastAsia="Calibri" w:hint="eastAsia"/>
          <w:b/>
          <w:bCs/>
          <w:rtl/>
        </w:rPr>
        <w:t>חלה</w:t>
      </w:r>
      <w:r w:rsidRPr="00681586">
        <w:rPr>
          <w:rFonts w:eastAsia="Calibri"/>
          <w:b/>
          <w:bCs/>
          <w:rtl/>
        </w:rPr>
        <w:t xml:space="preserve"> </w:t>
      </w:r>
      <w:r w:rsidRPr="00681586">
        <w:rPr>
          <w:rFonts w:eastAsia="Calibri" w:hint="eastAsia"/>
          <w:b/>
          <w:bCs/>
          <w:rtl/>
        </w:rPr>
        <w:t>טעות</w:t>
      </w:r>
      <w:r w:rsidRPr="00681586">
        <w:rPr>
          <w:rFonts w:eastAsia="Calibri"/>
          <w:b/>
          <w:bCs/>
          <w:rtl/>
        </w:rPr>
        <w:t xml:space="preserve"> </w:t>
      </w:r>
      <w:r w:rsidRPr="00681586">
        <w:rPr>
          <w:rFonts w:eastAsia="Calibri" w:hint="eastAsia"/>
          <w:b/>
          <w:bCs/>
          <w:rtl/>
        </w:rPr>
        <w:t>בהערכת</w:t>
      </w:r>
      <w:r w:rsidRPr="00681586">
        <w:rPr>
          <w:rFonts w:eastAsia="Calibri"/>
          <w:b/>
          <w:bCs/>
          <w:rtl/>
        </w:rPr>
        <w:t xml:space="preserve"> </w:t>
      </w:r>
      <w:r w:rsidRPr="00681586">
        <w:rPr>
          <w:rFonts w:eastAsia="Calibri" w:hint="eastAsia"/>
          <w:b/>
          <w:bCs/>
          <w:rtl/>
        </w:rPr>
        <w:t>התלות</w:t>
      </w:r>
      <w:r w:rsidRPr="00681586">
        <w:rPr>
          <w:rFonts w:eastAsia="Calibri"/>
          <w:b/>
          <w:bCs/>
          <w:rtl/>
        </w:rPr>
        <w:t xml:space="preserve"> </w:t>
      </w:r>
      <w:r w:rsidRPr="00681586">
        <w:rPr>
          <w:rFonts w:eastAsia="Calibri" w:hint="eastAsia"/>
          <w:b/>
          <w:bCs/>
          <w:rtl/>
        </w:rPr>
        <w:t>שקבעה</w:t>
      </w:r>
      <w:r w:rsidRPr="00681586">
        <w:rPr>
          <w:rFonts w:eastAsia="Calibri"/>
          <w:b/>
          <w:bCs/>
          <w:rtl/>
        </w:rPr>
        <w:t xml:space="preserve"> </w:t>
      </w:r>
      <w:r w:rsidRPr="00681586">
        <w:rPr>
          <w:rFonts w:eastAsia="Calibri" w:hint="eastAsia"/>
          <w:b/>
          <w:bCs/>
          <w:rtl/>
        </w:rPr>
        <w:t>את</w:t>
      </w:r>
      <w:r w:rsidRPr="00681586">
        <w:rPr>
          <w:rFonts w:eastAsia="Calibri"/>
          <w:b/>
          <w:bCs/>
          <w:rtl/>
        </w:rPr>
        <w:t xml:space="preserve"> </w:t>
      </w:r>
      <w:r w:rsidRPr="00681586">
        <w:rPr>
          <w:rFonts w:eastAsia="Calibri" w:hint="eastAsia"/>
          <w:b/>
          <w:bCs/>
          <w:rtl/>
        </w:rPr>
        <w:t>רמת</w:t>
      </w:r>
      <w:r w:rsidRPr="00681586">
        <w:rPr>
          <w:rFonts w:eastAsia="Calibri"/>
          <w:b/>
          <w:bCs/>
          <w:rtl/>
        </w:rPr>
        <w:t xml:space="preserve"> </w:t>
      </w:r>
      <w:r w:rsidRPr="00681586">
        <w:rPr>
          <w:rFonts w:eastAsia="Calibri" w:hint="eastAsia"/>
          <w:b/>
          <w:bCs/>
          <w:rtl/>
        </w:rPr>
        <w:t>הזכאות</w:t>
      </w:r>
      <w:r w:rsidRPr="00681586">
        <w:rPr>
          <w:rFonts w:eastAsia="Calibri"/>
          <w:b/>
          <w:bCs/>
          <w:rtl/>
        </w:rPr>
        <w:t>.</w:t>
      </w:r>
    </w:p>
    <w:p w:rsidR="00681586">
      <w:pPr>
        <w:bidi w:val="0"/>
        <w:spacing w:after="200" w:line="276" w:lineRule="auto"/>
        <w:rPr>
          <w:rFonts w:eastAsia="Calibri"/>
          <w:b/>
          <w:bCs/>
        </w:rPr>
      </w:pPr>
      <w:r>
        <w:rPr>
          <w:rFonts w:eastAsia="Calibri"/>
          <w:b/>
          <w:bCs/>
        </w:rPr>
        <w:br w:type="page"/>
      </w:r>
    </w:p>
    <w:bookmarkEnd w:id="9"/>
    <w:p w:rsidR="00681586" w:rsidRPr="00681586" w:rsidP="00681586">
      <w:pPr>
        <w:spacing w:line="269" w:lineRule="auto"/>
        <w:jc w:val="center"/>
        <w:rPr>
          <w:rFonts w:ascii="Segoe UI Symbol" w:eastAsia="Calibri" w:hAnsi="Segoe UI Symbol" w:cs="Segoe UI Symbol"/>
          <w:b/>
          <w:bCs/>
          <w:sz w:val="36"/>
          <w:rtl/>
        </w:rPr>
      </w:pPr>
      <w:r w:rsidRPr="00681586">
        <w:rPr>
          <w:rFonts w:ascii="Segoe UI Symbol" w:eastAsia="Calibri" w:hAnsi="Segoe UI Symbol" w:cs="Segoe UI Symbol" w:hint="cs"/>
          <w:b/>
          <w:bCs/>
          <w:sz w:val="36"/>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הערכות תלות הן "שער הכניסה" לזכאות לגמלת סיעוד ולקביעת רמת הסיעוד שהקשיש זכאי לה. עלה כי בישראל, בניגוד לכל מדינות ה-</w:t>
      </w:r>
      <w:r w:rsidRPr="00681586">
        <w:rPr>
          <w:rFonts w:eastAsia="Calibri" w:hint="cs"/>
          <w:b/>
          <w:bCs/>
        </w:rPr>
        <w:t>OECD</w:t>
      </w:r>
      <w:r w:rsidRPr="00681586">
        <w:rPr>
          <w:rFonts w:eastAsia="Calibri" w:hint="cs"/>
          <w:b/>
          <w:bCs/>
          <w:rtl/>
        </w:rPr>
        <w:t xml:space="preserve">, הערכות תלות מתבצעות בעיקר מרחוק, על בסיס בדיקת מסמכים רפואיים בלבד, ולא בביתו של הקשיש התובע את הגמלה. עוד עלה כי שיטת בדיקה זו יש בה כדי להשפיע על ההסתברות לאישור התביעה, ובממוצע תביעות אלו מאושרות בכ-16 נקודות אחוז יותר לעומת תביעות הנבדקות בהערכות תלות שמבוצעות בבית הקשיש. הגידול בהסתברות לאשר את הבדיקה ייתכן והיה אחת מהסיבות שהביא לגידול במספר הזכאים לגמלת סיעוד, מכ-180,000 ערב הרפורמה (2018), לכ-392,000 בשנת 2025, ואת שיעור הזכאים מכ-16% מסך הקשישים ערב הרפורמה (2018), לכ-30% בשנת 2025. יתרה מכך, השוואה של בדיקות התלות המבוצעות על בסיס מסמכים, לעומת בדיקות דומות המבוצעות בקופת החולים באופן פרונטלי, מעלה שרמת הסיעוד הנקבעת בהן גבוהה בכ-1.7 רמות (מתוך שש רמות סיעוד) מזו שהייתה נקבעת אם הבדיקה הייתה מתבצעת בקופת החולים. הפער בין תוצאות בדיקות התלות בקופות החולים לבט"ל עשוי להסביר חלק מהגידול הניכר בהוצאות על גמלת סיעוד בשנים 2018 - 2025 - כאשר אומדן העלויות העודפות השנתיות מוערך בכ-9.5 מיליארד ש"ח בשנה - ואת הפגיעה במצבו האקטוארי של בט"ל, הבאה לידי ביטוי בהקדמת שנת איפוס הקרן בכ-6.3 שנים.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יצוין לחיוב כי הערכות תלות </w:t>
      </w:r>
      <w:r w:rsidR="002F0D96">
        <w:rPr>
          <w:rFonts w:eastAsia="Calibri" w:hint="cs"/>
          <w:b/>
          <w:bCs/>
          <w:rtl/>
        </w:rPr>
        <w:t>שמבצע</w:t>
      </w:r>
      <w:r w:rsidRPr="00681586">
        <w:rPr>
          <w:rFonts w:eastAsia="Calibri"/>
          <w:b/>
          <w:bCs/>
          <w:rtl/>
        </w:rPr>
        <w:t xml:space="preserve"> </w:t>
      </w:r>
      <w:r w:rsidRPr="00681586">
        <w:rPr>
          <w:rFonts w:eastAsia="Calibri" w:hint="eastAsia"/>
          <w:b/>
          <w:bCs/>
          <w:rtl/>
        </w:rPr>
        <w:t>בט</w:t>
      </w:r>
      <w:r w:rsidRPr="00681586">
        <w:rPr>
          <w:rFonts w:eastAsia="Calibri"/>
          <w:b/>
          <w:bCs/>
          <w:rtl/>
        </w:rPr>
        <w:t>"ל</w:t>
      </w:r>
      <w:r w:rsidRPr="00681586">
        <w:rPr>
          <w:rFonts w:eastAsia="Calibri" w:hint="cs"/>
          <w:b/>
          <w:bCs/>
          <w:rtl/>
        </w:rPr>
        <w:t xml:space="preserve"> באמצעות מסמכים מק</w:t>
      </w:r>
      <w:r w:rsidR="0098295C">
        <w:rPr>
          <w:rFonts w:eastAsia="Calibri" w:hint="cs"/>
          <w:b/>
          <w:bCs/>
          <w:rtl/>
        </w:rPr>
        <w:t>י</w:t>
      </w:r>
      <w:r w:rsidRPr="00681586">
        <w:rPr>
          <w:rFonts w:eastAsia="Calibri" w:hint="cs"/>
          <w:b/>
          <w:bCs/>
          <w:rtl/>
        </w:rPr>
        <w:t xml:space="preserve">לות </w:t>
      </w:r>
      <w:r w:rsidR="0098295C">
        <w:rPr>
          <w:rFonts w:eastAsia="Calibri" w:hint="cs"/>
          <w:b/>
          <w:bCs/>
          <w:rtl/>
        </w:rPr>
        <w:t xml:space="preserve">את </w:t>
      </w:r>
      <w:r w:rsidRPr="00681586">
        <w:rPr>
          <w:rFonts w:eastAsia="Calibri" w:hint="cs"/>
          <w:b/>
          <w:bCs/>
          <w:rtl/>
        </w:rPr>
        <w:t xml:space="preserve">הנטל הבירוקרטי של התובעים גמלת סיעוד ושומרות על כבוד האדם התובע את הגמלה. עם זאת, נוכח ההשפעה שיש לאופן הבדיקה על הגידול בהיקף הזכאים לגמלה, על היקף ההוצאה ועל היציבות האקטוארית של בט"ל, מומלץ כי בט"ל ישקול את </w:t>
      </w:r>
      <w:r w:rsidR="0098295C">
        <w:rPr>
          <w:rFonts w:eastAsia="Calibri" w:hint="cs"/>
          <w:b/>
          <w:bCs/>
          <w:rtl/>
        </w:rPr>
        <w:t>ה</w:t>
      </w:r>
      <w:r w:rsidRPr="00681586">
        <w:rPr>
          <w:rFonts w:eastAsia="Calibri" w:hint="cs"/>
          <w:b/>
          <w:bCs/>
          <w:rtl/>
        </w:rPr>
        <w:t>מועילות ו</w:t>
      </w:r>
      <w:r w:rsidR="0098295C">
        <w:rPr>
          <w:rFonts w:eastAsia="Calibri" w:hint="cs"/>
          <w:b/>
          <w:bCs/>
          <w:rtl/>
        </w:rPr>
        <w:t>ה</w:t>
      </w:r>
      <w:r w:rsidRPr="00681586">
        <w:rPr>
          <w:rFonts w:eastAsia="Calibri" w:hint="cs"/>
          <w:b/>
          <w:bCs/>
          <w:rtl/>
        </w:rPr>
        <w:t xml:space="preserve">יעילות </w:t>
      </w:r>
      <w:r w:rsidR="0098295C">
        <w:rPr>
          <w:rFonts w:eastAsia="Calibri" w:hint="cs"/>
          <w:b/>
          <w:bCs/>
          <w:rtl/>
        </w:rPr>
        <w:t xml:space="preserve">של </w:t>
      </w:r>
      <w:r w:rsidRPr="00681586">
        <w:rPr>
          <w:rFonts w:eastAsia="Calibri" w:hint="cs"/>
          <w:b/>
          <w:bCs/>
          <w:rtl/>
        </w:rPr>
        <w:t xml:space="preserve">השיטה </w:t>
      </w:r>
      <w:r w:rsidR="0098295C">
        <w:rPr>
          <w:rFonts w:eastAsia="Calibri" w:hint="cs"/>
          <w:b/>
          <w:bCs/>
          <w:rtl/>
        </w:rPr>
        <w:t xml:space="preserve">שלפיה </w:t>
      </w:r>
      <w:r w:rsidRPr="00681586">
        <w:rPr>
          <w:rFonts w:eastAsia="Calibri" w:hint="cs"/>
          <w:b/>
          <w:bCs/>
          <w:rtl/>
        </w:rPr>
        <w:t>הוא נוהג כיום, תוך בחינת הצורך לשנותה, בין היתר לנוכח הממצאים של דוח זה והמלצות ארגון ה-</w:t>
      </w:r>
      <w:r w:rsidRPr="00681586">
        <w:rPr>
          <w:rFonts w:eastAsia="Calibri" w:hint="cs"/>
          <w:b/>
          <w:bCs/>
        </w:rPr>
        <w:t>OECD</w:t>
      </w:r>
      <w:r w:rsidRPr="00681586">
        <w:rPr>
          <w:rFonts w:eastAsia="Calibri" w:hint="cs"/>
          <w:b/>
          <w:bCs/>
          <w:rtl/>
        </w:rPr>
        <w:t>. מומלץ כי הבחינה תתבצע תוך שקילת רמת הדיוק של הערכות התלות, מידת ההיערכות מבחינת כוח האדם הדרוש, ומשכי זמן הטיפול בתביעות. עוד מומלץ לשקול לבצע הערכות תלות על סמך מסמכים רפואיים רק בחלק מהמקרים, כגון במקרים מסוימים של תביעות חוזרות, או במקרים מובהקים של תביעות ברמות סיעוד גבוהות. כמו כן מומלץ כי בט"ל ימסד מנגנוני בקרה לבדיקת איכות הערכות התלות, בין אם באמצעות בקרים חיצוניים שיבדקו את איכות ההערכות באופן מדגמי ובין אם בכל דרך אחרת.</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כדי לוודא כי קשישים אשר נזקקים לעזרת הזולת ימשיכו לקבל את הסיוע הדרוש להם גם בשנים הבאות, וכן כדי להבטיח כי צעירים המשלמים כיום את דמי הביטוח הלאומי יוכלו ליהנות מהזכויות המוקנות להם מתוקף דמי הביטוח הללו בהגיעם לגיל זקנה, כשיצטרכו את עזרת הזולת, על בט"ל לוודא כי הכספים של גמלת הסיעוד מועברים רק לקשישים הנזקקים לכך. </w:t>
      </w:r>
    </w:p>
    <w:p w:rsidR="00681586" w:rsidRPr="00681586" w:rsidP="00681586">
      <w:pPr>
        <w:spacing w:line="269" w:lineRule="auto"/>
        <w:ind w:left="-567"/>
        <w:rPr>
          <w:rFonts w:eastAsia="Calibri"/>
          <w:szCs w:val="20"/>
          <w:rtl/>
        </w:rPr>
      </w:pPr>
    </w:p>
    <w:p w:rsidR="00681586" w:rsidRPr="00681586" w:rsidP="00681586">
      <w:pPr>
        <w:keepNext/>
        <w:keepLines/>
        <w:spacing w:line="269" w:lineRule="auto"/>
        <w:outlineLvl w:val="4"/>
        <w:rPr>
          <w:rFonts w:eastAsia="Times New Roman"/>
          <w:bCs/>
          <w:spacing w:val="40"/>
          <w:rtl/>
        </w:rPr>
      </w:pPr>
      <w:r w:rsidRPr="00681586">
        <w:rPr>
          <w:rFonts w:eastAsia="Times New Roman" w:hint="cs"/>
          <w:bCs/>
          <w:spacing w:val="40"/>
          <w:rtl/>
        </w:rPr>
        <w:t>שיקולים תקציביים בהליך קבלת ההחלטות של המוסד לביטוח לאומי</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כאמור, </w:t>
      </w:r>
      <w:r w:rsidRPr="00681586">
        <w:rPr>
          <w:rFonts w:eastAsia="Calibri"/>
          <w:rtl/>
        </w:rPr>
        <w:t xml:space="preserve">לפי חוק </w:t>
      </w:r>
      <w:r w:rsidRPr="00681586">
        <w:rPr>
          <w:rFonts w:eastAsia="Calibri" w:hint="cs"/>
          <w:rtl/>
        </w:rPr>
        <w:t>בט"ל</w:t>
      </w:r>
      <w:r>
        <w:rPr>
          <w:rFonts w:eastAsia="Calibri"/>
          <w:vertAlign w:val="superscript"/>
          <w:rtl/>
        </w:rPr>
        <w:footnoteReference w:id="86"/>
      </w:r>
      <w:r w:rsidRPr="00681586">
        <w:rPr>
          <w:rFonts w:eastAsia="Calibri"/>
          <w:rtl/>
        </w:rPr>
        <w:t xml:space="preserve">, המוסד הוא תאגיד סטטוטורי הפועל </w:t>
      </w:r>
      <w:r w:rsidRPr="00681586">
        <w:rPr>
          <w:rFonts w:eastAsia="Calibri" w:hint="cs"/>
          <w:rtl/>
        </w:rPr>
        <w:t>ב</w:t>
      </w:r>
      <w:r w:rsidRPr="00681586">
        <w:rPr>
          <w:rFonts w:eastAsia="Calibri"/>
          <w:b/>
          <w:rtl/>
        </w:rPr>
        <w:t xml:space="preserve">פיקוחו של </w:t>
      </w:r>
      <w:r w:rsidRPr="00681586">
        <w:rPr>
          <w:rFonts w:eastAsia="Calibri" w:hint="cs"/>
          <w:b/>
          <w:rtl/>
        </w:rPr>
        <w:t>שר העבודה</w:t>
      </w:r>
      <w:r w:rsidRPr="00681586">
        <w:rPr>
          <w:rFonts w:eastAsia="Calibri"/>
          <w:rtl/>
        </w:rPr>
        <w:t xml:space="preserve">. </w:t>
      </w:r>
      <w:r w:rsidRPr="00681586">
        <w:rPr>
          <w:rFonts w:eastAsia="Calibri" w:hint="cs"/>
          <w:rtl/>
        </w:rPr>
        <w:t>הראשות העליונה של</w:t>
      </w:r>
      <w:r w:rsidRPr="00681586">
        <w:rPr>
          <w:rFonts w:eastAsia="Calibri"/>
          <w:rtl/>
        </w:rPr>
        <w:t xml:space="preserve"> המוסד </w:t>
      </w:r>
      <w:r w:rsidRPr="00681586">
        <w:rPr>
          <w:rFonts w:eastAsia="Calibri" w:hint="cs"/>
          <w:rtl/>
        </w:rPr>
        <w:t>היא</w:t>
      </w:r>
      <w:r w:rsidRPr="00681586">
        <w:rPr>
          <w:rFonts w:eastAsia="Calibri"/>
          <w:rtl/>
        </w:rPr>
        <w:t xml:space="preserve"> המועצ</w:t>
      </w:r>
      <w:r w:rsidRPr="00681586">
        <w:rPr>
          <w:rFonts w:eastAsia="Calibri" w:hint="cs"/>
          <w:rtl/>
        </w:rPr>
        <w:t>ה,</w:t>
      </w:r>
      <w:r w:rsidRPr="00681586">
        <w:rPr>
          <w:rFonts w:eastAsia="Calibri"/>
        </w:rPr>
        <w:t xml:space="preserve"> </w:t>
      </w:r>
      <w:r w:rsidRPr="00681586">
        <w:rPr>
          <w:rFonts w:eastAsia="Calibri" w:hint="cs"/>
          <w:rtl/>
        </w:rPr>
        <w:t xml:space="preserve">שתפקידה, בין היתר, לפקח על פעולות המוסד והנהלתו, לייעץ לשר בענייני חקיקה, לדון בהצעות התקציב של המוסד ולהעביר את התקציב לאישור שר העבודה ושר האוצר בצירוף הערותיה והמלצותיה. על פי החוק, </w:t>
      </w:r>
      <w:r w:rsidRPr="00681586">
        <w:rPr>
          <w:rFonts w:eastAsia="Calibri"/>
          <w:rtl/>
        </w:rPr>
        <w:t>השר</w:t>
      </w:r>
      <w:r w:rsidRPr="00681586">
        <w:rPr>
          <w:rFonts w:eastAsia="Calibri" w:hint="cs"/>
          <w:rtl/>
        </w:rPr>
        <w:t xml:space="preserve"> בהתייעצות עם המועצה </w:t>
      </w:r>
      <w:r w:rsidRPr="00681586">
        <w:rPr>
          <w:rFonts w:eastAsia="Calibri"/>
          <w:rtl/>
        </w:rPr>
        <w:t xml:space="preserve">ימנה את </w:t>
      </w:r>
      <w:r w:rsidRPr="00681586">
        <w:rPr>
          <w:rFonts w:eastAsia="Calibri" w:hint="cs"/>
          <w:rtl/>
        </w:rPr>
        <w:t>ה</w:t>
      </w:r>
      <w:r w:rsidRPr="00681586">
        <w:rPr>
          <w:rFonts w:eastAsia="Calibri"/>
          <w:rtl/>
        </w:rPr>
        <w:t xml:space="preserve">מנהל </w:t>
      </w:r>
      <w:r w:rsidRPr="00681586">
        <w:rPr>
          <w:rFonts w:eastAsia="Calibri" w:hint="cs"/>
          <w:rtl/>
        </w:rPr>
        <w:t xml:space="preserve">הכללי של </w:t>
      </w:r>
      <w:r w:rsidRPr="00681586">
        <w:rPr>
          <w:rFonts w:eastAsia="Calibri"/>
          <w:rtl/>
        </w:rPr>
        <w:t>המוסד</w:t>
      </w:r>
      <w:r w:rsidRPr="00681586">
        <w:rPr>
          <w:rFonts w:eastAsia="Calibri" w:hint="cs"/>
          <w:rtl/>
        </w:rPr>
        <w:t xml:space="preserve">, והוא רשאי למנות לו משנה וסגנים. </w:t>
      </w:r>
      <w:r w:rsidRPr="00681586">
        <w:rPr>
          <w:rFonts w:eastAsia="Calibri"/>
          <w:rtl/>
        </w:rPr>
        <w:t xml:space="preserve">חשב המוסד ימונה בידי החשב </w:t>
      </w:r>
      <w:r w:rsidRPr="00681586">
        <w:rPr>
          <w:rFonts w:eastAsia="Calibri" w:hint="cs"/>
          <w:rtl/>
        </w:rPr>
        <w:t>ה</w:t>
      </w:r>
      <w:r w:rsidRPr="00681586">
        <w:rPr>
          <w:rFonts w:eastAsia="Calibri"/>
          <w:rtl/>
        </w:rPr>
        <w:t>כללי במשרד האוצר ויהיה עובד משרד האוצר</w:t>
      </w:r>
      <w:r w:rsidRPr="00681586">
        <w:rPr>
          <w:rFonts w:eastAsia="Calibri" w:hint="cs"/>
          <w:rtl/>
        </w:rPr>
        <w:t xml:space="preserve">. מינהלת המוסד הינה הרשות המנהלת והמבצעת של המוסד. </w:t>
      </w:r>
      <w:r w:rsidRPr="00681586">
        <w:rPr>
          <w:rFonts w:eastAsia="Calibri"/>
          <w:rtl/>
        </w:rPr>
        <w:t>חברי המינהל</w:t>
      </w:r>
      <w:r w:rsidRPr="00681586">
        <w:rPr>
          <w:rFonts w:eastAsia="Calibri" w:hint="cs"/>
          <w:rtl/>
        </w:rPr>
        <w:t>ה</w:t>
      </w:r>
      <w:r w:rsidRPr="00681586">
        <w:rPr>
          <w:rFonts w:eastAsia="Calibri"/>
          <w:rtl/>
        </w:rPr>
        <w:t xml:space="preserve"> יהיו </w:t>
      </w:r>
      <w:r w:rsidRPr="00681586">
        <w:rPr>
          <w:rFonts w:eastAsia="Calibri" w:hint="cs"/>
          <w:rtl/>
        </w:rPr>
        <w:t>ה</w:t>
      </w:r>
      <w:r w:rsidRPr="00681586">
        <w:rPr>
          <w:rFonts w:eastAsia="Calibri"/>
          <w:rtl/>
        </w:rPr>
        <w:t>מנהל</w:t>
      </w:r>
      <w:r w:rsidRPr="00681586">
        <w:rPr>
          <w:rFonts w:eastAsia="Calibri" w:hint="cs"/>
          <w:rtl/>
        </w:rPr>
        <w:t xml:space="preserve"> הכללי של</w:t>
      </w:r>
      <w:r w:rsidRPr="00681586">
        <w:rPr>
          <w:rFonts w:eastAsia="Calibri"/>
          <w:rtl/>
        </w:rPr>
        <w:t xml:space="preserve"> המוסד, המשנה, הסגנים והחשב</w:t>
      </w:r>
      <w:r w:rsidRPr="00681586">
        <w:rPr>
          <w:rFonts w:eastAsia="Calibri" w:hint="cs"/>
          <w:rtl/>
        </w:rPr>
        <w:t xml:space="preserve">. על פי החוק, </w:t>
      </w:r>
      <w:r w:rsidRPr="00681586">
        <w:rPr>
          <w:rFonts w:eastAsia="Calibri"/>
          <w:rtl/>
        </w:rPr>
        <w:t>המינהלה אחראית להנהלה סדירה ויעילה של חשבונות המוסד.</w:t>
      </w:r>
    </w:p>
    <w:p w:rsidR="00681586" w:rsidRPr="00681586" w:rsidP="00681586">
      <w:pPr>
        <w:spacing w:line="269" w:lineRule="auto"/>
        <w:rPr>
          <w:rFonts w:eastAsia="Calibri"/>
          <w:rtl/>
        </w:rPr>
      </w:pPr>
    </w:p>
    <w:p w:rsidR="00D96040" w:rsidP="00681586">
      <w:pPr>
        <w:keepNext/>
        <w:keepLines/>
        <w:spacing w:line="269" w:lineRule="auto"/>
        <w:outlineLvl w:val="5"/>
        <w:rPr>
          <w:rFonts w:eastAsia="Times New Roman"/>
          <w:spacing w:val="40"/>
          <w:rtl/>
        </w:rPr>
      </w:pPr>
      <w:r>
        <w:rPr>
          <w:rFonts w:eastAsia="Times New Roman"/>
          <w:spacing w:val="40"/>
          <w:rtl/>
        </w:rPr>
        <w:br/>
      </w:r>
    </w:p>
    <w:p w:rsidR="00D96040">
      <w:pPr>
        <w:bidi w:val="0"/>
        <w:spacing w:after="200" w:line="276" w:lineRule="auto"/>
        <w:rPr>
          <w:rFonts w:eastAsia="Times New Roman"/>
          <w:spacing w:val="40"/>
          <w:rtl/>
        </w:rPr>
      </w:pPr>
      <w:r>
        <w:rPr>
          <w:rFonts w:eastAsia="Times New Roman"/>
          <w:spacing w:val="40"/>
          <w:rtl/>
        </w:rPr>
        <w:br w:type="page"/>
      </w:r>
    </w:p>
    <w:p w:rsidR="00681586" w:rsidRPr="00681586" w:rsidP="00681586">
      <w:pPr>
        <w:keepNext/>
        <w:keepLines/>
        <w:spacing w:line="269" w:lineRule="auto"/>
        <w:outlineLvl w:val="5"/>
        <w:rPr>
          <w:rFonts w:eastAsia="Times New Roman"/>
          <w:spacing w:val="40"/>
          <w:rtl/>
        </w:rPr>
      </w:pPr>
      <w:r w:rsidRPr="00681586">
        <w:rPr>
          <w:rFonts w:eastAsia="Times New Roman" w:hint="cs"/>
          <w:spacing w:val="40"/>
          <w:rtl/>
        </w:rPr>
        <w:t xml:space="preserve">התייחסות למגבלת תקציב ארוכת טווח ולאיזון האקטוארי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כאמור, בט"ל</w:t>
      </w:r>
      <w:r w:rsidRPr="00681586">
        <w:rPr>
          <w:rFonts w:eastAsia="Calibri"/>
          <w:rtl/>
        </w:rPr>
        <w:t xml:space="preserve"> הוא הגוף האחראי במדינת ישראל לתשלומי גמלאות סוציאליות ולתשלומים נוספים, ובכל שנה מיליוני זכאים מקבלים ממנו מגוון גמלאות</w:t>
      </w:r>
      <w:r w:rsidRPr="00681586">
        <w:rPr>
          <w:rFonts w:eastAsia="Calibri" w:hint="cs"/>
          <w:rtl/>
        </w:rPr>
        <w:t xml:space="preserve">. לפיכך, </w:t>
      </w:r>
      <w:r w:rsidRPr="00681586">
        <w:rPr>
          <w:rFonts w:eastAsia="Calibri"/>
          <w:rtl/>
        </w:rPr>
        <w:t xml:space="preserve">השמירה על איתנותו הפיננסית בטווח הארוך חשובה ביותר להבטחת רשת ביטחון סוציאלי לתושבי ישראל. </w:t>
      </w:r>
      <w:r w:rsidRPr="00681586">
        <w:rPr>
          <w:rFonts w:eastAsia="Calibri" w:hint="cs"/>
          <w:rtl/>
        </w:rPr>
        <w:t xml:space="preserve">בנוסף, כיוון </w:t>
      </w:r>
      <w:r w:rsidRPr="00681586">
        <w:rPr>
          <w:rFonts w:eastAsia="Calibri"/>
          <w:rtl/>
        </w:rPr>
        <w:t>ש</w:t>
      </w:r>
      <w:r w:rsidRPr="00681586">
        <w:rPr>
          <w:rFonts w:eastAsia="Calibri" w:hint="cs"/>
          <w:rtl/>
        </w:rPr>
        <w:t>לגישתו של בט"ל, המוסד הוא מעין</w:t>
      </w:r>
      <w:r w:rsidRPr="00681586">
        <w:rPr>
          <w:rFonts w:eastAsia="Calibri"/>
          <w:rtl/>
        </w:rPr>
        <w:t xml:space="preserve"> חברת ביטוח לאומית הנדרשת לאזן את תקציבה באופן שוטף ולטווח הארוך, </w:t>
      </w:r>
      <w:r w:rsidRPr="00681586">
        <w:rPr>
          <w:rFonts w:eastAsia="Calibri" w:hint="cs"/>
          <w:rtl/>
        </w:rPr>
        <w:t xml:space="preserve">הרי שנושא </w:t>
      </w:r>
      <w:r w:rsidRPr="00681586">
        <w:rPr>
          <w:rFonts w:eastAsia="Calibri"/>
          <w:rtl/>
        </w:rPr>
        <w:t>סוגיית האיתנות הפיננסית של המוסד</w:t>
      </w:r>
      <w:r w:rsidRPr="00681586">
        <w:rPr>
          <w:rFonts w:eastAsia="Calibri" w:hint="cs"/>
          <w:rtl/>
        </w:rPr>
        <w:t xml:space="preserve"> דורש התייחסות מיוחדת</w:t>
      </w:r>
      <w:r>
        <w:rPr>
          <w:rFonts w:eastAsia="Calibri"/>
          <w:vertAlign w:val="superscript"/>
          <w:rtl/>
        </w:rPr>
        <w:footnoteReference w:id="87"/>
      </w:r>
      <w:r w:rsidRPr="00681586">
        <w:rPr>
          <w:rFonts w:eastAsia="Calibri"/>
        </w:rPr>
        <w:t>.</w:t>
      </w:r>
      <w:r w:rsidRPr="00681586">
        <w:rPr>
          <w:rFonts w:eastAsia="Calibri" w:hint="cs"/>
          <w:rtl/>
        </w:rPr>
        <w:t xml:space="preserve"> יצוין כי לפגיעה באיתנות הפיננסית של בט"ל עלולות להיות השלכות קשות לא רק על זכאי הגמלאות אלא על כלל הציבור. לצורך התמודדות עם אי-איזון אקטוארי של המוסד, המדינה עלולה להעלות את דמי הביטוח הלאומי, צעד שיביא להכבדת נטל המיסוי על כלל תושבי ישראל. כמו כן, פגיעה באיתנות הפיננסית עלולה להוביל לצמצום תשלומי הקצבאות והגמלאות לזכאים ולחיוב המדינה לכסות על הגירעונו</w:t>
      </w:r>
      <w:r w:rsidRPr="00681586">
        <w:rPr>
          <w:rFonts w:eastAsia="Calibri" w:hint="eastAsia"/>
          <w:rtl/>
        </w:rPr>
        <w:t>ת</w:t>
      </w:r>
      <w:r w:rsidRPr="00681586">
        <w:rPr>
          <w:rFonts w:eastAsia="Calibri" w:hint="cs"/>
          <w:rtl/>
        </w:rPr>
        <w:t xml:space="preserve"> מתקציב המדינה.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לפיכך, בהחלטת הממשלה מיום 28.6.15 בנושא אימוץ הערכת המצב האסטרטגית כלכלית-חברתית החליטה הממשלה להיערך להזדקנות האוכלוסייה, ואחד מהנושאים שבהם נדרשה לטפל היה הגירעון האקטוארי של בט"ל</w:t>
      </w:r>
      <w:r>
        <w:rPr>
          <w:rFonts w:eastAsia="Calibri"/>
          <w:vertAlign w:val="superscript"/>
          <w:rtl/>
        </w:rPr>
        <w:footnoteReference w:id="88"/>
      </w:r>
      <w:r w:rsidRPr="00681586">
        <w:rPr>
          <w:rFonts w:eastAsia="Calibri" w:hint="cs"/>
          <w:rtl/>
        </w:rPr>
        <w:t xml:space="preserve">. </w:t>
      </w:r>
    </w:p>
    <w:p w:rsidR="00681586" w:rsidRPr="00681586" w:rsidP="00681586">
      <w:pPr>
        <w:spacing w:line="269" w:lineRule="auto"/>
        <w:rPr>
          <w:rFonts w:eastAsia="Calibri"/>
          <w:sz w:val="16"/>
          <w:szCs w:val="20"/>
          <w:rtl/>
        </w:rPr>
      </w:pPr>
    </w:p>
    <w:p w:rsidR="00681586" w:rsidRPr="00681586" w:rsidP="00681586">
      <w:pPr>
        <w:keepNext/>
        <w:keepLines/>
        <w:spacing w:line="269" w:lineRule="auto"/>
        <w:outlineLvl w:val="5"/>
        <w:rPr>
          <w:rFonts w:eastAsia="Times New Roman"/>
          <w:spacing w:val="40"/>
          <w:rtl/>
        </w:rPr>
      </w:pPr>
      <w:r w:rsidRPr="00681586">
        <w:rPr>
          <w:rFonts w:eastAsia="Times New Roman" w:hint="cs"/>
          <w:spacing w:val="40"/>
          <w:rtl/>
        </w:rPr>
        <w:t xml:space="preserve">שקילת שיקולים אקטואריים בקבלת החלטות בעניין גמלת הסיעוד של ביטוח לאומי </w:t>
      </w:r>
    </w:p>
    <w:p w:rsidR="00681586" w:rsidRPr="00681586" w:rsidP="00681586">
      <w:pPr>
        <w:spacing w:line="269" w:lineRule="auto"/>
        <w:ind w:left="-567"/>
        <w:rPr>
          <w:rFonts w:eastAsia="Calibri"/>
          <w:szCs w:val="20"/>
        </w:rPr>
      </w:pPr>
    </w:p>
    <w:p w:rsidR="00681586" w:rsidRPr="00681586" w:rsidP="00681586">
      <w:pPr>
        <w:spacing w:line="269" w:lineRule="auto"/>
        <w:rPr>
          <w:rFonts w:eastAsia="Calibri"/>
          <w:rtl/>
        </w:rPr>
      </w:pPr>
      <w:r w:rsidRPr="00681586">
        <w:rPr>
          <w:rFonts w:eastAsia="Calibri" w:hint="cs"/>
          <w:rtl/>
        </w:rPr>
        <w:t>עוד קודם לכן, בהמשך</w:t>
      </w:r>
      <w:r w:rsidRPr="00681586">
        <w:rPr>
          <w:rFonts w:eastAsia="Calibri"/>
          <w:rtl/>
        </w:rPr>
        <w:t xml:space="preserve"> להחלטת </w:t>
      </w:r>
      <w:r w:rsidRPr="00681586">
        <w:rPr>
          <w:rFonts w:eastAsia="Calibri" w:hint="cs"/>
          <w:rtl/>
        </w:rPr>
        <w:t>ה</w:t>
      </w:r>
      <w:r w:rsidRPr="00681586">
        <w:rPr>
          <w:rFonts w:eastAsia="Calibri"/>
          <w:rtl/>
        </w:rPr>
        <w:t>ממשלה 186 בשנת 2009</w:t>
      </w:r>
      <w:r>
        <w:rPr>
          <w:rFonts w:eastAsia="Calibri"/>
          <w:vertAlign w:val="superscript"/>
          <w:rtl/>
        </w:rPr>
        <w:footnoteReference w:id="89"/>
      </w:r>
      <w:r w:rsidRPr="00681586">
        <w:rPr>
          <w:rFonts w:eastAsia="Calibri" w:hint="cs"/>
          <w:rtl/>
        </w:rPr>
        <w:t>,</w:t>
      </w:r>
      <w:r w:rsidRPr="00681586">
        <w:rPr>
          <w:rFonts w:eastAsia="Calibri"/>
          <w:rtl/>
        </w:rPr>
        <w:t xml:space="preserve"> ה</w:t>
      </w:r>
      <w:r w:rsidRPr="00681586">
        <w:rPr>
          <w:rFonts w:eastAsia="Calibri" w:hint="cs"/>
          <w:rtl/>
        </w:rPr>
        <w:t>קימה הממשלה</w:t>
      </w:r>
      <w:r w:rsidRPr="00681586">
        <w:rPr>
          <w:rFonts w:eastAsia="Calibri"/>
          <w:rtl/>
        </w:rPr>
        <w:t xml:space="preserve"> ועדה לבחינת דרכים לשמירה על האיתנות הפיננסית של בט"ל בטווח הארוך </w:t>
      </w:r>
      <w:r w:rsidRPr="00681586">
        <w:rPr>
          <w:rFonts w:eastAsia="Calibri" w:hint="cs"/>
          <w:rtl/>
        </w:rPr>
        <w:t>(</w:t>
      </w:r>
      <w:r w:rsidRPr="00681586">
        <w:rPr>
          <w:rFonts w:eastAsia="Calibri"/>
          <w:rtl/>
        </w:rPr>
        <w:t xml:space="preserve">להלן - </w:t>
      </w:r>
      <w:r w:rsidRPr="00681586">
        <w:rPr>
          <w:rFonts w:eastAsia="Calibri" w:hint="cs"/>
          <w:rtl/>
        </w:rPr>
        <w:t>ועדת דומיניסיני), שהובילו בט"ל ואגף התקציבים במשרד האוצר</w:t>
      </w:r>
      <w:r>
        <w:rPr>
          <w:rFonts w:eastAsia="Calibri"/>
          <w:vertAlign w:val="superscript"/>
          <w:rtl/>
        </w:rPr>
        <w:footnoteReference w:id="90"/>
      </w:r>
      <w:r w:rsidRPr="00681586">
        <w:rPr>
          <w:rFonts w:eastAsia="Calibri"/>
          <w:rtl/>
        </w:rPr>
        <w:t xml:space="preserve">. הוועדה הוקמה על רקע ההכרה בחשיבותה החברתית והכלכלית של מערכת הביטוח הלאומי וההכרה בתפקידה החיוני בהגנה על רווחת הפרט, ומתוך הבנת הצורך להבטיח את יכולתה לממן ולשלם קצבאות בצורה יציבה ועקבית לאורך זמן. </w:t>
      </w:r>
      <w:r w:rsidRPr="00681586">
        <w:rPr>
          <w:rFonts w:eastAsia="Calibri" w:hint="cs"/>
          <w:rtl/>
        </w:rPr>
        <w:t xml:space="preserve">הוועדה קבעה במסקנותיה מאפריל 2012 כי </w:t>
      </w:r>
      <w:r w:rsidRPr="00681586">
        <w:rPr>
          <w:rFonts w:eastAsia="Calibri"/>
          <w:rtl/>
        </w:rPr>
        <w:t>הסיכון העיקרי ליכולת לשמור על יציבות המערכת לאורך זמן אינו נובע ממצבו האקטוארי הנוכחי של המוסד, אלא מן העובדה שתהליכי קבלת ההחלטות לגבי תשלומי הקצבאות ואופן מימונן, הנהוגים בישראל זה שנים רבות, אינם נעשים על בסיס הסתכלות ארוכת טווח ומתוך מחויבות לכך שתנאי הביטוח יהיו ב</w:t>
      </w:r>
      <w:r w:rsidRPr="00681586">
        <w:rPr>
          <w:rFonts w:eastAsia="Calibri" w:hint="cs"/>
          <w:rtl/>
        </w:rPr>
        <w:t>נ</w:t>
      </w:r>
      <w:r w:rsidRPr="00681586">
        <w:rPr>
          <w:rFonts w:eastAsia="Calibri"/>
          <w:rtl/>
        </w:rPr>
        <w:t>י</w:t>
      </w:r>
      <w:r w:rsidRPr="00681586">
        <w:rPr>
          <w:rFonts w:eastAsia="Calibri" w:hint="cs"/>
          <w:rtl/>
        </w:rPr>
        <w:t xml:space="preserve"> </w:t>
      </w:r>
      <w:r w:rsidRPr="00681586">
        <w:rPr>
          <w:rFonts w:eastAsia="Calibri"/>
          <w:rtl/>
        </w:rPr>
        <w:t>קיימ</w:t>
      </w:r>
      <w:r w:rsidRPr="00681586">
        <w:rPr>
          <w:rFonts w:eastAsia="Calibri" w:hint="cs"/>
          <w:rtl/>
        </w:rPr>
        <w:t>ה</w:t>
      </w:r>
      <w:r>
        <w:rPr>
          <w:rFonts w:eastAsia="Calibri"/>
          <w:vertAlign w:val="superscript"/>
          <w:rtl/>
        </w:rPr>
        <w:footnoteReference w:id="91"/>
      </w:r>
      <w:r w:rsidRPr="00681586">
        <w:rPr>
          <w:rFonts w:eastAsia="Calibri" w:hint="cs"/>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rtl/>
        </w:rPr>
      </w:pPr>
      <w:r w:rsidRPr="00681586">
        <w:rPr>
          <w:rFonts w:eastAsia="Calibri" w:hint="cs"/>
          <w:b/>
          <w:rtl/>
        </w:rPr>
        <w:t xml:space="preserve">הוועדה המליצה </w:t>
      </w:r>
      <w:r w:rsidRPr="00681586">
        <w:rPr>
          <w:rFonts w:eastAsia="Calibri"/>
          <w:b/>
          <w:rtl/>
        </w:rPr>
        <w:t>לבנות מנגנון איזון אקטוארי קבוע ל</w:t>
      </w:r>
      <w:r w:rsidRPr="00681586">
        <w:rPr>
          <w:rFonts w:eastAsia="Calibri" w:hint="cs"/>
          <w:b/>
          <w:rtl/>
        </w:rPr>
        <w:t>בט"ל,</w:t>
      </w:r>
      <w:r w:rsidRPr="00681586">
        <w:rPr>
          <w:rFonts w:eastAsia="Calibri"/>
          <w:b/>
          <w:rtl/>
        </w:rPr>
        <w:t xml:space="preserve"> </w:t>
      </w:r>
      <w:r w:rsidRPr="00681586">
        <w:rPr>
          <w:rFonts w:eastAsia="Calibri" w:hint="cs"/>
          <w:b/>
          <w:rtl/>
        </w:rPr>
        <w:t>כך ש</w:t>
      </w:r>
      <w:r w:rsidRPr="00681586">
        <w:rPr>
          <w:rFonts w:eastAsia="Calibri"/>
          <w:b/>
          <w:rtl/>
        </w:rPr>
        <w:t xml:space="preserve">כאשר אחד המדדים </w:t>
      </w:r>
      <w:r w:rsidRPr="00681586">
        <w:rPr>
          <w:rFonts w:eastAsia="Calibri" w:hint="cs"/>
          <w:b/>
          <w:rtl/>
        </w:rPr>
        <w:t>י</w:t>
      </w:r>
      <w:r w:rsidRPr="00681586">
        <w:rPr>
          <w:rFonts w:eastAsia="Calibri"/>
          <w:b/>
          <w:rtl/>
        </w:rPr>
        <w:t xml:space="preserve">אותת על חוסר יציבות, הממשלה והכנסת </w:t>
      </w:r>
      <w:r w:rsidRPr="00681586">
        <w:rPr>
          <w:rFonts w:eastAsia="Calibri" w:hint="cs"/>
          <w:b/>
          <w:rtl/>
        </w:rPr>
        <w:t xml:space="preserve">יחויבו </w:t>
      </w:r>
      <w:r w:rsidRPr="00681586">
        <w:rPr>
          <w:rFonts w:eastAsia="Calibri"/>
          <w:b/>
          <w:rtl/>
        </w:rPr>
        <w:t>לבצע בתוך פרק זמן מוגדר התאמות בהכנסות (למשל</w:t>
      </w:r>
      <w:r w:rsidRPr="00681586">
        <w:rPr>
          <w:rFonts w:eastAsia="Calibri" w:hint="cs"/>
          <w:b/>
          <w:rtl/>
        </w:rPr>
        <w:t>,</w:t>
      </w:r>
      <w:r w:rsidRPr="00681586">
        <w:rPr>
          <w:rFonts w:eastAsia="Calibri"/>
          <w:b/>
          <w:rtl/>
        </w:rPr>
        <w:t xml:space="preserve"> העלאת דמי </w:t>
      </w:r>
      <w:r w:rsidRPr="00681586">
        <w:rPr>
          <w:rFonts w:eastAsia="Calibri" w:hint="cs"/>
          <w:b/>
          <w:rtl/>
        </w:rPr>
        <w:t>ב</w:t>
      </w:r>
      <w:r w:rsidRPr="00681586">
        <w:rPr>
          <w:rFonts w:eastAsia="Calibri"/>
          <w:b/>
          <w:rtl/>
        </w:rPr>
        <w:t xml:space="preserve">ביטוח או השתתפות </w:t>
      </w:r>
      <w:r w:rsidRPr="00681586">
        <w:rPr>
          <w:rFonts w:eastAsia="Calibri" w:hint="cs"/>
          <w:b/>
          <w:rtl/>
        </w:rPr>
        <w:t xml:space="preserve">של </w:t>
      </w:r>
      <w:r w:rsidRPr="00681586">
        <w:rPr>
          <w:rFonts w:eastAsia="Calibri"/>
          <w:b/>
          <w:rtl/>
        </w:rPr>
        <w:t>תקציב המדינה) ובהוצאות (למשל</w:t>
      </w:r>
      <w:r w:rsidRPr="00681586">
        <w:rPr>
          <w:rFonts w:eastAsia="Calibri" w:hint="cs"/>
          <w:b/>
          <w:rtl/>
        </w:rPr>
        <w:t>,</w:t>
      </w:r>
      <w:r w:rsidRPr="00681586">
        <w:rPr>
          <w:rFonts w:eastAsia="Calibri"/>
          <w:b/>
          <w:rtl/>
        </w:rPr>
        <w:t xml:space="preserve"> שינוי תנאי הזכאות או שיעורי הקצבאות), כך שיוחזר האיזון בין תקבולים לתשלומים</w:t>
      </w:r>
      <w:r w:rsidRPr="00681586">
        <w:rPr>
          <w:rFonts w:eastAsia="Calibri" w:hint="cs"/>
          <w:b/>
          <w:rtl/>
        </w:rPr>
        <w:t xml:space="preserve"> (להלן - מאזנים אוטומטיים)</w:t>
      </w:r>
      <w:r w:rsidRPr="00681586">
        <w:rPr>
          <w:rFonts w:eastAsia="Calibri"/>
          <w:b/>
          <w:rtl/>
        </w:rPr>
        <w:t xml:space="preserve">. עוד המליצה הוועדה להגדיר </w:t>
      </w:r>
      <w:r w:rsidRPr="00681586">
        <w:rPr>
          <w:rFonts w:eastAsia="Calibri" w:hint="cs"/>
          <w:b/>
          <w:rtl/>
        </w:rPr>
        <w:t>כ</w:t>
      </w:r>
      <w:r w:rsidRPr="00681586">
        <w:rPr>
          <w:rFonts w:eastAsia="Calibri"/>
          <w:b/>
          <w:rtl/>
        </w:rPr>
        <w:t xml:space="preserve">חובה שכל הצעת </w:t>
      </w:r>
      <w:r w:rsidRPr="00681586">
        <w:rPr>
          <w:rFonts w:eastAsia="Calibri" w:hint="cs"/>
          <w:b/>
          <w:rtl/>
        </w:rPr>
        <w:t>חקיקה</w:t>
      </w:r>
      <w:r w:rsidRPr="00681586">
        <w:rPr>
          <w:rFonts w:eastAsia="Calibri"/>
          <w:b/>
          <w:rtl/>
        </w:rPr>
        <w:t xml:space="preserve"> ש</w:t>
      </w:r>
      <w:r w:rsidRPr="00681586">
        <w:rPr>
          <w:rFonts w:eastAsia="Calibri" w:hint="cs"/>
          <w:b/>
          <w:rtl/>
        </w:rPr>
        <w:t>ת</w:t>
      </w:r>
      <w:r w:rsidRPr="00681586">
        <w:rPr>
          <w:rFonts w:eastAsia="Calibri"/>
          <w:b/>
          <w:rtl/>
        </w:rPr>
        <w:t xml:space="preserve">גדיל </w:t>
      </w:r>
      <w:r w:rsidRPr="00681586">
        <w:rPr>
          <w:rFonts w:eastAsia="Calibri" w:hint="cs"/>
          <w:b/>
          <w:rtl/>
        </w:rPr>
        <w:t xml:space="preserve">את </w:t>
      </w:r>
      <w:r w:rsidRPr="00681586">
        <w:rPr>
          <w:rFonts w:eastAsia="Calibri"/>
          <w:b/>
          <w:rtl/>
        </w:rPr>
        <w:t>הוצאות</w:t>
      </w:r>
      <w:r w:rsidRPr="00681586">
        <w:rPr>
          <w:rFonts w:eastAsia="Calibri" w:hint="cs"/>
          <w:b/>
          <w:rtl/>
        </w:rPr>
        <w:t xml:space="preserve"> בט"ל</w:t>
      </w:r>
      <w:r w:rsidRPr="00681586">
        <w:rPr>
          <w:rFonts w:eastAsia="Calibri"/>
          <w:b/>
          <w:rtl/>
        </w:rPr>
        <w:t xml:space="preserve"> או </w:t>
      </w:r>
      <w:r w:rsidRPr="00681586">
        <w:rPr>
          <w:rFonts w:eastAsia="Calibri" w:hint="cs"/>
          <w:b/>
          <w:rtl/>
        </w:rPr>
        <w:t>ת</w:t>
      </w:r>
      <w:r w:rsidRPr="00681586">
        <w:rPr>
          <w:rFonts w:eastAsia="Calibri"/>
          <w:b/>
          <w:rtl/>
        </w:rPr>
        <w:t>פחית הכנסות</w:t>
      </w:r>
      <w:r w:rsidRPr="00681586">
        <w:rPr>
          <w:rFonts w:eastAsia="Calibri" w:hint="cs"/>
          <w:b/>
          <w:rtl/>
        </w:rPr>
        <w:t xml:space="preserve">יו </w:t>
      </w:r>
      <w:r w:rsidRPr="00681586">
        <w:rPr>
          <w:rFonts w:eastAsia="Calibri"/>
          <w:b/>
          <w:rtl/>
        </w:rPr>
        <w:t xml:space="preserve">תלווה במקור מימון מאזן, וכן </w:t>
      </w:r>
      <w:r w:rsidRPr="00681586">
        <w:rPr>
          <w:rFonts w:eastAsia="Calibri" w:hint="cs"/>
          <w:b/>
          <w:rtl/>
        </w:rPr>
        <w:t xml:space="preserve">עמדה על הצורך בחיזוק </w:t>
      </w:r>
      <w:r w:rsidRPr="00681586">
        <w:rPr>
          <w:rFonts w:eastAsia="Calibri"/>
          <w:b/>
          <w:rtl/>
        </w:rPr>
        <w:t xml:space="preserve">הקישור בין הדוחות האקטואריים התקופתיים לבין </w:t>
      </w:r>
      <w:r w:rsidRPr="00681586">
        <w:rPr>
          <w:rFonts w:eastAsia="Calibri" w:hint="cs"/>
          <w:b/>
          <w:rtl/>
        </w:rPr>
        <w:t>ה</w:t>
      </w:r>
      <w:r w:rsidRPr="00681586">
        <w:rPr>
          <w:rFonts w:eastAsia="Calibri"/>
          <w:b/>
          <w:rtl/>
        </w:rPr>
        <w:t>החלטות המדיניות כדי להבטיח יציבות פיננסית ארוכת טווח למוסד</w:t>
      </w:r>
      <w:r>
        <w:rPr>
          <w:rFonts w:eastAsia="Calibri"/>
          <w:b/>
          <w:vertAlign w:val="superscript"/>
          <w:rtl/>
        </w:rPr>
        <w:footnoteReference w:id="92"/>
      </w:r>
      <w:r w:rsidRPr="00681586">
        <w:rPr>
          <w:rFonts w:eastAsia="Calibri"/>
          <w:b/>
          <w:rtl/>
        </w:rPr>
        <w:t>.</w:t>
      </w:r>
      <w:r w:rsidRPr="00681586">
        <w:rPr>
          <w:rFonts w:eastAsia="Calibri" w:hint="cs"/>
          <w:b/>
          <w:rtl/>
        </w:rPr>
        <w:t xml:space="preserve"> נכון למועד סיום הביקורת, הממשלה לא אימצה את המלצות הוועדה בנוגע לאיזון אקטוארי של בט"ל</w:t>
      </w:r>
      <w:r>
        <w:rPr>
          <w:rFonts w:eastAsia="Calibri"/>
          <w:b/>
          <w:vertAlign w:val="superscript"/>
          <w:rtl/>
        </w:rPr>
        <w:footnoteReference w:id="93"/>
      </w:r>
      <w:r w:rsidRPr="00681586">
        <w:rPr>
          <w:rFonts w:eastAsia="Calibri" w:hint="cs"/>
          <w:b/>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rtl/>
        </w:rPr>
      </w:pPr>
      <w:r w:rsidRPr="00681586">
        <w:rPr>
          <w:rFonts w:eastAsia="Calibri" w:hint="cs"/>
          <w:b/>
          <w:rtl/>
        </w:rPr>
        <w:t xml:space="preserve">דוח מבקר המדינה משנת 2021, שעסק בנושא </w:t>
      </w:r>
      <w:r w:rsidRPr="00681586">
        <w:rPr>
          <w:rFonts w:eastAsia="Calibri" w:hint="cs"/>
          <w:rtl/>
        </w:rPr>
        <w:t>הדוחות הכספיים של מדינת ישראל ליום 31.12.19 - התחייבויות ארוכות טווח של המדינה (להלן - הדוח בנושא התחייבויות ארוכות טווח)</w:t>
      </w:r>
      <w:r w:rsidRPr="00681586">
        <w:rPr>
          <w:rFonts w:eastAsia="Calibri" w:hint="cs"/>
          <w:b/>
          <w:rtl/>
        </w:rPr>
        <w:t xml:space="preserve">, העלה כי </w:t>
      </w:r>
      <w:r w:rsidRPr="00681586">
        <w:rPr>
          <w:rFonts w:eastAsia="Calibri"/>
          <w:b/>
          <w:rtl/>
        </w:rPr>
        <w:t>הצעת החקיקה ה</w:t>
      </w:r>
      <w:r w:rsidRPr="00681586">
        <w:rPr>
          <w:rFonts w:eastAsia="Calibri" w:hint="cs"/>
          <w:b/>
          <w:rtl/>
        </w:rPr>
        <w:t>נוגעת להגדלת תשלום קצבאות הנכות</w:t>
      </w:r>
      <w:r w:rsidRPr="00681586">
        <w:rPr>
          <w:rFonts w:eastAsia="Calibri"/>
          <w:b/>
          <w:rtl/>
        </w:rPr>
        <w:t xml:space="preserve"> לא לוותה בהערכה אקטוארית טרם</w:t>
      </w:r>
      <w:r w:rsidRPr="00681586">
        <w:rPr>
          <w:rFonts w:eastAsia="Calibri" w:hint="cs"/>
          <w:b/>
          <w:rtl/>
        </w:rPr>
        <w:t xml:space="preserve"> </w:t>
      </w:r>
      <w:r w:rsidRPr="00681586">
        <w:rPr>
          <w:rFonts w:eastAsia="Calibri"/>
          <w:b/>
          <w:rtl/>
        </w:rPr>
        <w:t>קבלתה, למרות השלכותיה המהותיות לטווח ארוך.</w:t>
      </w:r>
      <w:r w:rsidRPr="00681586">
        <w:rPr>
          <w:rFonts w:eastAsia="Calibri" w:hint="cs"/>
          <w:b/>
          <w:rtl/>
        </w:rPr>
        <w:t xml:space="preserve"> בדוח הומלץ כי קבלת החלטה בנוגע לשינוי </w:t>
      </w:r>
      <w:r w:rsidRPr="00681586">
        <w:rPr>
          <w:rFonts w:eastAsia="Calibri" w:hint="cs"/>
          <w:b/>
          <w:rtl/>
        </w:rPr>
        <w:t xml:space="preserve">הזכאות לקצבאות אלו תיעשה רק לאחר </w:t>
      </w:r>
      <w:r w:rsidRPr="00681586">
        <w:rPr>
          <w:rFonts w:eastAsia="Calibri"/>
          <w:b/>
          <w:rtl/>
        </w:rPr>
        <w:t>שבפני מקבלי ההחלטות יוצג</w:t>
      </w:r>
      <w:r w:rsidRPr="00681586">
        <w:rPr>
          <w:rFonts w:eastAsia="Calibri" w:hint="cs"/>
          <w:b/>
          <w:rtl/>
        </w:rPr>
        <w:t xml:space="preserve"> </w:t>
      </w:r>
      <w:r w:rsidRPr="00681586">
        <w:rPr>
          <w:rFonts w:eastAsia="Calibri"/>
          <w:b/>
          <w:rtl/>
        </w:rPr>
        <w:t>מלוא המידע בדבר ההתחייבות האקטוארית הכוללת לאורך שנים</w:t>
      </w:r>
      <w:r>
        <w:rPr>
          <w:rFonts w:eastAsia="Calibri"/>
          <w:b/>
          <w:vertAlign w:val="superscript"/>
          <w:rtl/>
        </w:rPr>
        <w:footnoteReference w:id="94"/>
      </w:r>
      <w:r w:rsidRPr="00681586">
        <w:rPr>
          <w:rFonts w:eastAsia="Calibri"/>
          <w:b/>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יצוין כי על פי תקנון עבודת הממשלה, בהצעות להחלטות הממשלה יש לכלול את היקף ההוצאה התקציבית ואת המקור התקציבי ליישום ההצעה. בנוסף, בטיוטת הצעת חוק ממשלתית יש לכלול את השפעת החוק על תקציב המדינה וכן לכלול את הערות הממונה על התקציבים במשרד האוצר לטיוטת החוק</w:t>
      </w:r>
      <w:r>
        <w:rPr>
          <w:rFonts w:eastAsia="Calibri"/>
          <w:vertAlign w:val="superscript"/>
          <w:rtl/>
        </w:rPr>
        <w:footnoteReference w:id="95"/>
      </w:r>
      <w:r w:rsidRPr="00681586">
        <w:rPr>
          <w:rFonts w:eastAsia="Calibri" w:hint="cs"/>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בהקשר להחלטות בט"ל יצוין כי העלות התקציבית של ההחלטות באה לידי ביטוי בהשפעותיהן על האיזון האקטוארי של המוסד.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לוח 2 </w:t>
      </w:r>
      <w:r w:rsidR="00D96040">
        <w:rPr>
          <w:rFonts w:eastAsia="Calibri" w:hint="cs"/>
          <w:rtl/>
        </w:rPr>
        <w:t>ש</w:t>
      </w:r>
      <w:r w:rsidRPr="00681586">
        <w:rPr>
          <w:rFonts w:eastAsia="Calibri" w:hint="cs"/>
          <w:rtl/>
        </w:rPr>
        <w:t>להלן מפרט את ההחלטות המרכזיות שהתקבלו בהקשר לגמלאות הסיעוד של בט"ל:</w:t>
      </w:r>
    </w:p>
    <w:p w:rsidR="00681586" w:rsidRPr="00681586" w:rsidP="00681586">
      <w:pPr>
        <w:spacing w:line="269" w:lineRule="auto"/>
        <w:ind w:left="-567"/>
        <w:rPr>
          <w:rFonts w:eastAsia="Calibri"/>
          <w:szCs w:val="20"/>
          <w:rtl/>
        </w:rPr>
      </w:pPr>
    </w:p>
    <w:p w:rsidR="00681586" w:rsidRPr="00681586" w:rsidP="00681586">
      <w:pPr>
        <w:spacing w:line="269" w:lineRule="auto"/>
        <w:jc w:val="center"/>
        <w:rPr>
          <w:rFonts w:eastAsia="Calibri"/>
          <w:b/>
          <w:bCs/>
          <w:rtl/>
        </w:rPr>
      </w:pPr>
      <w:r w:rsidRPr="00681586">
        <w:rPr>
          <w:rFonts w:eastAsia="Calibri" w:hint="cs"/>
          <w:rtl/>
        </w:rPr>
        <w:t xml:space="preserve">לוח 2: </w:t>
      </w:r>
      <w:r w:rsidRPr="00681586">
        <w:rPr>
          <w:rFonts w:eastAsia="Calibri" w:hint="cs"/>
          <w:b/>
          <w:bCs/>
          <w:rtl/>
        </w:rPr>
        <w:t>ההחלטות המרכזיות בתחום גמלאות סיעוד, 2018 - 2023</w:t>
      </w:r>
    </w:p>
    <w:tbl>
      <w:tblPr>
        <w:tblStyle w:val="GridTable4Accent1"/>
        <w:bidiVisual/>
        <w:tblW w:w="0" w:type="auto"/>
        <w:jc w:val="center"/>
        <w:tblLook w:val="04A0"/>
      </w:tblPr>
      <w:tblGrid>
        <w:gridCol w:w="2052"/>
        <w:gridCol w:w="2053"/>
        <w:gridCol w:w="2053"/>
      </w:tblGrid>
      <w:tr w:rsidTr="00681586">
        <w:tblPrEx>
          <w:tblW w:w="0" w:type="auto"/>
          <w:tblLook w:val="04A0"/>
        </w:tblPrEx>
        <w:tc>
          <w:tcPr>
            <w:tcW w:w="2052" w:type="dxa"/>
          </w:tcPr>
          <w:p w:rsidR="00681586" w:rsidRPr="00681586" w:rsidP="00681586">
            <w:pPr>
              <w:spacing w:line="269" w:lineRule="auto"/>
              <w:jc w:val="center"/>
              <w:rPr>
                <w:rFonts w:eastAsia="Calibri"/>
                <w:color w:val="FFFFFF"/>
                <w:szCs w:val="20"/>
                <w:rtl/>
              </w:rPr>
            </w:pPr>
            <w:r w:rsidRPr="00681586">
              <w:rPr>
                <w:rFonts w:eastAsia="Calibri" w:hint="cs"/>
                <w:color w:val="FFFFFF"/>
                <w:szCs w:val="20"/>
                <w:rtl/>
              </w:rPr>
              <w:t>ההחלטה</w:t>
            </w:r>
          </w:p>
        </w:tc>
        <w:tc>
          <w:tcPr>
            <w:tcW w:w="2053" w:type="dxa"/>
          </w:tcPr>
          <w:p w:rsidR="00681586" w:rsidRPr="00681586" w:rsidP="00681586">
            <w:pPr>
              <w:spacing w:line="269" w:lineRule="auto"/>
              <w:jc w:val="center"/>
              <w:rPr>
                <w:rFonts w:eastAsia="Calibri"/>
                <w:color w:val="FFFFFF"/>
                <w:szCs w:val="20"/>
                <w:rtl/>
              </w:rPr>
            </w:pPr>
            <w:r w:rsidRPr="00681586">
              <w:rPr>
                <w:rFonts w:eastAsia="Calibri" w:hint="cs"/>
                <w:color w:val="FFFFFF"/>
                <w:szCs w:val="20"/>
                <w:rtl/>
              </w:rPr>
              <w:t>הגורם המחליט</w:t>
            </w:r>
          </w:p>
        </w:tc>
        <w:tc>
          <w:tcPr>
            <w:tcW w:w="2053" w:type="dxa"/>
          </w:tcPr>
          <w:p w:rsidR="00681586" w:rsidRPr="00681586" w:rsidP="00681586">
            <w:pPr>
              <w:spacing w:line="269" w:lineRule="auto"/>
              <w:jc w:val="center"/>
              <w:rPr>
                <w:rFonts w:eastAsia="Calibri"/>
                <w:color w:val="FFFFFF"/>
                <w:szCs w:val="20"/>
                <w:rtl/>
              </w:rPr>
            </w:pPr>
            <w:r w:rsidRPr="00681586">
              <w:rPr>
                <w:rFonts w:eastAsia="Calibri" w:hint="cs"/>
                <w:color w:val="FFFFFF"/>
                <w:szCs w:val="20"/>
                <w:rtl/>
              </w:rPr>
              <w:t>האם לוותה בתחשיב אקטוארי של המוסד לביטוח לאומי</w:t>
            </w:r>
          </w:p>
        </w:tc>
      </w:tr>
      <w:tr w:rsidTr="00681586">
        <w:tblPrEx>
          <w:tblW w:w="0" w:type="auto"/>
          <w:tblLook w:val="04A0"/>
        </w:tblPrEx>
        <w:tc>
          <w:tcPr>
            <w:tcW w:w="2052" w:type="dxa"/>
            <w:vAlign w:val="center"/>
          </w:tcPr>
          <w:p w:rsidR="00681586" w:rsidRPr="00681586" w:rsidP="00681586">
            <w:pPr>
              <w:spacing w:line="269" w:lineRule="auto"/>
              <w:rPr>
                <w:rFonts w:eastAsia="Calibri"/>
                <w:b w:val="0"/>
                <w:bCs w:val="0"/>
                <w:szCs w:val="20"/>
                <w:rtl/>
              </w:rPr>
            </w:pPr>
            <w:r w:rsidRPr="00681586">
              <w:rPr>
                <w:rFonts w:eastAsia="Calibri" w:hint="cs"/>
                <w:b w:val="0"/>
                <w:bCs w:val="0"/>
                <w:szCs w:val="20"/>
                <w:rtl/>
              </w:rPr>
              <w:t>הרפורמה בסיעוד</w:t>
            </w:r>
          </w:p>
        </w:tc>
        <w:tc>
          <w:tcPr>
            <w:tcW w:w="2053" w:type="dxa"/>
            <w:vAlign w:val="center"/>
          </w:tcPr>
          <w:p w:rsidR="00681586" w:rsidRPr="00681586" w:rsidP="00681586">
            <w:pPr>
              <w:spacing w:line="269" w:lineRule="auto"/>
              <w:rPr>
                <w:rFonts w:eastAsia="Calibri"/>
                <w:szCs w:val="20"/>
                <w:rtl/>
              </w:rPr>
            </w:pPr>
            <w:r w:rsidRPr="00681586">
              <w:rPr>
                <w:rFonts w:eastAsia="Calibri" w:hint="cs"/>
                <w:szCs w:val="20"/>
                <w:rtl/>
              </w:rPr>
              <w:t>הכנסת</w:t>
            </w:r>
          </w:p>
        </w:tc>
        <w:tc>
          <w:tcPr>
            <w:tcW w:w="2053" w:type="dxa"/>
            <w:vAlign w:val="center"/>
          </w:tcPr>
          <w:p w:rsidR="00681586" w:rsidRPr="00681586" w:rsidP="00681586">
            <w:pPr>
              <w:spacing w:line="269" w:lineRule="auto"/>
              <w:rPr>
                <w:rFonts w:eastAsia="Calibri"/>
                <w:szCs w:val="20"/>
                <w:rtl/>
              </w:rPr>
            </w:pPr>
            <w:r w:rsidRPr="00681586">
              <w:rPr>
                <w:rFonts w:eastAsia="Calibri" w:hint="cs"/>
                <w:szCs w:val="20"/>
                <w:rtl/>
              </w:rPr>
              <w:t>לוותה בתחשיב עלויות שנתי, אך לא בתחשיב אקטוארי</w:t>
            </w:r>
          </w:p>
        </w:tc>
      </w:tr>
      <w:tr w:rsidTr="00BA015C">
        <w:tblPrEx>
          <w:tblW w:w="0" w:type="auto"/>
          <w:tblLook w:val="04A0"/>
        </w:tblPrEx>
        <w:tc>
          <w:tcPr>
            <w:tcW w:w="2052" w:type="dxa"/>
            <w:vAlign w:val="center"/>
          </w:tcPr>
          <w:p w:rsidR="00681586" w:rsidRPr="00681586" w:rsidP="00681586">
            <w:pPr>
              <w:spacing w:line="269" w:lineRule="auto"/>
              <w:rPr>
                <w:rFonts w:eastAsia="Calibri"/>
                <w:b w:val="0"/>
                <w:bCs w:val="0"/>
                <w:szCs w:val="20"/>
                <w:rtl/>
              </w:rPr>
            </w:pPr>
            <w:r w:rsidRPr="00681586">
              <w:rPr>
                <w:rFonts w:eastAsia="Calibri" w:hint="cs"/>
                <w:b w:val="0"/>
                <w:bCs w:val="0"/>
                <w:szCs w:val="20"/>
                <w:rtl/>
              </w:rPr>
              <w:t>אי-הפחתה ברמת סיעוד בתביעות להחמרה</w:t>
            </w:r>
          </w:p>
        </w:tc>
        <w:tc>
          <w:tcPr>
            <w:tcW w:w="2053" w:type="dxa"/>
            <w:vAlign w:val="center"/>
          </w:tcPr>
          <w:p w:rsidR="00681586" w:rsidRPr="00681586" w:rsidP="00681586">
            <w:pPr>
              <w:spacing w:line="269" w:lineRule="auto"/>
              <w:rPr>
                <w:rFonts w:eastAsia="Calibri"/>
                <w:szCs w:val="20"/>
                <w:rtl/>
              </w:rPr>
            </w:pPr>
            <w:r w:rsidRPr="00681586">
              <w:rPr>
                <w:rFonts w:eastAsia="Calibri" w:hint="cs"/>
                <w:szCs w:val="20"/>
                <w:rtl/>
              </w:rPr>
              <w:t>ועדת העבודה, הרווחה והבריאות</w:t>
            </w:r>
          </w:p>
        </w:tc>
        <w:tc>
          <w:tcPr>
            <w:tcW w:w="2053" w:type="dxa"/>
            <w:vAlign w:val="center"/>
          </w:tcPr>
          <w:p w:rsidR="00681586" w:rsidRPr="00681586" w:rsidP="00681586">
            <w:pPr>
              <w:spacing w:line="269" w:lineRule="auto"/>
              <w:rPr>
                <w:rFonts w:eastAsia="Calibri"/>
                <w:szCs w:val="20"/>
                <w:rtl/>
              </w:rPr>
            </w:pPr>
            <w:r w:rsidRPr="00681586">
              <w:rPr>
                <w:rFonts w:eastAsia="Calibri" w:hint="cs"/>
                <w:szCs w:val="20"/>
                <w:rtl/>
              </w:rPr>
              <w:t>לא</w:t>
            </w:r>
          </w:p>
        </w:tc>
      </w:tr>
      <w:tr w:rsidTr="00681586">
        <w:tblPrEx>
          <w:tblW w:w="0" w:type="auto"/>
          <w:tblLook w:val="04A0"/>
        </w:tblPrEx>
        <w:tc>
          <w:tcPr>
            <w:tcW w:w="2052" w:type="dxa"/>
            <w:vAlign w:val="center"/>
          </w:tcPr>
          <w:p w:rsidR="00681586" w:rsidRPr="00681586" w:rsidP="00681586">
            <w:pPr>
              <w:spacing w:line="269" w:lineRule="auto"/>
              <w:rPr>
                <w:rFonts w:eastAsia="Calibri"/>
                <w:b w:val="0"/>
                <w:bCs w:val="0"/>
                <w:szCs w:val="20"/>
                <w:rtl/>
              </w:rPr>
            </w:pPr>
            <w:r w:rsidRPr="00681586">
              <w:rPr>
                <w:rFonts w:eastAsia="Calibri" w:hint="cs"/>
                <w:b w:val="0"/>
                <w:bCs w:val="0"/>
                <w:szCs w:val="20"/>
                <w:rtl/>
              </w:rPr>
              <w:t>הערכות תלות באמצעות מסמכים</w:t>
            </w:r>
          </w:p>
        </w:tc>
        <w:tc>
          <w:tcPr>
            <w:tcW w:w="2053" w:type="dxa"/>
            <w:vAlign w:val="center"/>
          </w:tcPr>
          <w:p w:rsidR="00681586" w:rsidRPr="00681586" w:rsidP="00681586">
            <w:pPr>
              <w:spacing w:line="269" w:lineRule="auto"/>
              <w:rPr>
                <w:rFonts w:eastAsia="Calibri"/>
                <w:szCs w:val="20"/>
                <w:rtl/>
              </w:rPr>
            </w:pPr>
            <w:r w:rsidRPr="00681586">
              <w:rPr>
                <w:rFonts w:eastAsia="Calibri" w:hint="cs"/>
                <w:szCs w:val="20"/>
                <w:rtl/>
              </w:rPr>
              <w:t>בט"ל</w:t>
            </w:r>
          </w:p>
        </w:tc>
        <w:tc>
          <w:tcPr>
            <w:tcW w:w="2053" w:type="dxa"/>
            <w:vAlign w:val="center"/>
          </w:tcPr>
          <w:p w:rsidR="00681586" w:rsidRPr="00681586" w:rsidP="00681586">
            <w:pPr>
              <w:spacing w:line="269" w:lineRule="auto"/>
              <w:rPr>
                <w:rFonts w:eastAsia="Calibri"/>
                <w:szCs w:val="20"/>
                <w:rtl/>
              </w:rPr>
            </w:pPr>
            <w:r w:rsidRPr="00681586">
              <w:rPr>
                <w:rFonts w:eastAsia="Calibri" w:hint="cs"/>
                <w:szCs w:val="20"/>
                <w:rtl/>
              </w:rPr>
              <w:t>לא</w:t>
            </w:r>
          </w:p>
        </w:tc>
      </w:tr>
    </w:tbl>
    <w:p w:rsidR="00681586" w:rsidRPr="00681586" w:rsidP="00681586">
      <w:pPr>
        <w:spacing w:line="269" w:lineRule="auto"/>
        <w:jc w:val="center"/>
        <w:rPr>
          <w:rFonts w:eastAsia="Calibri"/>
        </w:rPr>
      </w:pPr>
    </w:p>
    <w:p w:rsidR="00681586" w:rsidRPr="00681586" w:rsidP="00681586">
      <w:pPr>
        <w:spacing w:line="269" w:lineRule="auto"/>
        <w:rPr>
          <w:rFonts w:eastAsia="Calibri"/>
          <w:b/>
          <w:bCs/>
          <w:rtl/>
        </w:rPr>
      </w:pPr>
      <w:r w:rsidRPr="00681586">
        <w:rPr>
          <w:rFonts w:eastAsia="Calibri" w:hint="cs"/>
          <w:b/>
          <w:bCs/>
          <w:rtl/>
        </w:rPr>
        <w:t xml:space="preserve">בביקורת הנוכחית עלה כי על אף המלצות ועדת דומיניסיני משנת 2012 והמלצות דוח מבקר המדינה משנת 2021, </w:t>
      </w:r>
      <w:bookmarkStart w:id="12" w:name="_Hlk220228411"/>
      <w:r w:rsidRPr="00681586">
        <w:rPr>
          <w:rFonts w:eastAsia="Calibri" w:hint="cs"/>
          <w:b/>
          <w:bCs/>
          <w:rtl/>
        </w:rPr>
        <w:t>במסגרת השינויים בביטוחי הסיעוד בבט"ל התקבלו החלטות שהגדילו את מספר הזכאים לגמלה ואת היקף תשלומי הגמלאות בפועל, והמהלך נעשה ללא ליווי אקטוארי של אקטואר בט"ל או כל ליווי אקטוארי אחר. כך עלה כי בט"ל לא ליווה את הצעת החקיקה של הרפורמה בסיעוד בהערכה אקטוארית טרם קבלתה</w:t>
      </w:r>
      <w:r>
        <w:rPr>
          <w:rFonts w:eastAsia="Calibri"/>
          <w:b/>
          <w:bCs/>
          <w:vertAlign w:val="superscript"/>
          <w:rtl/>
        </w:rPr>
        <w:footnoteReference w:id="96"/>
      </w:r>
      <w:r w:rsidRPr="00681586">
        <w:rPr>
          <w:rFonts w:eastAsia="Calibri" w:hint="cs"/>
          <w:b/>
          <w:bCs/>
          <w:rtl/>
        </w:rPr>
        <w:t>; כמו כן לא הציג בפני ועדת הרווחה בכנסת שיקולים אקטואריים כדי שיובאו בחשבון בעת שינוי התקנות על אי-ההפחתה של הזכאות ברמת סיעוד בעת הגשת תביעה להחמרה</w:t>
      </w:r>
      <w:bookmarkEnd w:id="12"/>
      <w:r>
        <w:rPr>
          <w:rFonts w:eastAsia="Calibri"/>
          <w:b/>
          <w:bCs/>
          <w:vertAlign w:val="superscript"/>
          <w:rtl/>
        </w:rPr>
        <w:footnoteReference w:id="97"/>
      </w:r>
      <w:r w:rsidRPr="00681586">
        <w:rPr>
          <w:rFonts w:eastAsia="Calibri" w:hint="cs"/>
          <w:b/>
          <w:bCs/>
          <w:rtl/>
        </w:rPr>
        <w:t xml:space="preserve">; בט"ל אף לא שקל שיקולים אקטואריים בעת קבלת החלטות מינהליות בוועדת הסיעוד, כדוגמת המעבר להערכות תלות באמצעות מסמכים.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b/>
          <w:bCs/>
          <w:rtl/>
        </w:rPr>
        <w:t>אי</w:t>
      </w:r>
      <w:r w:rsidRPr="00681586">
        <w:rPr>
          <w:rFonts w:eastAsia="Calibri" w:hint="cs"/>
          <w:b/>
          <w:bCs/>
          <w:rtl/>
        </w:rPr>
        <w:t>-</w:t>
      </w:r>
      <w:r w:rsidRPr="00681586">
        <w:rPr>
          <w:rFonts w:eastAsia="Calibri"/>
          <w:b/>
          <w:bCs/>
          <w:rtl/>
        </w:rPr>
        <w:t>שקילת</w:t>
      </w:r>
      <w:r w:rsidRPr="00681586">
        <w:rPr>
          <w:rFonts w:eastAsia="Calibri" w:hint="cs"/>
          <w:b/>
          <w:bCs/>
          <w:rtl/>
        </w:rPr>
        <w:t>ם של</w:t>
      </w:r>
      <w:r w:rsidRPr="00681586">
        <w:rPr>
          <w:rFonts w:eastAsia="Calibri"/>
          <w:b/>
          <w:bCs/>
          <w:rtl/>
        </w:rPr>
        <w:t xml:space="preserve"> שיקולים אקטואריים בקבלת החלטות לגבי גמלת </w:t>
      </w:r>
      <w:r w:rsidRPr="00681586">
        <w:rPr>
          <w:rFonts w:eastAsia="Calibri" w:hint="cs"/>
          <w:b/>
          <w:bCs/>
          <w:rtl/>
        </w:rPr>
        <w:t>ה</w:t>
      </w:r>
      <w:r w:rsidRPr="00681586">
        <w:rPr>
          <w:rFonts w:eastAsia="Calibri"/>
          <w:b/>
          <w:bCs/>
          <w:rtl/>
        </w:rPr>
        <w:t xml:space="preserve">סיעוד של </w:t>
      </w:r>
      <w:r w:rsidRPr="00681586">
        <w:rPr>
          <w:rFonts w:eastAsia="Calibri" w:hint="eastAsia"/>
          <w:b/>
          <w:bCs/>
          <w:rtl/>
        </w:rPr>
        <w:t>בט</w:t>
      </w:r>
      <w:r w:rsidRPr="00681586">
        <w:rPr>
          <w:rFonts w:eastAsia="Calibri"/>
          <w:b/>
          <w:bCs/>
          <w:rtl/>
        </w:rPr>
        <w:t xml:space="preserve">"ל </w:t>
      </w:r>
      <w:r w:rsidRPr="00681586">
        <w:rPr>
          <w:rFonts w:eastAsia="Calibri" w:hint="eastAsia"/>
          <w:b/>
          <w:bCs/>
          <w:rtl/>
        </w:rPr>
        <w:t>גרמה</w:t>
      </w:r>
      <w:r w:rsidRPr="00681586">
        <w:rPr>
          <w:rFonts w:eastAsia="Calibri"/>
          <w:b/>
          <w:bCs/>
          <w:rtl/>
        </w:rPr>
        <w:t xml:space="preserve"> לפגיעה ממשית ביכולת המוסד לעמוד בהתחייבויותיו בטווח הארוך</w:t>
      </w:r>
      <w:r w:rsidRPr="00681586">
        <w:rPr>
          <w:rFonts w:eastAsia="Calibri" w:hint="cs"/>
          <w:b/>
          <w:bCs/>
          <w:rtl/>
        </w:rPr>
        <w:t xml:space="preserve"> והביאה ל</w:t>
      </w:r>
      <w:r w:rsidRPr="00681586">
        <w:rPr>
          <w:rFonts w:eastAsia="Calibri" w:hint="eastAsia"/>
          <w:b/>
          <w:bCs/>
          <w:rtl/>
        </w:rPr>
        <w:t>חלק</w:t>
      </w:r>
      <w:r w:rsidRPr="00681586">
        <w:rPr>
          <w:rFonts w:eastAsia="Calibri"/>
          <w:b/>
          <w:bCs/>
          <w:rtl/>
        </w:rPr>
        <w:t xml:space="preserve"> </w:t>
      </w:r>
      <w:r w:rsidRPr="00681586">
        <w:rPr>
          <w:rFonts w:eastAsia="Calibri" w:hint="eastAsia"/>
          <w:b/>
          <w:bCs/>
          <w:rtl/>
        </w:rPr>
        <w:t>משמעותי</w:t>
      </w:r>
      <w:r w:rsidRPr="00681586">
        <w:rPr>
          <w:rFonts w:eastAsia="Calibri"/>
          <w:b/>
          <w:bCs/>
          <w:rtl/>
        </w:rPr>
        <w:t xml:space="preserve"> </w:t>
      </w:r>
      <w:r w:rsidRPr="00681586">
        <w:rPr>
          <w:rFonts w:eastAsia="Calibri" w:hint="eastAsia"/>
          <w:b/>
          <w:bCs/>
          <w:rtl/>
        </w:rPr>
        <w:t>מהגידול</w:t>
      </w:r>
      <w:r w:rsidRPr="00681586">
        <w:rPr>
          <w:rFonts w:eastAsia="Calibri" w:hint="cs"/>
          <w:b/>
          <w:bCs/>
          <w:rtl/>
        </w:rPr>
        <w:t xml:space="preserve"> של כ-14.1 מיליארד ש"ח בהוצאה השנתית על גמלת הסיעוד, בעוד האומדן של אגף התקציבים ערב הרפורמה עמד על כ-1.3 מיליארד ש"ח בלבד</w:t>
      </w:r>
      <w:r w:rsidRPr="00681586">
        <w:rPr>
          <w:rFonts w:eastAsia="Calibri"/>
          <w:b/>
          <w:bCs/>
          <w:rtl/>
        </w:rPr>
        <w:t>.</w:t>
      </w:r>
      <w:r w:rsidRPr="00681586">
        <w:rPr>
          <w:rFonts w:eastAsia="Calibri" w:hint="cs"/>
          <w:b/>
          <w:bCs/>
          <w:rtl/>
        </w:rPr>
        <w:t xml:space="preserve"> </w:t>
      </w:r>
      <w:r w:rsidRPr="00681586">
        <w:rPr>
          <w:rFonts w:eastAsia="Calibri" w:hint="eastAsia"/>
          <w:b/>
          <w:bCs/>
          <w:rtl/>
        </w:rPr>
        <w:t>ההחלטות</w:t>
      </w:r>
      <w:r w:rsidRPr="00681586">
        <w:rPr>
          <w:rFonts w:eastAsia="Calibri"/>
          <w:b/>
          <w:bCs/>
          <w:rtl/>
        </w:rPr>
        <w:t xml:space="preserve"> </w:t>
      </w:r>
      <w:r w:rsidRPr="00681586">
        <w:rPr>
          <w:rFonts w:eastAsia="Calibri" w:hint="eastAsia"/>
          <w:b/>
          <w:bCs/>
          <w:rtl/>
        </w:rPr>
        <w:t>הרחיבו</w:t>
      </w:r>
      <w:r w:rsidRPr="00681586">
        <w:rPr>
          <w:rFonts w:eastAsia="Calibri"/>
          <w:b/>
          <w:bCs/>
          <w:rtl/>
        </w:rPr>
        <w:t xml:space="preserve"> את </w:t>
      </w:r>
      <w:r w:rsidRPr="00681586">
        <w:rPr>
          <w:rFonts w:eastAsia="Calibri" w:hint="eastAsia"/>
          <w:b/>
          <w:bCs/>
          <w:rtl/>
        </w:rPr>
        <w:t>ה</w:t>
      </w:r>
      <w:r w:rsidRPr="00681586">
        <w:rPr>
          <w:rFonts w:eastAsia="Calibri"/>
          <w:b/>
          <w:bCs/>
          <w:rtl/>
        </w:rPr>
        <w:t xml:space="preserve">זכאות </w:t>
      </w:r>
      <w:r w:rsidRPr="00681586">
        <w:rPr>
          <w:rFonts w:eastAsia="Calibri" w:hint="eastAsia"/>
          <w:b/>
          <w:bCs/>
          <w:rtl/>
        </w:rPr>
        <w:t>ל</w:t>
      </w:r>
      <w:r w:rsidRPr="00681586">
        <w:rPr>
          <w:rFonts w:eastAsia="Calibri"/>
          <w:b/>
          <w:bCs/>
          <w:rtl/>
        </w:rPr>
        <w:t>גמלה בלי התאמת מקורות מימון, כך ש</w:t>
      </w:r>
      <w:r w:rsidRPr="00681586">
        <w:rPr>
          <w:rFonts w:eastAsia="Calibri" w:hint="eastAsia"/>
          <w:b/>
          <w:bCs/>
          <w:rtl/>
        </w:rPr>
        <w:t>כאמור</w:t>
      </w:r>
      <w:r w:rsidRPr="00681586">
        <w:rPr>
          <w:rFonts w:eastAsia="Calibri"/>
          <w:b/>
          <w:bCs/>
          <w:rtl/>
        </w:rPr>
        <w:t xml:space="preserve">, שנת איפוס הקרן </w:t>
      </w:r>
      <w:r w:rsidRPr="00681586">
        <w:rPr>
          <w:rFonts w:eastAsia="Calibri" w:hint="eastAsia"/>
          <w:b/>
          <w:bCs/>
          <w:rtl/>
        </w:rPr>
        <w:t>הוקדמה</w:t>
      </w:r>
      <w:r w:rsidRPr="00681586">
        <w:rPr>
          <w:rFonts w:eastAsia="Calibri"/>
          <w:b/>
          <w:bCs/>
          <w:rtl/>
        </w:rPr>
        <w:t xml:space="preserve"> בכ</w:t>
      </w:r>
      <w:r w:rsidRPr="00681586">
        <w:rPr>
          <w:rFonts w:ascii="Cambria Math" w:eastAsia="Calibri" w:hAnsi="Cambria Math" w:cs="Times New Roman"/>
          <w:b/>
          <w:bCs/>
          <w:rtl/>
        </w:rPr>
        <w:t>‑</w:t>
      </w:r>
      <w:r w:rsidRPr="00681586">
        <w:rPr>
          <w:rFonts w:eastAsia="Calibri"/>
          <w:b/>
          <w:bCs/>
          <w:rtl/>
        </w:rPr>
        <w:t xml:space="preserve">6.3 </w:t>
      </w:r>
      <w:r w:rsidRPr="00681586">
        <w:rPr>
          <w:rFonts w:ascii="David" w:eastAsia="Calibri" w:hAnsi="David" w:hint="eastAsia"/>
          <w:b/>
          <w:bCs/>
          <w:rtl/>
        </w:rPr>
        <w:t>שנים</w:t>
      </w:r>
      <w:r>
        <w:rPr>
          <w:rFonts w:ascii="David" w:eastAsia="Calibri" w:hAnsi="David"/>
          <w:b/>
          <w:bCs/>
          <w:vertAlign w:val="superscript"/>
          <w:rtl/>
        </w:rPr>
        <w:footnoteReference w:id="98"/>
      </w:r>
      <w:r w:rsidRPr="00681586">
        <w:rPr>
          <w:rFonts w:ascii="David" w:eastAsia="Calibri" w:hAnsi="David" w:hint="cs"/>
          <w:b/>
          <w:bCs/>
          <w:rtl/>
        </w:rPr>
        <w:t xml:space="preserve"> ביחס לדוח האקטוארי הקודם שהיה נכון לשנת 2016, כאשר נכון למועד סיום הביקורת מועד איפוס הקרן הוא שנת 2035</w:t>
      </w:r>
      <w:r w:rsidRPr="00681586">
        <w:rPr>
          <w:rFonts w:eastAsia="Calibri"/>
          <w:b/>
          <w:bCs/>
          <w:rtl/>
        </w:rPr>
        <w:t xml:space="preserve">. </w:t>
      </w:r>
      <w:r w:rsidRPr="00681586">
        <w:rPr>
          <w:rFonts w:ascii="David" w:eastAsia="Calibri" w:hAnsi="David" w:hint="eastAsia"/>
          <w:b/>
          <w:bCs/>
          <w:rtl/>
        </w:rPr>
        <w:t>הקדמה</w:t>
      </w:r>
      <w:r w:rsidRPr="00681586">
        <w:rPr>
          <w:rFonts w:eastAsia="Calibri"/>
          <w:b/>
          <w:bCs/>
          <w:rtl/>
        </w:rPr>
        <w:t xml:space="preserve"> </w:t>
      </w:r>
      <w:r w:rsidRPr="00681586">
        <w:rPr>
          <w:rFonts w:ascii="David" w:eastAsia="Calibri" w:hAnsi="David" w:hint="eastAsia"/>
          <w:b/>
          <w:bCs/>
          <w:rtl/>
        </w:rPr>
        <w:t>כזו</w:t>
      </w:r>
      <w:r w:rsidRPr="00681586">
        <w:rPr>
          <w:rFonts w:eastAsia="Calibri"/>
          <w:b/>
          <w:bCs/>
          <w:rtl/>
        </w:rPr>
        <w:t xml:space="preserve"> </w:t>
      </w:r>
      <w:r w:rsidRPr="00681586">
        <w:rPr>
          <w:rFonts w:ascii="David" w:eastAsia="Calibri" w:hAnsi="David" w:hint="eastAsia"/>
          <w:b/>
          <w:bCs/>
          <w:rtl/>
        </w:rPr>
        <w:t>של</w:t>
      </w:r>
      <w:r w:rsidRPr="00681586">
        <w:rPr>
          <w:rFonts w:eastAsia="Calibri"/>
          <w:b/>
          <w:bCs/>
          <w:rtl/>
        </w:rPr>
        <w:t xml:space="preserve"> </w:t>
      </w:r>
      <w:r w:rsidRPr="00681586">
        <w:rPr>
          <w:rFonts w:ascii="David" w:eastAsia="Calibri" w:hAnsi="David" w:hint="eastAsia"/>
          <w:b/>
          <w:bCs/>
          <w:rtl/>
        </w:rPr>
        <w:t>שנת</w:t>
      </w:r>
      <w:r w:rsidRPr="00681586">
        <w:rPr>
          <w:rFonts w:eastAsia="Calibri"/>
          <w:b/>
          <w:bCs/>
          <w:rtl/>
        </w:rPr>
        <w:t xml:space="preserve"> </w:t>
      </w:r>
      <w:r w:rsidRPr="00681586">
        <w:rPr>
          <w:rFonts w:ascii="David" w:eastAsia="Calibri" w:hAnsi="David" w:hint="eastAsia"/>
          <w:b/>
          <w:bCs/>
          <w:rtl/>
        </w:rPr>
        <w:t>איפוס</w:t>
      </w:r>
      <w:r w:rsidRPr="00681586">
        <w:rPr>
          <w:rFonts w:ascii="David" w:eastAsia="Calibri" w:hAnsi="David"/>
          <w:b/>
          <w:bCs/>
          <w:rtl/>
        </w:rPr>
        <w:t xml:space="preserve"> </w:t>
      </w:r>
      <w:r w:rsidRPr="00681586">
        <w:rPr>
          <w:rFonts w:ascii="David" w:eastAsia="Calibri" w:hAnsi="David" w:hint="eastAsia"/>
          <w:b/>
          <w:bCs/>
          <w:rtl/>
        </w:rPr>
        <w:t>הקרן</w:t>
      </w:r>
      <w:r w:rsidRPr="00681586">
        <w:rPr>
          <w:rFonts w:eastAsia="Calibri"/>
          <w:b/>
          <w:bCs/>
          <w:rtl/>
        </w:rPr>
        <w:t xml:space="preserve"> </w:t>
      </w:r>
      <w:r w:rsidRPr="00681586">
        <w:rPr>
          <w:rFonts w:ascii="David" w:eastAsia="Calibri" w:hAnsi="David" w:hint="eastAsia"/>
          <w:b/>
          <w:bCs/>
          <w:rtl/>
        </w:rPr>
        <w:t>פוגעת</w:t>
      </w:r>
      <w:r w:rsidRPr="00681586">
        <w:rPr>
          <w:rFonts w:eastAsia="Calibri"/>
          <w:b/>
          <w:bCs/>
          <w:rtl/>
        </w:rPr>
        <w:t xml:space="preserve"> </w:t>
      </w:r>
      <w:r w:rsidRPr="00681586">
        <w:rPr>
          <w:rFonts w:ascii="David" w:eastAsia="Calibri" w:hAnsi="David" w:hint="eastAsia"/>
          <w:b/>
          <w:bCs/>
          <w:rtl/>
        </w:rPr>
        <w:t>ביציבות</w:t>
      </w:r>
      <w:r w:rsidRPr="00681586">
        <w:rPr>
          <w:rFonts w:eastAsia="Calibri"/>
          <w:b/>
          <w:bCs/>
          <w:rtl/>
        </w:rPr>
        <w:t xml:space="preserve"> </w:t>
      </w:r>
      <w:r w:rsidRPr="00681586">
        <w:rPr>
          <w:rFonts w:ascii="David" w:eastAsia="Calibri" w:hAnsi="David" w:hint="eastAsia"/>
          <w:b/>
          <w:bCs/>
          <w:rtl/>
        </w:rPr>
        <w:t>האקטוארית</w:t>
      </w:r>
      <w:r w:rsidRPr="00681586">
        <w:rPr>
          <w:rFonts w:eastAsia="Calibri"/>
          <w:b/>
          <w:bCs/>
          <w:rtl/>
        </w:rPr>
        <w:t xml:space="preserve"> </w:t>
      </w:r>
      <w:r w:rsidRPr="00681586">
        <w:rPr>
          <w:rFonts w:ascii="David" w:eastAsia="Calibri" w:hAnsi="David" w:hint="eastAsia"/>
          <w:b/>
          <w:bCs/>
          <w:rtl/>
        </w:rPr>
        <w:t>של</w:t>
      </w:r>
      <w:r w:rsidRPr="00681586">
        <w:rPr>
          <w:rFonts w:eastAsia="Calibri"/>
          <w:b/>
          <w:bCs/>
          <w:rtl/>
        </w:rPr>
        <w:t xml:space="preserve"> </w:t>
      </w:r>
      <w:r w:rsidRPr="00681586">
        <w:rPr>
          <w:rFonts w:ascii="David" w:eastAsia="Calibri" w:hAnsi="David" w:hint="eastAsia"/>
          <w:b/>
          <w:bCs/>
          <w:rtl/>
        </w:rPr>
        <w:t>בט</w:t>
      </w:r>
      <w:r w:rsidRPr="00681586">
        <w:rPr>
          <w:rFonts w:ascii="David" w:eastAsia="Calibri" w:hAnsi="David"/>
          <w:b/>
          <w:bCs/>
          <w:rtl/>
        </w:rPr>
        <w:t>"ל</w:t>
      </w:r>
      <w:r w:rsidRPr="00681586">
        <w:rPr>
          <w:rFonts w:eastAsia="Calibri"/>
          <w:b/>
          <w:bCs/>
          <w:rtl/>
        </w:rPr>
        <w:t xml:space="preserve">, </w:t>
      </w:r>
      <w:r w:rsidRPr="00681586">
        <w:rPr>
          <w:rFonts w:ascii="David" w:eastAsia="Calibri" w:hAnsi="David" w:hint="eastAsia"/>
          <w:b/>
          <w:bCs/>
          <w:rtl/>
        </w:rPr>
        <w:t>מגדילה</w:t>
      </w:r>
      <w:r w:rsidRPr="00681586">
        <w:rPr>
          <w:rFonts w:eastAsia="Calibri"/>
          <w:b/>
          <w:bCs/>
          <w:rtl/>
        </w:rPr>
        <w:t xml:space="preserve"> את הסיכון שהמוסד יידרש לקיצוצים חדים או להעלאות דמי ביטוח בעתיד, ומערערת את האמון במנגנון</w:t>
      </w:r>
      <w:r w:rsidRPr="00681586">
        <w:rPr>
          <w:rFonts w:eastAsia="Calibri" w:hint="cs"/>
          <w:b/>
          <w:bCs/>
          <w:rtl/>
        </w:rPr>
        <w:t xml:space="preserve"> הביטחון הסוציאלי שגובה דמי ביטוח בהווה כדי לשלם גמלאות בעתיד בהתאם לחוק</w:t>
      </w:r>
      <w:r w:rsidRPr="00681586">
        <w:rPr>
          <w:rFonts w:eastAsia="Calibri"/>
          <w:b/>
          <w:bCs/>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b/>
          <w:bCs/>
          <w:rtl/>
        </w:rPr>
        <w:t>מומלץ שב</w:t>
      </w:r>
      <w:r w:rsidRPr="00681586">
        <w:rPr>
          <w:rFonts w:eastAsia="Calibri" w:hint="cs"/>
          <w:b/>
          <w:bCs/>
          <w:rtl/>
        </w:rPr>
        <w:t xml:space="preserve">ט"ל </w:t>
      </w:r>
      <w:r w:rsidRPr="00681586">
        <w:rPr>
          <w:rFonts w:eastAsia="Calibri"/>
          <w:b/>
          <w:bCs/>
          <w:rtl/>
        </w:rPr>
        <w:t>י</w:t>
      </w:r>
      <w:r w:rsidRPr="00681586">
        <w:rPr>
          <w:rFonts w:eastAsia="Calibri" w:hint="cs"/>
          <w:b/>
          <w:bCs/>
          <w:rtl/>
        </w:rPr>
        <w:t>לווה החלטות מינהליות שיש בהן כדי להגדיל את היקף הזכאות לגמלאות, בתחשיב אקטוארי האומד את מידת השפעת ההחלטה על הגירעון האקטוארי ועל שנת איפוס הקרן. כמו כן מומלץ כי אקטואר בט"ל ילווה הצעות חוק והצעות לשינוי התקנות לחוק בהערכה אקטוארית מתאימה.</w:t>
      </w:r>
    </w:p>
    <w:p w:rsidR="00681586" w:rsidRPr="00681586" w:rsidP="00681586">
      <w:pPr>
        <w:spacing w:line="269" w:lineRule="auto"/>
        <w:ind w:left="-567"/>
        <w:rPr>
          <w:rFonts w:eastAsia="Calibri"/>
          <w:szCs w:val="20"/>
          <w:rtl/>
        </w:rPr>
      </w:pPr>
    </w:p>
    <w:p w:rsidR="00681586" w:rsidRPr="00681586" w:rsidP="00681586">
      <w:pPr>
        <w:keepNext/>
        <w:keepLines/>
        <w:spacing w:line="269" w:lineRule="auto"/>
        <w:outlineLvl w:val="5"/>
        <w:rPr>
          <w:rFonts w:eastAsia="Times New Roman"/>
          <w:spacing w:val="40"/>
          <w:rtl/>
        </w:rPr>
      </w:pPr>
      <w:r w:rsidRPr="00681586">
        <w:rPr>
          <w:rFonts w:eastAsia="Times New Roman" w:hint="cs"/>
          <w:spacing w:val="40"/>
          <w:rtl/>
        </w:rPr>
        <w:t>התייחסות הממשלה לממצאי הדוח האקטוארי המלא</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כאמור, הדוח האקטוארי שפורסם בשנת 2024 מצא כי שנת איפוס הקרן של בט"ל הוקדמה בשמונה שנים מאז הדוח האקטוארי הקודם, וכי 6.3 שנים מתוכן הוקדמו כתוצאה מהשינויים בגמלת סיעוד. עוד קבע הדוח כי </w:t>
      </w:r>
      <w:r w:rsidRPr="00681586">
        <w:rPr>
          <w:rFonts w:eastAsia="Calibri"/>
          <w:rtl/>
        </w:rPr>
        <w:t xml:space="preserve">כדי לדחות את </w:t>
      </w:r>
      <w:r w:rsidRPr="00681586">
        <w:rPr>
          <w:rFonts w:eastAsia="Calibri" w:hint="cs"/>
          <w:rtl/>
        </w:rPr>
        <w:t xml:space="preserve">שנת איפוס הקרן </w:t>
      </w:r>
      <w:r w:rsidRPr="00681586">
        <w:rPr>
          <w:rFonts w:eastAsia="Calibri"/>
          <w:rtl/>
        </w:rPr>
        <w:t xml:space="preserve">הצפויה, על </w:t>
      </w:r>
      <w:r w:rsidRPr="00681586">
        <w:rPr>
          <w:rFonts w:eastAsia="Calibri" w:hint="cs"/>
          <w:rtl/>
        </w:rPr>
        <w:t>בט"ל</w:t>
      </w:r>
      <w:r w:rsidRPr="00681586">
        <w:rPr>
          <w:rFonts w:eastAsia="Calibri"/>
          <w:rtl/>
        </w:rPr>
        <w:t>, בשיתוף עם השר, הכנסת והממשלה</w:t>
      </w:r>
      <w:r w:rsidRPr="00681586">
        <w:rPr>
          <w:rFonts w:eastAsia="Calibri" w:hint="cs"/>
          <w:rtl/>
        </w:rPr>
        <w:t xml:space="preserve">, </w:t>
      </w:r>
      <w:r w:rsidRPr="00681586">
        <w:rPr>
          <w:rFonts w:eastAsia="Calibri"/>
          <w:rtl/>
        </w:rPr>
        <w:t>לנקוט צעדים למען שיפור מצבו הפיננסי של המוסד. לאחר נקיטת ת</w:t>
      </w:r>
      <w:r w:rsidRPr="00681586">
        <w:rPr>
          <w:rFonts w:eastAsia="Calibri" w:hint="cs"/>
          <w:rtl/>
        </w:rPr>
        <w:t>ו</w:t>
      </w:r>
      <w:r w:rsidRPr="00681586">
        <w:rPr>
          <w:rFonts w:eastAsia="Calibri"/>
          <w:rtl/>
        </w:rPr>
        <w:t>כנית הפעולה הנבחרת למען שיפור מצבו הפיננסי של המוסד, על</w:t>
      </w:r>
      <w:r w:rsidRPr="00681586">
        <w:rPr>
          <w:rFonts w:eastAsia="Calibri" w:hint="cs"/>
          <w:rtl/>
        </w:rPr>
        <w:t xml:space="preserve">יו </w:t>
      </w:r>
      <w:r w:rsidRPr="00681586">
        <w:rPr>
          <w:rFonts w:eastAsia="Calibri"/>
          <w:rtl/>
        </w:rPr>
        <w:t xml:space="preserve">להיות במעקב צמוד אחר התפתחויות ואחר מצבו הפיננסי, ולבחון אם הצעדים שננקטו </w:t>
      </w:r>
      <w:r w:rsidRPr="00681586">
        <w:rPr>
          <w:rFonts w:eastAsia="Calibri" w:hint="cs"/>
          <w:rtl/>
        </w:rPr>
        <w:t xml:space="preserve">אכן היו </w:t>
      </w:r>
      <w:r w:rsidRPr="00681586">
        <w:rPr>
          <w:rFonts w:eastAsia="Calibri"/>
          <w:rtl/>
        </w:rPr>
        <w:t>מספקים</w:t>
      </w:r>
      <w:r>
        <w:rPr>
          <w:rFonts w:eastAsia="Calibri"/>
          <w:vertAlign w:val="superscript"/>
          <w:rtl/>
        </w:rPr>
        <w:footnoteReference w:id="99"/>
      </w:r>
      <w:r w:rsidRPr="00681586">
        <w:rPr>
          <w:rFonts w:eastAsia="Calibri"/>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ascii="Rubik" w:eastAsia="Calibri" w:hAnsi="Rubik"/>
          <w:color w:val="0C3058"/>
          <w:shd w:val="clear" w:color="auto" w:fill="FFFFFF"/>
          <w:rtl/>
        </w:rPr>
      </w:pPr>
      <w:r w:rsidRPr="00681586">
        <w:rPr>
          <w:rFonts w:eastAsia="Calibri" w:hint="cs"/>
          <w:rtl/>
        </w:rPr>
        <w:t>החלטת הממשלה מיום 5.8.15 בנושא צמצום הגירעון של המוסד לביטוח לאומי</w:t>
      </w:r>
      <w:r>
        <w:rPr>
          <w:rFonts w:eastAsia="Calibri"/>
          <w:vertAlign w:val="superscript"/>
          <w:rtl/>
        </w:rPr>
        <w:footnoteReference w:id="100"/>
      </w:r>
      <w:r w:rsidRPr="00681586">
        <w:rPr>
          <w:rFonts w:eastAsia="Calibri" w:hint="cs"/>
          <w:rtl/>
        </w:rPr>
        <w:t xml:space="preserve"> קבעה כי </w:t>
      </w:r>
      <w:r w:rsidRPr="00681586">
        <w:rPr>
          <w:rFonts w:ascii="Rubik" w:eastAsia="Calibri" w:hAnsi="Rubik"/>
          <w:shd w:val="clear" w:color="auto" w:fill="FFFFFF"/>
          <w:rtl/>
        </w:rPr>
        <w:t xml:space="preserve">הממשלה תדון אחת לשלוש שנים ביציבות ארוכת הטווח של </w:t>
      </w:r>
      <w:r w:rsidRPr="00681586">
        <w:rPr>
          <w:rFonts w:ascii="Rubik" w:eastAsia="Calibri" w:hAnsi="Rubik" w:hint="cs"/>
          <w:shd w:val="clear" w:color="auto" w:fill="FFFFFF"/>
          <w:rtl/>
        </w:rPr>
        <w:t>בט"ל</w:t>
      </w:r>
      <w:r w:rsidRPr="00681586">
        <w:rPr>
          <w:rFonts w:ascii="Rubik" w:eastAsia="Calibri" w:hAnsi="Rubik"/>
          <w:shd w:val="clear" w:color="auto" w:fill="FFFFFF"/>
          <w:rtl/>
        </w:rPr>
        <w:t xml:space="preserve"> בהסתמך על הדוח האקטוארי המלא</w:t>
      </w:r>
      <w:r w:rsidRPr="00681586">
        <w:rPr>
          <w:rFonts w:ascii="Rubik" w:eastAsia="Calibri" w:hAnsi="Rubik" w:hint="cs"/>
          <w:shd w:val="clear" w:color="auto" w:fill="FFFFFF"/>
          <w:rtl/>
        </w:rPr>
        <w:t xml:space="preserve">. </w:t>
      </w:r>
      <w:r w:rsidRPr="00681586">
        <w:rPr>
          <w:rFonts w:ascii="Rubik" w:eastAsia="Calibri" w:hAnsi="Rubik"/>
          <w:shd w:val="clear" w:color="auto" w:fill="FFFFFF"/>
          <w:rtl/>
        </w:rPr>
        <w:t xml:space="preserve">הדיון יכלול הערכה של יכולת המוסד לעמוד לאורך זמן בתשלום הקצבאות המשולמות לטווח הארוך (לעניין זה </w:t>
      </w:r>
      <w:r w:rsidRPr="00681586">
        <w:rPr>
          <w:rFonts w:ascii="Rubik" w:eastAsia="Calibri" w:hAnsi="Rubik" w:hint="cs"/>
          <w:shd w:val="clear" w:color="auto" w:fill="FFFFFF"/>
          <w:rtl/>
        </w:rPr>
        <w:t>-</w:t>
      </w:r>
      <w:r w:rsidRPr="00681586">
        <w:rPr>
          <w:rFonts w:ascii="Rubik" w:eastAsia="Calibri" w:hAnsi="Rubik"/>
          <w:shd w:val="clear" w:color="auto" w:fill="FFFFFF"/>
          <w:rtl/>
        </w:rPr>
        <w:t xml:space="preserve"> קצבאות זקנה, שאירים וסיעוד). במסגרת ההערכה תוערך </w:t>
      </w:r>
      <w:r w:rsidRPr="00681586">
        <w:rPr>
          <w:rFonts w:ascii="Rubik" w:eastAsia="Calibri" w:hAnsi="Rubik" w:hint="cs"/>
          <w:shd w:val="clear" w:color="auto" w:fill="FFFFFF"/>
          <w:rtl/>
        </w:rPr>
        <w:t xml:space="preserve">כאמור </w:t>
      </w:r>
      <w:r w:rsidRPr="00681586">
        <w:rPr>
          <w:rFonts w:ascii="Rubik" w:eastAsia="Calibri" w:hAnsi="Rubik"/>
          <w:shd w:val="clear" w:color="auto" w:fill="FFFFFF"/>
          <w:rtl/>
        </w:rPr>
        <w:t>מידת האיזון ארוך הטווח של המוסד</w:t>
      </w:r>
      <w:r w:rsidRPr="00681586">
        <w:rPr>
          <w:rFonts w:ascii="Rubik" w:eastAsia="Calibri" w:hAnsi="Rubik" w:hint="cs"/>
          <w:shd w:val="clear" w:color="auto" w:fill="FFFFFF"/>
          <w:rtl/>
        </w:rPr>
        <w:t xml:space="preserve">. יצוין כי </w:t>
      </w:r>
      <w:r w:rsidRPr="00681586">
        <w:rPr>
          <w:rFonts w:eastAsia="Calibri" w:hint="cs"/>
          <w:rtl/>
        </w:rPr>
        <w:t>על פי תקנון עבודת הממשלה, ראש הממשלה קובע את סדר היום של ישיבות הממשלה.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ביום 30.5.24 הדוח האקטוארי האחרון נידון בוועדת הכספים של המועצה, ושם הציג האקטואר חישובים נוספים והראה שאירועי המלחמה מקדימים עוד את שנת איפוס הקרן. כן הראה כי בתנאים הנוכחיים, כדי לשמור על איזון אקטוארי</w:t>
      </w:r>
      <w:r>
        <w:rPr>
          <w:rFonts w:eastAsia="Calibri"/>
          <w:vertAlign w:val="superscript"/>
          <w:rtl/>
        </w:rPr>
        <w:footnoteReference w:id="101"/>
      </w:r>
      <w:r w:rsidRPr="00681586">
        <w:rPr>
          <w:rFonts w:eastAsia="Calibri" w:hint="cs"/>
          <w:rtl/>
        </w:rPr>
        <w:t xml:space="preserve"> </w:t>
      </w:r>
      <w:r w:rsidRPr="00681586">
        <w:rPr>
          <w:rFonts w:ascii="David" w:eastAsia="Calibri" w:hAnsi="David"/>
          <w:sz w:val="24"/>
          <w:rtl/>
        </w:rPr>
        <w:t xml:space="preserve">נדרש להגדיל את דמי הביטוח </w:t>
      </w:r>
      <w:r w:rsidRPr="00681586">
        <w:rPr>
          <w:rFonts w:ascii="David" w:eastAsia="Calibri" w:hAnsi="David" w:hint="cs"/>
          <w:sz w:val="24"/>
          <w:rtl/>
        </w:rPr>
        <w:t xml:space="preserve">שמשלמים המעסיקים והעצמאים </w:t>
      </w:r>
      <w:r w:rsidRPr="00681586">
        <w:rPr>
          <w:rFonts w:ascii="David" w:eastAsia="Calibri" w:hAnsi="David"/>
          <w:sz w:val="24"/>
          <w:rtl/>
        </w:rPr>
        <w:t>ב-31%</w:t>
      </w:r>
      <w:r w:rsidRPr="00681586">
        <w:rPr>
          <w:rFonts w:ascii="David" w:eastAsia="Calibri" w:hAnsi="David" w:hint="cs"/>
          <w:sz w:val="24"/>
          <w:rtl/>
        </w:rPr>
        <w:t xml:space="preserve">. ועדת הכספים של המועצה דנה בממצאי הדוח האקטוארי וסברה כי </w:t>
      </w:r>
      <w:r w:rsidRPr="00681586">
        <w:rPr>
          <w:rFonts w:eastAsia="Calibri"/>
          <w:rtl/>
        </w:rPr>
        <w:t>הכיוון לפתרון המשבר הוא העלאת דמי הביטוח הלאומי ולא הפחתת קצבאות שהן נמוכות יחסית למדינות מפותחות</w:t>
      </w:r>
      <w:r w:rsidRPr="00681586">
        <w:rPr>
          <w:rFonts w:eastAsia="Calibri"/>
        </w:rPr>
        <w:t>.</w:t>
      </w:r>
      <w:r w:rsidRPr="00681586">
        <w:rPr>
          <w:rFonts w:eastAsia="Calibri" w:hint="cs"/>
          <w:rtl/>
        </w:rPr>
        <w:t xml:space="preserve"> יצוין כי בסוף שנת 2025 הכין האקטואר של בט"ל דוח אקטוארי מלא המעודכן ליום 31.12.23, ובו נמצא כי שנת איפוס הקרן הוקדמה לשנת 2035. נכון למועד סיום הביקורת (פברואר 2026), דוח זה טרם התפרסם לציבור.</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בתרשים להלן שנת איפוס הקרן שחושבה בדוח האקטוארי המלא, לפי השנה שעל פיה חושבה</w:t>
      </w:r>
      <w:r>
        <w:rPr>
          <w:rFonts w:eastAsia="Calibri"/>
          <w:vertAlign w:val="superscript"/>
          <w:rtl/>
        </w:rPr>
        <w:footnoteReference w:id="102"/>
      </w:r>
      <w:r w:rsidRPr="00681586">
        <w:rPr>
          <w:rFonts w:eastAsia="Calibri" w:hint="cs"/>
          <w:rtl/>
        </w:rPr>
        <w:t>:</w:t>
      </w:r>
    </w:p>
    <w:p w:rsidR="00681586" w:rsidRPr="00681586" w:rsidP="00681586">
      <w:pPr>
        <w:spacing w:line="269" w:lineRule="auto"/>
        <w:ind w:left="-567"/>
        <w:rPr>
          <w:rFonts w:eastAsia="Calibri"/>
          <w:szCs w:val="20"/>
          <w:rtl/>
        </w:rPr>
      </w:pPr>
    </w:p>
    <w:p w:rsidR="00681586" w:rsidRPr="00681586" w:rsidP="009D0A4C">
      <w:pPr>
        <w:keepNext/>
        <w:keepLines/>
        <w:spacing w:line="269" w:lineRule="auto"/>
        <w:jc w:val="center"/>
        <w:rPr>
          <w:rFonts w:eastAsia="Calibri"/>
          <w:rtl/>
        </w:rPr>
      </w:pPr>
      <w:r w:rsidRPr="00681586">
        <w:rPr>
          <w:rFonts w:eastAsia="Calibri" w:hint="cs"/>
          <w:rtl/>
        </w:rPr>
        <w:t xml:space="preserve">תרשים 19: </w:t>
      </w:r>
      <w:r w:rsidRPr="00681586">
        <w:rPr>
          <w:rFonts w:eastAsia="Calibri" w:hint="cs"/>
          <w:b/>
          <w:bCs/>
          <w:rtl/>
        </w:rPr>
        <w:t>שנת איפוס הקרן שחושבה בדוח האקטוארי המלא, לפי השנה שעל פיה חושבה</w:t>
      </w:r>
    </w:p>
    <w:p w:rsidR="00681586" w:rsidRPr="00681586" w:rsidP="00681586">
      <w:pPr>
        <w:spacing w:line="269" w:lineRule="auto"/>
        <w:jc w:val="center"/>
        <w:rPr>
          <w:rFonts w:eastAsia="Calibri"/>
          <w:rtl/>
        </w:rPr>
      </w:pPr>
      <w:r w:rsidRPr="00681586">
        <w:rPr>
          <w:rFonts w:eastAsia="Calibri"/>
          <w:noProof/>
        </w:rPr>
        <w:drawing>
          <wp:inline distT="0" distB="0" distL="0" distR="0">
            <wp:extent cx="3581400" cy="2148542"/>
            <wp:effectExtent l="0" t="0" r="0" b="4445"/>
            <wp:docPr id="97" name="תמונה 97" descr="שנת איפוס הקרן שחושבה בדוח האקטוארי המלא, לפי השנה שעל פיה חוש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6"/>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3615200" cy="2168819"/>
                    </a:xfrm>
                    <a:prstGeom prst="rect">
                      <a:avLst/>
                    </a:prstGeom>
                    <a:noFill/>
                  </pic:spPr>
                </pic:pic>
              </a:graphicData>
            </a:graphic>
          </wp:inline>
        </w:drawing>
      </w:r>
    </w:p>
    <w:p w:rsidR="00681586" w:rsidRPr="00681586" w:rsidP="00681586">
      <w:pPr>
        <w:spacing w:line="269" w:lineRule="auto"/>
        <w:jc w:val="left"/>
        <w:rPr>
          <w:rFonts w:eastAsia="Calibri"/>
          <w:szCs w:val="20"/>
          <w:rtl/>
        </w:rPr>
      </w:pPr>
      <w:r w:rsidRPr="00681586">
        <w:rPr>
          <w:rFonts w:eastAsia="Calibri" w:hint="cs"/>
          <w:szCs w:val="20"/>
          <w:rtl/>
        </w:rPr>
        <w:t xml:space="preserve">על פי נתוני המוסד לביטוח לאומי, </w:t>
      </w:r>
      <w:r w:rsidRPr="00681586">
        <w:rPr>
          <w:rFonts w:eastAsia="Calibri" w:hint="eastAsia"/>
          <w:szCs w:val="20"/>
          <w:rtl/>
        </w:rPr>
        <w:t>בעיבוד</w:t>
      </w:r>
      <w:r w:rsidRPr="00681586">
        <w:rPr>
          <w:rFonts w:eastAsia="Calibri"/>
          <w:szCs w:val="20"/>
          <w:rtl/>
        </w:rPr>
        <w:t xml:space="preserve"> </w:t>
      </w:r>
      <w:r w:rsidRPr="00681586">
        <w:rPr>
          <w:rFonts w:eastAsia="Calibri" w:hint="eastAsia"/>
          <w:szCs w:val="20"/>
          <w:rtl/>
        </w:rPr>
        <w:t>משרד</w:t>
      </w:r>
      <w:r w:rsidRPr="00681586">
        <w:rPr>
          <w:rFonts w:eastAsia="Calibri"/>
          <w:szCs w:val="20"/>
          <w:rtl/>
        </w:rPr>
        <w:t xml:space="preserve"> </w:t>
      </w:r>
      <w:r w:rsidRPr="00681586">
        <w:rPr>
          <w:rFonts w:eastAsia="Calibri" w:hint="eastAsia"/>
          <w:szCs w:val="20"/>
          <w:rtl/>
        </w:rPr>
        <w:t>מבקר</w:t>
      </w:r>
      <w:r w:rsidRPr="00681586">
        <w:rPr>
          <w:rFonts w:eastAsia="Calibri"/>
          <w:szCs w:val="20"/>
          <w:rtl/>
        </w:rPr>
        <w:t xml:space="preserve"> </w:t>
      </w:r>
      <w:r w:rsidRPr="00681586">
        <w:rPr>
          <w:rFonts w:eastAsia="Calibri" w:hint="eastAsia"/>
          <w:szCs w:val="20"/>
          <w:rtl/>
        </w:rPr>
        <w:t>המדינה</w:t>
      </w:r>
      <w:r w:rsidRPr="00681586">
        <w:rPr>
          <w:rFonts w:eastAsia="Calibri"/>
          <w:szCs w:val="20"/>
          <w:rtl/>
        </w:rPr>
        <w:t>.</w:t>
      </w:r>
    </w:p>
    <w:p w:rsidR="00681586" w:rsidRPr="00681586" w:rsidP="00681586">
      <w:pPr>
        <w:spacing w:line="269" w:lineRule="auto"/>
        <w:rPr>
          <w:rFonts w:eastAsia="Calibri"/>
          <w:b/>
          <w:bCs/>
          <w:rtl/>
        </w:rPr>
      </w:pPr>
      <w:r w:rsidRPr="00681586">
        <w:rPr>
          <w:rFonts w:eastAsia="Calibri" w:hint="cs"/>
          <w:b/>
          <w:bCs/>
          <w:rtl/>
        </w:rPr>
        <w:t xml:space="preserve">מהתרשים עולה כי מאז החלטת הממשלה בשנת 2015 גיבש בט"ל שלושה דוחות אקטואריים מלאים. הדוח שפורסם על בסיס נתוני שנת 2016 הראה כי שנת איפוס הקרן הוקדמה בשנה אחת (מ-2045 ל-2044), הדוח שפורסם על בסיס נתוני שנת 2022 הראה כי שנת איפוס הקרן הוקדמה בשמונה שנים (מ-2044 ל-2036), והדוח שפורסם על בסיס נתוני שנת 2023 הראה כי שנת איפוס הקרן הוקדמה בשנה נוספת ועומדת נכון לכתיבת דוח הביקורת על שנת 2035, דהיינו עוד תשע שנים בלבד. </w:t>
      </w:r>
      <w:r w:rsidRPr="00681586">
        <w:rPr>
          <w:rFonts w:ascii="David" w:eastAsia="Calibri" w:hAnsi="David" w:hint="eastAsia"/>
          <w:b/>
          <w:bCs/>
          <w:rtl/>
        </w:rPr>
        <w:t>הקדמ</w:t>
      </w:r>
      <w:r w:rsidRPr="00681586">
        <w:rPr>
          <w:rFonts w:ascii="David" w:eastAsia="Calibri" w:hAnsi="David" w:hint="cs"/>
          <w:b/>
          <w:bCs/>
          <w:rtl/>
        </w:rPr>
        <w:t xml:space="preserve">ת </w:t>
      </w:r>
      <w:r w:rsidRPr="00681586">
        <w:rPr>
          <w:rFonts w:ascii="David" w:eastAsia="Calibri" w:hAnsi="David" w:hint="eastAsia"/>
          <w:b/>
          <w:bCs/>
          <w:rtl/>
        </w:rPr>
        <w:t>שנת</w:t>
      </w:r>
      <w:r w:rsidRPr="00681586">
        <w:rPr>
          <w:rFonts w:eastAsia="Calibri"/>
          <w:b/>
          <w:bCs/>
          <w:rtl/>
        </w:rPr>
        <w:t xml:space="preserve"> </w:t>
      </w:r>
      <w:r w:rsidRPr="00681586">
        <w:rPr>
          <w:rFonts w:ascii="David" w:eastAsia="Calibri" w:hAnsi="David" w:hint="eastAsia"/>
          <w:b/>
          <w:bCs/>
          <w:rtl/>
        </w:rPr>
        <w:t>איפוס</w:t>
      </w:r>
      <w:r w:rsidRPr="00681586">
        <w:rPr>
          <w:rFonts w:ascii="David" w:eastAsia="Calibri" w:hAnsi="David"/>
          <w:b/>
          <w:bCs/>
          <w:rtl/>
        </w:rPr>
        <w:t xml:space="preserve"> </w:t>
      </w:r>
      <w:r w:rsidRPr="00681586">
        <w:rPr>
          <w:rFonts w:ascii="David" w:eastAsia="Calibri" w:hAnsi="David" w:hint="eastAsia"/>
          <w:b/>
          <w:bCs/>
          <w:rtl/>
        </w:rPr>
        <w:t>הקרן</w:t>
      </w:r>
      <w:r w:rsidRPr="00681586">
        <w:rPr>
          <w:rFonts w:eastAsia="Calibri"/>
          <w:b/>
          <w:bCs/>
          <w:rtl/>
        </w:rPr>
        <w:t xml:space="preserve"> </w:t>
      </w:r>
      <w:r w:rsidRPr="00681586">
        <w:rPr>
          <w:rFonts w:ascii="David" w:eastAsia="Calibri" w:hAnsi="David" w:hint="eastAsia"/>
          <w:b/>
          <w:bCs/>
          <w:rtl/>
        </w:rPr>
        <w:t>פגע</w:t>
      </w:r>
      <w:r w:rsidRPr="00681586">
        <w:rPr>
          <w:rFonts w:ascii="David" w:eastAsia="Calibri" w:hAnsi="David" w:hint="cs"/>
          <w:b/>
          <w:bCs/>
          <w:rtl/>
        </w:rPr>
        <w:t>ה</w:t>
      </w:r>
      <w:r w:rsidRPr="00681586">
        <w:rPr>
          <w:rFonts w:eastAsia="Calibri"/>
          <w:b/>
          <w:bCs/>
          <w:rtl/>
        </w:rPr>
        <w:t xml:space="preserve"> </w:t>
      </w:r>
      <w:r w:rsidRPr="00681586">
        <w:rPr>
          <w:rFonts w:ascii="David" w:eastAsia="Calibri" w:hAnsi="David" w:hint="eastAsia"/>
          <w:b/>
          <w:bCs/>
          <w:rtl/>
        </w:rPr>
        <w:t>ביציבות</w:t>
      </w:r>
      <w:r w:rsidRPr="00681586">
        <w:rPr>
          <w:rFonts w:eastAsia="Calibri"/>
          <w:b/>
          <w:bCs/>
          <w:rtl/>
        </w:rPr>
        <w:t xml:space="preserve"> </w:t>
      </w:r>
      <w:r w:rsidRPr="00681586">
        <w:rPr>
          <w:rFonts w:ascii="David" w:eastAsia="Calibri" w:hAnsi="David" w:hint="eastAsia"/>
          <w:b/>
          <w:bCs/>
          <w:rtl/>
        </w:rPr>
        <w:t>האקטוארית</w:t>
      </w:r>
      <w:r w:rsidRPr="00681586">
        <w:rPr>
          <w:rFonts w:eastAsia="Calibri"/>
          <w:b/>
          <w:bCs/>
          <w:rtl/>
        </w:rPr>
        <w:t xml:space="preserve"> </w:t>
      </w:r>
      <w:r w:rsidRPr="00681586">
        <w:rPr>
          <w:rFonts w:ascii="David" w:eastAsia="Calibri" w:hAnsi="David" w:hint="eastAsia"/>
          <w:b/>
          <w:bCs/>
          <w:rtl/>
        </w:rPr>
        <w:t>של</w:t>
      </w:r>
      <w:r w:rsidRPr="00681586">
        <w:rPr>
          <w:rFonts w:eastAsia="Calibri"/>
          <w:b/>
          <w:bCs/>
          <w:rtl/>
        </w:rPr>
        <w:t xml:space="preserve"> </w:t>
      </w:r>
      <w:r w:rsidRPr="00681586">
        <w:rPr>
          <w:rFonts w:ascii="David" w:eastAsia="Calibri" w:hAnsi="David" w:hint="eastAsia"/>
          <w:b/>
          <w:bCs/>
          <w:rtl/>
        </w:rPr>
        <w:t>בט</w:t>
      </w:r>
      <w:r w:rsidRPr="00681586">
        <w:rPr>
          <w:rFonts w:ascii="David" w:eastAsia="Calibri" w:hAnsi="David"/>
          <w:b/>
          <w:bCs/>
          <w:rtl/>
        </w:rPr>
        <w:t>"ל</w:t>
      </w:r>
      <w:r w:rsidRPr="00681586">
        <w:rPr>
          <w:rFonts w:eastAsia="Calibri"/>
          <w:b/>
          <w:bCs/>
          <w:rtl/>
        </w:rPr>
        <w:t xml:space="preserve">, </w:t>
      </w:r>
      <w:r w:rsidRPr="00681586">
        <w:rPr>
          <w:rFonts w:ascii="David" w:eastAsia="Calibri" w:hAnsi="David" w:hint="cs"/>
          <w:b/>
          <w:bCs/>
          <w:rtl/>
        </w:rPr>
        <w:t>ה</w:t>
      </w:r>
      <w:r w:rsidRPr="00681586">
        <w:rPr>
          <w:rFonts w:ascii="David" w:eastAsia="Calibri" w:hAnsi="David" w:hint="eastAsia"/>
          <w:b/>
          <w:bCs/>
          <w:rtl/>
        </w:rPr>
        <w:t>גדילה</w:t>
      </w:r>
      <w:r w:rsidRPr="00681586">
        <w:rPr>
          <w:rFonts w:eastAsia="Calibri"/>
          <w:b/>
          <w:bCs/>
          <w:rtl/>
        </w:rPr>
        <w:t xml:space="preserve"> את הסיכון ש</w:t>
      </w:r>
      <w:r w:rsidRPr="00681586">
        <w:rPr>
          <w:rFonts w:eastAsia="Calibri" w:hint="cs"/>
          <w:b/>
          <w:bCs/>
          <w:rtl/>
        </w:rPr>
        <w:t>בט"ל</w:t>
      </w:r>
      <w:r w:rsidRPr="00681586">
        <w:rPr>
          <w:rFonts w:eastAsia="Calibri"/>
          <w:b/>
          <w:bCs/>
          <w:rtl/>
        </w:rPr>
        <w:t xml:space="preserve"> יידרש לקיצוצים חדים או להעלאות דמי ביטוח בעתיד, ומערערת את האמון במנגנון</w:t>
      </w:r>
      <w:r w:rsidRPr="00681586">
        <w:rPr>
          <w:rFonts w:eastAsia="Calibri" w:hint="cs"/>
          <w:b/>
          <w:bCs/>
          <w:rtl/>
        </w:rPr>
        <w:t xml:space="preserve"> הביטחון הסוציאלי שגובה דמי ביטוח בהווה כדי לשלם גמלאות בעתיד בהתאם לחוק</w:t>
      </w:r>
      <w:r w:rsidRPr="00681586">
        <w:rPr>
          <w:rFonts w:eastAsia="Calibri"/>
          <w:b/>
          <w:bCs/>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בביקורת עלה כי מאז החלטת הממשלה בשנת 2015 התקיים דיון אחד בלבד בממשלה, בדצמבר 2018, בעניין הגירעון האקטוארי </w:t>
      </w:r>
      <w:r w:rsidRPr="00681586">
        <w:rPr>
          <w:rFonts w:eastAsia="Calibri" w:hint="eastAsia"/>
          <w:b/>
          <w:bCs/>
          <w:rtl/>
        </w:rPr>
        <w:t>של</w:t>
      </w:r>
      <w:r w:rsidRPr="00681586">
        <w:rPr>
          <w:rFonts w:eastAsia="Calibri"/>
          <w:b/>
          <w:bCs/>
          <w:rtl/>
        </w:rPr>
        <w:t xml:space="preserve"> </w:t>
      </w:r>
      <w:r w:rsidRPr="00681586">
        <w:rPr>
          <w:rFonts w:eastAsia="Calibri" w:hint="eastAsia"/>
          <w:b/>
          <w:bCs/>
          <w:rtl/>
        </w:rPr>
        <w:t>בט</w:t>
      </w:r>
      <w:r w:rsidRPr="00681586">
        <w:rPr>
          <w:rFonts w:eastAsia="Calibri"/>
          <w:b/>
          <w:bCs/>
          <w:rtl/>
        </w:rPr>
        <w:t>"ל</w:t>
      </w:r>
      <w:r w:rsidRPr="00681586">
        <w:rPr>
          <w:rFonts w:eastAsia="Calibri" w:hint="cs"/>
          <w:b/>
          <w:bCs/>
          <w:rtl/>
        </w:rPr>
        <w:t>. הדיון התקיים לאחר קבלת ההחלטה בנוגע לרפורמה בסיעוד, ובו הציג בט"ל ניתוח אקטוארי של השפעת הרפורמה בסיעוד על שנת איפוס הקרן. על פי הניתוח האקטוארי, הרפורמה בסיעוד הייתה צפויה להקדים את שנת איפוס הקרן בשמונה שנים, משנת 2045 לשנת 2037. נמצא כי לאחר הדיון לא קיבלה הממשלה החלטות אופרטיביות לטיפול באיתנות הפיננסית של בט"ל.</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עוד עלה בביקורת כי </w:t>
      </w:r>
      <w:r w:rsidRPr="00681586">
        <w:rPr>
          <w:rFonts w:eastAsia="Calibri" w:hint="eastAsia"/>
          <w:b/>
          <w:bCs/>
          <w:rtl/>
        </w:rPr>
        <w:t>שלא</w:t>
      </w:r>
      <w:r w:rsidRPr="00681586">
        <w:rPr>
          <w:rFonts w:eastAsia="Calibri"/>
          <w:b/>
          <w:bCs/>
          <w:rtl/>
        </w:rPr>
        <w:t xml:space="preserve"> </w:t>
      </w:r>
      <w:r w:rsidRPr="00681586">
        <w:rPr>
          <w:rFonts w:eastAsia="Calibri" w:hint="eastAsia"/>
          <w:b/>
          <w:bCs/>
          <w:rtl/>
        </w:rPr>
        <w:t>בהתאם</w:t>
      </w:r>
      <w:r w:rsidRPr="00681586">
        <w:rPr>
          <w:rFonts w:eastAsia="Calibri" w:hint="cs"/>
          <w:b/>
          <w:bCs/>
          <w:rtl/>
        </w:rPr>
        <w:t xml:space="preserve"> להחלטת הממשלה משנת 2015 הקובעת כי על הממשלה לדון אחת לשלוש שנים ביציבות ארוכת הטווח של בט"ל, ואף שמאז הדיון בממשלה משנת 2018 גיבש בט"ל עוד שני דוחות אקטואריים מלאים, ובשניהם הוקדמה שנת איפוס הקרן ביחס לדוחות שקדמו להם, ראש הממשלה לא העלה את הדיון בנושא לסדר היום של הממשלה, ולכן בעיית הגירעון האקטוארי של בט"ל לא נידונה בה, וממילא לא נקטה הממשלה פעולות לפתרון הסוגיה.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עוד נמצא כי ביוני 2025 משרד האוצר, בט"ל וגורמים נוספים כמו משרד הבריאות והמועצה הלאומית לכלכלה הקימו צוות בין - משרדי שיעסוק בנושא גמלת הסיעוד של בט"ל, מתוך הבנה כי גמלאות סיעוד הן מהגורמים העיקריים להתדרדרות המצב האקטוארי של בט"ל. הצוות התכנס 12 פעמים, אך נכון למועד סיום הביקורת טרם פרסם את המלצותיו.</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אגף התקציבים במשרד האוצר מסר בתשובתו מאפריל 2026 כי האתגר של התבדרות ההוצאה על סיעוד, אשר נובעת משינויי מדיניות שנעשו בהחלטות פנימיות של בט"ל ומשינויי חקיקה, נמצא על שולחנו, ובהתאם לכך הוקם צוות בין - משרדי כאמור, </w:t>
      </w:r>
      <w:r w:rsidRPr="00681586">
        <w:rPr>
          <w:rFonts w:eastAsia="Calibri"/>
          <w:rtl/>
        </w:rPr>
        <w:t>אשר מטרותיו לבחון את הגידול במספר</w:t>
      </w:r>
      <w:r w:rsidRPr="00681586">
        <w:rPr>
          <w:rFonts w:eastAsia="Calibri" w:hint="cs"/>
          <w:rtl/>
        </w:rPr>
        <w:t xml:space="preserve"> </w:t>
      </w:r>
      <w:r w:rsidRPr="00681586">
        <w:rPr>
          <w:rFonts w:eastAsia="Calibri"/>
          <w:rtl/>
        </w:rPr>
        <w:t xml:space="preserve">הזכאים לגמלת סיעוד בביטוח לאומי, </w:t>
      </w:r>
      <w:r w:rsidRPr="00681586">
        <w:rPr>
          <w:rFonts w:eastAsia="Calibri" w:hint="cs"/>
          <w:rtl/>
        </w:rPr>
        <w:t xml:space="preserve">את </w:t>
      </w:r>
      <w:r w:rsidRPr="00681586">
        <w:rPr>
          <w:rFonts w:eastAsia="Calibri"/>
          <w:rtl/>
        </w:rPr>
        <w:t>תהליך קבלת הזכאות, ו</w:t>
      </w:r>
      <w:r w:rsidRPr="00681586">
        <w:rPr>
          <w:rFonts w:eastAsia="Calibri" w:hint="cs"/>
          <w:rtl/>
        </w:rPr>
        <w:t xml:space="preserve">את </w:t>
      </w:r>
      <w:r w:rsidRPr="00681586">
        <w:rPr>
          <w:rFonts w:eastAsia="Calibri"/>
          <w:rtl/>
        </w:rPr>
        <w:t xml:space="preserve">גיבוש </w:t>
      </w:r>
      <w:r w:rsidRPr="00681586">
        <w:rPr>
          <w:rFonts w:eastAsia="Calibri" w:hint="cs"/>
          <w:rtl/>
        </w:rPr>
        <w:t>ה</w:t>
      </w:r>
      <w:r w:rsidRPr="00681586">
        <w:rPr>
          <w:rFonts w:eastAsia="Calibri"/>
          <w:rtl/>
        </w:rPr>
        <w:t>המלצות להתאמת מבנה</w:t>
      </w:r>
      <w:r w:rsidRPr="00681586">
        <w:rPr>
          <w:rFonts w:eastAsia="Calibri" w:hint="cs"/>
          <w:rtl/>
        </w:rPr>
        <w:t xml:space="preserve"> </w:t>
      </w:r>
      <w:r w:rsidRPr="00681586">
        <w:rPr>
          <w:rFonts w:eastAsia="Calibri"/>
          <w:rtl/>
        </w:rPr>
        <w:t>הגמלה</w:t>
      </w:r>
      <w:r w:rsidRPr="00681586">
        <w:rPr>
          <w:rFonts w:eastAsia="Calibri" w:hint="cs"/>
          <w:rtl/>
        </w:rPr>
        <w:t>,</w:t>
      </w:r>
      <w:r w:rsidRPr="00681586">
        <w:rPr>
          <w:rFonts w:eastAsia="Calibri"/>
          <w:rtl/>
        </w:rPr>
        <w:t xml:space="preserve"> כך שיהיה בר-קיימ</w:t>
      </w:r>
      <w:r w:rsidRPr="00681586">
        <w:rPr>
          <w:rFonts w:eastAsia="Calibri" w:hint="cs"/>
          <w:rtl/>
        </w:rPr>
        <w:t>ה</w:t>
      </w:r>
      <w:r w:rsidRPr="00681586">
        <w:rPr>
          <w:rFonts w:eastAsia="Calibri"/>
          <w:rtl/>
        </w:rPr>
        <w:t xml:space="preserve"> וית</w:t>
      </w:r>
      <w:r w:rsidRPr="00681586">
        <w:rPr>
          <w:rFonts w:eastAsia="Calibri" w:hint="cs"/>
          <w:rtl/>
        </w:rPr>
        <w:t>מוך</w:t>
      </w:r>
      <w:r w:rsidRPr="00681586">
        <w:rPr>
          <w:rFonts w:eastAsia="Calibri"/>
          <w:rtl/>
        </w:rPr>
        <w:t xml:space="preserve"> </w:t>
      </w:r>
      <w:r w:rsidRPr="00681586">
        <w:rPr>
          <w:rFonts w:eastAsia="Calibri" w:hint="cs"/>
          <w:rtl/>
        </w:rPr>
        <w:t>ב</w:t>
      </w:r>
      <w:r w:rsidRPr="00681586">
        <w:rPr>
          <w:rFonts w:eastAsia="Calibri"/>
          <w:rtl/>
        </w:rPr>
        <w:t>קצב גידול אוכלוסיית האזרחים הוותיקים, י</w:t>
      </w:r>
      <w:r w:rsidRPr="00681586">
        <w:rPr>
          <w:rFonts w:eastAsia="Calibri" w:hint="cs"/>
          <w:rtl/>
        </w:rPr>
        <w:t xml:space="preserve">קדם </w:t>
      </w:r>
      <w:r w:rsidRPr="00681586">
        <w:rPr>
          <w:rFonts w:eastAsia="Calibri"/>
          <w:rtl/>
        </w:rPr>
        <w:t>הזדקנות מיטבית ודחיקת תלות, ובמקביל יבטיח את יכולתו של הביטוח הלאומי לשלם גמלאות</w:t>
      </w:r>
      <w:r w:rsidRPr="00681586">
        <w:rPr>
          <w:rFonts w:eastAsia="Calibri" w:hint="cs"/>
          <w:rtl/>
        </w:rPr>
        <w:t xml:space="preserve"> </w:t>
      </w:r>
      <w:r w:rsidRPr="00681586">
        <w:rPr>
          <w:rFonts w:eastAsia="Calibri"/>
          <w:rtl/>
        </w:rPr>
        <w:t>גם לדורות הבאים.</w:t>
      </w:r>
      <w:r w:rsidRPr="00681586">
        <w:rPr>
          <w:rFonts w:eastAsia="Calibri" w:hint="cs"/>
          <w:rtl/>
        </w:rPr>
        <w:t xml:space="preserve"> </w:t>
      </w:r>
      <w:r w:rsidRPr="00681586">
        <w:rPr>
          <w:rFonts w:eastAsia="Calibri"/>
          <w:rtl/>
        </w:rPr>
        <w:t>המלצות הצוות</w:t>
      </w:r>
      <w:r w:rsidRPr="00681586">
        <w:rPr>
          <w:rFonts w:eastAsia="Calibri" w:hint="cs"/>
          <w:rtl/>
        </w:rPr>
        <w:t xml:space="preserve"> </w:t>
      </w:r>
      <w:r w:rsidRPr="00681586">
        <w:rPr>
          <w:rFonts w:eastAsia="Calibri"/>
          <w:rtl/>
        </w:rPr>
        <w:t xml:space="preserve">נמצאות עוד בשלב טיוטה לא סופית </w:t>
      </w:r>
      <w:r w:rsidRPr="00681586">
        <w:rPr>
          <w:rFonts w:eastAsia="Calibri" w:hint="cs"/>
          <w:rtl/>
        </w:rPr>
        <w:t>ו</w:t>
      </w:r>
      <w:r w:rsidRPr="00681586">
        <w:rPr>
          <w:rFonts w:eastAsia="Calibri"/>
          <w:rtl/>
        </w:rPr>
        <w:t>עתידות לכלול בין היתר התייחסות לשינוי במבנה</w:t>
      </w:r>
      <w:r w:rsidRPr="00681586">
        <w:rPr>
          <w:rFonts w:eastAsia="Calibri" w:hint="cs"/>
          <w:rtl/>
        </w:rPr>
        <w:t xml:space="preserve"> </w:t>
      </w:r>
      <w:r w:rsidRPr="00681586">
        <w:rPr>
          <w:rFonts w:eastAsia="Calibri"/>
          <w:rtl/>
        </w:rPr>
        <w:t>התמריצים הקיים אשר מתגמל הידרדרות תפקודית במקום שימור עצמאות ושיפור תפקוד;</w:t>
      </w:r>
      <w:r w:rsidRPr="00681586">
        <w:rPr>
          <w:rFonts w:eastAsia="Calibri" w:hint="cs"/>
          <w:rtl/>
        </w:rPr>
        <w:t xml:space="preserve"> </w:t>
      </w:r>
      <w:r w:rsidRPr="00681586">
        <w:rPr>
          <w:rFonts w:eastAsia="Calibri"/>
          <w:rtl/>
        </w:rPr>
        <w:t xml:space="preserve">הגבלות על מענים שאינם נותנים </w:t>
      </w:r>
      <w:r w:rsidRPr="00681586">
        <w:rPr>
          <w:rFonts w:eastAsia="Calibri" w:hint="cs"/>
          <w:rtl/>
        </w:rPr>
        <w:t>פתרון</w:t>
      </w:r>
      <w:r w:rsidRPr="00681586">
        <w:rPr>
          <w:rFonts w:eastAsia="Calibri"/>
          <w:rtl/>
        </w:rPr>
        <w:t xml:space="preserve"> הוליסטי ושלם לציבור הזקנים הסיעודיים</w:t>
      </w:r>
      <w:r w:rsidRPr="00681586">
        <w:rPr>
          <w:rFonts w:eastAsia="Calibri" w:hint="cs"/>
          <w:rtl/>
        </w:rPr>
        <w:t>,</w:t>
      </w:r>
      <w:r w:rsidRPr="00681586">
        <w:rPr>
          <w:rFonts w:eastAsia="Calibri"/>
          <w:rtl/>
        </w:rPr>
        <w:t xml:space="preserve"> כגון גמלה</w:t>
      </w:r>
      <w:r w:rsidRPr="00681586">
        <w:rPr>
          <w:rFonts w:eastAsia="Calibri" w:hint="cs"/>
          <w:rtl/>
        </w:rPr>
        <w:t xml:space="preserve"> </w:t>
      </w:r>
      <w:r w:rsidRPr="00681586">
        <w:rPr>
          <w:rFonts w:eastAsia="Calibri"/>
          <w:rtl/>
        </w:rPr>
        <w:t>בכסף ובני משפחה מטפלים; והצורך בדיוק הניקוד הניתן לפרמטרים השונים בבדיקת התלות.</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rtl/>
        </w:rPr>
        <w:t xml:space="preserve">המועצה </w:t>
      </w:r>
      <w:r w:rsidRPr="00681586">
        <w:rPr>
          <w:rFonts w:eastAsia="Calibri" w:hint="cs"/>
          <w:rtl/>
        </w:rPr>
        <w:t xml:space="preserve">הלאומית לכלכלה מסרה בתשובתה ממאי 2025 (להלן - תשובת המועצה הלאומית לכלכלה) כי היא </w:t>
      </w:r>
      <w:r w:rsidRPr="00681586">
        <w:rPr>
          <w:rFonts w:eastAsia="Calibri"/>
          <w:rtl/>
        </w:rPr>
        <w:t>שותפה לדאגת המבקר נוכח</w:t>
      </w:r>
      <w:r w:rsidRPr="00681586">
        <w:rPr>
          <w:rFonts w:eastAsia="Calibri" w:hint="cs"/>
          <w:rtl/>
        </w:rPr>
        <w:t xml:space="preserve"> </w:t>
      </w:r>
      <w:r w:rsidRPr="00681586">
        <w:rPr>
          <w:rFonts w:eastAsia="Calibri"/>
          <w:rtl/>
        </w:rPr>
        <w:t>הגידול החד והמשמעותי בהוצאות ביטוח</w:t>
      </w:r>
      <w:r w:rsidRPr="00681586">
        <w:rPr>
          <w:rFonts w:eastAsia="Calibri" w:hint="cs"/>
          <w:rtl/>
        </w:rPr>
        <w:t xml:space="preserve"> </w:t>
      </w:r>
      <w:r w:rsidRPr="00681586">
        <w:rPr>
          <w:rFonts w:eastAsia="Calibri"/>
          <w:rtl/>
        </w:rPr>
        <w:t>לאומי על גמלת הסיעוד, שזינקו מחצי</w:t>
      </w:r>
      <w:r w:rsidRPr="00681586">
        <w:rPr>
          <w:rFonts w:eastAsia="Calibri" w:hint="cs"/>
          <w:rtl/>
        </w:rPr>
        <w:t xml:space="preserve"> </w:t>
      </w:r>
      <w:r w:rsidRPr="00681586">
        <w:rPr>
          <w:rFonts w:eastAsia="Calibri"/>
          <w:rtl/>
        </w:rPr>
        <w:t>אחוז תוצר בשנת 2017 לאחוז תוצר בסוף</w:t>
      </w:r>
      <w:r w:rsidRPr="00681586">
        <w:rPr>
          <w:rFonts w:eastAsia="Calibri" w:hint="cs"/>
          <w:rtl/>
        </w:rPr>
        <w:t xml:space="preserve"> </w:t>
      </w:r>
      <w:r w:rsidRPr="00681586">
        <w:rPr>
          <w:rFonts w:eastAsia="Calibri"/>
          <w:rtl/>
        </w:rPr>
        <w:t>2025. המועצה רואה חשיבות עליונה</w:t>
      </w:r>
      <w:r w:rsidRPr="00681586">
        <w:rPr>
          <w:rFonts w:eastAsia="Calibri" w:hint="cs"/>
          <w:rtl/>
        </w:rPr>
        <w:t xml:space="preserve"> </w:t>
      </w:r>
      <w:r w:rsidRPr="00681586">
        <w:rPr>
          <w:rFonts w:eastAsia="Calibri"/>
          <w:rtl/>
        </w:rPr>
        <w:t>בנקיטת צעדים אופרטיביים שישיבו את</w:t>
      </w:r>
      <w:r w:rsidRPr="00681586">
        <w:rPr>
          <w:rFonts w:eastAsia="Calibri" w:hint="cs"/>
          <w:rtl/>
        </w:rPr>
        <w:t xml:space="preserve"> </w:t>
      </w:r>
      <w:r w:rsidRPr="00681586">
        <w:rPr>
          <w:rFonts w:eastAsia="Calibri"/>
          <w:rtl/>
        </w:rPr>
        <w:t>המערכת למסלול בר</w:t>
      </w:r>
      <w:r w:rsidRPr="00681586">
        <w:rPr>
          <w:rFonts w:eastAsia="Calibri" w:hint="cs"/>
          <w:rtl/>
        </w:rPr>
        <w:t>-</w:t>
      </w:r>
      <w:r w:rsidRPr="00681586">
        <w:rPr>
          <w:rFonts w:eastAsia="Calibri"/>
          <w:rtl/>
        </w:rPr>
        <w:t>קיימ</w:t>
      </w:r>
      <w:r w:rsidRPr="00681586">
        <w:rPr>
          <w:rFonts w:eastAsia="Calibri" w:hint="cs"/>
          <w:rtl/>
        </w:rPr>
        <w:t>ה</w:t>
      </w:r>
      <w:r w:rsidRPr="00681586">
        <w:rPr>
          <w:rFonts w:eastAsia="Calibri"/>
          <w:rtl/>
        </w:rPr>
        <w:t xml:space="preserve"> מבחינת הוצאה ציבורית. המועצה רואה בהצפת</w:t>
      </w:r>
      <w:r w:rsidRPr="00681586">
        <w:rPr>
          <w:rFonts w:eastAsia="Calibri" w:hint="cs"/>
          <w:rtl/>
        </w:rPr>
        <w:t xml:space="preserve"> ה</w:t>
      </w:r>
      <w:r w:rsidRPr="00681586">
        <w:rPr>
          <w:rFonts w:eastAsia="Calibri"/>
          <w:rtl/>
        </w:rPr>
        <w:t>נושא בפני הציבור צעד מכריע, שכן</w:t>
      </w:r>
      <w:r w:rsidRPr="00681586">
        <w:rPr>
          <w:rFonts w:eastAsia="Calibri" w:hint="cs"/>
          <w:rtl/>
        </w:rPr>
        <w:t xml:space="preserve"> </w:t>
      </w:r>
      <w:r w:rsidRPr="00681586">
        <w:rPr>
          <w:rFonts w:eastAsia="Calibri"/>
          <w:rtl/>
        </w:rPr>
        <w:t>מדובר בסוגיה לאומית המחייבת קבלת</w:t>
      </w:r>
      <w:r w:rsidRPr="00681586">
        <w:rPr>
          <w:rFonts w:eastAsia="Calibri" w:hint="cs"/>
          <w:rtl/>
        </w:rPr>
        <w:t xml:space="preserve"> </w:t>
      </w:r>
      <w:r w:rsidRPr="00681586">
        <w:rPr>
          <w:rFonts w:eastAsia="Calibri"/>
          <w:rtl/>
        </w:rPr>
        <w:t>החלטות משמעותיות בראייה ארוכת</w:t>
      </w:r>
      <w:r w:rsidRPr="00681586">
        <w:rPr>
          <w:rFonts w:eastAsia="Calibri" w:hint="cs"/>
          <w:rtl/>
        </w:rPr>
        <w:t xml:space="preserve"> </w:t>
      </w:r>
      <w:r w:rsidRPr="00681586">
        <w:rPr>
          <w:rFonts w:eastAsia="Calibri"/>
          <w:rtl/>
        </w:rPr>
        <w:t xml:space="preserve">טווח. </w:t>
      </w:r>
      <w:r w:rsidRPr="00681586">
        <w:rPr>
          <w:rFonts w:eastAsia="Calibri" w:hint="cs"/>
          <w:rtl/>
        </w:rPr>
        <w:t>עוד מסרה המועצה בתשובתה כי היא משתתפת באופן פעיל בצוות הבין-משרדי לצד משרד האוצר ובט"ל, וכי הצוות מגבש המלצות משמעותיות שיתמקדו בשנוי מבנה התמריצים, טיוב המענה הבריאותי והחזרת ההוצאה של בט"ל לנתיב בר-קיימה. המועצה מדגישה כי המדיניות שתגובש תשאף לאזן בין האחריות התקציבית למשק לבין המחויבות הערכית והחברתית כלפי הקשישים בישראל.</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eastAsia"/>
          <w:b/>
          <w:bCs/>
          <w:rtl/>
        </w:rPr>
        <w:t>בשל</w:t>
      </w:r>
      <w:r w:rsidRPr="00681586">
        <w:rPr>
          <w:rFonts w:eastAsia="Calibri"/>
          <w:b/>
          <w:bCs/>
          <w:rtl/>
        </w:rPr>
        <w:t xml:space="preserve"> מצבו האקטוארי החמור של </w:t>
      </w:r>
      <w:r w:rsidRPr="00681586">
        <w:rPr>
          <w:rFonts w:eastAsia="Calibri" w:hint="eastAsia"/>
          <w:b/>
          <w:bCs/>
          <w:rtl/>
        </w:rPr>
        <w:t>בט</w:t>
      </w:r>
      <w:r w:rsidRPr="00681586">
        <w:rPr>
          <w:rFonts w:eastAsia="Calibri"/>
          <w:b/>
          <w:bCs/>
          <w:rtl/>
        </w:rPr>
        <w:t>"ל</w:t>
      </w:r>
      <w:r w:rsidRPr="00681586">
        <w:rPr>
          <w:rFonts w:eastAsia="Calibri" w:hint="cs"/>
          <w:b/>
          <w:bCs/>
          <w:rtl/>
        </w:rPr>
        <w:t xml:space="preserve"> מומלץ כי הצוות הבין-משרדי יסיים את עבודתו ויפרסם את המלצותיו בהקדם. עוד מומלץ כי שר העבודה, המפקח על בט"ל, ומועצת בט"ל בשיתוף עם </w:t>
      </w:r>
      <w:r w:rsidRPr="00681586">
        <w:rPr>
          <w:rFonts w:eastAsia="Calibri" w:hint="cs"/>
          <w:b/>
          <w:bCs/>
          <w:rtl/>
        </w:rPr>
        <w:t xml:space="preserve">שר האוצר יגישו בהקדם את המתווה הממשלתי לטיפול בגירעון האקטוארי ולדחיית שנת איפוס הקרן. על ראש הממשלה, בהתאם להחלטת הממשלה משנת 2015, להביא לדיון בממשלה את בעיית הגירעון האקטוארי </w:t>
      </w:r>
      <w:r w:rsidRPr="00681586">
        <w:rPr>
          <w:rFonts w:eastAsia="Calibri" w:hint="eastAsia"/>
          <w:b/>
          <w:bCs/>
          <w:rtl/>
        </w:rPr>
        <w:t>של</w:t>
      </w:r>
      <w:r w:rsidRPr="00681586">
        <w:rPr>
          <w:rFonts w:eastAsia="Calibri"/>
          <w:b/>
          <w:bCs/>
          <w:rtl/>
        </w:rPr>
        <w:t xml:space="preserve"> </w:t>
      </w:r>
      <w:r w:rsidRPr="00681586">
        <w:rPr>
          <w:rFonts w:eastAsia="Calibri" w:hint="eastAsia"/>
          <w:b/>
          <w:bCs/>
          <w:rtl/>
        </w:rPr>
        <w:t>בט</w:t>
      </w:r>
      <w:r w:rsidRPr="00681586">
        <w:rPr>
          <w:rFonts w:eastAsia="Calibri"/>
          <w:b/>
          <w:bCs/>
          <w:rtl/>
        </w:rPr>
        <w:t>"ל</w:t>
      </w:r>
      <w:r w:rsidRPr="00681586">
        <w:rPr>
          <w:rFonts w:eastAsia="Calibri" w:hint="cs"/>
          <w:b/>
          <w:bCs/>
          <w:rtl/>
        </w:rPr>
        <w:t xml:space="preserve"> ולפעול למצוא לה פתרונות. </w:t>
      </w:r>
    </w:p>
    <w:p w:rsidR="00681586" w:rsidRPr="00681586" w:rsidP="00681586">
      <w:pPr>
        <w:spacing w:line="269" w:lineRule="auto"/>
        <w:rPr>
          <w:rFonts w:eastAsia="Calibri"/>
          <w:b/>
          <w:bCs/>
          <w:rtl/>
        </w:rPr>
      </w:pPr>
    </w:p>
    <w:p w:rsidR="00681586" w:rsidRPr="00681586" w:rsidP="00681586">
      <w:pPr>
        <w:keepNext/>
        <w:keepLines/>
        <w:spacing w:line="269" w:lineRule="auto"/>
        <w:outlineLvl w:val="5"/>
        <w:rPr>
          <w:rFonts w:eastAsia="Times New Roman"/>
          <w:spacing w:val="40"/>
          <w:rtl/>
        </w:rPr>
      </w:pPr>
      <w:r w:rsidRPr="00681586">
        <w:rPr>
          <w:rFonts w:eastAsia="Times New Roman"/>
          <w:spacing w:val="40"/>
          <w:rtl/>
        </w:rPr>
        <w:t xml:space="preserve">דיונים בקבינט החברתי-כלכלי ובמועצת הביטוח הלאומי על הגירעון התקציבי של </w:t>
      </w:r>
      <w:r w:rsidRPr="00681586">
        <w:rPr>
          <w:rFonts w:eastAsia="Times New Roman" w:hint="cs"/>
          <w:spacing w:val="40"/>
          <w:rtl/>
        </w:rPr>
        <w:t>ביטוח לאומי</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sz w:val="18"/>
          <w:szCs w:val="22"/>
          <w:rtl/>
        </w:rPr>
      </w:pPr>
      <w:r w:rsidRPr="00681586">
        <w:rPr>
          <w:rFonts w:eastAsia="Calibri" w:hint="cs"/>
          <w:rtl/>
        </w:rPr>
        <w:t>על פי חוק בט"ל</w:t>
      </w:r>
      <w:r>
        <w:rPr>
          <w:rFonts w:eastAsia="Calibri"/>
          <w:vertAlign w:val="superscript"/>
          <w:rtl/>
        </w:rPr>
        <w:footnoteReference w:id="103"/>
      </w:r>
      <w:r w:rsidRPr="00681586">
        <w:rPr>
          <w:rFonts w:eastAsia="Calibri" w:hint="cs"/>
          <w:rtl/>
        </w:rPr>
        <w:t xml:space="preserve">, על </w:t>
      </w:r>
      <w:r w:rsidRPr="00681586">
        <w:rPr>
          <w:rFonts w:ascii="FrankRuehl" w:eastAsia="Calibri" w:hAnsi="FrankRuehl"/>
          <w:color w:val="000000"/>
          <w:sz w:val="24"/>
          <w:rtl/>
        </w:rPr>
        <w:t xml:space="preserve">המינהלה </w:t>
      </w:r>
      <w:r w:rsidRPr="00681586">
        <w:rPr>
          <w:rFonts w:ascii="FrankRuehl" w:eastAsia="Calibri" w:hAnsi="FrankRuehl" w:hint="cs"/>
          <w:color w:val="000000"/>
          <w:sz w:val="24"/>
          <w:rtl/>
        </w:rPr>
        <w:t>לה</w:t>
      </w:r>
      <w:r w:rsidRPr="00681586">
        <w:rPr>
          <w:rFonts w:ascii="FrankRuehl" w:eastAsia="Calibri" w:hAnsi="FrankRuehl"/>
          <w:color w:val="000000"/>
          <w:sz w:val="24"/>
          <w:rtl/>
        </w:rPr>
        <w:t>כין</w:t>
      </w:r>
      <w:r w:rsidRPr="00681586">
        <w:rPr>
          <w:rFonts w:ascii="FrankRuehl" w:eastAsia="Calibri" w:hAnsi="FrankRuehl" w:hint="cs"/>
          <w:color w:val="000000"/>
          <w:sz w:val="24"/>
          <w:rtl/>
        </w:rPr>
        <w:t xml:space="preserve"> </w:t>
      </w:r>
      <w:r w:rsidRPr="00681586">
        <w:rPr>
          <w:rFonts w:ascii="FrankRuehl" w:eastAsia="Calibri" w:hAnsi="FrankRuehl"/>
          <w:color w:val="000000"/>
          <w:sz w:val="24"/>
          <w:rtl/>
        </w:rPr>
        <w:t>הצעת תקציב שנתי למוסד ו</w:t>
      </w:r>
      <w:r w:rsidRPr="00681586">
        <w:rPr>
          <w:rFonts w:ascii="FrankRuehl" w:eastAsia="Calibri" w:hAnsi="FrankRuehl" w:hint="cs"/>
          <w:color w:val="000000"/>
          <w:sz w:val="24"/>
          <w:rtl/>
        </w:rPr>
        <w:t>לה</w:t>
      </w:r>
      <w:r w:rsidRPr="00681586">
        <w:rPr>
          <w:rFonts w:ascii="FrankRuehl" w:eastAsia="Calibri" w:hAnsi="FrankRuehl"/>
          <w:color w:val="000000"/>
          <w:sz w:val="24"/>
          <w:rtl/>
        </w:rPr>
        <w:t>גיש אותה למועצה</w:t>
      </w:r>
      <w:r w:rsidRPr="00681586">
        <w:rPr>
          <w:rFonts w:ascii="FrankRuehl" w:eastAsia="Calibri" w:hAnsi="FrankRuehl" w:hint="cs"/>
          <w:color w:val="000000"/>
          <w:sz w:val="24"/>
          <w:rtl/>
        </w:rPr>
        <w:t xml:space="preserve">. עוד קובע החוק כי </w:t>
      </w:r>
      <w:r w:rsidRPr="00681586">
        <w:rPr>
          <w:rFonts w:ascii="FrankRuehl" w:eastAsia="Calibri" w:hAnsi="FrankRuehl"/>
          <w:color w:val="000000"/>
          <w:sz w:val="24"/>
          <w:rtl/>
        </w:rPr>
        <w:t>המועצה תדון בהצעת התקציב ותעביר אותה לאישורו של השר</w:t>
      </w:r>
      <w:r w:rsidRPr="00681586">
        <w:rPr>
          <w:rFonts w:ascii="FrankRuehl" w:eastAsia="Calibri" w:hAnsi="FrankRuehl" w:hint="cs"/>
          <w:color w:val="000000"/>
          <w:sz w:val="24"/>
          <w:rtl/>
        </w:rPr>
        <w:t xml:space="preserve">. בנוסף, </w:t>
      </w:r>
      <w:r w:rsidRPr="00681586">
        <w:rPr>
          <w:rFonts w:ascii="FrankRuehl" w:eastAsia="Calibri" w:hAnsi="FrankRuehl"/>
          <w:color w:val="000000"/>
          <w:sz w:val="24"/>
          <w:rtl/>
        </w:rPr>
        <w:t>השר רשאי, לאחר בירור במינהלה, לאשר את התקציב כפי שהוצע או בשינויים שימצא לנכון</w:t>
      </w:r>
      <w:r>
        <w:rPr>
          <w:rFonts w:eastAsia="Calibri"/>
          <w:vertAlign w:val="superscript"/>
          <w:rtl/>
        </w:rPr>
        <w:footnoteReference w:id="104"/>
      </w:r>
      <w:r w:rsidRPr="00681586">
        <w:rPr>
          <w:rFonts w:ascii="FrankRuehl" w:eastAsia="Calibri" w:hAnsi="FrankRuehl"/>
          <w:color w:val="000000"/>
          <w:sz w:val="24"/>
        </w:rPr>
        <w:t>.</w:t>
      </w:r>
      <w:r w:rsidRPr="00681586">
        <w:rPr>
          <w:rFonts w:eastAsia="Calibri" w:hint="cs"/>
          <w:sz w:val="18"/>
          <w:szCs w:val="22"/>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החלטת הממשלה משנת 2015 בנושא צמצום הגירעון של המוסד לביטוח לאומי</w:t>
      </w:r>
      <w:r>
        <w:rPr>
          <w:rFonts w:eastAsia="Calibri"/>
          <w:vertAlign w:val="superscript"/>
          <w:rtl/>
        </w:rPr>
        <w:footnoteReference w:id="105"/>
      </w:r>
      <w:r w:rsidRPr="00681586">
        <w:rPr>
          <w:rFonts w:eastAsia="Calibri" w:hint="cs"/>
          <w:rtl/>
        </w:rPr>
        <w:t xml:space="preserve"> קבעה כי</w:t>
      </w:r>
      <w:r w:rsidRPr="00681586">
        <w:rPr>
          <w:rFonts w:ascii="Rubik" w:eastAsia="Calibri" w:hAnsi="Rubik"/>
          <w:color w:val="0C3058"/>
          <w:shd w:val="clear" w:color="auto" w:fill="FFFFFF"/>
          <w:rtl/>
        </w:rPr>
        <w:t xml:space="preserve"> </w:t>
      </w:r>
      <w:r w:rsidRPr="00681586">
        <w:rPr>
          <w:rFonts w:ascii="Rubik" w:eastAsia="Calibri" w:hAnsi="Rubik"/>
          <w:shd w:val="clear" w:color="auto" w:fill="FFFFFF"/>
          <w:rtl/>
        </w:rPr>
        <w:t>הקבינט החברתי-כלכלי</w:t>
      </w:r>
      <w:r>
        <w:rPr>
          <w:rFonts w:ascii="Rubik" w:eastAsia="Calibri" w:hAnsi="Rubik"/>
          <w:shd w:val="clear" w:color="auto" w:fill="FFFFFF"/>
          <w:vertAlign w:val="superscript"/>
          <w:rtl/>
        </w:rPr>
        <w:footnoteReference w:id="106"/>
      </w:r>
      <w:r w:rsidRPr="00681586">
        <w:rPr>
          <w:rFonts w:ascii="Rubik" w:eastAsia="Calibri" w:hAnsi="Rubik"/>
          <w:shd w:val="clear" w:color="auto" w:fill="FFFFFF"/>
          <w:rtl/>
        </w:rPr>
        <w:t xml:space="preserve"> יקיים אחת לשנה דיון בנוגע למאזן המוסד</w:t>
      </w:r>
      <w:r w:rsidRPr="00681586">
        <w:rPr>
          <w:rFonts w:ascii="Rubik" w:eastAsia="Calibri" w:hAnsi="Rubik" w:hint="cs"/>
          <w:shd w:val="clear" w:color="auto" w:fill="FFFFFF"/>
          <w:rtl/>
        </w:rPr>
        <w:t xml:space="preserve"> ויציבותו ארוכת הטווח כולל</w:t>
      </w:r>
      <w:r w:rsidRPr="00681586">
        <w:rPr>
          <w:rFonts w:ascii="Rubik" w:eastAsia="Calibri" w:hAnsi="Rubik"/>
          <w:shd w:val="clear" w:color="auto" w:fill="FFFFFF"/>
          <w:rtl/>
        </w:rPr>
        <w:t xml:space="preserve"> דין וחשבון אקטוארי שנתי. </w:t>
      </w:r>
      <w:r w:rsidRPr="00681586">
        <w:rPr>
          <w:rFonts w:ascii="Rubik" w:eastAsia="Calibri" w:hAnsi="Rubik" w:hint="cs"/>
          <w:shd w:val="clear" w:color="auto" w:fill="FFFFFF"/>
          <w:rtl/>
        </w:rPr>
        <w:t xml:space="preserve">נקבע כי </w:t>
      </w:r>
      <w:r w:rsidRPr="00681586">
        <w:rPr>
          <w:rFonts w:ascii="Rubik" w:eastAsia="Calibri" w:hAnsi="Rubik"/>
          <w:shd w:val="clear" w:color="auto" w:fill="FFFFFF"/>
          <w:rtl/>
        </w:rPr>
        <w:t>במסגרת הדיון האמור יציגו שרי האוצר וה</w:t>
      </w:r>
      <w:r w:rsidRPr="00681586">
        <w:rPr>
          <w:rFonts w:ascii="Rubik" w:eastAsia="Calibri" w:hAnsi="Rubik" w:hint="cs"/>
          <w:shd w:val="clear" w:color="auto" w:fill="FFFFFF"/>
          <w:rtl/>
        </w:rPr>
        <w:t>רווחה</w:t>
      </w:r>
      <w:r>
        <w:rPr>
          <w:rFonts w:ascii="Rubik" w:eastAsia="Calibri" w:hAnsi="Rubik"/>
          <w:shd w:val="clear" w:color="auto" w:fill="FFFFFF"/>
          <w:vertAlign w:val="superscript"/>
          <w:rtl/>
        </w:rPr>
        <w:footnoteReference w:id="107"/>
      </w:r>
      <w:r w:rsidRPr="00681586">
        <w:rPr>
          <w:rFonts w:ascii="Rubik" w:eastAsia="Calibri" w:hAnsi="Rubik"/>
          <w:shd w:val="clear" w:color="auto" w:fill="FFFFFF"/>
          <w:rtl/>
        </w:rPr>
        <w:t xml:space="preserve"> מתווה לשינויים מבניים ו</w:t>
      </w:r>
      <w:r w:rsidRPr="00681586">
        <w:rPr>
          <w:rFonts w:ascii="Rubik" w:eastAsia="Calibri" w:hAnsi="Rubik" w:hint="cs"/>
          <w:shd w:val="clear" w:color="auto" w:fill="FFFFFF"/>
          <w:rtl/>
        </w:rPr>
        <w:t>ל</w:t>
      </w:r>
      <w:r w:rsidRPr="00681586">
        <w:rPr>
          <w:rFonts w:ascii="Rubik" w:eastAsia="Calibri" w:hAnsi="Rubik"/>
          <w:shd w:val="clear" w:color="auto" w:fill="FFFFFF"/>
          <w:rtl/>
        </w:rPr>
        <w:t xml:space="preserve">התייעלות של </w:t>
      </w:r>
      <w:r w:rsidRPr="00681586">
        <w:rPr>
          <w:rFonts w:ascii="Rubik" w:eastAsia="Calibri" w:hAnsi="Rubik" w:hint="cs"/>
          <w:shd w:val="clear" w:color="auto" w:fill="FFFFFF"/>
          <w:rtl/>
        </w:rPr>
        <w:t>בט"ל</w:t>
      </w:r>
      <w:r w:rsidRPr="00681586">
        <w:rPr>
          <w:rFonts w:ascii="Rubik" w:eastAsia="Calibri" w:hAnsi="Rubik"/>
          <w:shd w:val="clear" w:color="auto" w:fill="FFFFFF"/>
          <w:rtl/>
        </w:rPr>
        <w:t xml:space="preserve">. במידת הצורך יחליט יושב ראש </w:t>
      </w:r>
      <w:r w:rsidRPr="00681586">
        <w:rPr>
          <w:rFonts w:ascii="Rubik" w:eastAsia="Calibri" w:hAnsi="Rubik" w:hint="cs"/>
          <w:shd w:val="clear" w:color="auto" w:fill="FFFFFF"/>
          <w:rtl/>
        </w:rPr>
        <w:t xml:space="preserve">הקבינט </w:t>
      </w:r>
      <w:r w:rsidRPr="00681586">
        <w:rPr>
          <w:rFonts w:ascii="Rubik" w:eastAsia="Calibri" w:hAnsi="Rubik"/>
          <w:shd w:val="clear" w:color="auto" w:fill="FFFFFF"/>
          <w:rtl/>
        </w:rPr>
        <w:t>על דיון בנושא זה בממשלה. לדיון זה יוזמן המנהל הכללי של המוסד</w:t>
      </w:r>
      <w:r w:rsidRPr="00681586">
        <w:rPr>
          <w:rFonts w:ascii="Rubik" w:eastAsia="Calibri" w:hAnsi="Rubik" w:hint="cs"/>
          <w:shd w:val="clear" w:color="auto" w:fill="FFFFFF"/>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בתרשים שלהלן התפתחות העודפים או הגירעונות בתקציב הביטוחי</w:t>
      </w:r>
      <w:r>
        <w:rPr>
          <w:rFonts w:eastAsia="Calibri"/>
          <w:vertAlign w:val="superscript"/>
          <w:rtl/>
        </w:rPr>
        <w:footnoteReference w:id="108"/>
      </w:r>
      <w:r w:rsidRPr="00681586">
        <w:rPr>
          <w:rFonts w:eastAsia="Calibri" w:hint="cs"/>
          <w:rtl/>
        </w:rPr>
        <w:t xml:space="preserve"> של בט"ל בשנים 2016 - 2024</w:t>
      </w:r>
      <w:r>
        <w:rPr>
          <w:rFonts w:eastAsia="Calibri"/>
          <w:vertAlign w:val="superscript"/>
          <w:rtl/>
        </w:rPr>
        <w:footnoteReference w:id="109"/>
      </w:r>
      <w:r w:rsidRPr="00681586">
        <w:rPr>
          <w:rFonts w:eastAsia="Calibri" w:hint="cs"/>
          <w:rtl/>
        </w:rPr>
        <w:t>. התרשים כולל גם נתוני אומדן לשנת 2025; נתוני 2026 הם נתוני תחזית בלבד.</w:t>
      </w:r>
    </w:p>
    <w:p w:rsidR="00681586" w:rsidRPr="00681586" w:rsidP="00681586">
      <w:pPr>
        <w:spacing w:line="269" w:lineRule="auto"/>
        <w:ind w:left="-567"/>
        <w:rPr>
          <w:rFonts w:eastAsia="Calibri"/>
          <w:szCs w:val="20"/>
          <w:rtl/>
        </w:rPr>
      </w:pPr>
    </w:p>
    <w:p w:rsidR="00681586" w:rsidRPr="00681586" w:rsidP="00681586">
      <w:pPr>
        <w:spacing w:line="269" w:lineRule="auto"/>
        <w:jc w:val="center"/>
        <w:rPr>
          <w:rFonts w:eastAsia="Calibri"/>
          <w:b/>
          <w:bCs/>
          <w:rtl/>
        </w:rPr>
      </w:pPr>
      <w:r w:rsidRPr="00681586">
        <w:rPr>
          <w:rFonts w:eastAsia="Calibri" w:hint="cs"/>
          <w:rtl/>
        </w:rPr>
        <w:t xml:space="preserve">תרשים 20: </w:t>
      </w:r>
      <w:r w:rsidRPr="00681586">
        <w:rPr>
          <w:rFonts w:eastAsia="Calibri" w:hint="cs"/>
          <w:b/>
          <w:bCs/>
          <w:rtl/>
        </w:rPr>
        <w:t xml:space="preserve">העודפים או הגירעונות של התקציב הביטוחי בביטוח הלאומי, 2014 - 2026 (תחזית) (במיליארדי ש"ח) </w:t>
      </w:r>
    </w:p>
    <w:p w:rsidR="00681586" w:rsidRPr="00681586" w:rsidP="00681586">
      <w:pPr>
        <w:spacing w:line="269" w:lineRule="auto"/>
        <w:jc w:val="center"/>
        <w:rPr>
          <w:rFonts w:eastAsia="Calibri"/>
          <w:b/>
          <w:bCs/>
          <w:rtl/>
        </w:rPr>
      </w:pPr>
      <w:r w:rsidRPr="00681586">
        <w:rPr>
          <w:rFonts w:eastAsia="Calibri"/>
          <w:b/>
          <w:bCs/>
          <w:noProof/>
        </w:rPr>
        <w:drawing>
          <wp:inline distT="0" distB="0" distL="0" distR="0">
            <wp:extent cx="4572059" cy="2626242"/>
            <wp:effectExtent l="0" t="0" r="0" b="3175"/>
            <wp:docPr id="98" name="תמונה 98" descr="העודפים או הגירעונות של התקציב הביטוחי בביטוח הלאומי, 2014 - 2026 (תחזית) (במיליארדי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27"/>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t="4836" b="9844"/>
                    <a:stretch>
                      <a:fillRect/>
                    </a:stretch>
                  </pic:blipFill>
                  <pic:spPr bwMode="auto">
                    <a:xfrm>
                      <a:off x="0" y="0"/>
                      <a:ext cx="4572635" cy="262657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81586" w:rsidRPr="00681586" w:rsidP="00681586">
      <w:pPr>
        <w:spacing w:line="269" w:lineRule="auto"/>
        <w:jc w:val="left"/>
        <w:rPr>
          <w:rFonts w:eastAsia="Calibri"/>
          <w:szCs w:val="20"/>
          <w:rtl/>
        </w:rPr>
      </w:pPr>
      <w:r w:rsidRPr="00681586">
        <w:rPr>
          <w:rFonts w:eastAsia="Calibri" w:hint="cs"/>
          <w:szCs w:val="20"/>
          <w:rtl/>
        </w:rPr>
        <w:t xml:space="preserve">על פי נתוני המוסד לביטוח לאומי, </w:t>
      </w:r>
      <w:r w:rsidRPr="00681586">
        <w:rPr>
          <w:rFonts w:eastAsia="Calibri"/>
          <w:szCs w:val="20"/>
          <w:rtl/>
        </w:rPr>
        <w:t xml:space="preserve">בעיבוד משרד מבקר המדינה.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מהתרשים עולה כי פרט לשנת 2020, שהייתה שנת קורונה, עד שנת 2023 תקציב הביטוח של בט"ל היה בעודף, ואילו בשנים ב-2024, ב-2025 וב-2026 התקציב היה גרעוני עם תחזית לגרעון של כ-10 מיליארד ש"ח בשנת 2026.</w:t>
      </w:r>
    </w:p>
    <w:p w:rsidR="00681586" w:rsidRPr="00681586" w:rsidP="00681586">
      <w:pPr>
        <w:spacing w:line="269" w:lineRule="auto"/>
        <w:ind w:left="-567"/>
        <w:rPr>
          <w:rFonts w:eastAsia="Calibri"/>
          <w:b/>
          <w:bCs/>
          <w:szCs w:val="20"/>
          <w:rtl/>
        </w:rPr>
      </w:pPr>
    </w:p>
    <w:p w:rsidR="00681586" w:rsidRPr="00681586" w:rsidP="00681586">
      <w:pPr>
        <w:spacing w:line="269" w:lineRule="auto"/>
        <w:rPr>
          <w:rFonts w:eastAsia="Calibri"/>
          <w:b/>
          <w:bCs/>
          <w:rtl/>
        </w:rPr>
      </w:pPr>
      <w:r w:rsidRPr="00681586">
        <w:rPr>
          <w:rFonts w:eastAsia="Calibri" w:hint="cs"/>
          <w:b/>
          <w:bCs/>
          <w:rtl/>
        </w:rPr>
        <w:t>בביקורת עלה כי בניגוד להחלטת הממשלה משנת 2015, ש</w:t>
      </w:r>
      <w:r w:rsidRPr="00681586">
        <w:rPr>
          <w:rFonts w:eastAsia="Calibri"/>
          <w:b/>
          <w:bCs/>
          <w:rtl/>
        </w:rPr>
        <w:t xml:space="preserve">קבעה כי הקבינט החברתי-כלכלי יקיים אחת לשנה דיון בנוגע למאזן </w:t>
      </w:r>
      <w:r w:rsidRPr="00681586">
        <w:rPr>
          <w:rFonts w:eastAsia="Calibri" w:hint="cs"/>
          <w:b/>
          <w:bCs/>
          <w:rtl/>
        </w:rPr>
        <w:t xml:space="preserve">בט"ל </w:t>
      </w:r>
      <w:r w:rsidRPr="00681586">
        <w:rPr>
          <w:rFonts w:eastAsia="Calibri"/>
          <w:b/>
          <w:bCs/>
          <w:rtl/>
        </w:rPr>
        <w:t>ולדין וחשבון האקטוארי השנתי</w:t>
      </w:r>
      <w:r w:rsidRPr="00681586">
        <w:rPr>
          <w:rFonts w:eastAsia="Calibri" w:hint="cs"/>
          <w:b/>
          <w:bCs/>
          <w:rtl/>
        </w:rPr>
        <w:t>, בשנים 2015 - 2025 הקבינט החברתי כלכלי לא קיים שום דיון בנוגע למאזן בט"ל וליציבותו ארוכת הטווח של המוסד. היעדר דיון כזה פוגע ביכולתה של הממשלה לעקוב אחר התקציב השנתי של בט"ל ולפעול לצמצום הגירעון השנתי בזמן.</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על הקבינט החברתי-כלכלי לקיים דיון אחת לשנה בנוגע למאזן המוסד ולדין וחשבון האקטוארי השנתי בהתאם להחלטת הממשלה משנת 2015.</w:t>
      </w:r>
    </w:p>
    <w:p w:rsidR="00681586" w:rsidRPr="00681586" w:rsidP="00681586">
      <w:pPr>
        <w:spacing w:line="269" w:lineRule="auto"/>
        <w:ind w:left="-568"/>
        <w:rPr>
          <w:rFonts w:eastAsia="Calibri"/>
          <w:rtl/>
        </w:rPr>
      </w:pPr>
    </w:p>
    <w:p w:rsidR="00681586" w:rsidRPr="00681586" w:rsidP="00681586">
      <w:pPr>
        <w:spacing w:line="269" w:lineRule="auto"/>
        <w:rPr>
          <w:rFonts w:eastAsia="Calibri"/>
          <w:rtl/>
        </w:rPr>
      </w:pPr>
      <w:r w:rsidRPr="00681586">
        <w:rPr>
          <w:rFonts w:eastAsia="Calibri" w:hint="cs"/>
          <w:rtl/>
        </w:rPr>
        <w:t>בדיון שנערך במועצה בדצמבר 2023 על הצעת התקציב לשנת 2024, ציין אחד מחברי המועצה כי בחמש</w:t>
      </w:r>
      <w:r w:rsidRPr="00681586">
        <w:rPr>
          <w:rFonts w:eastAsia="Calibri"/>
          <w:rtl/>
        </w:rPr>
        <w:t xml:space="preserve"> </w:t>
      </w:r>
      <w:r w:rsidRPr="00681586">
        <w:rPr>
          <w:rFonts w:eastAsia="Calibri" w:hint="cs"/>
          <w:rtl/>
        </w:rPr>
        <w:t>ה</w:t>
      </w:r>
      <w:r w:rsidRPr="00681586">
        <w:rPr>
          <w:rFonts w:eastAsia="Calibri"/>
          <w:rtl/>
        </w:rPr>
        <w:t>שנים הקרובות</w:t>
      </w:r>
      <w:r w:rsidRPr="00681586">
        <w:rPr>
          <w:rFonts w:eastAsia="Calibri" w:hint="cs"/>
          <w:rtl/>
        </w:rPr>
        <w:t xml:space="preserve"> עתיד בט"ל</w:t>
      </w:r>
      <w:r w:rsidRPr="00681586">
        <w:rPr>
          <w:rFonts w:eastAsia="Calibri"/>
          <w:rtl/>
        </w:rPr>
        <w:t xml:space="preserve"> </w:t>
      </w:r>
      <w:r w:rsidRPr="00681586">
        <w:rPr>
          <w:rFonts w:eastAsia="Calibri" w:hint="cs"/>
          <w:rtl/>
        </w:rPr>
        <w:t>לנצל</w:t>
      </w:r>
      <w:r w:rsidRPr="00681586">
        <w:rPr>
          <w:rFonts w:eastAsia="Calibri"/>
          <w:rtl/>
        </w:rPr>
        <w:t xml:space="preserve"> את פירות קרן</w:t>
      </w:r>
      <w:r w:rsidRPr="00681586">
        <w:rPr>
          <w:rFonts w:eastAsia="Calibri" w:hint="cs"/>
          <w:rtl/>
        </w:rPr>
        <w:t xml:space="preserve"> המבוטחים (כלומר, את הריבית המתקבלת מהאוצר בעבור האג"ח שנקנה בעודפי הגבייה שנצברו לאורך השנים),</w:t>
      </w:r>
      <w:r w:rsidRPr="00681586">
        <w:rPr>
          <w:rFonts w:eastAsia="Calibri"/>
          <w:rtl/>
        </w:rPr>
        <w:t xml:space="preserve"> ו</w:t>
      </w:r>
      <w:r w:rsidRPr="00681586">
        <w:rPr>
          <w:rFonts w:eastAsia="Calibri" w:hint="cs"/>
          <w:rtl/>
        </w:rPr>
        <w:t xml:space="preserve">לאחר מכן </w:t>
      </w:r>
      <w:r w:rsidRPr="00681586">
        <w:rPr>
          <w:rFonts w:eastAsia="Calibri"/>
          <w:rtl/>
        </w:rPr>
        <w:t>את הקרן</w:t>
      </w:r>
      <w:r w:rsidRPr="00681586">
        <w:rPr>
          <w:rFonts w:eastAsia="Calibri" w:hint="cs"/>
          <w:rtl/>
        </w:rPr>
        <w:t xml:space="preserve"> עצמה,</w:t>
      </w:r>
      <w:r w:rsidRPr="00681586">
        <w:rPr>
          <w:rFonts w:eastAsia="Calibri"/>
          <w:rtl/>
        </w:rPr>
        <w:t xml:space="preserve"> כדי לממן את תשלומי הגמלאות. </w:t>
      </w:r>
      <w:r w:rsidRPr="00681586">
        <w:rPr>
          <w:rFonts w:eastAsia="Calibri" w:hint="cs"/>
          <w:rtl/>
        </w:rPr>
        <w:t xml:space="preserve">עוד צוין בדיון כי </w:t>
      </w:r>
      <w:r w:rsidRPr="00681586">
        <w:rPr>
          <w:rFonts w:eastAsia="Calibri"/>
          <w:rtl/>
        </w:rPr>
        <w:t>מספר הזכאים ברוב הגמלאות גדל הרבה מעבר לגידול האוכלוסייה</w:t>
      </w:r>
      <w:r w:rsidRPr="00681586">
        <w:rPr>
          <w:rFonts w:eastAsia="Calibri" w:hint="cs"/>
          <w:rtl/>
        </w:rPr>
        <w:t xml:space="preserve"> ו</w:t>
      </w:r>
      <w:r w:rsidRPr="00681586">
        <w:rPr>
          <w:rFonts w:eastAsia="Calibri"/>
          <w:rtl/>
        </w:rPr>
        <w:t>יש צורך לה</w:t>
      </w:r>
      <w:r w:rsidRPr="00681586">
        <w:rPr>
          <w:rFonts w:eastAsia="Calibri" w:hint="cs"/>
          <w:rtl/>
        </w:rPr>
        <w:t>י</w:t>
      </w:r>
      <w:r w:rsidRPr="00681586">
        <w:rPr>
          <w:rFonts w:eastAsia="Calibri"/>
          <w:rtl/>
        </w:rPr>
        <w:t>ערך מראש ל</w:t>
      </w:r>
      <w:r w:rsidRPr="00681586">
        <w:rPr>
          <w:rFonts w:eastAsia="Calibri" w:hint="cs"/>
          <w:rtl/>
        </w:rPr>
        <w:t xml:space="preserve">גידול כזה. עוד עלה בדיון כי </w:t>
      </w:r>
      <w:r w:rsidRPr="00681586">
        <w:rPr>
          <w:rFonts w:eastAsia="Calibri"/>
          <w:rtl/>
        </w:rPr>
        <w:t xml:space="preserve">הגידול </w:t>
      </w:r>
      <w:r w:rsidRPr="00681586">
        <w:rPr>
          <w:rFonts w:eastAsia="Calibri" w:hint="cs"/>
          <w:rtl/>
        </w:rPr>
        <w:t xml:space="preserve">בצד ההוצאות בתקציב הביטוחי </w:t>
      </w:r>
      <w:r w:rsidRPr="00681586">
        <w:rPr>
          <w:rFonts w:eastAsia="Calibri"/>
          <w:rtl/>
        </w:rPr>
        <w:t>נובע מ</w:t>
      </w:r>
      <w:r w:rsidRPr="00681586">
        <w:rPr>
          <w:rFonts w:eastAsia="Calibri" w:hint="cs"/>
          <w:rtl/>
        </w:rPr>
        <w:t>החלטות מינהליות שהקלו בהרבה את הליך קבלת הגמלאות,</w:t>
      </w:r>
      <w:r w:rsidRPr="00681586">
        <w:rPr>
          <w:rFonts w:eastAsia="Calibri"/>
          <w:rtl/>
        </w:rPr>
        <w:t xml:space="preserve"> ו</w:t>
      </w:r>
      <w:r w:rsidRPr="00681586">
        <w:rPr>
          <w:rFonts w:eastAsia="Calibri" w:hint="cs"/>
          <w:rtl/>
        </w:rPr>
        <w:t>על כן,</w:t>
      </w:r>
      <w:r w:rsidRPr="00681586">
        <w:rPr>
          <w:rFonts w:eastAsia="Calibri"/>
          <w:rtl/>
        </w:rPr>
        <w:t xml:space="preserve"> </w:t>
      </w:r>
      <w:r w:rsidRPr="00681586">
        <w:rPr>
          <w:rFonts w:eastAsia="Calibri" w:hint="cs"/>
          <w:rtl/>
        </w:rPr>
        <w:t>מבוטחים רבים נכנסו</w:t>
      </w:r>
      <w:r w:rsidRPr="00681586">
        <w:rPr>
          <w:rFonts w:eastAsia="Calibri"/>
          <w:rtl/>
        </w:rPr>
        <w:t xml:space="preserve"> למעגל הזכאים </w:t>
      </w:r>
      <w:r w:rsidRPr="00681586">
        <w:rPr>
          <w:rFonts w:eastAsia="Calibri" w:hint="cs"/>
          <w:rtl/>
        </w:rPr>
        <w:t>בבט"ל</w:t>
      </w:r>
      <w:r w:rsidRPr="00681586">
        <w:rPr>
          <w:rFonts w:eastAsia="Calibri"/>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highlight w:val="yellow"/>
          <w:rtl/>
        </w:rPr>
      </w:pPr>
      <w:r w:rsidRPr="00681586">
        <w:rPr>
          <w:rFonts w:eastAsia="Calibri" w:hint="cs"/>
          <w:rtl/>
        </w:rPr>
        <w:t xml:space="preserve">בדיון במועצה מדצמבר 2025 ציין מ"מ המנכ"ל כי יש לפעול בנושא הגירעון האקטוארי. כן צוין בדיון כי </w:t>
      </w:r>
      <w:r w:rsidRPr="00681586">
        <w:rPr>
          <w:rFonts w:eastAsia="Calibri"/>
          <w:rtl/>
        </w:rPr>
        <w:t xml:space="preserve">לא ירחק היום </w:t>
      </w:r>
      <w:r w:rsidRPr="00681586">
        <w:rPr>
          <w:rFonts w:eastAsia="Calibri" w:hint="cs"/>
          <w:rtl/>
        </w:rPr>
        <w:t>שבט"ל</w:t>
      </w:r>
      <w:r w:rsidRPr="00681586">
        <w:rPr>
          <w:rFonts w:eastAsia="Calibri"/>
          <w:rtl/>
        </w:rPr>
        <w:t xml:space="preserve"> לא יוכל לשלם</w:t>
      </w:r>
      <w:r w:rsidRPr="00681586">
        <w:rPr>
          <w:rFonts w:eastAsia="Calibri" w:hint="cs"/>
          <w:rtl/>
        </w:rPr>
        <w:t xml:space="preserve"> עוד</w:t>
      </w:r>
      <w:r w:rsidRPr="00681586">
        <w:rPr>
          <w:rFonts w:eastAsia="Calibri"/>
          <w:rtl/>
        </w:rPr>
        <w:t xml:space="preserve"> קצבאות</w:t>
      </w:r>
      <w:r w:rsidRPr="00681586">
        <w:rPr>
          <w:rFonts w:eastAsia="Calibri" w:hint="cs"/>
          <w:rtl/>
        </w:rPr>
        <w:t>, ו</w:t>
      </w:r>
      <w:r w:rsidRPr="00681586">
        <w:rPr>
          <w:rFonts w:eastAsia="Calibri"/>
          <w:rtl/>
        </w:rPr>
        <w:t>אם ה</w:t>
      </w:r>
      <w:r w:rsidRPr="00681586">
        <w:rPr>
          <w:rFonts w:eastAsia="Calibri" w:hint="cs"/>
          <w:rtl/>
        </w:rPr>
        <w:t>וא</w:t>
      </w:r>
      <w:r w:rsidRPr="00681586">
        <w:rPr>
          <w:rFonts w:eastAsia="Calibri"/>
          <w:rtl/>
        </w:rPr>
        <w:t xml:space="preserve"> לא </w:t>
      </w:r>
      <w:r w:rsidRPr="00681586">
        <w:rPr>
          <w:rFonts w:eastAsia="Calibri" w:hint="cs"/>
          <w:rtl/>
        </w:rPr>
        <w:t>ייצב</w:t>
      </w:r>
      <w:r w:rsidRPr="00681586">
        <w:rPr>
          <w:rFonts w:eastAsia="Calibri"/>
          <w:rtl/>
        </w:rPr>
        <w:t xml:space="preserve"> </w:t>
      </w:r>
      <w:r w:rsidRPr="00681586">
        <w:rPr>
          <w:rFonts w:eastAsia="Calibri" w:hint="cs"/>
          <w:rtl/>
        </w:rPr>
        <w:t>את מצבו</w:t>
      </w:r>
      <w:r w:rsidRPr="00681586">
        <w:rPr>
          <w:rFonts w:eastAsia="Calibri"/>
          <w:rtl/>
        </w:rPr>
        <w:t xml:space="preserve"> הפיננסי</w:t>
      </w:r>
      <w:r w:rsidRPr="00681586">
        <w:rPr>
          <w:rFonts w:eastAsia="Calibri" w:hint="cs"/>
          <w:rtl/>
        </w:rPr>
        <w:t>, הדבר יגרום לקיצוץ</w:t>
      </w:r>
      <w:r w:rsidRPr="00681586">
        <w:rPr>
          <w:rFonts w:eastAsia="Calibri"/>
          <w:rtl/>
        </w:rPr>
        <w:t xml:space="preserve"> הקצבאות ולמועצה יש אחריות</w:t>
      </w:r>
      <w:r w:rsidRPr="00681586">
        <w:rPr>
          <w:rFonts w:eastAsia="Calibri" w:hint="cs"/>
          <w:rtl/>
        </w:rPr>
        <w:t xml:space="preserve"> לעניין.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rtl/>
        </w:rPr>
        <w:t>יצוין כי גובה דמי הביטוח הלאומי נקבע בחוק</w:t>
      </w:r>
      <w:r>
        <w:rPr>
          <w:rFonts w:eastAsia="Calibri"/>
          <w:vertAlign w:val="superscript"/>
          <w:rtl/>
        </w:rPr>
        <w:footnoteReference w:id="110"/>
      </w:r>
      <w:r w:rsidRPr="00681586">
        <w:rPr>
          <w:rFonts w:eastAsia="Calibri" w:hint="cs"/>
          <w:rtl/>
        </w:rPr>
        <w:t xml:space="preserve"> וכך גם גובה התשלומים עבור כל גמלה</w:t>
      </w:r>
      <w:r>
        <w:rPr>
          <w:rFonts w:eastAsia="Calibri"/>
          <w:vertAlign w:val="superscript"/>
          <w:rtl/>
        </w:rPr>
        <w:footnoteReference w:id="111"/>
      </w:r>
      <w:r w:rsidRPr="00681586">
        <w:rPr>
          <w:rFonts w:eastAsia="Calibri" w:hint="cs"/>
          <w:rtl/>
        </w:rPr>
        <w:t>. בט"ל אינו עצמאי אפוא בקביעת הכנסותיו ואינו עצמאי לקבוע את היקף הגמלה שיקבלו הזכאים. אולם בט"ל יכול להשפיע בפועל על סך הוצאותיו בגין גמלאות באמצעות הקריטריונים שהוא קובע להענקת ניקוד בהערכת התלות - ניקוד אשר קובע אם המבקש מגיע לרף הזכאות לקבלת גמלה. כלומר, בט"ל עשוי לקבוע את "שער הכניסה" לזכאים, בעיקר בגמלאות נכות וסיעוד</w:t>
      </w:r>
      <w:r>
        <w:rPr>
          <w:rFonts w:eastAsia="Calibri"/>
          <w:vertAlign w:val="superscript"/>
          <w:rtl/>
        </w:rPr>
        <w:footnoteReference w:id="112"/>
      </w:r>
      <w:r w:rsidRPr="00681586">
        <w:rPr>
          <w:rFonts w:eastAsia="Calibri" w:hint="cs"/>
          <w:rtl/>
        </w:rPr>
        <w:t>; מהקריטריונים שנקבעו על ידי בט"ל כאמור ייגזרו גם רמת הזכאות והיקף הגמלה שלהם יהיה זכאי, המתורגמים ישירות להוצאות הכספיות של הבט"ל. לפיכך היה מצופה כי מועצת בט"ל תדון בדרכים העומדות בפני בט"ל להפחית את הגירעון הביטוחי בטרם אישור התקציב.</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ואולם, בביקורת עלה כי אף שנושא הגירעון עלה בדיוני המועצה של בט"ל בדצמבר 2023 ובדצמבר 2025, שבהם חבריה הצביעו על חומרת מצבו הפיננסי של בט"ל, בשנים 2024 - 2026 אישרה המועצה תקציב גירעוני</w:t>
      </w:r>
      <w:r w:rsidRPr="00681586">
        <w:rPr>
          <w:rFonts w:eastAsia="Calibri" w:hint="cs"/>
          <w:rtl/>
        </w:rPr>
        <w:t xml:space="preserve"> </w:t>
      </w:r>
      <w:r w:rsidRPr="00681586">
        <w:rPr>
          <w:rFonts w:eastAsia="Calibri" w:hint="cs"/>
          <w:b/>
          <w:bCs/>
          <w:rtl/>
        </w:rPr>
        <w:t xml:space="preserve">ולא קיימה כל דיון בנוגע לדרכים שבהן ניתן לצמצם את הגירעון, בין היתר באמצעות הקטנת הוצאות בט"ל על גמלאות על ידי החלטות מינהליות המשפיעות על שער הכניסה - למשל הקריטריונים לקביעת תלות </w:t>
      </w:r>
      <w:r w:rsidRPr="00681586">
        <w:rPr>
          <w:rFonts w:eastAsia="Calibri" w:hint="eastAsia"/>
          <w:b/>
          <w:bCs/>
          <w:rtl/>
        </w:rPr>
        <w:t>בדרך</w:t>
      </w:r>
      <w:r w:rsidRPr="00681586">
        <w:rPr>
          <w:rFonts w:eastAsia="Calibri"/>
          <w:b/>
          <w:bCs/>
          <w:rtl/>
        </w:rPr>
        <w:t xml:space="preserve"> </w:t>
      </w:r>
      <w:r w:rsidRPr="00681586">
        <w:rPr>
          <w:rFonts w:eastAsia="Calibri" w:hint="eastAsia"/>
          <w:b/>
          <w:bCs/>
          <w:rtl/>
        </w:rPr>
        <w:t>שתביא</w:t>
      </w:r>
      <w:r w:rsidRPr="00681586">
        <w:rPr>
          <w:rFonts w:eastAsia="Calibri"/>
          <w:b/>
          <w:bCs/>
          <w:rtl/>
        </w:rPr>
        <w:t xml:space="preserve"> </w:t>
      </w:r>
      <w:r w:rsidRPr="00681586">
        <w:rPr>
          <w:rFonts w:eastAsia="Calibri" w:hint="eastAsia"/>
          <w:b/>
          <w:bCs/>
          <w:rtl/>
        </w:rPr>
        <w:t>לצמצום</w:t>
      </w:r>
      <w:r w:rsidRPr="00681586">
        <w:rPr>
          <w:rFonts w:eastAsia="Calibri" w:hint="cs"/>
          <w:b/>
          <w:bCs/>
          <w:rtl/>
        </w:rPr>
        <w:t xml:space="preserve"> היקף הזכאים.</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מומלץ כי מועצת בט"ל תדון בדרכים לצמצם את הגירעון השנתי, טרם אישור התקציב. מומלץ כי הדיון יתמקד בכלים של בט"ל לצמצום הגירעון, בין היתר באמצעות דיון על "שער הכניסה" לזכאים, בעיקר בגמלאות נכות וסיעוד. </w:t>
      </w:r>
    </w:p>
    <w:p w:rsidR="00681586" w:rsidRPr="00681586" w:rsidP="00681586">
      <w:pPr>
        <w:spacing w:line="269" w:lineRule="auto"/>
        <w:rPr>
          <w:rFonts w:eastAsia="Calibri"/>
          <w:b/>
          <w:bCs/>
          <w:rtl/>
        </w:rPr>
      </w:pPr>
    </w:p>
    <w:p w:rsidR="00681586">
      <w:pPr>
        <w:bidi w:val="0"/>
        <w:spacing w:after="200" w:line="276" w:lineRule="auto"/>
        <w:rPr>
          <w:rFonts w:eastAsia="Times New Roman"/>
          <w:bCs/>
          <w:spacing w:val="40"/>
          <w:rtl/>
        </w:rPr>
      </w:pPr>
      <w:r>
        <w:rPr>
          <w:rFonts w:eastAsia="Times New Roman"/>
          <w:bCs/>
          <w:spacing w:val="40"/>
          <w:rtl/>
        </w:rPr>
        <w:br w:type="page"/>
      </w:r>
    </w:p>
    <w:p w:rsidR="00681586" w:rsidRPr="00681586" w:rsidP="00681586">
      <w:pPr>
        <w:keepNext/>
        <w:keepLines/>
        <w:spacing w:line="269" w:lineRule="auto"/>
        <w:outlineLvl w:val="6"/>
        <w:rPr>
          <w:rFonts w:eastAsia="Times New Roman"/>
          <w:bCs/>
          <w:spacing w:val="40"/>
          <w:rtl/>
        </w:rPr>
      </w:pPr>
      <w:r w:rsidRPr="00681586">
        <w:rPr>
          <w:rFonts w:eastAsia="Times New Roman" w:hint="eastAsia"/>
          <w:bCs/>
          <w:spacing w:val="40"/>
          <w:rtl/>
        </w:rPr>
        <w:t>מגבלת</w:t>
      </w:r>
      <w:r w:rsidRPr="00681586">
        <w:rPr>
          <w:rFonts w:eastAsia="Times New Roman"/>
          <w:bCs/>
          <w:spacing w:val="40"/>
          <w:rtl/>
        </w:rPr>
        <w:t xml:space="preserve"> תקציב שנתית </w:t>
      </w:r>
      <w:r w:rsidRPr="00681586">
        <w:rPr>
          <w:rFonts w:eastAsia="Times New Roman" w:hint="eastAsia"/>
          <w:bCs/>
          <w:spacing w:val="40"/>
          <w:rtl/>
        </w:rPr>
        <w:t>לטיפול</w:t>
      </w:r>
      <w:r w:rsidRPr="00681586">
        <w:rPr>
          <w:rFonts w:eastAsia="Times New Roman"/>
          <w:bCs/>
          <w:spacing w:val="40"/>
          <w:rtl/>
        </w:rPr>
        <w:t xml:space="preserve"> הסיעודי </w:t>
      </w:r>
      <w:r w:rsidRPr="00681586">
        <w:rPr>
          <w:rFonts w:eastAsia="Times New Roman" w:hint="eastAsia"/>
          <w:bCs/>
          <w:spacing w:val="40"/>
          <w:rtl/>
        </w:rPr>
        <w:t>בהשוואה</w:t>
      </w:r>
      <w:r w:rsidRPr="00681586">
        <w:rPr>
          <w:rFonts w:eastAsia="Times New Roman"/>
          <w:bCs/>
          <w:spacing w:val="40"/>
          <w:rtl/>
        </w:rPr>
        <w:t xml:space="preserve"> </w:t>
      </w:r>
      <w:r w:rsidRPr="00681586">
        <w:rPr>
          <w:rFonts w:eastAsia="Times New Roman" w:hint="eastAsia"/>
          <w:bCs/>
          <w:spacing w:val="40"/>
          <w:rtl/>
        </w:rPr>
        <w:t>בין</w:t>
      </w:r>
      <w:r w:rsidRPr="00681586">
        <w:rPr>
          <w:rFonts w:eastAsia="Times New Roman"/>
          <w:bCs/>
          <w:spacing w:val="40"/>
          <w:rtl/>
        </w:rPr>
        <w:t>-לאומית</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על פי דוח ארגון ה-</w:t>
      </w:r>
      <w:r w:rsidRPr="00681586">
        <w:rPr>
          <w:rFonts w:eastAsia="Calibri" w:hint="cs"/>
        </w:rPr>
        <w:t>OECD</w:t>
      </w:r>
      <w:r w:rsidRPr="00681586">
        <w:rPr>
          <w:rFonts w:eastAsia="Calibri" w:hint="cs"/>
          <w:rtl/>
        </w:rPr>
        <w:t xml:space="preserve"> לשנת 2025, ב</w:t>
      </w:r>
      <w:r w:rsidRPr="00681586">
        <w:rPr>
          <w:rFonts w:eastAsia="Calibri"/>
          <w:rtl/>
        </w:rPr>
        <w:t xml:space="preserve">רוב </w:t>
      </w:r>
      <w:r w:rsidRPr="00681586">
        <w:rPr>
          <w:rFonts w:eastAsia="Calibri" w:hint="cs"/>
          <w:rtl/>
        </w:rPr>
        <w:t>ה</w:t>
      </w:r>
      <w:r w:rsidRPr="00681586">
        <w:rPr>
          <w:rFonts w:eastAsia="Calibri"/>
          <w:rtl/>
        </w:rPr>
        <w:t xml:space="preserve">מדינות </w:t>
      </w:r>
      <w:r w:rsidRPr="00681586">
        <w:rPr>
          <w:rFonts w:eastAsia="Calibri" w:hint="cs"/>
          <w:rtl/>
        </w:rPr>
        <w:t>החברות בו קיימת</w:t>
      </w:r>
      <w:r w:rsidRPr="00681586">
        <w:rPr>
          <w:rFonts w:eastAsia="Calibri"/>
          <w:rtl/>
        </w:rPr>
        <w:t xml:space="preserve"> </w:t>
      </w:r>
      <w:r w:rsidRPr="00681586">
        <w:rPr>
          <w:rFonts w:eastAsia="Calibri" w:hint="cs"/>
          <w:rtl/>
        </w:rPr>
        <w:t xml:space="preserve">מגבלה תקציבית שמדינה יכולה להוציא עבור </w:t>
      </w:r>
      <w:r w:rsidRPr="00681586">
        <w:rPr>
          <w:rFonts w:eastAsia="Calibri"/>
          <w:rtl/>
        </w:rPr>
        <w:t>הטיפול הסיעודי</w:t>
      </w:r>
      <w:r>
        <w:rPr>
          <w:rFonts w:eastAsia="Calibri"/>
          <w:vertAlign w:val="superscript"/>
        </w:rPr>
        <w:footnoteReference w:id="113"/>
      </w:r>
      <w:r w:rsidRPr="00681586">
        <w:rPr>
          <w:rFonts w:eastAsia="Calibri" w:hint="cs"/>
          <w:rtl/>
        </w:rPr>
        <w:t xml:space="preserve">. המגבלה התקציבית יכולה להיות מגבלה קשיחה, כלומר תקרת הוצאה תקופתית שאין לחרוג ממנה, או מגבלה גמישה יותר, כלומר יעד הוצאה תקופתי. בתרשים להלן מחולקות המדינות שנבדקו בדוח למדינות עם תקרת הוצאה, מדינות עם יעד הוצאה ומדינות ללא מגבלת הוצאה תקופתית כלל. </w:t>
      </w:r>
    </w:p>
    <w:p w:rsidR="00681586" w:rsidRPr="00681586" w:rsidP="00681586">
      <w:pPr>
        <w:spacing w:line="269" w:lineRule="auto"/>
        <w:ind w:left="-567"/>
        <w:rPr>
          <w:rFonts w:eastAsia="Calibri"/>
          <w:szCs w:val="20"/>
          <w:rtl/>
        </w:rPr>
      </w:pPr>
    </w:p>
    <w:p w:rsidR="00681586" w:rsidRPr="00681586" w:rsidP="00681586">
      <w:pPr>
        <w:keepNext/>
        <w:keepLines/>
        <w:spacing w:line="269" w:lineRule="auto"/>
        <w:jc w:val="center"/>
        <w:rPr>
          <w:rFonts w:eastAsia="Calibri"/>
          <w:b/>
          <w:bCs/>
          <w:rtl/>
        </w:rPr>
      </w:pPr>
      <w:r w:rsidRPr="00681586">
        <w:rPr>
          <w:rFonts w:eastAsia="Calibri" w:hint="cs"/>
          <w:rtl/>
        </w:rPr>
        <w:t xml:space="preserve">תרשים 21: </w:t>
      </w:r>
      <w:r w:rsidRPr="00681586">
        <w:rPr>
          <w:rFonts w:eastAsia="Calibri" w:hint="cs"/>
          <w:b/>
          <w:bCs/>
          <w:rtl/>
        </w:rPr>
        <w:t>מדינות ה-</w:t>
      </w:r>
      <w:r w:rsidRPr="00681586">
        <w:rPr>
          <w:rFonts w:eastAsia="Calibri" w:hint="cs"/>
          <w:b/>
          <w:bCs/>
        </w:rPr>
        <w:t>OECD</w:t>
      </w:r>
      <w:r w:rsidRPr="00681586">
        <w:rPr>
          <w:rFonts w:eastAsia="Calibri" w:hint="cs"/>
          <w:b/>
          <w:bCs/>
          <w:rtl/>
        </w:rPr>
        <w:t>, לפי סוג מגבלת ההוצאה התקופתית על סיעוד</w:t>
      </w:r>
    </w:p>
    <w:p w:rsidR="00681586" w:rsidRPr="00681586" w:rsidP="00681586">
      <w:pPr>
        <w:spacing w:line="269" w:lineRule="auto"/>
        <w:jc w:val="center"/>
        <w:rPr>
          <w:rFonts w:eastAsia="Calibri"/>
          <w:b/>
          <w:bCs/>
          <w:rtl/>
        </w:rPr>
      </w:pPr>
      <w:r w:rsidRPr="00681586">
        <w:rPr>
          <w:rFonts w:eastAsia="Calibri"/>
          <w:b/>
          <w:bCs/>
          <w:noProof/>
        </w:rPr>
        <w:drawing>
          <wp:inline distT="0" distB="0" distL="0" distR="0">
            <wp:extent cx="4328981" cy="2764465"/>
            <wp:effectExtent l="0" t="0" r="0" b="0"/>
            <wp:docPr id="45" name="תמונה 45" descr="מדינות ה-OECD, לפי סוג מגבלת ההוצאה התקופתית על סיע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b="9321"/>
                    <a:stretch>
                      <a:fillRect/>
                    </a:stretch>
                  </pic:blipFill>
                  <pic:spPr bwMode="auto">
                    <a:xfrm>
                      <a:off x="0" y="0"/>
                      <a:ext cx="4349128" cy="277733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81586" w:rsidRPr="00681586" w:rsidP="00681586">
      <w:pPr>
        <w:spacing w:line="269" w:lineRule="auto"/>
        <w:jc w:val="left"/>
        <w:rPr>
          <w:rFonts w:ascii="David" w:eastAsia="Calibri" w:hAnsi="David"/>
          <w:szCs w:val="20"/>
          <w:rtl/>
        </w:rPr>
      </w:pPr>
      <w:r w:rsidRPr="00681586">
        <w:rPr>
          <w:rFonts w:ascii="David" w:eastAsia="Calibri" w:hAnsi="David" w:hint="eastAsia"/>
          <w:szCs w:val="20"/>
          <w:rtl/>
        </w:rPr>
        <w:t>על</w:t>
      </w:r>
      <w:r w:rsidRPr="00681586">
        <w:rPr>
          <w:rFonts w:ascii="David" w:eastAsia="Calibri" w:hAnsi="David"/>
          <w:szCs w:val="20"/>
          <w:rtl/>
        </w:rPr>
        <w:t xml:space="preserve"> </w:t>
      </w:r>
      <w:r w:rsidRPr="00681586">
        <w:rPr>
          <w:rFonts w:ascii="David" w:eastAsia="Calibri" w:hAnsi="David" w:hint="eastAsia"/>
          <w:szCs w:val="20"/>
          <w:rtl/>
        </w:rPr>
        <w:t>פי</w:t>
      </w:r>
      <w:r w:rsidRPr="00681586">
        <w:rPr>
          <w:rFonts w:ascii="David" w:eastAsia="Calibri" w:hAnsi="David"/>
          <w:szCs w:val="20"/>
          <w:rtl/>
        </w:rPr>
        <w:t xml:space="preserve"> נתוני ה-</w:t>
      </w:r>
      <w:r w:rsidRPr="00681586">
        <w:rPr>
          <w:rFonts w:ascii="David" w:eastAsia="Calibri" w:hAnsi="David"/>
          <w:szCs w:val="20"/>
        </w:rPr>
        <w:t>OECD</w:t>
      </w:r>
      <w:r w:rsidRPr="00681586">
        <w:rPr>
          <w:rFonts w:ascii="David" w:eastAsia="Calibri" w:hAnsi="David"/>
          <w:szCs w:val="20"/>
          <w:rtl/>
        </w:rPr>
        <w:t xml:space="preserve">, </w:t>
      </w:r>
      <w:r w:rsidRPr="00681586">
        <w:rPr>
          <w:rFonts w:ascii="David" w:eastAsia="Calibri" w:hAnsi="David" w:hint="eastAsia"/>
          <w:szCs w:val="20"/>
          <w:rtl/>
        </w:rPr>
        <w:t>בעיבוד</w:t>
      </w:r>
      <w:r w:rsidRPr="00681586">
        <w:rPr>
          <w:rFonts w:ascii="David" w:eastAsia="Calibri" w:hAnsi="David"/>
          <w:szCs w:val="20"/>
          <w:rtl/>
        </w:rPr>
        <w:t xml:space="preserve"> </w:t>
      </w:r>
      <w:r w:rsidRPr="00681586">
        <w:rPr>
          <w:rFonts w:ascii="David" w:eastAsia="Calibri" w:hAnsi="David" w:hint="eastAsia"/>
          <w:szCs w:val="20"/>
          <w:rtl/>
        </w:rPr>
        <w:t>משרד</w:t>
      </w:r>
      <w:r w:rsidRPr="00681586">
        <w:rPr>
          <w:rFonts w:ascii="David" w:eastAsia="Calibri" w:hAnsi="David"/>
          <w:szCs w:val="20"/>
          <w:rtl/>
        </w:rPr>
        <w:t xml:space="preserve"> </w:t>
      </w:r>
      <w:r w:rsidRPr="00681586">
        <w:rPr>
          <w:rFonts w:ascii="David" w:eastAsia="Calibri" w:hAnsi="David" w:hint="eastAsia"/>
          <w:szCs w:val="20"/>
          <w:rtl/>
        </w:rPr>
        <w:t>מבקר</w:t>
      </w:r>
      <w:r w:rsidRPr="00681586">
        <w:rPr>
          <w:rFonts w:ascii="David" w:eastAsia="Calibri" w:hAnsi="David"/>
          <w:szCs w:val="20"/>
          <w:rtl/>
        </w:rPr>
        <w:t xml:space="preserve"> </w:t>
      </w:r>
      <w:r w:rsidRPr="00681586">
        <w:rPr>
          <w:rFonts w:ascii="David" w:eastAsia="Calibri" w:hAnsi="David" w:hint="eastAsia"/>
          <w:szCs w:val="20"/>
          <w:rtl/>
        </w:rPr>
        <w:t>המדינה</w:t>
      </w:r>
      <w:r w:rsidRPr="00681586">
        <w:rPr>
          <w:rFonts w:ascii="David" w:eastAsia="Calibri" w:hAnsi="David"/>
          <w:szCs w:val="20"/>
          <w:rtl/>
        </w:rPr>
        <w:t>.</w:t>
      </w:r>
    </w:p>
    <w:p w:rsidR="00681586" w:rsidRPr="00681586" w:rsidP="00681586">
      <w:pPr>
        <w:spacing w:line="269" w:lineRule="auto"/>
        <w:jc w:val="left"/>
        <w:rPr>
          <w:rFonts w:eastAsia="Calibri"/>
          <w:sz w:val="22"/>
          <w:szCs w:val="22"/>
          <w:rtl/>
        </w:rPr>
      </w:pPr>
      <w:r w:rsidRPr="00681586">
        <w:rPr>
          <w:rFonts w:eastAsia="Calibri" w:hint="cs"/>
          <w:sz w:val="22"/>
          <w:szCs w:val="22"/>
          <w:rtl/>
        </w:rPr>
        <w:t>*</w:t>
      </w:r>
      <w:r w:rsidRPr="00681586">
        <w:rPr>
          <w:rFonts w:eastAsia="Calibri" w:hint="cs"/>
          <w:szCs w:val="20"/>
          <w:rtl/>
        </w:rPr>
        <w:t xml:space="preserve"> בחלק משירותי הסיעוד בהולנד יש יעד הוצאה ובחלק תקרת הוצאה.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b/>
          <w:bCs/>
          <w:rtl/>
        </w:rPr>
        <w:t>מהתרשים עולה כי ב-16 מתוך 23 המדינות שנבדקו בדוח ה-</w:t>
      </w:r>
      <w:r w:rsidRPr="00681586">
        <w:rPr>
          <w:rFonts w:eastAsia="Calibri" w:hint="cs"/>
          <w:b/>
          <w:bCs/>
        </w:rPr>
        <w:t>OECD</w:t>
      </w:r>
      <w:r w:rsidRPr="00681586">
        <w:rPr>
          <w:rFonts w:eastAsia="Calibri" w:hint="cs"/>
          <w:b/>
          <w:bCs/>
          <w:rtl/>
        </w:rPr>
        <w:t xml:space="preserve"> משנת 2025 (כ-70%), קיימת מגבלה תקציבית עבור הטיפול הסיעודי, ורק בשבע מדינות (כ-30%), כולל בישראל, אין מגבלת תקציב על ההוצאה על טיפול סיעודי.</w:t>
      </w:r>
      <w:r w:rsidRPr="00681586">
        <w:rPr>
          <w:rFonts w:eastAsia="Calibri" w:hint="cs"/>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עוד צוין בדוח כי מעל מחצית מהמדינות שנבדקו בדוח</w:t>
      </w:r>
      <w:r>
        <w:rPr>
          <w:rFonts w:eastAsia="Calibri"/>
          <w:b/>
          <w:bCs/>
          <w:vertAlign w:val="superscript"/>
          <w:rtl/>
        </w:rPr>
        <w:footnoteReference w:id="114"/>
      </w:r>
      <w:r w:rsidRPr="00681586">
        <w:rPr>
          <w:rFonts w:eastAsia="Calibri" w:hint="cs"/>
          <w:b/>
          <w:bCs/>
          <w:rtl/>
        </w:rPr>
        <w:t xml:space="preserve"> קובעות גם מגבלת הוצאה רב-שנתית על הטיפול הסיעודי</w:t>
      </w:r>
      <w:r>
        <w:rPr>
          <w:rFonts w:eastAsia="Calibri"/>
          <w:b/>
          <w:bCs/>
          <w:vertAlign w:val="superscript"/>
          <w:rtl/>
        </w:rPr>
        <w:footnoteReference w:id="115"/>
      </w:r>
      <w:r w:rsidRPr="00681586">
        <w:rPr>
          <w:rFonts w:eastAsia="Calibri" w:hint="cs"/>
          <w:b/>
          <w:bCs/>
          <w:rtl/>
        </w:rPr>
        <w:t>. בדוח הומלץ כי ישראל תאמץ מדיניות דומה ותקבע תקרת הוצאה כוללת לקצבת סיעוד כדי להבטיח איתנות פיננסית של מערכת הסיעוד הציבורית בבט"ל.</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המועצה הלאומית לכלכלה מסרה בתשובתה כי היא </w:t>
      </w:r>
      <w:r w:rsidRPr="00681586">
        <w:rPr>
          <w:rFonts w:eastAsia="Calibri"/>
          <w:rtl/>
        </w:rPr>
        <w:t xml:space="preserve">מאמינה </w:t>
      </w:r>
      <w:r w:rsidRPr="00681586">
        <w:rPr>
          <w:rFonts w:eastAsia="Calibri" w:hint="cs"/>
          <w:rtl/>
        </w:rPr>
        <w:t>ש</w:t>
      </w:r>
      <w:r w:rsidRPr="00681586">
        <w:rPr>
          <w:rFonts w:eastAsia="Calibri"/>
          <w:rtl/>
        </w:rPr>
        <w:t>הפתרון המבני הראוי</w:t>
      </w:r>
      <w:r w:rsidRPr="00681586">
        <w:rPr>
          <w:rFonts w:eastAsia="Calibri" w:hint="cs"/>
          <w:rtl/>
        </w:rPr>
        <w:t xml:space="preserve"> </w:t>
      </w:r>
      <w:r w:rsidRPr="00681586">
        <w:rPr>
          <w:rFonts w:eastAsia="Calibri"/>
          <w:rtl/>
        </w:rPr>
        <w:t>לריסון ההוצאה טמון בקביעת יעד הוצאה</w:t>
      </w:r>
      <w:r w:rsidRPr="00681586">
        <w:rPr>
          <w:rFonts w:eastAsia="Calibri" w:hint="cs"/>
          <w:rtl/>
        </w:rPr>
        <w:t xml:space="preserve"> </w:t>
      </w:r>
      <w:r w:rsidRPr="00681586">
        <w:rPr>
          <w:rFonts w:eastAsia="Calibri"/>
          <w:rtl/>
        </w:rPr>
        <w:t>מהתוצר עבור הטיפול הסיעודי</w:t>
      </w:r>
      <w:r w:rsidRPr="00681586">
        <w:rPr>
          <w:rFonts w:eastAsia="Calibri" w:hint="cs"/>
          <w:rtl/>
        </w:rPr>
        <w:t>, בדומה לכ-70% מהמדינות שנבדקו בדוח ה-</w:t>
      </w:r>
      <w:r w:rsidRPr="00681586">
        <w:rPr>
          <w:rFonts w:eastAsia="Calibri" w:hint="cs"/>
        </w:rPr>
        <w:t>OECD</w:t>
      </w:r>
      <w:r w:rsidRPr="00681586">
        <w:rPr>
          <w:rFonts w:eastAsia="Calibri" w:hint="cs"/>
          <w:rtl/>
        </w:rPr>
        <w:t>. עוד מסרה המועצה כי היא פועלת במסגרת הצוות הבין-משרדי כדי לקדם מדיניות זו.</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מומלץ כי מועצת בט"ל תביא בחשבון את הגירעון השנתי כשהיא מקבלת החלטה לאשר את התקציב, ותדון בדרכים לצמצמו. עוד מומלץ כי שר העבודה, שהוא השר האחראי על ביצוע חוק בט"ל ועומד בראש מועצת בט"ל, בשיתוף עם שר האוצר, יפעלו לאזן את התקציב הגירעוני, בין השאר באמצעות גיבוש תיקונים בחוק שיאפשרו יצירת מאזנים אוטומטיים ברוח המלצות ועדת דומיניסיני, שלכל הפחות ימנעו תקציב גמלאות גירעוני, או לחלופין באמצעות אימוץ מגבלת תקציב כוללת על ההוצאה על טיפול סיעודי, בדומה לקיים ברוב מדינות ה-</w:t>
      </w:r>
      <w:r w:rsidRPr="00681586">
        <w:rPr>
          <w:rFonts w:eastAsia="Calibri" w:hint="cs"/>
          <w:b/>
          <w:bCs/>
        </w:rPr>
        <w:t>OECD</w:t>
      </w:r>
      <w:r w:rsidRPr="00681586">
        <w:rPr>
          <w:rFonts w:eastAsia="Calibri" w:hint="cs"/>
          <w:b/>
          <w:bCs/>
          <w:rtl/>
        </w:rPr>
        <w:t>.</w:t>
      </w:r>
    </w:p>
    <w:p w:rsidR="00681586" w:rsidRPr="00681586" w:rsidP="00681586">
      <w:pPr>
        <w:spacing w:line="269" w:lineRule="auto"/>
        <w:jc w:val="center"/>
        <w:rPr>
          <w:rFonts w:ascii="Arial" w:eastAsia="Calibri" w:hAnsi="Arial" w:cs="Arial"/>
          <w:sz w:val="36"/>
          <w:rtl/>
        </w:rPr>
      </w:pPr>
      <w:r w:rsidRPr="00681586">
        <w:rPr>
          <w:rFonts w:ascii="Segoe UI Symbol" w:eastAsia="Calibri" w:hAnsi="Segoe UI Symbol" w:cs="Segoe UI Symbol" w:hint="cs"/>
          <w:sz w:val="36"/>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בט"ל</w:t>
      </w:r>
      <w:r w:rsidRPr="00681586">
        <w:rPr>
          <w:rFonts w:eastAsia="Calibri"/>
          <w:b/>
          <w:bCs/>
          <w:rtl/>
        </w:rPr>
        <w:t xml:space="preserve"> הוא הגוף הא</w:t>
      </w:r>
      <w:r w:rsidRPr="00681586">
        <w:rPr>
          <w:rFonts w:eastAsia="Calibri" w:hint="cs"/>
          <w:b/>
          <w:bCs/>
          <w:rtl/>
        </w:rPr>
        <w:t xml:space="preserve">מון </w:t>
      </w:r>
      <w:r w:rsidRPr="00681586">
        <w:rPr>
          <w:rFonts w:eastAsia="Calibri"/>
          <w:b/>
          <w:bCs/>
          <w:rtl/>
        </w:rPr>
        <w:t xml:space="preserve">במדינת ישראל </w:t>
      </w:r>
      <w:r w:rsidRPr="00681586">
        <w:rPr>
          <w:rFonts w:eastAsia="Calibri" w:hint="cs"/>
          <w:b/>
          <w:bCs/>
          <w:rtl/>
        </w:rPr>
        <w:t xml:space="preserve">על </w:t>
      </w:r>
      <w:r w:rsidRPr="00681586">
        <w:rPr>
          <w:rFonts w:eastAsia="Calibri"/>
          <w:b/>
          <w:bCs/>
          <w:rtl/>
        </w:rPr>
        <w:t>תשלומי גמלאות סוציאליות</w:t>
      </w:r>
      <w:r w:rsidRPr="00681586">
        <w:rPr>
          <w:rFonts w:eastAsia="Calibri" w:hint="cs"/>
          <w:b/>
          <w:bCs/>
          <w:rtl/>
        </w:rPr>
        <w:t xml:space="preserve">. לפיכך, </w:t>
      </w:r>
      <w:r w:rsidRPr="00681586">
        <w:rPr>
          <w:rFonts w:eastAsia="Calibri"/>
          <w:b/>
          <w:bCs/>
          <w:rtl/>
        </w:rPr>
        <w:t>השמירה על איתנותו הפיננסית בטווח הארוך חשובה ביותר להבטחת רשת ביטחון סוציאלי לתושבי ישראל.</w:t>
      </w:r>
      <w:r w:rsidRPr="00681586">
        <w:rPr>
          <w:rFonts w:eastAsia="Calibri" w:hint="cs"/>
          <w:b/>
          <w:bCs/>
          <w:rtl/>
        </w:rPr>
        <w:t xml:space="preserve"> בביקורת עלה כי</w:t>
      </w:r>
      <w:r w:rsidRPr="00681586">
        <w:rPr>
          <w:rFonts w:eastAsia="Calibri" w:hint="cs"/>
          <w:rtl/>
        </w:rPr>
        <w:t xml:space="preserve"> </w:t>
      </w:r>
      <w:r w:rsidRPr="00681586">
        <w:rPr>
          <w:rFonts w:eastAsia="Calibri" w:hint="cs"/>
          <w:b/>
          <w:bCs/>
          <w:rtl/>
        </w:rPr>
        <w:t xml:space="preserve">במסגרת השינויים בביטוחי הסיעוד בבט"ל התקבלו החלטות שהגדילו את מספר הזכאים לגמלה ביותר מפי 2 (מ-180,000 ל-392,000), ואת היקף תשלומי הגמלאות בפועל פי 3 (201%, מ-7 מיליארד </w:t>
      </w:r>
      <w:r w:rsidRPr="00681586">
        <w:rPr>
          <w:rFonts w:eastAsia="Calibri" w:hint="eastAsia"/>
          <w:b/>
          <w:bCs/>
          <w:rtl/>
        </w:rPr>
        <w:t>ש</w:t>
      </w:r>
      <w:r w:rsidRPr="00681586">
        <w:rPr>
          <w:rFonts w:eastAsia="Calibri"/>
          <w:b/>
          <w:bCs/>
          <w:rtl/>
        </w:rPr>
        <w:t>"ח</w:t>
      </w:r>
      <w:r w:rsidRPr="00681586">
        <w:rPr>
          <w:rFonts w:eastAsia="Calibri" w:hint="cs"/>
          <w:b/>
          <w:bCs/>
          <w:rtl/>
        </w:rPr>
        <w:t xml:space="preserve"> ל-21.1 מיליארד </w:t>
      </w:r>
      <w:r w:rsidRPr="00681586">
        <w:rPr>
          <w:rFonts w:eastAsia="Calibri" w:hint="eastAsia"/>
          <w:b/>
          <w:bCs/>
          <w:rtl/>
        </w:rPr>
        <w:t>ש</w:t>
      </w:r>
      <w:r w:rsidRPr="00681586">
        <w:rPr>
          <w:rFonts w:eastAsia="Calibri"/>
          <w:b/>
          <w:bCs/>
          <w:rtl/>
        </w:rPr>
        <w:t>"ח)</w:t>
      </w:r>
      <w:r w:rsidRPr="00681586">
        <w:rPr>
          <w:rFonts w:eastAsia="Calibri" w:hint="cs"/>
          <w:b/>
          <w:bCs/>
          <w:rtl/>
        </w:rPr>
        <w:t xml:space="preserve">, וזאת נעשה ללא ליווי אקטוארי של אקטואר בט"ל. עוד עלה כי </w:t>
      </w:r>
      <w:r w:rsidRPr="00681586">
        <w:rPr>
          <w:rFonts w:eastAsia="Calibri" w:hint="eastAsia"/>
          <w:b/>
          <w:bCs/>
          <w:rtl/>
        </w:rPr>
        <w:t>שלא</w:t>
      </w:r>
      <w:r w:rsidRPr="00681586">
        <w:rPr>
          <w:rFonts w:eastAsia="Calibri"/>
          <w:b/>
          <w:bCs/>
          <w:rtl/>
        </w:rPr>
        <w:t xml:space="preserve"> </w:t>
      </w:r>
      <w:r w:rsidRPr="00681586">
        <w:rPr>
          <w:rFonts w:eastAsia="Calibri" w:hint="eastAsia"/>
          <w:b/>
          <w:bCs/>
          <w:rtl/>
        </w:rPr>
        <w:t>בהתאם</w:t>
      </w:r>
      <w:r w:rsidRPr="00681586">
        <w:rPr>
          <w:rFonts w:eastAsia="Calibri" w:hint="cs"/>
          <w:b/>
          <w:bCs/>
          <w:rtl/>
        </w:rPr>
        <w:t xml:space="preserve"> להחלטת הממשלה משנת 2015, פרט לדיון אחד של הממשלה ב-2018 בו הוצגה הפגיעה בגירעון האקטוארי בעקבות הרפורמה בסיעוד, אך לא התקבלו שום החלטות אופרטיביות, הממשלה והקבינט החברתי-כלכלי לא קיימו אף דיון בסוגיית הגירעון האקטוארי והתקציבי של בט"ל בשנים 2025-2018, אף ששלושה דוחות אקטואריים הצביעו על החמרה משמעותית בגירעון האקטוארי של בט"ל. כמו כן בביקורת עלה כי בשנים 2024 - 2026 אישרה המועצה תקציב גירעוני</w:t>
      </w:r>
      <w:r w:rsidRPr="00681586">
        <w:rPr>
          <w:rFonts w:eastAsia="Calibri" w:hint="cs"/>
          <w:rtl/>
        </w:rPr>
        <w:t xml:space="preserve">, </w:t>
      </w:r>
      <w:r w:rsidRPr="00681586">
        <w:rPr>
          <w:rFonts w:eastAsia="Calibri" w:hint="cs"/>
          <w:b/>
          <w:bCs/>
          <w:rtl/>
        </w:rPr>
        <w:t>ללא דיון בדרכים שבהן ניתן לצמצם את הגירעון.</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כתוצאה מהתנהלות זו של בט"ל, נפגעה האיתנות הפיננסית של המוסד, כך ששנת איפוס הקרן של בט"ל הוקדמה בין השנים 2013 ל-2023 בכעשר שנים, והיא צפויה להתרוקן בתוך פחות מעשור - בשנת 2035 - ובט"ל לא יוכל לממש עוד את התחייבויותיו כלפי המבוטחים. </w:t>
      </w:r>
      <w:r w:rsidRPr="00681586">
        <w:rPr>
          <w:rFonts w:ascii="David" w:eastAsia="Calibri" w:hAnsi="David" w:hint="eastAsia"/>
          <w:b/>
          <w:bCs/>
          <w:rtl/>
        </w:rPr>
        <w:t>הקדמה</w:t>
      </w:r>
      <w:r w:rsidRPr="00681586">
        <w:rPr>
          <w:rFonts w:eastAsia="Calibri"/>
          <w:b/>
          <w:bCs/>
          <w:rtl/>
        </w:rPr>
        <w:t xml:space="preserve"> </w:t>
      </w:r>
      <w:r w:rsidRPr="00681586">
        <w:rPr>
          <w:rFonts w:ascii="David" w:eastAsia="Calibri" w:hAnsi="David" w:hint="eastAsia"/>
          <w:b/>
          <w:bCs/>
          <w:rtl/>
        </w:rPr>
        <w:t>זו</w:t>
      </w:r>
      <w:r w:rsidRPr="00681586">
        <w:rPr>
          <w:rFonts w:eastAsia="Calibri"/>
          <w:b/>
          <w:bCs/>
          <w:rtl/>
        </w:rPr>
        <w:t xml:space="preserve"> </w:t>
      </w:r>
      <w:r w:rsidRPr="00681586">
        <w:rPr>
          <w:rFonts w:ascii="David" w:eastAsia="Calibri" w:hAnsi="David" w:hint="eastAsia"/>
          <w:b/>
          <w:bCs/>
          <w:rtl/>
        </w:rPr>
        <w:t>של</w:t>
      </w:r>
      <w:r w:rsidRPr="00681586">
        <w:rPr>
          <w:rFonts w:eastAsia="Calibri"/>
          <w:b/>
          <w:bCs/>
          <w:rtl/>
        </w:rPr>
        <w:t xml:space="preserve"> </w:t>
      </w:r>
      <w:r w:rsidRPr="00681586">
        <w:rPr>
          <w:rFonts w:ascii="David" w:eastAsia="Calibri" w:hAnsi="David" w:hint="eastAsia"/>
          <w:b/>
          <w:bCs/>
          <w:rtl/>
        </w:rPr>
        <w:t>שנת</w:t>
      </w:r>
      <w:r w:rsidRPr="00681586">
        <w:rPr>
          <w:rFonts w:eastAsia="Calibri"/>
          <w:b/>
          <w:bCs/>
          <w:rtl/>
        </w:rPr>
        <w:t xml:space="preserve"> </w:t>
      </w:r>
      <w:r w:rsidRPr="00681586">
        <w:rPr>
          <w:rFonts w:ascii="David" w:eastAsia="Calibri" w:hAnsi="David" w:hint="eastAsia"/>
          <w:b/>
          <w:bCs/>
          <w:rtl/>
        </w:rPr>
        <w:t>איפוס</w:t>
      </w:r>
      <w:r w:rsidRPr="00681586">
        <w:rPr>
          <w:rFonts w:ascii="David" w:eastAsia="Calibri" w:hAnsi="David"/>
          <w:b/>
          <w:bCs/>
          <w:rtl/>
        </w:rPr>
        <w:t xml:space="preserve"> </w:t>
      </w:r>
      <w:r w:rsidRPr="00681586">
        <w:rPr>
          <w:rFonts w:ascii="David" w:eastAsia="Calibri" w:hAnsi="David" w:hint="eastAsia"/>
          <w:b/>
          <w:bCs/>
          <w:rtl/>
        </w:rPr>
        <w:t>הקרן</w:t>
      </w:r>
      <w:r w:rsidRPr="00681586">
        <w:rPr>
          <w:rFonts w:eastAsia="Calibri"/>
          <w:b/>
          <w:bCs/>
          <w:rtl/>
        </w:rPr>
        <w:t xml:space="preserve"> </w:t>
      </w:r>
      <w:r w:rsidRPr="00681586">
        <w:rPr>
          <w:rFonts w:ascii="David" w:eastAsia="Calibri" w:hAnsi="David" w:hint="cs"/>
          <w:b/>
          <w:bCs/>
          <w:rtl/>
        </w:rPr>
        <w:t xml:space="preserve">פוגעת </w:t>
      </w:r>
      <w:r w:rsidRPr="00681586">
        <w:rPr>
          <w:rFonts w:ascii="David" w:eastAsia="Calibri" w:hAnsi="David" w:hint="eastAsia"/>
          <w:b/>
          <w:bCs/>
          <w:rtl/>
        </w:rPr>
        <w:t>ביציבות</w:t>
      </w:r>
      <w:r w:rsidRPr="00681586">
        <w:rPr>
          <w:rFonts w:eastAsia="Calibri"/>
          <w:b/>
          <w:bCs/>
          <w:rtl/>
        </w:rPr>
        <w:t xml:space="preserve"> </w:t>
      </w:r>
      <w:r w:rsidRPr="00681586">
        <w:rPr>
          <w:rFonts w:ascii="David" w:eastAsia="Calibri" w:hAnsi="David" w:hint="eastAsia"/>
          <w:b/>
          <w:bCs/>
          <w:rtl/>
        </w:rPr>
        <w:t>האקטוארית</w:t>
      </w:r>
      <w:r w:rsidRPr="00681586">
        <w:rPr>
          <w:rFonts w:eastAsia="Calibri"/>
          <w:b/>
          <w:bCs/>
          <w:rtl/>
        </w:rPr>
        <w:t xml:space="preserve"> </w:t>
      </w:r>
      <w:r w:rsidRPr="00681586">
        <w:rPr>
          <w:rFonts w:ascii="David" w:eastAsia="Calibri" w:hAnsi="David" w:hint="eastAsia"/>
          <w:b/>
          <w:bCs/>
          <w:rtl/>
        </w:rPr>
        <w:t>של</w:t>
      </w:r>
      <w:r w:rsidRPr="00681586">
        <w:rPr>
          <w:rFonts w:eastAsia="Calibri"/>
          <w:b/>
          <w:bCs/>
          <w:rtl/>
        </w:rPr>
        <w:t xml:space="preserve"> </w:t>
      </w:r>
      <w:r w:rsidRPr="00681586">
        <w:rPr>
          <w:rFonts w:ascii="David" w:eastAsia="Calibri" w:hAnsi="David" w:hint="eastAsia"/>
          <w:b/>
          <w:bCs/>
          <w:rtl/>
        </w:rPr>
        <w:t>בט</w:t>
      </w:r>
      <w:r w:rsidRPr="00681586">
        <w:rPr>
          <w:rFonts w:ascii="David" w:eastAsia="Calibri" w:hAnsi="David"/>
          <w:b/>
          <w:bCs/>
          <w:rtl/>
        </w:rPr>
        <w:t>"ל</w:t>
      </w:r>
      <w:r w:rsidRPr="00681586">
        <w:rPr>
          <w:rFonts w:eastAsia="Calibri"/>
          <w:b/>
          <w:bCs/>
          <w:rtl/>
        </w:rPr>
        <w:t xml:space="preserve">, </w:t>
      </w:r>
      <w:r w:rsidRPr="00681586">
        <w:rPr>
          <w:rFonts w:eastAsia="Calibri" w:hint="cs"/>
          <w:b/>
          <w:bCs/>
          <w:rtl/>
        </w:rPr>
        <w:t>מגדילה</w:t>
      </w:r>
      <w:r w:rsidRPr="00681586">
        <w:rPr>
          <w:rFonts w:eastAsia="Calibri"/>
          <w:b/>
          <w:bCs/>
          <w:rtl/>
        </w:rPr>
        <w:t xml:space="preserve"> את הסיכון שהמוסד יידרש לקיצוצים חדים או להעלאות דמי ביטוח בעתיד, ומערערת את האמון במנגנון</w:t>
      </w:r>
      <w:r w:rsidRPr="00681586">
        <w:rPr>
          <w:rFonts w:eastAsia="Calibri" w:hint="cs"/>
          <w:b/>
          <w:bCs/>
          <w:rtl/>
        </w:rPr>
        <w:t xml:space="preserve"> הביטחון הסוציאלי שגובה דמי ביטוח בהווה כדי לשלם גמלאות בעתיד בהתאם לחוק.</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b/>
          <w:bCs/>
          <w:rtl/>
        </w:rPr>
        <w:t xml:space="preserve">מומלץ כי </w:t>
      </w:r>
      <w:r w:rsidRPr="00681586">
        <w:rPr>
          <w:rFonts w:eastAsia="Calibri"/>
          <w:b/>
          <w:bCs/>
          <w:rtl/>
        </w:rPr>
        <w:t>ב</w:t>
      </w:r>
      <w:r w:rsidRPr="00681586">
        <w:rPr>
          <w:rFonts w:eastAsia="Calibri" w:hint="cs"/>
          <w:b/>
          <w:bCs/>
          <w:rtl/>
        </w:rPr>
        <w:t xml:space="preserve">ט"ל </w:t>
      </w:r>
      <w:r w:rsidRPr="00681586">
        <w:rPr>
          <w:rFonts w:eastAsia="Calibri"/>
          <w:b/>
          <w:bCs/>
          <w:rtl/>
        </w:rPr>
        <w:t>י</w:t>
      </w:r>
      <w:r w:rsidRPr="00681586">
        <w:rPr>
          <w:rFonts w:eastAsia="Calibri" w:hint="cs"/>
          <w:b/>
          <w:bCs/>
          <w:rtl/>
        </w:rPr>
        <w:t xml:space="preserve">לווה החלטות מינהליות שיש בהן כדי להגדיל את היקף הזכאות לגמלאות בתחשיב אקטוארי האומד את מידת השפעת ההחלטה על הגירעון האקטוארי ועל שנת איפוס הקרן. על הממשלה והקבינט החברתי-כלכלי </w:t>
      </w:r>
      <w:r w:rsidRPr="00681586">
        <w:rPr>
          <w:rFonts w:eastAsia="Calibri" w:hint="eastAsia"/>
          <w:b/>
          <w:bCs/>
          <w:rtl/>
        </w:rPr>
        <w:t>לקיים</w:t>
      </w:r>
      <w:r w:rsidRPr="00681586">
        <w:rPr>
          <w:rFonts w:eastAsia="Calibri" w:hint="cs"/>
          <w:b/>
          <w:bCs/>
          <w:rtl/>
        </w:rPr>
        <w:t xml:space="preserve"> דיון בנושא הגירעון האקטוארי והשנתי של בט"ל בהתאם להחלטת הממשלה משנת 2015. כמו כן מומלץ כי שר העבודה בשיתוף עם שר האוצר יפעלו לאזן את התקציב הגירעוני, בין השאר באמצעות גיבוש תיקונים בחוק שיאפשרו יצירת מאזנים אוטומטים, או לחלופין באמצעות אימוץ </w:t>
      </w:r>
      <w:r w:rsidRPr="00681586">
        <w:rPr>
          <w:rFonts w:eastAsia="Calibri" w:hint="eastAsia"/>
          <w:b/>
          <w:bCs/>
          <w:rtl/>
        </w:rPr>
        <w:t>מגבלת</w:t>
      </w:r>
      <w:r w:rsidRPr="00681586">
        <w:rPr>
          <w:rFonts w:eastAsia="Calibri"/>
          <w:b/>
          <w:bCs/>
          <w:rtl/>
        </w:rPr>
        <w:t xml:space="preserve"> תקציב כוללת על ההוצאה על טיפול סיעודי</w:t>
      </w:r>
      <w:r w:rsidRPr="00681586">
        <w:rPr>
          <w:rFonts w:eastAsia="Calibri" w:hint="cs"/>
          <w:b/>
          <w:bCs/>
          <w:rtl/>
        </w:rPr>
        <w:t>, בדומה לקיים ברוב מדינות ה-</w:t>
      </w:r>
      <w:r w:rsidRPr="00681586">
        <w:rPr>
          <w:rFonts w:eastAsia="Calibri" w:hint="cs"/>
          <w:b/>
          <w:bCs/>
        </w:rPr>
        <w:t>OECD</w:t>
      </w:r>
      <w:r w:rsidRPr="00681586">
        <w:rPr>
          <w:rFonts w:eastAsia="Calibri" w:hint="cs"/>
          <w:b/>
          <w:bCs/>
          <w:rtl/>
        </w:rPr>
        <w:t>.</w:t>
      </w:r>
    </w:p>
    <w:p w:rsidR="00681586" w:rsidRPr="00681586" w:rsidP="00681586">
      <w:pPr>
        <w:spacing w:line="269" w:lineRule="auto"/>
        <w:rPr>
          <w:rFonts w:eastAsia="Calibri"/>
        </w:rPr>
      </w:pPr>
    </w:p>
    <w:p w:rsidR="00681586" w:rsidRPr="00681586" w:rsidP="00681586">
      <w:pPr>
        <w:keepNext/>
        <w:keepLines/>
        <w:spacing w:line="269" w:lineRule="auto"/>
        <w:outlineLvl w:val="3"/>
        <w:rPr>
          <w:rFonts w:eastAsia="Times New Roman"/>
          <w:bCs/>
          <w:szCs w:val="26"/>
          <w:rtl/>
        </w:rPr>
      </w:pPr>
      <w:r w:rsidRPr="00681586">
        <w:rPr>
          <w:rFonts w:eastAsia="Times New Roman" w:hint="cs"/>
          <w:bCs/>
          <w:szCs w:val="26"/>
          <w:rtl/>
        </w:rPr>
        <w:t xml:space="preserve">יציבותם של ביטוחי הסיעוד בקופות החולים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ascii="David" w:eastAsia="Aptos" w:hAnsi="David" w:hint="cs"/>
          <w:kern w:val="2"/>
          <w:sz w:val="24"/>
          <w:rtl/>
          <w14:ligatures w14:val="standardContextual"/>
        </w:rPr>
        <w:t xml:space="preserve">כאמור, במציאות הקיימת בישראל, </w:t>
      </w:r>
      <w:r w:rsidRPr="00681586">
        <w:rPr>
          <w:rFonts w:eastAsia="Calibri"/>
          <w:rtl/>
        </w:rPr>
        <w:t>עבור רוב תושבי ישראל</w:t>
      </w:r>
      <w:r w:rsidRPr="00681586">
        <w:rPr>
          <w:rFonts w:eastAsia="Calibri" w:hint="cs"/>
          <w:rtl/>
        </w:rPr>
        <w:t>,</w:t>
      </w:r>
      <w:r w:rsidRPr="00681586">
        <w:rPr>
          <w:rFonts w:eastAsia="Calibri"/>
          <w:rtl/>
        </w:rPr>
        <w:t xml:space="preserve"> הדרך היחידה</w:t>
      </w:r>
      <w:r w:rsidRPr="00681586">
        <w:rPr>
          <w:rFonts w:ascii="David" w:eastAsia="Aptos" w:hAnsi="David" w:hint="cs"/>
          <w:kern w:val="2"/>
          <w:sz w:val="24"/>
          <w:rtl/>
          <w14:ligatures w14:val="standardContextual"/>
        </w:rPr>
        <w:t xml:space="preserve"> לרכוש ביטוח סיעודי פרטי היא באמצעות הצטרפות לפוליסת הביטוח הסיעודי של קופת החולים שבה האדם מבוטח</w:t>
      </w:r>
      <w:r>
        <w:rPr>
          <w:rFonts w:ascii="David" w:eastAsia="Aptos" w:hAnsi="David"/>
          <w:kern w:val="2"/>
          <w:sz w:val="24"/>
          <w:vertAlign w:val="superscript"/>
          <w:rtl/>
          <w14:ligatures w14:val="standardContextual"/>
        </w:rPr>
        <w:footnoteReference w:id="116"/>
      </w:r>
      <w:r w:rsidRPr="00681586">
        <w:rPr>
          <w:rFonts w:ascii="David" w:eastAsia="Aptos" w:hAnsi="David" w:hint="cs"/>
          <w:kern w:val="2"/>
          <w:sz w:val="24"/>
          <w:rtl/>
          <w14:ligatures w14:val="standardContextual"/>
        </w:rPr>
        <w:t xml:space="preserve">. בביטוחים אלו, קופת החולים מוגדרת כבעלת הפוליסה עבור כלל המבוטחים אצלה, אל מול חברת הביטוח שזכתה במכרז, והיא המבטחת בביטוח הסיעודי.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b/>
          <w:bCs/>
          <w:rtl/>
        </w:rPr>
        <w:t>בשנים 2016 - 2024 חלו כמה שינויים שהובילו למשבר בשוק הביטוחים הקבוצתיים דרך קופות החולים, להלן הפרטים</w:t>
      </w:r>
      <w:r w:rsidRPr="00681586">
        <w:rPr>
          <w:rFonts w:eastAsia="Calibri" w:hint="cs"/>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Times New Roman" w:hint="cs"/>
          <w:bCs/>
          <w:spacing w:val="40"/>
          <w:rtl/>
        </w:rPr>
        <w:t>שנת 2016:</w:t>
      </w:r>
      <w:r w:rsidRPr="00681586">
        <w:rPr>
          <w:rFonts w:eastAsia="Calibri" w:hint="cs"/>
          <w:rtl/>
        </w:rPr>
        <w:t xml:space="preserve"> כניסתן לתוקף של תקנות שהתקין שר האוצר דאז </w:t>
      </w:r>
      <w:r>
        <w:rPr>
          <w:rFonts w:eastAsia="Calibri"/>
          <w:vertAlign w:val="superscript"/>
          <w:rtl/>
        </w:rPr>
        <w:footnoteReference w:id="117"/>
      </w:r>
      <w:r w:rsidRPr="00681586">
        <w:rPr>
          <w:rFonts w:eastAsia="Calibri" w:hint="cs"/>
          <w:rtl/>
        </w:rPr>
        <w:t xml:space="preserve"> אשר </w:t>
      </w:r>
      <w:r w:rsidRPr="00681586">
        <w:rPr>
          <w:rFonts w:eastAsia="Calibri"/>
          <w:rtl/>
        </w:rPr>
        <w:t>קבעו תנאים אחידים ביחס לכיסוי,</w:t>
      </w:r>
      <w:r w:rsidRPr="00681586">
        <w:rPr>
          <w:rFonts w:eastAsia="Calibri" w:hint="cs"/>
          <w:rtl/>
        </w:rPr>
        <w:t xml:space="preserve"> </w:t>
      </w:r>
      <w:r w:rsidRPr="00681586">
        <w:rPr>
          <w:rFonts w:eastAsia="Calibri"/>
          <w:rtl/>
        </w:rPr>
        <w:t>אפשרו שקיפות</w:t>
      </w:r>
      <w:r w:rsidRPr="00681586">
        <w:rPr>
          <w:rFonts w:eastAsia="Calibri" w:hint="cs"/>
          <w:rtl/>
        </w:rPr>
        <w:t xml:space="preserve"> </w:t>
      </w:r>
      <w:r w:rsidRPr="00681586">
        <w:rPr>
          <w:rFonts w:eastAsia="Calibri"/>
          <w:rtl/>
        </w:rPr>
        <w:t>והשוואה בין הפוליסות בקופות השונות, ומיקדו את התחרות באיכות השירות הניתן למבוטחים</w:t>
      </w:r>
      <w:r w:rsidRPr="00681586">
        <w:rPr>
          <w:rFonts w:eastAsia="Calibri" w:hint="cs"/>
          <w:rtl/>
        </w:rPr>
        <w:t xml:space="preserve"> ובמחיר הביטוח, תוך קביעת שיפוי אחיד בקרות אירוע ביטוחי ותוך הבטחה להמשכיות הביטוח. בהתאם לכך, קופות החולים פעלו לפרסום מכרזים לבחירת חברת ביטוח שתציע פוליסת ביטוח סיעודי קבוצתי לחברי הקופה.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Times New Roman" w:hint="cs"/>
          <w:bCs/>
          <w:spacing w:val="40"/>
          <w:rtl/>
        </w:rPr>
        <w:t>שנת 2018</w:t>
      </w:r>
      <w:r w:rsidRPr="00681586">
        <w:rPr>
          <w:rFonts w:eastAsia="Times New Roman"/>
          <w:bCs/>
          <w:spacing w:val="40"/>
          <w:rtl/>
        </w:rPr>
        <w:t>:</w:t>
      </w:r>
      <w:r w:rsidRPr="00681586">
        <w:rPr>
          <w:rFonts w:eastAsia="Calibri" w:hint="cs"/>
          <w:rtl/>
        </w:rPr>
        <w:t xml:space="preserve"> קופת החולים כללית, המבטחת כ-2.5 מיליון מבוטחים בביטוח סיעודי (שהם </w:t>
      </w:r>
      <w:r w:rsidR="00C839DB">
        <w:rPr>
          <w:rFonts w:eastAsia="Calibri"/>
          <w:rtl/>
        </w:rPr>
        <w:br/>
      </w:r>
      <w:r w:rsidRPr="00681586">
        <w:rPr>
          <w:rFonts w:eastAsia="Calibri" w:hint="cs"/>
          <w:rtl/>
        </w:rPr>
        <w:t xml:space="preserve">כ-50% ממבוטחי ביטוח סיעודי בישראל), פרסמה באותה שנה מכרז להתקשרות עם חברת ביטוח להפעלה של תוכנית הביטוח הסיעודי לחברי הקופה. במכרז זכתה אחת מחברות הביטוח. תנאי המכרז, מסמכי המכרז וכן המודל האקטוארי שעמד בבסיסו, אשר נבנה מראש כהערכה אקטוארית למשך עשרות שנים קדימה, נבחנו ואושרו על ידי הרשות. </w:t>
      </w:r>
    </w:p>
    <w:p w:rsidR="00681586" w:rsidRPr="00681586" w:rsidP="00681586">
      <w:pPr>
        <w:spacing w:line="269" w:lineRule="auto"/>
        <w:ind w:left="-567"/>
        <w:rPr>
          <w:rFonts w:eastAsia="Calibri"/>
          <w:szCs w:val="20"/>
          <w:rtl/>
        </w:rPr>
      </w:pPr>
    </w:p>
    <w:p w:rsidR="00681586" w:rsidRPr="00681586" w:rsidP="00681586">
      <w:pPr>
        <w:spacing w:line="269" w:lineRule="auto"/>
        <w:rPr>
          <w:rFonts w:ascii="David" w:eastAsia="Calibri" w:hAnsi="David"/>
          <w:b/>
          <w:bCs/>
          <w:rtl/>
        </w:rPr>
      </w:pPr>
      <w:r w:rsidRPr="00681586">
        <w:rPr>
          <w:rFonts w:eastAsia="Calibri" w:hint="cs"/>
          <w:b/>
          <w:bCs/>
          <w:rtl/>
        </w:rPr>
        <w:t>בביקורת עלה</w:t>
      </w:r>
      <w:r w:rsidRPr="00681586">
        <w:rPr>
          <w:rFonts w:eastAsia="Calibri"/>
          <w:b/>
          <w:bCs/>
          <w:rtl/>
        </w:rPr>
        <w:t xml:space="preserve"> כי </w:t>
      </w:r>
      <w:r w:rsidRPr="00681586">
        <w:rPr>
          <w:rFonts w:eastAsia="Calibri" w:hint="eastAsia"/>
          <w:b/>
          <w:bCs/>
          <w:rtl/>
        </w:rPr>
        <w:t>לאחר</w:t>
      </w:r>
      <w:r w:rsidRPr="00681586">
        <w:rPr>
          <w:rFonts w:eastAsia="Calibri"/>
          <w:b/>
          <w:bCs/>
          <w:rtl/>
        </w:rPr>
        <w:t xml:space="preserve"> </w:t>
      </w:r>
      <w:r w:rsidRPr="00681586">
        <w:rPr>
          <w:rFonts w:eastAsia="Calibri" w:hint="eastAsia"/>
          <w:b/>
          <w:bCs/>
          <w:rtl/>
        </w:rPr>
        <w:t>ש</w:t>
      </w:r>
      <w:r w:rsidRPr="00681586">
        <w:rPr>
          <w:rFonts w:eastAsia="Calibri" w:hint="cs"/>
          <w:b/>
          <w:bCs/>
          <w:rtl/>
        </w:rPr>
        <w:t xml:space="preserve">קופות החולים ערכו מכרזים אשר הרשות הייתה מעורבת </w:t>
      </w:r>
      <w:bookmarkStart w:id="14" w:name="_Hlk231223705"/>
      <w:r w:rsidRPr="00681586">
        <w:rPr>
          <w:rFonts w:eastAsia="Calibri" w:hint="cs"/>
          <w:b/>
          <w:bCs/>
          <w:rtl/>
        </w:rPr>
        <w:t>בבחינת</w:t>
      </w:r>
      <w:r w:rsidRPr="00681586">
        <w:rPr>
          <w:rFonts w:eastAsia="Calibri"/>
          <w:b/>
          <w:bCs/>
          <w:rtl/>
        </w:rPr>
        <w:t xml:space="preserve"> </w:t>
      </w:r>
      <w:bookmarkEnd w:id="14"/>
      <w:r w:rsidRPr="00681586">
        <w:rPr>
          <w:rFonts w:eastAsia="Calibri" w:hint="eastAsia"/>
          <w:b/>
          <w:bCs/>
          <w:rtl/>
        </w:rPr>
        <w:t>תנאיהם</w:t>
      </w:r>
      <w:r w:rsidRPr="00681586">
        <w:rPr>
          <w:rFonts w:eastAsia="Calibri"/>
          <w:b/>
          <w:bCs/>
          <w:rtl/>
        </w:rPr>
        <w:t xml:space="preserve">, </w:t>
      </w:r>
      <w:r w:rsidRPr="00681586">
        <w:rPr>
          <w:rFonts w:eastAsia="Calibri" w:hint="eastAsia"/>
          <w:b/>
          <w:bCs/>
          <w:rtl/>
        </w:rPr>
        <w:t>הרשות</w:t>
      </w:r>
      <w:r w:rsidRPr="00681586">
        <w:rPr>
          <w:rFonts w:eastAsia="Calibri"/>
          <w:b/>
          <w:bCs/>
          <w:rtl/>
        </w:rPr>
        <w:t xml:space="preserve"> </w:t>
      </w:r>
      <w:r w:rsidRPr="00681586">
        <w:rPr>
          <w:rFonts w:eastAsia="Calibri" w:hint="eastAsia"/>
          <w:b/>
          <w:bCs/>
          <w:rtl/>
        </w:rPr>
        <w:t>פרסמה</w:t>
      </w:r>
      <w:r w:rsidRPr="00681586">
        <w:rPr>
          <w:rFonts w:eastAsia="Calibri"/>
          <w:b/>
          <w:bCs/>
          <w:rtl/>
        </w:rPr>
        <w:t xml:space="preserve"> </w:t>
      </w:r>
      <w:r w:rsidRPr="00681586">
        <w:rPr>
          <w:rFonts w:eastAsia="Calibri" w:hint="eastAsia"/>
          <w:b/>
          <w:bCs/>
          <w:rtl/>
        </w:rPr>
        <w:t>חוזר</w:t>
      </w:r>
      <w:r>
        <w:rPr>
          <w:rFonts w:eastAsia="Calibri"/>
          <w:b/>
          <w:bCs/>
          <w:vertAlign w:val="superscript"/>
          <w:rtl/>
        </w:rPr>
        <w:footnoteReference w:id="118"/>
      </w:r>
      <w:r w:rsidRPr="00681586">
        <w:rPr>
          <w:rFonts w:eastAsia="Calibri"/>
          <w:b/>
          <w:bCs/>
          <w:rtl/>
        </w:rPr>
        <w:t xml:space="preserve"> ש</w:t>
      </w:r>
      <w:r w:rsidRPr="00681586">
        <w:rPr>
          <w:rFonts w:ascii="David" w:eastAsia="Calibri" w:hAnsi="David" w:hint="eastAsia"/>
          <w:b/>
          <w:bCs/>
          <w:rtl/>
        </w:rPr>
        <w:t>קבע</w:t>
      </w:r>
      <w:r w:rsidRPr="00681586">
        <w:rPr>
          <w:rFonts w:ascii="David" w:eastAsia="Calibri" w:hAnsi="David"/>
          <w:b/>
          <w:bCs/>
          <w:rtl/>
        </w:rPr>
        <w:t xml:space="preserve"> </w:t>
      </w:r>
      <w:r w:rsidRPr="00681586">
        <w:rPr>
          <w:rFonts w:ascii="David" w:eastAsia="Calibri" w:hAnsi="David" w:hint="eastAsia"/>
          <w:b/>
          <w:bCs/>
          <w:rtl/>
        </w:rPr>
        <w:t>הוראות</w:t>
      </w:r>
      <w:r w:rsidRPr="00681586">
        <w:rPr>
          <w:rFonts w:ascii="David" w:eastAsia="Calibri" w:hAnsi="David"/>
          <w:b/>
          <w:bCs/>
          <w:rtl/>
        </w:rPr>
        <w:t xml:space="preserve"> </w:t>
      </w:r>
      <w:r w:rsidRPr="00681586">
        <w:rPr>
          <w:rFonts w:ascii="David" w:eastAsia="Calibri" w:hAnsi="David" w:hint="eastAsia"/>
          <w:b/>
          <w:bCs/>
          <w:rtl/>
        </w:rPr>
        <w:t>ליישוב</w:t>
      </w:r>
      <w:r w:rsidRPr="00681586">
        <w:rPr>
          <w:rFonts w:ascii="David" w:eastAsia="Calibri" w:hAnsi="David"/>
          <w:b/>
          <w:bCs/>
          <w:rtl/>
        </w:rPr>
        <w:t xml:space="preserve"> </w:t>
      </w:r>
      <w:r w:rsidRPr="00681586">
        <w:rPr>
          <w:rFonts w:ascii="David" w:eastAsia="Calibri" w:hAnsi="David" w:hint="eastAsia"/>
          <w:b/>
          <w:bCs/>
          <w:rtl/>
        </w:rPr>
        <w:t>תביעות</w:t>
      </w:r>
      <w:r w:rsidRPr="00681586">
        <w:rPr>
          <w:rFonts w:ascii="David" w:eastAsia="Calibri" w:hAnsi="David"/>
          <w:b/>
          <w:bCs/>
          <w:rtl/>
        </w:rPr>
        <w:t xml:space="preserve"> </w:t>
      </w:r>
      <w:r w:rsidRPr="00681586">
        <w:rPr>
          <w:rFonts w:ascii="David" w:eastAsia="Calibri" w:hAnsi="David" w:hint="eastAsia"/>
          <w:b/>
          <w:bCs/>
          <w:rtl/>
        </w:rPr>
        <w:t>בביטוח</w:t>
      </w:r>
      <w:r w:rsidRPr="00681586">
        <w:rPr>
          <w:rFonts w:ascii="David" w:eastAsia="Calibri" w:hAnsi="David"/>
          <w:b/>
          <w:bCs/>
          <w:rtl/>
        </w:rPr>
        <w:t xml:space="preserve"> </w:t>
      </w:r>
      <w:r w:rsidRPr="00681586">
        <w:rPr>
          <w:rFonts w:ascii="David" w:eastAsia="Calibri" w:hAnsi="David" w:hint="eastAsia"/>
          <w:b/>
          <w:bCs/>
          <w:rtl/>
        </w:rPr>
        <w:t>סיעודי</w:t>
      </w:r>
      <w:r w:rsidRPr="00681586">
        <w:rPr>
          <w:rFonts w:ascii="David" w:eastAsia="Calibri" w:hAnsi="David"/>
          <w:b/>
          <w:bCs/>
          <w:rtl/>
        </w:rPr>
        <w:t xml:space="preserve">. </w:t>
      </w:r>
      <w:r w:rsidRPr="00681586">
        <w:rPr>
          <w:rFonts w:ascii="David" w:eastAsia="Calibri" w:hAnsi="David" w:hint="eastAsia"/>
          <w:b/>
          <w:bCs/>
          <w:rtl/>
        </w:rPr>
        <w:t>בין</w:t>
      </w:r>
      <w:r w:rsidRPr="00681586">
        <w:rPr>
          <w:rFonts w:ascii="David" w:eastAsia="Calibri" w:hAnsi="David"/>
          <w:b/>
          <w:bCs/>
          <w:rtl/>
        </w:rPr>
        <w:t xml:space="preserve"> היתר החוזר חייב את חברות הביטוח בהליך אישור התביעה להתייחס להערכות התלות שבוצעו על ידי בט"ל. הלכה למעשה, הכללים שנקבעו בהוראה הגבילו את היכולת של חברת הביטוח לערוך בירור מעמיק </w:t>
      </w:r>
      <w:r w:rsidRPr="00681586">
        <w:rPr>
          <w:rFonts w:ascii="David" w:eastAsia="Calibri" w:hAnsi="David" w:hint="cs"/>
          <w:b/>
          <w:bCs/>
          <w:rtl/>
        </w:rPr>
        <w:t>בדבר</w:t>
      </w:r>
      <w:r w:rsidRPr="00681586">
        <w:rPr>
          <w:rFonts w:ascii="David" w:eastAsia="Calibri" w:hAnsi="David"/>
          <w:b/>
          <w:bCs/>
          <w:rtl/>
        </w:rPr>
        <w:t xml:space="preserve"> נסיבות התביעה</w:t>
      </w:r>
      <w:r w:rsidRPr="00681586">
        <w:rPr>
          <w:rFonts w:ascii="David" w:eastAsia="Calibri" w:hAnsi="David" w:hint="cs"/>
          <w:b/>
          <w:bCs/>
          <w:rtl/>
        </w:rPr>
        <w:t>,</w:t>
      </w:r>
      <w:r w:rsidRPr="00681586">
        <w:rPr>
          <w:rFonts w:ascii="David" w:eastAsia="Calibri" w:hAnsi="David"/>
          <w:b/>
          <w:bCs/>
          <w:rtl/>
        </w:rPr>
        <w:t xml:space="preserve"> </w:t>
      </w:r>
      <w:r w:rsidRPr="00681586">
        <w:rPr>
          <w:rFonts w:ascii="David" w:eastAsia="Calibri" w:hAnsi="David" w:hint="eastAsia"/>
          <w:b/>
          <w:bCs/>
          <w:rtl/>
        </w:rPr>
        <w:t>והביאו</w:t>
      </w:r>
      <w:r w:rsidRPr="00681586">
        <w:rPr>
          <w:rFonts w:ascii="David" w:eastAsia="Calibri" w:hAnsi="David"/>
          <w:b/>
          <w:bCs/>
          <w:rtl/>
        </w:rPr>
        <w:t xml:space="preserve"> לכך </w:t>
      </w:r>
      <w:r w:rsidRPr="00681586">
        <w:rPr>
          <w:rFonts w:ascii="David" w:eastAsia="Calibri" w:hAnsi="David" w:hint="cs"/>
          <w:b/>
          <w:bCs/>
          <w:rtl/>
        </w:rPr>
        <w:t>שתביעות מבוטחים שאולי היו</w:t>
      </w:r>
      <w:r w:rsidRPr="00681586">
        <w:rPr>
          <w:rFonts w:ascii="David" w:eastAsia="Calibri" w:hAnsi="David"/>
          <w:b/>
          <w:bCs/>
          <w:rtl/>
        </w:rPr>
        <w:t xml:space="preserve"> </w:t>
      </w:r>
      <w:r w:rsidRPr="00681586">
        <w:rPr>
          <w:rFonts w:ascii="David" w:eastAsia="Calibri" w:hAnsi="David" w:hint="eastAsia"/>
          <w:b/>
          <w:bCs/>
          <w:rtl/>
        </w:rPr>
        <w:t>נדח</w:t>
      </w:r>
      <w:r w:rsidRPr="00681586">
        <w:rPr>
          <w:rFonts w:ascii="David" w:eastAsia="Calibri" w:hAnsi="David" w:hint="cs"/>
          <w:b/>
          <w:bCs/>
          <w:rtl/>
        </w:rPr>
        <w:t>ו</w:t>
      </w:r>
      <w:r w:rsidRPr="00681586">
        <w:rPr>
          <w:rFonts w:ascii="David" w:eastAsia="Calibri" w:hAnsi="David" w:hint="eastAsia"/>
          <w:b/>
          <w:bCs/>
          <w:rtl/>
        </w:rPr>
        <w:t>ת</w:t>
      </w:r>
      <w:r w:rsidRPr="00681586">
        <w:rPr>
          <w:rFonts w:ascii="David" w:eastAsia="Calibri" w:hAnsi="David"/>
          <w:b/>
          <w:bCs/>
          <w:rtl/>
        </w:rPr>
        <w:t xml:space="preserve"> </w:t>
      </w:r>
      <w:r w:rsidRPr="00681586">
        <w:rPr>
          <w:rFonts w:ascii="David" w:eastAsia="Calibri" w:hAnsi="David" w:hint="eastAsia"/>
          <w:b/>
          <w:bCs/>
          <w:rtl/>
        </w:rPr>
        <w:t>בעבר</w:t>
      </w:r>
      <w:r w:rsidRPr="00681586">
        <w:rPr>
          <w:rFonts w:ascii="David" w:eastAsia="Calibri" w:hAnsi="David"/>
          <w:b/>
          <w:bCs/>
          <w:rtl/>
        </w:rPr>
        <w:t xml:space="preserve">, </w:t>
      </w:r>
      <w:r w:rsidRPr="00681586">
        <w:rPr>
          <w:rFonts w:ascii="David" w:eastAsia="Calibri" w:hAnsi="David" w:hint="eastAsia"/>
          <w:b/>
          <w:bCs/>
          <w:rtl/>
        </w:rPr>
        <w:t>התקבל</w:t>
      </w:r>
      <w:r w:rsidRPr="00681586">
        <w:rPr>
          <w:rFonts w:ascii="David" w:eastAsia="Calibri" w:hAnsi="David" w:hint="cs"/>
          <w:b/>
          <w:bCs/>
          <w:rtl/>
        </w:rPr>
        <w:t>ו</w:t>
      </w:r>
      <w:r w:rsidRPr="00681586">
        <w:rPr>
          <w:rFonts w:ascii="David" w:eastAsia="Calibri" w:hAnsi="David"/>
          <w:b/>
          <w:bCs/>
          <w:rtl/>
        </w:rPr>
        <w:t xml:space="preserve"> </w:t>
      </w:r>
      <w:r w:rsidRPr="00681586">
        <w:rPr>
          <w:rFonts w:ascii="David" w:eastAsia="Calibri" w:hAnsi="David" w:hint="eastAsia"/>
          <w:b/>
          <w:bCs/>
          <w:rtl/>
        </w:rPr>
        <w:t>לאחר</w:t>
      </w:r>
      <w:r w:rsidRPr="00681586">
        <w:rPr>
          <w:rFonts w:ascii="David" w:eastAsia="Calibri" w:hAnsi="David"/>
          <w:b/>
          <w:bCs/>
          <w:rtl/>
        </w:rPr>
        <w:t xml:space="preserve"> </w:t>
      </w:r>
      <w:r w:rsidRPr="00681586">
        <w:rPr>
          <w:rFonts w:ascii="David" w:eastAsia="Calibri" w:hAnsi="David" w:hint="eastAsia"/>
          <w:b/>
          <w:bCs/>
          <w:rtl/>
        </w:rPr>
        <w:t>השינוי</w:t>
      </w:r>
      <w:r w:rsidRPr="00681586">
        <w:rPr>
          <w:rFonts w:ascii="David" w:eastAsia="Calibri" w:hAnsi="David"/>
          <w:b/>
          <w:bCs/>
          <w:rtl/>
        </w:rPr>
        <w:t xml:space="preserve"> </w:t>
      </w:r>
      <w:r w:rsidRPr="00681586">
        <w:rPr>
          <w:rFonts w:ascii="David" w:eastAsia="Calibri" w:hAnsi="David" w:hint="cs"/>
          <w:b/>
          <w:bCs/>
          <w:rtl/>
        </w:rPr>
        <w:t>שחייב את חברת הביטוח להתבסס על הערכת התלות של בט"ל</w:t>
      </w:r>
      <w:r w:rsidRPr="00681586">
        <w:rPr>
          <w:rFonts w:ascii="David" w:eastAsia="Calibri" w:hAnsi="David"/>
          <w:b/>
          <w:bCs/>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רשות שוק ההון ציינה בתשובתה ממאי 2026 למשרד מבקר המדינה (להלן - תשובת רשות שוק ההון) כי החוזר פורסם בעקבות פניות ציבור רבות ומטרתו לשקף איזון בין הצורך להבטיח הליך יישוב תביעות מהיר והוגן לבין יכולתן של חברות הביטוח לבחון את הזכאות.</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באותה שנה כאמור חלה הרפורמה בביטוח הסיעודי של בט"ל, וכן חלו שינויים נוספים בגמלת הסיעוד של בט"ל. הרפורמה והשינויים בחוזרי בט"ל כללו בין היתר מעבר לשש רמות גמלה, אפשרות לקבלת חלק מהגמלה בכסף, אפשרות להעסקת בני משפחה מטפלים ומעבר הדרגתי לבדיקות תלות באמצעות מסמכים. כל אלו הגדילו אפוא את שיעורן של התביעות המאושרות להכרה ולהחמרה במצב התפקוד והגדילו את מספרם של זכאי חוק הסיעוד.</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בתרשים להלן הגידול במספר התביעות המאושרות של הביטוח הסיעודי והגידול במספר הזכאים לגמלת סיעוד של בט"ל ביחס לקצב הגידול במספרם של מקבלי קצבת זקנה בשנים 2012 - 2023</w:t>
      </w:r>
      <w:r>
        <w:rPr>
          <w:rFonts w:eastAsia="Calibri"/>
          <w:vertAlign w:val="superscript"/>
          <w:rtl/>
        </w:rPr>
        <w:footnoteReference w:id="119"/>
      </w:r>
      <w:r w:rsidRPr="00681586">
        <w:rPr>
          <w:rFonts w:eastAsia="Calibri" w:hint="cs"/>
          <w:rtl/>
        </w:rPr>
        <w:t>.</w:t>
      </w:r>
    </w:p>
    <w:p w:rsidR="00681586" w:rsidRPr="00681586" w:rsidP="00681586">
      <w:pPr>
        <w:spacing w:line="269" w:lineRule="auto"/>
        <w:ind w:left="-567"/>
        <w:rPr>
          <w:rFonts w:eastAsia="Calibri"/>
          <w:szCs w:val="20"/>
          <w:rtl/>
        </w:rPr>
      </w:pPr>
    </w:p>
    <w:p w:rsidR="00681586" w:rsidRPr="00681586" w:rsidP="009D0A4C">
      <w:pPr>
        <w:spacing w:after="120" w:line="269" w:lineRule="auto"/>
        <w:jc w:val="center"/>
        <w:rPr>
          <w:rFonts w:eastAsia="Calibri"/>
          <w:b/>
          <w:bCs/>
          <w:rtl/>
        </w:rPr>
      </w:pPr>
      <w:r w:rsidRPr="00681586">
        <w:rPr>
          <w:rFonts w:eastAsia="Calibri" w:hint="cs"/>
          <w:rtl/>
        </w:rPr>
        <w:t xml:space="preserve">תרשים 22: </w:t>
      </w:r>
      <w:r w:rsidRPr="00681586">
        <w:rPr>
          <w:rFonts w:eastAsia="Calibri" w:hint="cs"/>
          <w:b/>
          <w:bCs/>
          <w:rtl/>
        </w:rPr>
        <w:t xml:space="preserve">הגידול במספר התביעות המאושרות של הביטוחים הסיעודיים בקופות החולים </w:t>
      </w:r>
      <w:r w:rsidRPr="00681586">
        <w:rPr>
          <w:rFonts w:eastAsia="Calibri"/>
          <w:b/>
          <w:bCs/>
          <w:rtl/>
        </w:rPr>
        <w:t>והגידול במספר הזכאים לגמ</w:t>
      </w:r>
      <w:r w:rsidRPr="00681586">
        <w:rPr>
          <w:rFonts w:eastAsia="Calibri" w:hint="cs"/>
          <w:b/>
          <w:bCs/>
          <w:rtl/>
        </w:rPr>
        <w:t>ל</w:t>
      </w:r>
      <w:r w:rsidRPr="00681586">
        <w:rPr>
          <w:rFonts w:eastAsia="Calibri"/>
          <w:b/>
          <w:bCs/>
          <w:rtl/>
        </w:rPr>
        <w:t xml:space="preserve">ת סיעוד של בט"ל </w:t>
      </w:r>
      <w:r w:rsidRPr="00681586">
        <w:rPr>
          <w:rFonts w:eastAsia="Calibri" w:hint="eastAsia"/>
          <w:b/>
          <w:bCs/>
          <w:rtl/>
        </w:rPr>
        <w:t>ביחס</w:t>
      </w:r>
      <w:r w:rsidRPr="00681586">
        <w:rPr>
          <w:rFonts w:eastAsia="Calibri"/>
          <w:b/>
          <w:bCs/>
          <w:rtl/>
        </w:rPr>
        <w:t xml:space="preserve"> </w:t>
      </w:r>
      <w:r w:rsidRPr="00681586">
        <w:rPr>
          <w:rFonts w:eastAsia="Calibri" w:hint="eastAsia"/>
          <w:b/>
          <w:bCs/>
          <w:rtl/>
        </w:rPr>
        <w:t>לקצב</w:t>
      </w:r>
      <w:r w:rsidRPr="00681586">
        <w:rPr>
          <w:rFonts w:eastAsia="Calibri"/>
          <w:b/>
          <w:bCs/>
          <w:rtl/>
        </w:rPr>
        <w:t xml:space="preserve"> </w:t>
      </w:r>
      <w:r w:rsidRPr="00681586">
        <w:rPr>
          <w:rFonts w:eastAsia="Calibri" w:hint="eastAsia"/>
          <w:b/>
          <w:bCs/>
          <w:rtl/>
        </w:rPr>
        <w:t>הגידול</w:t>
      </w:r>
      <w:r w:rsidRPr="00681586">
        <w:rPr>
          <w:rFonts w:eastAsia="Calibri"/>
          <w:b/>
          <w:bCs/>
          <w:rtl/>
        </w:rPr>
        <w:t xml:space="preserve"> </w:t>
      </w:r>
      <w:r w:rsidRPr="00681586">
        <w:rPr>
          <w:rFonts w:eastAsia="Calibri" w:hint="eastAsia"/>
          <w:b/>
          <w:bCs/>
          <w:rtl/>
        </w:rPr>
        <w:t>במספר</w:t>
      </w:r>
      <w:r w:rsidRPr="00681586">
        <w:rPr>
          <w:rFonts w:eastAsia="Calibri"/>
          <w:b/>
          <w:bCs/>
          <w:rtl/>
        </w:rPr>
        <w:t xml:space="preserve"> </w:t>
      </w:r>
      <w:r w:rsidRPr="00681586">
        <w:rPr>
          <w:rFonts w:eastAsia="Calibri" w:hint="eastAsia"/>
          <w:b/>
          <w:bCs/>
          <w:rtl/>
        </w:rPr>
        <w:t>מקבלי</w:t>
      </w:r>
      <w:r w:rsidRPr="00681586">
        <w:rPr>
          <w:rFonts w:eastAsia="Calibri"/>
          <w:b/>
          <w:bCs/>
          <w:rtl/>
        </w:rPr>
        <w:t xml:space="preserve"> </w:t>
      </w:r>
      <w:r w:rsidRPr="00681586">
        <w:rPr>
          <w:rFonts w:eastAsia="Calibri" w:hint="eastAsia"/>
          <w:b/>
          <w:bCs/>
          <w:rtl/>
        </w:rPr>
        <w:t>קצבת</w:t>
      </w:r>
      <w:r w:rsidRPr="00681586">
        <w:rPr>
          <w:rFonts w:eastAsia="Calibri"/>
          <w:b/>
          <w:bCs/>
          <w:rtl/>
        </w:rPr>
        <w:t xml:space="preserve"> </w:t>
      </w:r>
      <w:r w:rsidRPr="00681586">
        <w:rPr>
          <w:rFonts w:eastAsia="Calibri" w:hint="eastAsia"/>
          <w:b/>
          <w:bCs/>
          <w:rtl/>
        </w:rPr>
        <w:t>זקנה</w:t>
      </w:r>
      <w:r w:rsidRPr="00681586">
        <w:rPr>
          <w:rFonts w:eastAsia="Calibri" w:hint="cs"/>
          <w:rtl/>
        </w:rPr>
        <w:t xml:space="preserve">, </w:t>
      </w:r>
      <w:r w:rsidRPr="00681586">
        <w:rPr>
          <w:rFonts w:eastAsia="Calibri" w:hint="cs"/>
          <w:b/>
          <w:bCs/>
          <w:rtl/>
        </w:rPr>
        <w:t>2012 - 2023</w:t>
      </w:r>
    </w:p>
    <w:p w:rsidR="00681586" w:rsidRPr="00681586" w:rsidP="00681586">
      <w:pPr>
        <w:spacing w:line="269" w:lineRule="auto"/>
        <w:jc w:val="center"/>
        <w:rPr>
          <w:rFonts w:eastAsia="Calibri"/>
          <w:rtl/>
        </w:rPr>
      </w:pPr>
      <w:r w:rsidRPr="00681586">
        <w:rPr>
          <w:rFonts w:eastAsia="Calibri"/>
          <w:noProof/>
        </w:rPr>
        <w:drawing>
          <wp:inline distT="0" distB="0" distL="0" distR="0">
            <wp:extent cx="4733925" cy="2797966"/>
            <wp:effectExtent l="0" t="0" r="0" b="2540"/>
            <wp:docPr id="102" name="תמונה 102" descr="הגידול במספר התביעות המאושרות של הביטוחים הסיעודיים בקופות החולים והגידול במספר הזכאים לגמלת סיעוד של בט&quot;ל ביחס לקצב הגידול במספר מקבלי קצבת זקנה, 2012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30"/>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787291" cy="2829508"/>
                    </a:xfrm>
                    <a:prstGeom prst="rect">
                      <a:avLst/>
                    </a:prstGeom>
                    <a:noFill/>
                  </pic:spPr>
                </pic:pic>
              </a:graphicData>
            </a:graphic>
          </wp:inline>
        </w:drawing>
      </w:r>
    </w:p>
    <w:p w:rsidR="00681586" w:rsidRPr="00681586" w:rsidP="009D0A4C">
      <w:pPr>
        <w:spacing w:before="120" w:line="269" w:lineRule="auto"/>
        <w:rPr>
          <w:rFonts w:eastAsia="Calibri"/>
          <w:szCs w:val="20"/>
          <w:rtl/>
        </w:rPr>
      </w:pPr>
      <w:r w:rsidRPr="00681586">
        <w:rPr>
          <w:rFonts w:eastAsia="Calibri" w:hint="cs"/>
          <w:szCs w:val="20"/>
          <w:rtl/>
        </w:rPr>
        <w:t xml:space="preserve">על פי נתוני המוסד לביטוח לאומי </w:t>
      </w:r>
      <w:r w:rsidRPr="00681586">
        <w:rPr>
          <w:rFonts w:eastAsia="Calibri" w:hint="eastAsia"/>
          <w:szCs w:val="20"/>
          <w:rtl/>
        </w:rPr>
        <w:t>ונתוני</w:t>
      </w:r>
      <w:r w:rsidRPr="00681586">
        <w:rPr>
          <w:rFonts w:eastAsia="Calibri"/>
          <w:szCs w:val="20"/>
          <w:rtl/>
        </w:rPr>
        <w:t xml:space="preserve"> </w:t>
      </w:r>
      <w:r w:rsidRPr="00681586">
        <w:rPr>
          <w:rFonts w:eastAsia="Calibri" w:hint="eastAsia"/>
          <w:szCs w:val="20"/>
          <w:rtl/>
        </w:rPr>
        <w:t>רשות</w:t>
      </w:r>
      <w:r w:rsidRPr="00681586">
        <w:rPr>
          <w:rFonts w:eastAsia="Calibri"/>
          <w:szCs w:val="20"/>
          <w:rtl/>
        </w:rPr>
        <w:t xml:space="preserve"> </w:t>
      </w:r>
      <w:r w:rsidRPr="00681586">
        <w:rPr>
          <w:rFonts w:eastAsia="Calibri" w:hint="eastAsia"/>
          <w:szCs w:val="20"/>
          <w:rtl/>
        </w:rPr>
        <w:t>שוק</w:t>
      </w:r>
      <w:r w:rsidRPr="00681586">
        <w:rPr>
          <w:rFonts w:eastAsia="Calibri"/>
          <w:szCs w:val="20"/>
          <w:rtl/>
        </w:rPr>
        <w:t xml:space="preserve"> </w:t>
      </w:r>
      <w:r w:rsidRPr="00681586">
        <w:rPr>
          <w:rFonts w:eastAsia="Calibri" w:hint="eastAsia"/>
          <w:szCs w:val="20"/>
          <w:rtl/>
        </w:rPr>
        <w:t>ההון</w:t>
      </w:r>
      <w:r w:rsidRPr="00681586">
        <w:rPr>
          <w:rFonts w:eastAsia="Calibri"/>
          <w:szCs w:val="20"/>
          <w:rtl/>
        </w:rPr>
        <w:t>, בעיבוד משרד מבקר המדינה.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מהתרשים עולה כי בשנים 2012 - 2023 מספרם של מקבלי גמלת הסיעוד של הביטוחים הפרטיים, עלה בכ-150% (מ-8,195 ל-20,711). בנוסף, בשנים אלו הגידול היה גבוה מהגידול במספר מקבלי קצבת הזקנה. עוד עולה מהתרשים כי יש מתאם בין הגידול במספר התביעות המאושרות של ביטוחי הסיעוד בקופות החולים לגידול במספר הזכאים לגמלת סיעוד של בט"ל.</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ascii="David" w:eastAsia="Calibri" w:hAnsi="David" w:hint="cs"/>
          <w:b/>
          <w:bCs/>
          <w:rtl/>
        </w:rPr>
        <w:t>יוצא אפוא כי החוזר של רשות שוק ההון והרפורמה בגמלת סיעוד בבט"ל משנת 2018, תרמו לגידול בכמות התביעות לביטוחים סיעודיים דרך כללית, והדבר הביא לשחיקה הדרגתית בקרן המבוטחים של חברי קופת חולים כללית</w:t>
      </w:r>
      <w:r w:rsidRPr="00681586">
        <w:rPr>
          <w:rFonts w:ascii="David" w:eastAsia="Calibri" w:hAnsi="David" w:hint="cs"/>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Times New Roman" w:hint="cs"/>
          <w:bCs/>
          <w:spacing w:val="40"/>
          <w:rtl/>
        </w:rPr>
        <w:t>ינואר 2023:</w:t>
      </w:r>
      <w:r w:rsidRPr="00681586">
        <w:rPr>
          <w:rFonts w:eastAsia="Calibri" w:hint="cs"/>
          <w:b/>
          <w:bCs/>
          <w:rtl/>
        </w:rPr>
        <w:t xml:space="preserve"> </w:t>
      </w:r>
      <w:r w:rsidRPr="00681586">
        <w:rPr>
          <w:rFonts w:eastAsia="Calibri" w:hint="cs"/>
          <w:rtl/>
        </w:rPr>
        <w:t>קופת החולים כללית</w:t>
      </w:r>
      <w:r w:rsidRPr="00681586">
        <w:rPr>
          <w:rFonts w:eastAsia="Calibri" w:hint="cs"/>
          <w:b/>
          <w:bCs/>
          <w:rtl/>
        </w:rPr>
        <w:t xml:space="preserve"> </w:t>
      </w:r>
      <w:r w:rsidRPr="00681586">
        <w:rPr>
          <w:rFonts w:eastAsia="Calibri" w:hint="cs"/>
          <w:rtl/>
        </w:rPr>
        <w:t>וחברת הביטוח שניהלה מטעמה את קרן המבוטחים של הביטוח הסיעודי, שלחו מכתבים לרשות ובהם התריעו על שחיקה משמעותית בקרן המבוטחים ועל הצורך לבצע פעולות דחופות לייצוב הקרן, כגון העלאת דמי הביטוח</w:t>
      </w:r>
      <w:r w:rsidRPr="00681586">
        <w:rPr>
          <w:rFonts w:eastAsia="Calibri" w:hint="cs"/>
          <w:b/>
          <w:bCs/>
          <w:rtl/>
        </w:rPr>
        <w:t xml:space="preserve">, </w:t>
      </w:r>
      <w:r w:rsidRPr="00681586">
        <w:rPr>
          <w:rFonts w:eastAsia="Calibri" w:hint="cs"/>
          <w:rtl/>
        </w:rPr>
        <w:t>שינוי כללי הזכאות ויישוב התביעות, הארכת תקופת ההמתנה וצמצום התגמולים</w:t>
      </w:r>
      <w:r w:rsidRPr="00681586">
        <w:rPr>
          <w:rFonts w:eastAsia="Calibri"/>
          <w:rtl/>
        </w:rPr>
        <w:t>.</w:t>
      </w:r>
      <w:r w:rsidRPr="00681586">
        <w:rPr>
          <w:rFonts w:eastAsia="Calibri" w:hint="cs"/>
          <w:b/>
          <w:bCs/>
          <w:rtl/>
        </w:rPr>
        <w:t xml:space="preserve"> </w:t>
      </w:r>
      <w:r w:rsidRPr="00681586">
        <w:rPr>
          <w:rFonts w:eastAsia="Calibri" w:hint="cs"/>
          <w:rtl/>
        </w:rPr>
        <w:t>בהמשך לכך, בחודשים יוני עד אוגוסט 2023 ניסו הרשות, קופת חולים כללית ומשרד הבריאות להגיע להסכמות על אודות המתווה לפתרון המשבר, אך ללא הצלחה. פירוט על המחלוקת בין הרשות למשרד הבריאות בעניין זה יובא בהמשך פרק זה.</w:t>
      </w:r>
      <w:r w:rsidRPr="00681586">
        <w:rPr>
          <w:rFonts w:eastAsia="Calibri" w:hint="cs"/>
          <w:b/>
          <w:bCs/>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Times New Roman" w:hint="cs"/>
          <w:bCs/>
          <w:spacing w:val="40"/>
          <w:rtl/>
        </w:rPr>
        <w:t>אוגוסט 2023:</w:t>
      </w:r>
      <w:r w:rsidRPr="00681586">
        <w:rPr>
          <w:rFonts w:eastAsia="Calibri" w:hint="cs"/>
          <w:b/>
          <w:bCs/>
          <w:rtl/>
        </w:rPr>
        <w:t xml:space="preserve"> </w:t>
      </w:r>
      <w:r w:rsidRPr="00681586">
        <w:rPr>
          <w:rFonts w:eastAsia="Calibri" w:hint="cs"/>
          <w:rtl/>
        </w:rPr>
        <w:t>חברת הביטוח של חברי כללית הודיעה לרשות שוק ההון כי היא מפסיקה את ההסכם עם כללית בתאריך 31.12.23, וכי בהינתן מצב הקרן הצפוי לסוף שנת 2023, בידי הקרן לא צפויים להיות המשאבים הדרושים לצורך תשלום תגמולי הביטוח הסיעודי.</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Times New Roman" w:hint="cs"/>
          <w:bCs/>
          <w:spacing w:val="40"/>
          <w:rtl/>
        </w:rPr>
        <w:t>נובמבר 2023</w:t>
      </w:r>
      <w:r w:rsidRPr="00681586">
        <w:rPr>
          <w:rFonts w:eastAsia="Times New Roman"/>
          <w:bCs/>
          <w:spacing w:val="40"/>
          <w:rtl/>
        </w:rPr>
        <w:t>:</w:t>
      </w:r>
      <w:r w:rsidRPr="00681586">
        <w:rPr>
          <w:rFonts w:eastAsia="Calibri" w:hint="cs"/>
          <w:rtl/>
        </w:rPr>
        <w:t xml:space="preserve"> כללית הגישה עתירה לבג"ץ בבקשה בין היתר להוציא צו על תנאי לשר האוצר, שר הבריאות, מנכ"ל משרד הבריאות ורשות שוק ההון ולנקוט באופן מיידי ודחוף צעדים שייצבו את קרן המבוטחים לשנים הבאות.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Times New Roman" w:hint="cs"/>
          <w:bCs/>
          <w:spacing w:val="40"/>
          <w:rtl/>
        </w:rPr>
        <w:t>דצמבר 2023</w:t>
      </w:r>
      <w:r w:rsidRPr="00681586">
        <w:rPr>
          <w:rFonts w:eastAsia="Times New Roman"/>
          <w:bCs/>
          <w:spacing w:val="40"/>
          <w:rtl/>
        </w:rPr>
        <w:t>:</w:t>
      </w:r>
      <w:r w:rsidRPr="00681586">
        <w:rPr>
          <w:rFonts w:eastAsia="Calibri" w:hint="cs"/>
          <w:rtl/>
        </w:rPr>
        <w:t xml:space="preserve"> </w:t>
      </w:r>
      <w:r w:rsidRPr="00681586">
        <w:rPr>
          <w:rFonts w:ascii="David" w:eastAsia="Calibri" w:hAnsi="David" w:hint="cs"/>
          <w:rtl/>
        </w:rPr>
        <w:t xml:space="preserve">כדי לייצב את הקרנות ולמנוע את התרוקנות קרן המבוטחים של כללית, </w:t>
      </w:r>
      <w:r w:rsidRPr="00681586">
        <w:rPr>
          <w:rFonts w:eastAsia="Calibri" w:hint="cs"/>
          <w:rtl/>
        </w:rPr>
        <w:t>הוציאה הרשות הוראות שהפחיתו את הכיסוי שנקבע למבוטחים סיעודיים</w:t>
      </w:r>
      <w:r>
        <w:rPr>
          <w:rFonts w:eastAsia="Calibri"/>
          <w:vertAlign w:val="superscript"/>
          <w:rtl/>
        </w:rPr>
        <w:footnoteReference w:id="120"/>
      </w:r>
      <w:r w:rsidRPr="00681586">
        <w:rPr>
          <w:rFonts w:eastAsia="Calibri" w:hint="cs"/>
          <w:rtl/>
        </w:rPr>
        <w:t xml:space="preserve"> מ-5,500 ש"ח בחודש ל-5,000 ש"ח</w:t>
      </w:r>
      <w:r>
        <w:rPr>
          <w:rFonts w:eastAsia="Calibri"/>
          <w:vertAlign w:val="superscript"/>
          <w:rtl/>
        </w:rPr>
        <w:footnoteReference w:id="121"/>
      </w:r>
      <w:r w:rsidRPr="00681586">
        <w:rPr>
          <w:rFonts w:eastAsia="Calibri" w:hint="cs"/>
          <w:rtl/>
        </w:rPr>
        <w:t>. כמו כן ביטלה הרשות את רמת הסיכון של חברות הביטוח המבטחות בביטוח סיעודי</w:t>
      </w:r>
      <w:r>
        <w:rPr>
          <w:rFonts w:eastAsia="Calibri"/>
          <w:vertAlign w:val="superscript"/>
          <w:rtl/>
        </w:rPr>
        <w:footnoteReference w:id="122"/>
      </w:r>
      <w:r w:rsidRPr="00681586">
        <w:rPr>
          <w:rFonts w:eastAsia="Calibri" w:hint="cs"/>
          <w:rtl/>
        </w:rPr>
        <w:t>. כלומר, עד הוראה זו, 20% מהתגמולים היו משולמים מכספי חברת הביטוח, ויתר ה-80% היו משולמים מקרן המבוטחים. לאחר ההוראה, 100% מהתגמולים שולמו מהקרן, כך שלחברת הביטוח אין יותר שום סיכון מהפעלת הביטוח הסיעודי</w:t>
      </w:r>
      <w:r>
        <w:rPr>
          <w:rFonts w:eastAsia="Calibri"/>
          <w:vertAlign w:val="superscript"/>
          <w:rtl/>
        </w:rPr>
        <w:footnoteReference w:id="123"/>
      </w:r>
      <w:r w:rsidRPr="00681586">
        <w:rPr>
          <w:rFonts w:eastAsia="Calibri" w:hint="cs"/>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Times New Roman"/>
          <w:bCs/>
          <w:spacing w:val="40"/>
          <w:rtl/>
        </w:rPr>
        <w:t>אוגוסט 2024:</w:t>
      </w:r>
      <w:r w:rsidRPr="00681586">
        <w:rPr>
          <w:rFonts w:eastAsia="Calibri" w:hint="cs"/>
          <w:rtl/>
        </w:rPr>
        <w:t xml:space="preserve"> לאחר תום תקופת המכרז של חברת הביטוח של חברי הכללית, </w:t>
      </w:r>
      <w:r w:rsidRPr="00681586">
        <w:rPr>
          <w:rFonts w:eastAsia="Calibri"/>
          <w:rtl/>
        </w:rPr>
        <w:t xml:space="preserve">פרסמה כללית מכרז לחברת ביטוח לכיסוי ביטוח סיעודי קבוצתי. </w:t>
      </w:r>
      <w:r w:rsidRPr="00681586">
        <w:rPr>
          <w:rFonts w:eastAsia="Calibri" w:hint="cs"/>
          <w:rtl/>
        </w:rPr>
        <w:t xml:space="preserve">אף שחל שיפור במגמות של קרנות המבוטחים, </w:t>
      </w:r>
      <w:r w:rsidRPr="00681586">
        <w:rPr>
          <w:rFonts w:eastAsia="Calibri"/>
          <w:rtl/>
        </w:rPr>
        <w:t xml:space="preserve">המכרז הסתיים מבלי שהוגשה ולו הצעה </w:t>
      </w:r>
      <w:r w:rsidRPr="00681586">
        <w:rPr>
          <w:rFonts w:eastAsia="Calibri" w:hint="cs"/>
          <w:rtl/>
        </w:rPr>
        <w:t>אחת</w:t>
      </w:r>
      <w:r w:rsidRPr="00681586">
        <w:rPr>
          <w:rFonts w:eastAsia="Calibri"/>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Times New Roman" w:hint="cs"/>
          <w:bCs/>
          <w:spacing w:val="40"/>
          <w:rtl/>
        </w:rPr>
        <w:t>דצמבר 2024</w:t>
      </w:r>
      <w:r w:rsidRPr="00681586">
        <w:rPr>
          <w:rFonts w:eastAsia="Times New Roman"/>
          <w:bCs/>
          <w:spacing w:val="40"/>
          <w:rtl/>
        </w:rPr>
        <w:t>:</w:t>
      </w:r>
      <w:r w:rsidRPr="00681586">
        <w:rPr>
          <w:rFonts w:eastAsia="Calibri" w:hint="cs"/>
          <w:rtl/>
        </w:rPr>
        <w:t xml:space="preserve"> כדי למנוע מצב שבו שום חברת ביטוח לא מוכנה לבטח את חברי כללית, פרסמה הרשות הוראות</w:t>
      </w:r>
      <w:r>
        <w:rPr>
          <w:rFonts w:eastAsia="Calibri"/>
          <w:vertAlign w:val="superscript"/>
          <w:rtl/>
        </w:rPr>
        <w:footnoteReference w:id="124"/>
      </w:r>
      <w:r w:rsidRPr="00681586">
        <w:rPr>
          <w:rFonts w:eastAsia="Calibri" w:hint="cs"/>
          <w:rtl/>
        </w:rPr>
        <w:t xml:space="preserve"> המשנות את הגדרת התנאים המזכים בתגמולי הביטוח. </w:t>
      </w:r>
      <w:r w:rsidRPr="00681586">
        <w:rPr>
          <w:rFonts w:ascii="David" w:eastAsia="Aptos" w:hAnsi="David" w:hint="cs"/>
          <w:kern w:val="2"/>
          <w:sz w:val="24"/>
          <w:rtl/>
          <w14:ligatures w14:val="standardContextual"/>
        </w:rPr>
        <w:t xml:space="preserve">במסגרת ההוראות הוחלט לקבוע כי </w:t>
      </w:r>
      <w:r w:rsidRPr="00681586">
        <w:rPr>
          <w:rFonts w:ascii="Arial" w:eastAsia="Arial Unicode MS" w:hAnsi="Arial"/>
          <w:snapToGrid w:val="0"/>
          <w:color w:val="000000"/>
          <w:sz w:val="24"/>
          <w:rtl/>
          <w:lang w:eastAsia="ja-JP"/>
        </w:rPr>
        <w:t xml:space="preserve">הזכאות תינתן רק למבוטחים שאינם מסוגלים לבצע בכוחות עצמם חלק מהותי של לפחות </w:t>
      </w:r>
      <w:r w:rsidRPr="00681586">
        <w:rPr>
          <w:rFonts w:ascii="Arial" w:eastAsia="Arial Unicode MS" w:hAnsi="Arial" w:hint="cs"/>
          <w:snapToGrid w:val="0"/>
          <w:color w:val="000000"/>
          <w:sz w:val="24"/>
          <w:rtl/>
          <w:lang w:eastAsia="ja-JP"/>
        </w:rPr>
        <w:t>ארבע</w:t>
      </w:r>
      <w:r w:rsidRPr="00681586">
        <w:rPr>
          <w:rFonts w:ascii="Arial" w:eastAsia="Arial Unicode MS" w:hAnsi="Arial"/>
          <w:snapToGrid w:val="0"/>
          <w:color w:val="000000"/>
          <w:sz w:val="24"/>
          <w:rtl/>
          <w:lang w:eastAsia="ja-JP"/>
        </w:rPr>
        <w:t xml:space="preserve"> מתוך </w:t>
      </w:r>
      <w:r w:rsidRPr="00681586">
        <w:rPr>
          <w:rFonts w:ascii="Arial" w:eastAsia="Arial Unicode MS" w:hAnsi="Arial" w:hint="cs"/>
          <w:snapToGrid w:val="0"/>
          <w:color w:val="000000"/>
          <w:sz w:val="24"/>
          <w:rtl/>
          <w:lang w:eastAsia="ja-JP"/>
        </w:rPr>
        <w:t>שש</w:t>
      </w:r>
      <w:r w:rsidRPr="00681586">
        <w:rPr>
          <w:rFonts w:ascii="Arial" w:eastAsia="Arial Unicode MS" w:hAnsi="Arial"/>
          <w:snapToGrid w:val="0"/>
          <w:color w:val="000000"/>
          <w:sz w:val="24"/>
          <w:rtl/>
          <w:lang w:eastAsia="ja-JP"/>
        </w:rPr>
        <w:t xml:space="preserve"> פעולות </w:t>
      </w:r>
      <w:r w:rsidRPr="00681586">
        <w:rPr>
          <w:rFonts w:eastAsia="Arial Unicode MS" w:cs="Times New Roman"/>
          <w:snapToGrid w:val="0"/>
          <w:color w:val="000000"/>
          <w:szCs w:val="20"/>
          <w:lang w:eastAsia="ja-JP"/>
        </w:rPr>
        <w:t>ADL</w:t>
      </w:r>
      <w:r>
        <w:rPr>
          <w:rFonts w:ascii="Arial" w:eastAsia="Arial Unicode MS" w:hAnsi="Arial"/>
          <w:snapToGrid w:val="0"/>
          <w:color w:val="000000"/>
          <w:sz w:val="24"/>
          <w:vertAlign w:val="superscript"/>
          <w:rtl/>
          <w:lang w:eastAsia="ja-JP"/>
        </w:rPr>
        <w:footnoteReference w:id="125"/>
      </w:r>
      <w:r w:rsidRPr="00681586">
        <w:rPr>
          <w:rFonts w:ascii="Arial" w:eastAsia="Arial Unicode MS" w:hAnsi="Arial" w:hint="cs"/>
          <w:snapToGrid w:val="0"/>
          <w:color w:val="000000"/>
          <w:sz w:val="24"/>
          <w:rtl/>
          <w:lang w:eastAsia="ja-JP"/>
        </w:rPr>
        <w:t xml:space="preserve"> (</w:t>
      </w:r>
      <w:r w:rsidRPr="00681586">
        <w:rPr>
          <w:rFonts w:eastAsia="Calibri" w:hint="cs"/>
          <w:rtl/>
        </w:rPr>
        <w:t>זאת בניגוד למצב הקודם שבו הספיקו שלוש מתוך שש פעולות)</w:t>
      </w:r>
      <w:r w:rsidRPr="00681586">
        <w:rPr>
          <w:rFonts w:ascii="Arial" w:eastAsia="Arial Unicode MS" w:hAnsi="Arial"/>
          <w:snapToGrid w:val="0"/>
          <w:color w:val="000000"/>
          <w:sz w:val="24"/>
          <w:rtl/>
          <w:lang w:eastAsia="ja-JP"/>
        </w:rPr>
        <w:t>. כמ</w:t>
      </w:r>
      <w:r w:rsidRPr="00681586">
        <w:rPr>
          <w:rFonts w:ascii="Arial" w:eastAsia="Arial Unicode MS" w:hAnsi="Arial" w:hint="cs"/>
          <w:snapToGrid w:val="0"/>
          <w:color w:val="000000"/>
          <w:sz w:val="24"/>
          <w:rtl/>
          <w:lang w:eastAsia="ja-JP"/>
        </w:rPr>
        <w:t>ו כן נ</w:t>
      </w:r>
      <w:r w:rsidRPr="00681586">
        <w:rPr>
          <w:rFonts w:ascii="Arial" w:eastAsia="Arial Unicode MS" w:hAnsi="Arial"/>
          <w:snapToGrid w:val="0"/>
          <w:color w:val="000000"/>
          <w:sz w:val="24"/>
          <w:rtl/>
          <w:lang w:eastAsia="ja-JP"/>
        </w:rPr>
        <w:t xml:space="preserve">קבע כי שימוש עצמאי באבזרים לא ייחשב כחוסר יכולת לבצע פעולה מסוימת. בנוסף, למבוטחים השוהים בבית </w:t>
      </w:r>
      <w:bookmarkStart w:id="17" w:name="_Hlk182404538"/>
      <w:r w:rsidRPr="00681586">
        <w:rPr>
          <w:rFonts w:ascii="Arial" w:eastAsia="Arial Unicode MS" w:hAnsi="Arial" w:hint="cs"/>
          <w:snapToGrid w:val="0"/>
          <w:color w:val="000000"/>
          <w:sz w:val="24"/>
          <w:rtl/>
          <w:lang w:eastAsia="ja-JP"/>
        </w:rPr>
        <w:t>נקבע</w:t>
      </w:r>
      <w:r w:rsidRPr="00681586">
        <w:rPr>
          <w:rFonts w:ascii="Arial" w:eastAsia="Arial Unicode MS" w:hAnsi="Arial"/>
          <w:snapToGrid w:val="0"/>
          <w:color w:val="000000"/>
          <w:sz w:val="24"/>
          <w:rtl/>
          <w:lang w:eastAsia="ja-JP"/>
        </w:rPr>
        <w:t xml:space="preserve"> כי הזכאות לקבלת תגמולי ביטוח תהיה </w:t>
      </w:r>
      <w:r w:rsidRPr="00681586">
        <w:rPr>
          <w:rFonts w:ascii="Arial" w:eastAsia="Arial Unicode MS" w:hAnsi="Arial"/>
          <w:snapToGrid w:val="0"/>
          <w:color w:val="000000"/>
          <w:sz w:val="24"/>
          <w:rtl/>
          <w:lang w:eastAsia="ja-JP"/>
        </w:rPr>
        <w:t>בכפוף להמצאת אישור המוכיח כי המבוטח מסתייע בפועל בטיפול אישי לקבלת שירותי סיעוד ברוב שעות היממה</w:t>
      </w:r>
      <w:bookmarkEnd w:id="17"/>
      <w:r w:rsidRPr="00681586">
        <w:rPr>
          <w:rFonts w:eastAsia="Calibri" w:hint="cs"/>
          <w:rtl/>
        </w:rPr>
        <w:t xml:space="preserve">. משמעות ההוראה היא הקשחת תנאים משמעותית לזכאות הביטוח הסיעודי.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עוד קבעה הרשות</w:t>
      </w:r>
      <w:r w:rsidRPr="00681586">
        <w:rPr>
          <w:rFonts w:eastAsia="Calibri"/>
          <w:rtl/>
        </w:rPr>
        <w:t xml:space="preserve"> </w:t>
      </w:r>
      <w:r w:rsidRPr="00681586">
        <w:rPr>
          <w:rFonts w:eastAsia="Calibri" w:hint="cs"/>
          <w:rtl/>
        </w:rPr>
        <w:t>בהוראות אלו כי תבוטל</w:t>
      </w:r>
      <w:r w:rsidRPr="00681586">
        <w:rPr>
          <w:rFonts w:eastAsia="Calibri"/>
          <w:rtl/>
        </w:rPr>
        <w:t xml:space="preserve"> חובת הצירוף לפוליסת המשך קבוצתית במקרה של </w:t>
      </w:r>
      <w:r w:rsidR="00C839DB">
        <w:rPr>
          <w:rFonts w:eastAsia="Calibri"/>
          <w:rtl/>
        </w:rPr>
        <w:br/>
      </w:r>
      <w:r w:rsidRPr="00681586">
        <w:rPr>
          <w:rFonts w:eastAsia="Calibri"/>
          <w:rtl/>
        </w:rPr>
        <w:t xml:space="preserve">אי-חידוש הביטוח. </w:t>
      </w:r>
      <w:r w:rsidRPr="00681586">
        <w:rPr>
          <w:rFonts w:eastAsia="Calibri" w:hint="cs"/>
          <w:rtl/>
        </w:rPr>
        <w:t>המשמעות של חובה זו היא שאם</w:t>
      </w:r>
      <w:r w:rsidRPr="00681586">
        <w:rPr>
          <w:rFonts w:eastAsia="Calibri"/>
          <w:rtl/>
        </w:rPr>
        <w:t xml:space="preserve"> הופסק הביטוח הסיעודי לחברי קופת חולים עקב אי</w:t>
      </w:r>
      <w:r w:rsidRPr="00681586">
        <w:rPr>
          <w:rFonts w:eastAsia="Calibri" w:hint="cs"/>
          <w:rtl/>
        </w:rPr>
        <w:t>-</w:t>
      </w:r>
      <w:r w:rsidRPr="00681586">
        <w:rPr>
          <w:rFonts w:eastAsia="Calibri"/>
          <w:rtl/>
        </w:rPr>
        <w:t xml:space="preserve">חידוש הפוליסה לכלל חברי </w:t>
      </w:r>
      <w:r w:rsidRPr="00681586">
        <w:rPr>
          <w:rFonts w:eastAsia="Calibri" w:hint="cs"/>
          <w:rtl/>
        </w:rPr>
        <w:t>ה</w:t>
      </w:r>
      <w:r w:rsidRPr="00681586">
        <w:rPr>
          <w:rFonts w:eastAsia="Calibri"/>
          <w:rtl/>
        </w:rPr>
        <w:t>קופ</w:t>
      </w:r>
      <w:r w:rsidRPr="00681586">
        <w:rPr>
          <w:rFonts w:eastAsia="Calibri" w:hint="cs"/>
          <w:rtl/>
        </w:rPr>
        <w:t>ה</w:t>
      </w:r>
      <w:r w:rsidRPr="00681586">
        <w:rPr>
          <w:rFonts w:eastAsia="Calibri"/>
          <w:rtl/>
        </w:rPr>
        <w:t>, חלה חובה על המבטח לצרף את המבוטחים לפוליסת המשך קבוצתית הדדי</w:t>
      </w:r>
      <w:r w:rsidRPr="00681586">
        <w:rPr>
          <w:rFonts w:eastAsia="Calibri" w:hint="cs"/>
          <w:rtl/>
        </w:rPr>
        <w:t>ת</w:t>
      </w:r>
      <w:r>
        <w:rPr>
          <w:rFonts w:eastAsia="Calibri"/>
          <w:vertAlign w:val="superscript"/>
          <w:rtl/>
        </w:rPr>
        <w:footnoteReference w:id="126"/>
      </w:r>
      <w:r w:rsidRPr="00681586">
        <w:rPr>
          <w:rFonts w:eastAsia="Calibri" w:hint="cs"/>
          <w:rtl/>
        </w:rPr>
        <w:t>.</w:t>
      </w:r>
      <w:r w:rsidRPr="00681586">
        <w:rPr>
          <w:rFonts w:eastAsia="Calibri"/>
        </w:rPr>
        <w:t xml:space="preserve"> </w:t>
      </w:r>
      <w:r w:rsidRPr="00681586">
        <w:rPr>
          <w:rFonts w:eastAsia="Calibri"/>
          <w:rtl/>
        </w:rPr>
        <w:t xml:space="preserve">מהניסיון שהצטבר </w:t>
      </w:r>
      <w:r w:rsidRPr="00681586">
        <w:rPr>
          <w:rFonts w:eastAsia="Calibri" w:hint="cs"/>
          <w:rtl/>
        </w:rPr>
        <w:t>אצל הרשות עלה</w:t>
      </w:r>
      <w:r w:rsidRPr="00681586">
        <w:rPr>
          <w:rFonts w:eastAsia="Calibri"/>
          <w:rtl/>
        </w:rPr>
        <w:t xml:space="preserve"> כי </w:t>
      </w:r>
      <w:r w:rsidRPr="00681586">
        <w:rPr>
          <w:rFonts w:eastAsia="Calibri" w:hint="cs"/>
          <w:rtl/>
        </w:rPr>
        <w:t>יש ב</w:t>
      </w:r>
      <w:r w:rsidRPr="00681586">
        <w:rPr>
          <w:rFonts w:eastAsia="Calibri"/>
          <w:rtl/>
        </w:rPr>
        <w:t>חובה זו סיכון משמעותי</w:t>
      </w:r>
      <w:r w:rsidRPr="00681586">
        <w:rPr>
          <w:rFonts w:eastAsia="Calibri" w:hint="cs"/>
          <w:rtl/>
        </w:rPr>
        <w:t xml:space="preserve"> לחברות הביטוח</w:t>
      </w:r>
      <w:r w:rsidRPr="00681586">
        <w:rPr>
          <w:rFonts w:eastAsia="Calibri"/>
          <w:rtl/>
        </w:rPr>
        <w:t xml:space="preserve">, </w:t>
      </w:r>
      <w:r w:rsidRPr="00681586">
        <w:rPr>
          <w:rFonts w:eastAsia="Calibri" w:hint="cs"/>
          <w:rtl/>
        </w:rPr>
        <w:t>כיוון שהן</w:t>
      </w:r>
      <w:r w:rsidRPr="00681586">
        <w:rPr>
          <w:rFonts w:eastAsia="Calibri"/>
          <w:rtl/>
        </w:rPr>
        <w:t xml:space="preserve"> מתחייב</w:t>
      </w:r>
      <w:r w:rsidRPr="00681586">
        <w:rPr>
          <w:rFonts w:eastAsia="Calibri" w:hint="cs"/>
          <w:rtl/>
        </w:rPr>
        <w:t>ו</w:t>
      </w:r>
      <w:r w:rsidRPr="00681586">
        <w:rPr>
          <w:rFonts w:eastAsia="Calibri"/>
          <w:rtl/>
        </w:rPr>
        <w:t>ת להתקשרות אשר סיומה אינו תלוי רק בה</w:t>
      </w:r>
      <w:r w:rsidRPr="00681586">
        <w:rPr>
          <w:rFonts w:eastAsia="Calibri" w:hint="cs"/>
          <w:rtl/>
        </w:rPr>
        <w:t>ן</w:t>
      </w:r>
      <w:r w:rsidRPr="00681586">
        <w:rPr>
          <w:rFonts w:eastAsia="Calibri"/>
          <w:rtl/>
        </w:rPr>
        <w:t>.</w:t>
      </w:r>
      <w:r w:rsidRPr="00681586">
        <w:rPr>
          <w:rFonts w:eastAsia="Calibri"/>
        </w:rPr>
        <w:t xml:space="preserve"> </w:t>
      </w:r>
      <w:r w:rsidRPr="00681586">
        <w:rPr>
          <w:rFonts w:eastAsia="Calibri"/>
          <w:rtl/>
        </w:rPr>
        <w:t xml:space="preserve">ביטול חובת צירוף המבוטחים לפוליסת המשך קבוצתית </w:t>
      </w:r>
      <w:r w:rsidRPr="00681586">
        <w:rPr>
          <w:rFonts w:eastAsia="Calibri" w:hint="cs"/>
          <w:rtl/>
        </w:rPr>
        <w:t>נועד</w:t>
      </w:r>
      <w:r w:rsidRPr="00681586">
        <w:rPr>
          <w:rFonts w:eastAsia="Calibri"/>
          <w:rtl/>
        </w:rPr>
        <w:t xml:space="preserve"> להפיג את החשש של חברות הביטוח </w:t>
      </w:r>
      <w:r w:rsidRPr="00681586">
        <w:rPr>
          <w:rFonts w:eastAsia="Calibri" w:hint="cs"/>
          <w:rtl/>
        </w:rPr>
        <w:t>מ</w:t>
      </w:r>
      <w:r w:rsidRPr="00681586">
        <w:rPr>
          <w:rFonts w:eastAsia="Calibri"/>
          <w:rtl/>
        </w:rPr>
        <w:t>התחייבות לעשרות שנים קדימה ולעודד השתתפות של מבטחים קיימים וחדשים לפעול בענף</w:t>
      </w:r>
      <w:r w:rsidRPr="00681586">
        <w:rPr>
          <w:rFonts w:eastAsia="Calibri" w:hint="cs"/>
          <w:rtl/>
        </w:rPr>
        <w:t xml:space="preserve">. </w:t>
      </w:r>
      <w:r w:rsidRPr="00681586">
        <w:rPr>
          <w:rFonts w:eastAsia="Calibri"/>
          <w:rtl/>
        </w:rPr>
        <w:t xml:space="preserve">ביטול חובת צירוף המבוטחים לפוליסת המשך קבוצתית </w:t>
      </w:r>
      <w:r w:rsidRPr="00681586">
        <w:rPr>
          <w:rFonts w:eastAsia="Calibri" w:hint="cs"/>
          <w:rtl/>
        </w:rPr>
        <w:t>ייכנס לתוקף ב-1.1.27</w:t>
      </w:r>
      <w:r>
        <w:rPr>
          <w:rFonts w:eastAsia="Calibri"/>
          <w:vertAlign w:val="superscript"/>
          <w:rtl/>
        </w:rPr>
        <w:footnoteReference w:id="127"/>
      </w:r>
      <w:r w:rsidRPr="00681586">
        <w:rPr>
          <w:rFonts w:eastAsia="Calibri" w:hint="cs"/>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לאחר פרסום ההוראות נחתם הסכם הארכה בין כללית לחברה שביטחה את מבוטחי הקופה לשנתיים נוספות - ועד ליום 31.12.26.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בלוח 3 שלהלן, השינויים העיקריים שביצעה רשות שוק ההון בביטוחי הסיעוד דרך קופות החולים:</w:t>
      </w:r>
    </w:p>
    <w:p w:rsidR="00681586" w:rsidRPr="00681586" w:rsidP="00681586">
      <w:pPr>
        <w:spacing w:line="269" w:lineRule="auto"/>
        <w:ind w:left="-567"/>
        <w:rPr>
          <w:rFonts w:eastAsia="Calibri"/>
          <w:szCs w:val="20"/>
          <w:rtl/>
        </w:rPr>
      </w:pPr>
    </w:p>
    <w:p w:rsidR="00681586" w:rsidRPr="00681586" w:rsidP="00681586">
      <w:pPr>
        <w:spacing w:line="269" w:lineRule="auto"/>
        <w:jc w:val="center"/>
        <w:rPr>
          <w:rFonts w:eastAsia="Calibri"/>
          <w:rtl/>
        </w:rPr>
      </w:pPr>
      <w:r w:rsidRPr="00681586">
        <w:rPr>
          <w:rFonts w:eastAsia="Calibri" w:hint="cs"/>
          <w:rtl/>
        </w:rPr>
        <w:t xml:space="preserve">לוח 3: </w:t>
      </w:r>
      <w:r w:rsidRPr="00681586">
        <w:rPr>
          <w:rFonts w:eastAsia="Calibri" w:hint="cs"/>
          <w:b/>
          <w:bCs/>
          <w:rtl/>
        </w:rPr>
        <w:t>השינויים העיקריים בביטוחי הסיעוד דרך קופות החולים, 2018 - 2024</w:t>
      </w:r>
    </w:p>
    <w:tbl>
      <w:tblPr>
        <w:tblStyle w:val="GridTable5DarkAccent1"/>
        <w:bidiVisual/>
        <w:tblW w:w="0" w:type="auto"/>
        <w:tblLook w:val="04A0"/>
      </w:tblPr>
      <w:tblGrid>
        <w:gridCol w:w="2736"/>
        <w:gridCol w:w="2737"/>
        <w:gridCol w:w="2737"/>
      </w:tblGrid>
      <w:tr w:rsidTr="00681586">
        <w:tblPrEx>
          <w:tblW w:w="0" w:type="auto"/>
          <w:tblLook w:val="04A0"/>
        </w:tblPrEx>
        <w:tc>
          <w:tcPr>
            <w:tcW w:w="2737" w:type="dxa"/>
            <w:shd w:val="clear" w:color="auto" w:fill="DBE5F1"/>
          </w:tcPr>
          <w:p w:rsidR="00681586" w:rsidRPr="00681586" w:rsidP="00681586">
            <w:pPr>
              <w:spacing w:line="269" w:lineRule="auto"/>
              <w:rPr>
                <w:rFonts w:eastAsia="Calibri"/>
                <w:color w:val="FFFFFF"/>
                <w:sz w:val="22"/>
                <w:szCs w:val="22"/>
                <w:rtl/>
              </w:rPr>
            </w:pPr>
          </w:p>
        </w:tc>
        <w:tc>
          <w:tcPr>
            <w:tcW w:w="2737" w:type="dxa"/>
            <w:shd w:val="clear" w:color="auto" w:fill="DBE5F1"/>
          </w:tcPr>
          <w:p w:rsidR="00681586" w:rsidRPr="00681586" w:rsidP="00681586">
            <w:pPr>
              <w:spacing w:line="269" w:lineRule="auto"/>
              <w:jc w:val="center"/>
              <w:rPr>
                <w:rFonts w:eastAsia="Calibri"/>
                <w:color w:val="FFFFFF"/>
                <w:sz w:val="22"/>
                <w:szCs w:val="22"/>
                <w:rtl/>
              </w:rPr>
            </w:pPr>
            <w:r w:rsidRPr="00681586">
              <w:rPr>
                <w:rFonts w:eastAsia="Calibri" w:hint="cs"/>
                <w:color w:val="FFFFFF"/>
                <w:sz w:val="22"/>
                <w:szCs w:val="22"/>
                <w:rtl/>
              </w:rPr>
              <w:t>לפני</w:t>
            </w:r>
            <w:r w:rsidR="00AE60E6">
              <w:rPr>
                <w:rFonts w:eastAsia="Calibri" w:hint="cs"/>
                <w:color w:val="FFFFFF"/>
                <w:sz w:val="22"/>
                <w:szCs w:val="22"/>
                <w:rtl/>
              </w:rPr>
              <w:t xml:space="preserve"> השינוי</w:t>
            </w:r>
          </w:p>
        </w:tc>
        <w:tc>
          <w:tcPr>
            <w:tcW w:w="2737" w:type="dxa"/>
            <w:shd w:val="clear" w:color="auto" w:fill="DBE5F1"/>
          </w:tcPr>
          <w:p w:rsidR="00681586" w:rsidRPr="00681586" w:rsidP="00681586">
            <w:pPr>
              <w:spacing w:line="269" w:lineRule="auto"/>
              <w:jc w:val="center"/>
              <w:rPr>
                <w:rFonts w:eastAsia="Calibri"/>
                <w:color w:val="FFFFFF"/>
                <w:sz w:val="22"/>
                <w:szCs w:val="22"/>
                <w:rtl/>
              </w:rPr>
            </w:pPr>
            <w:r w:rsidRPr="00681586">
              <w:rPr>
                <w:rFonts w:eastAsia="Calibri" w:hint="cs"/>
                <w:color w:val="FFFFFF"/>
                <w:sz w:val="22"/>
                <w:szCs w:val="22"/>
                <w:rtl/>
              </w:rPr>
              <w:t>אחרי</w:t>
            </w:r>
            <w:r w:rsidR="00AE60E6">
              <w:rPr>
                <w:rFonts w:eastAsia="Calibri" w:hint="cs"/>
                <w:color w:val="FFFFFF"/>
                <w:sz w:val="22"/>
                <w:szCs w:val="22"/>
                <w:rtl/>
              </w:rPr>
              <w:t xml:space="preserve"> השינוי</w:t>
            </w:r>
          </w:p>
        </w:tc>
      </w:tr>
      <w:tr w:rsidTr="00681586">
        <w:tblPrEx>
          <w:tblW w:w="0" w:type="auto"/>
          <w:tblLook w:val="04A0"/>
        </w:tblPrEx>
        <w:tc>
          <w:tcPr>
            <w:tcW w:w="2737" w:type="dxa"/>
            <w:shd w:val="clear" w:color="auto" w:fill="DBE5F1"/>
          </w:tcPr>
          <w:p w:rsidR="00681586" w:rsidRPr="00681586" w:rsidP="00681586">
            <w:pPr>
              <w:spacing w:line="269" w:lineRule="auto"/>
              <w:jc w:val="left"/>
              <w:rPr>
                <w:rFonts w:eastAsia="Calibri"/>
                <w:color w:val="FFFFFF"/>
                <w:sz w:val="22"/>
                <w:szCs w:val="22"/>
                <w:rtl/>
              </w:rPr>
            </w:pPr>
            <w:r w:rsidRPr="00681586">
              <w:rPr>
                <w:rFonts w:eastAsia="Calibri" w:hint="cs"/>
                <w:color w:val="FFFFFF"/>
                <w:sz w:val="22"/>
                <w:szCs w:val="22"/>
                <w:rtl/>
              </w:rPr>
              <w:t>גובה התגמולים למבוטח המתגורר בביתו</w:t>
            </w:r>
          </w:p>
        </w:tc>
        <w:tc>
          <w:tcPr>
            <w:tcW w:w="2737" w:type="dxa"/>
            <w:shd w:val="clear" w:color="auto" w:fill="DBE5F1"/>
            <w:vAlign w:val="center"/>
          </w:tcPr>
          <w:p w:rsidR="00681586" w:rsidRPr="00681586" w:rsidP="00681586">
            <w:pPr>
              <w:spacing w:line="269" w:lineRule="auto"/>
              <w:jc w:val="left"/>
              <w:rPr>
                <w:rFonts w:eastAsia="Calibri"/>
                <w:sz w:val="22"/>
                <w:szCs w:val="22"/>
                <w:rtl/>
              </w:rPr>
            </w:pPr>
            <w:r w:rsidRPr="00681586">
              <w:rPr>
                <w:rFonts w:eastAsia="Calibri" w:hint="cs"/>
                <w:sz w:val="22"/>
                <w:szCs w:val="22"/>
                <w:rtl/>
              </w:rPr>
              <w:t>5,500 ש"ח</w:t>
            </w:r>
          </w:p>
        </w:tc>
        <w:tc>
          <w:tcPr>
            <w:tcW w:w="2737" w:type="dxa"/>
            <w:shd w:val="clear" w:color="auto" w:fill="DBE5F1"/>
            <w:vAlign w:val="center"/>
          </w:tcPr>
          <w:p w:rsidR="00681586" w:rsidRPr="00681586" w:rsidP="00681586">
            <w:pPr>
              <w:spacing w:line="269" w:lineRule="auto"/>
              <w:jc w:val="left"/>
              <w:rPr>
                <w:rFonts w:eastAsia="Calibri"/>
                <w:sz w:val="22"/>
                <w:szCs w:val="22"/>
                <w:rtl/>
              </w:rPr>
            </w:pPr>
            <w:r w:rsidRPr="00681586">
              <w:rPr>
                <w:rFonts w:eastAsia="Calibri" w:hint="cs"/>
                <w:sz w:val="22"/>
                <w:szCs w:val="22"/>
                <w:rtl/>
              </w:rPr>
              <w:t>5,000 ש"ח</w:t>
            </w:r>
          </w:p>
        </w:tc>
      </w:tr>
      <w:tr w:rsidTr="00681586">
        <w:tblPrEx>
          <w:tblW w:w="0" w:type="auto"/>
          <w:tblLook w:val="04A0"/>
        </w:tblPrEx>
        <w:tc>
          <w:tcPr>
            <w:tcW w:w="2737" w:type="dxa"/>
            <w:shd w:val="clear" w:color="auto" w:fill="DBE5F1"/>
          </w:tcPr>
          <w:p w:rsidR="00681586" w:rsidRPr="00681586" w:rsidP="00681586">
            <w:pPr>
              <w:spacing w:line="269" w:lineRule="auto"/>
              <w:jc w:val="left"/>
              <w:rPr>
                <w:rFonts w:eastAsia="Calibri"/>
                <w:color w:val="FFFFFF"/>
                <w:sz w:val="22"/>
                <w:szCs w:val="22"/>
                <w:rtl/>
              </w:rPr>
            </w:pPr>
            <w:r w:rsidRPr="00681586">
              <w:rPr>
                <w:rFonts w:eastAsia="Calibri" w:hint="cs"/>
                <w:color w:val="FFFFFF"/>
                <w:sz w:val="22"/>
                <w:szCs w:val="22"/>
                <w:rtl/>
              </w:rPr>
              <w:t>התפלגות הסיכונים</w:t>
            </w:r>
          </w:p>
        </w:tc>
        <w:tc>
          <w:tcPr>
            <w:tcW w:w="2737" w:type="dxa"/>
            <w:shd w:val="clear" w:color="auto" w:fill="DBE5F1"/>
            <w:vAlign w:val="center"/>
          </w:tcPr>
          <w:p w:rsidR="00681586" w:rsidRPr="00681586" w:rsidP="00681586">
            <w:pPr>
              <w:spacing w:line="269" w:lineRule="auto"/>
              <w:jc w:val="left"/>
              <w:rPr>
                <w:rFonts w:eastAsia="Calibri"/>
                <w:sz w:val="22"/>
                <w:szCs w:val="22"/>
                <w:rtl/>
              </w:rPr>
            </w:pPr>
            <w:r w:rsidRPr="00681586">
              <w:rPr>
                <w:rFonts w:eastAsia="Calibri" w:hint="cs"/>
                <w:sz w:val="22"/>
                <w:szCs w:val="22"/>
                <w:rtl/>
              </w:rPr>
              <w:t>80% על קרן המבוטחים,</w:t>
            </w:r>
          </w:p>
          <w:p w:rsidR="00681586" w:rsidRPr="00681586" w:rsidP="00681586">
            <w:pPr>
              <w:spacing w:line="269" w:lineRule="auto"/>
              <w:jc w:val="left"/>
              <w:rPr>
                <w:rFonts w:eastAsia="Calibri"/>
                <w:sz w:val="22"/>
                <w:szCs w:val="22"/>
                <w:rtl/>
              </w:rPr>
            </w:pPr>
            <w:r w:rsidRPr="00681586">
              <w:rPr>
                <w:rFonts w:eastAsia="Calibri" w:hint="cs"/>
                <w:sz w:val="22"/>
                <w:szCs w:val="22"/>
                <w:rtl/>
              </w:rPr>
              <w:t>20% על חברת הביטוח</w:t>
            </w:r>
          </w:p>
        </w:tc>
        <w:tc>
          <w:tcPr>
            <w:tcW w:w="2737" w:type="dxa"/>
            <w:shd w:val="clear" w:color="auto" w:fill="DBE5F1"/>
            <w:vAlign w:val="center"/>
          </w:tcPr>
          <w:p w:rsidR="00681586" w:rsidRPr="00681586" w:rsidP="00681586">
            <w:pPr>
              <w:spacing w:line="269" w:lineRule="auto"/>
              <w:jc w:val="left"/>
              <w:rPr>
                <w:rFonts w:eastAsia="Calibri"/>
                <w:sz w:val="22"/>
                <w:szCs w:val="22"/>
                <w:rtl/>
              </w:rPr>
            </w:pPr>
            <w:r w:rsidRPr="00681586">
              <w:rPr>
                <w:rFonts w:eastAsia="Calibri" w:hint="cs"/>
                <w:sz w:val="22"/>
                <w:szCs w:val="22"/>
                <w:rtl/>
              </w:rPr>
              <w:t>100% על קרן המבוטחים</w:t>
            </w:r>
          </w:p>
        </w:tc>
      </w:tr>
      <w:tr w:rsidTr="00681586">
        <w:tblPrEx>
          <w:tblW w:w="0" w:type="auto"/>
          <w:tblLook w:val="04A0"/>
        </w:tblPrEx>
        <w:tc>
          <w:tcPr>
            <w:tcW w:w="2737" w:type="dxa"/>
            <w:shd w:val="clear" w:color="auto" w:fill="DBE5F1"/>
          </w:tcPr>
          <w:p w:rsidR="00681586" w:rsidRPr="00681586" w:rsidP="00681586">
            <w:pPr>
              <w:spacing w:line="269" w:lineRule="auto"/>
              <w:jc w:val="left"/>
              <w:rPr>
                <w:rFonts w:eastAsia="Calibri"/>
                <w:color w:val="FFFFFF"/>
                <w:sz w:val="22"/>
                <w:szCs w:val="22"/>
                <w:rtl/>
              </w:rPr>
            </w:pPr>
            <w:r w:rsidRPr="00681586">
              <w:rPr>
                <w:rFonts w:eastAsia="Calibri" w:hint="cs"/>
                <w:color w:val="FFFFFF"/>
                <w:sz w:val="22"/>
                <w:szCs w:val="22"/>
                <w:rtl/>
              </w:rPr>
              <w:t>התנאים המזכים בגמלה</w:t>
            </w:r>
          </w:p>
        </w:tc>
        <w:tc>
          <w:tcPr>
            <w:tcW w:w="2737" w:type="dxa"/>
            <w:shd w:val="clear" w:color="auto" w:fill="DBE5F1"/>
            <w:vAlign w:val="center"/>
          </w:tcPr>
          <w:p w:rsidR="00681586" w:rsidRPr="00681586" w:rsidP="00681586">
            <w:pPr>
              <w:spacing w:line="269" w:lineRule="auto"/>
              <w:jc w:val="left"/>
              <w:rPr>
                <w:rFonts w:eastAsia="Calibri"/>
                <w:sz w:val="22"/>
                <w:szCs w:val="22"/>
                <w:rtl/>
              </w:rPr>
            </w:pPr>
            <w:r w:rsidRPr="00681586">
              <w:rPr>
                <w:rFonts w:eastAsia="Calibri" w:hint="cs"/>
                <w:sz w:val="22"/>
                <w:szCs w:val="22"/>
                <w:rtl/>
              </w:rPr>
              <w:t xml:space="preserve">3 מתוך 6 פעולות </w:t>
            </w:r>
            <w:r w:rsidRPr="00681586">
              <w:rPr>
                <w:rFonts w:eastAsia="Calibri" w:hint="cs"/>
                <w:sz w:val="22"/>
                <w:szCs w:val="22"/>
              </w:rPr>
              <w:t>ADL</w:t>
            </w:r>
          </w:p>
        </w:tc>
        <w:tc>
          <w:tcPr>
            <w:tcW w:w="2737" w:type="dxa"/>
            <w:shd w:val="clear" w:color="auto" w:fill="DBE5F1"/>
            <w:vAlign w:val="center"/>
          </w:tcPr>
          <w:p w:rsidR="00681586" w:rsidRPr="00681586" w:rsidP="00681586">
            <w:pPr>
              <w:spacing w:line="269" w:lineRule="auto"/>
              <w:jc w:val="left"/>
              <w:rPr>
                <w:rFonts w:eastAsia="Calibri"/>
                <w:sz w:val="22"/>
                <w:szCs w:val="22"/>
                <w:rtl/>
              </w:rPr>
            </w:pPr>
            <w:r w:rsidRPr="00681586">
              <w:rPr>
                <w:rFonts w:eastAsia="Calibri" w:hint="cs"/>
                <w:sz w:val="22"/>
                <w:szCs w:val="22"/>
                <w:rtl/>
              </w:rPr>
              <w:t xml:space="preserve">4 מתוך 6 פעולות </w:t>
            </w:r>
            <w:r w:rsidRPr="00681586">
              <w:rPr>
                <w:rFonts w:eastAsia="Calibri" w:hint="cs"/>
                <w:sz w:val="22"/>
                <w:szCs w:val="22"/>
              </w:rPr>
              <w:t>ADL</w:t>
            </w:r>
          </w:p>
        </w:tc>
      </w:tr>
      <w:tr w:rsidTr="00681586">
        <w:tblPrEx>
          <w:tblW w:w="0" w:type="auto"/>
          <w:tblLook w:val="04A0"/>
        </w:tblPrEx>
        <w:tc>
          <w:tcPr>
            <w:tcW w:w="2737" w:type="dxa"/>
            <w:shd w:val="clear" w:color="auto" w:fill="DBE5F1"/>
          </w:tcPr>
          <w:p w:rsidR="00681586" w:rsidRPr="00681586" w:rsidP="00681586">
            <w:pPr>
              <w:spacing w:line="269" w:lineRule="auto"/>
              <w:jc w:val="left"/>
              <w:rPr>
                <w:rFonts w:eastAsia="Calibri"/>
                <w:color w:val="FFFFFF"/>
                <w:sz w:val="22"/>
                <w:szCs w:val="22"/>
                <w:rtl/>
              </w:rPr>
            </w:pPr>
            <w:r w:rsidRPr="00681586">
              <w:rPr>
                <w:rFonts w:eastAsia="Calibri" w:hint="cs"/>
                <w:color w:val="FFFFFF"/>
                <w:sz w:val="22"/>
                <w:szCs w:val="22"/>
                <w:rtl/>
              </w:rPr>
              <w:t>המשכיות הפוליסה</w:t>
            </w:r>
          </w:p>
        </w:tc>
        <w:tc>
          <w:tcPr>
            <w:tcW w:w="2737" w:type="dxa"/>
            <w:shd w:val="clear" w:color="auto" w:fill="DBE5F1"/>
            <w:vAlign w:val="center"/>
          </w:tcPr>
          <w:p w:rsidR="00681586" w:rsidRPr="00681586" w:rsidP="00681586">
            <w:pPr>
              <w:spacing w:line="269" w:lineRule="auto"/>
              <w:jc w:val="left"/>
              <w:rPr>
                <w:rFonts w:eastAsia="Calibri"/>
                <w:sz w:val="22"/>
                <w:szCs w:val="22"/>
                <w:rtl/>
              </w:rPr>
            </w:pPr>
            <w:r w:rsidRPr="00681586">
              <w:rPr>
                <w:rFonts w:eastAsia="Calibri" w:hint="cs"/>
                <w:sz w:val="22"/>
                <w:szCs w:val="22"/>
                <w:rtl/>
              </w:rPr>
              <w:t>קיימת חובת הצירוף לפוליסת המשך קבוצתית</w:t>
            </w:r>
          </w:p>
        </w:tc>
        <w:tc>
          <w:tcPr>
            <w:tcW w:w="2737" w:type="dxa"/>
            <w:shd w:val="clear" w:color="auto" w:fill="DBE5F1"/>
            <w:vAlign w:val="center"/>
          </w:tcPr>
          <w:p w:rsidR="00681586" w:rsidRPr="00681586" w:rsidP="00681586">
            <w:pPr>
              <w:spacing w:line="269" w:lineRule="auto"/>
              <w:jc w:val="left"/>
              <w:rPr>
                <w:rFonts w:eastAsia="Calibri"/>
                <w:sz w:val="22"/>
                <w:szCs w:val="22"/>
                <w:rtl/>
              </w:rPr>
            </w:pPr>
            <w:r w:rsidRPr="00681586">
              <w:rPr>
                <w:rFonts w:eastAsia="Calibri" w:hint="cs"/>
                <w:sz w:val="22"/>
                <w:szCs w:val="22"/>
                <w:rtl/>
              </w:rPr>
              <w:t>החל משנת 2027 לא קיימת חובת הצירוף לפוליסת המשך קבוצתית</w:t>
            </w:r>
          </w:p>
        </w:tc>
      </w:tr>
    </w:tbl>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מהמקובץ עולה אפוא כי בשנים 2012 - 2023 חל גידול במספר התביעות לביטוח סיעודי המשולמות על ידי הביטוחים של קופות החולים. הגידול התעצם בעקבות חוזר הרשות והרפורמה בסיעוד משנת 2018. כתוצאה מכך חלה שחיקה הדרגתית בקרן המבוטחים של חברי קופת חולים כללית. כדי לייצב את הקרן, הפחיתה הרשות את התגמולים שמשלם הביטוח למבוטחים סיעודיים ב-10% (מ-5,500 ש"ח בחודש ל-5,000 ש"ח), וביטלה את הסיכון של חברות הביטוח, כך ש-100% מהתגמולים משולמים מקרן המבוטחים. בהמשך, לאחר ששום חברה לא נגשה למכרז להפעלת הביטוח הסיעודי של כללית, שינתה הרשות את הגדרת התנאים המזכים בתגמולי הביטוח מקושי בביצוע 3 מתוך 6 פעולות </w:t>
      </w:r>
      <w:r w:rsidRPr="00681586">
        <w:rPr>
          <w:rFonts w:eastAsia="Calibri" w:hint="cs"/>
          <w:b/>
          <w:bCs/>
        </w:rPr>
        <w:t>ADL</w:t>
      </w:r>
      <w:r w:rsidRPr="00681586">
        <w:rPr>
          <w:rFonts w:eastAsia="Calibri" w:hint="cs"/>
          <w:b/>
          <w:bCs/>
          <w:rtl/>
        </w:rPr>
        <w:t>, לקושי בביצוע 4 מתוך 6 פעולות, וביטלה את חובת ההמשכיות של חברות הביטוח.</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כללית מסרה בתשובתה ממאי 2026 (להלן - תשובת כללית) כי נכון לעת מסירת התשובה, קרן הביטוח הסיעודי לחברי כללית היא איתנה, צומחת ויציבה.</w:t>
      </w:r>
    </w:p>
    <w:p w:rsidR="00681586" w:rsidRPr="00681586" w:rsidP="00681586">
      <w:pPr>
        <w:spacing w:line="269" w:lineRule="auto"/>
        <w:rPr>
          <w:rFonts w:eastAsia="Calibri"/>
          <w:rtl/>
        </w:rPr>
      </w:pPr>
    </w:p>
    <w:p w:rsidR="00681586" w:rsidRPr="00681586" w:rsidP="00681586">
      <w:pPr>
        <w:keepNext/>
        <w:keepLines/>
        <w:spacing w:line="269" w:lineRule="auto"/>
        <w:outlineLvl w:val="4"/>
        <w:rPr>
          <w:rFonts w:eastAsia="Times New Roman"/>
          <w:bCs/>
          <w:spacing w:val="40"/>
          <w:rtl/>
        </w:rPr>
      </w:pPr>
      <w:r w:rsidRPr="00681586">
        <w:rPr>
          <w:rFonts w:eastAsia="Times New Roman" w:hint="cs"/>
          <w:bCs/>
          <w:spacing w:val="40"/>
          <w:rtl/>
        </w:rPr>
        <w:t>השקיפות לציבור בנוגע למבנה הסיכונים של הביטוח</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rtl/>
        </w:rPr>
        <w:t>על פי סעיף 3 לחוק חוזה הביטוח, התשמ"א</w:t>
      </w:r>
      <w:r w:rsidRPr="00681586">
        <w:rPr>
          <w:rFonts w:eastAsia="Calibri" w:hint="cs"/>
          <w:rtl/>
        </w:rPr>
        <w:t>-</w:t>
      </w:r>
      <w:r w:rsidRPr="00681586">
        <w:rPr>
          <w:rFonts w:eastAsia="Calibri"/>
          <w:rtl/>
        </w:rPr>
        <w:t xml:space="preserve">1981, תנאי או סייג לחבות מבטח או היקפה יפורטו בפוליסה בסמוך לנושא שבו מדובר, או יצוינו בה בהבלטה מיוחדת. </w:t>
      </w:r>
      <w:r w:rsidRPr="00681586">
        <w:rPr>
          <w:rFonts w:eastAsia="Calibri" w:hint="cs"/>
          <w:rtl/>
        </w:rPr>
        <w:t xml:space="preserve">בנוסף, </w:t>
      </w:r>
      <w:r w:rsidRPr="00681586">
        <w:rPr>
          <w:rFonts w:eastAsia="Calibri"/>
          <w:rtl/>
        </w:rPr>
        <w:t>בהתאם להוראות תקנה 3 לתקנות הפיקוח על עסקי הביטוח (צורת הפוליסה ותנאיה), התש"ם</w:t>
      </w:r>
      <w:r w:rsidRPr="00681586">
        <w:rPr>
          <w:rFonts w:eastAsia="Calibri" w:hint="cs"/>
          <w:rtl/>
        </w:rPr>
        <w:t>-</w:t>
      </w:r>
      <w:r w:rsidRPr="00681586">
        <w:rPr>
          <w:rFonts w:eastAsia="Calibri"/>
          <w:rtl/>
        </w:rPr>
        <w:t xml:space="preserve">1980, תנאי לחבות </w:t>
      </w:r>
      <w:r w:rsidRPr="00681586">
        <w:rPr>
          <w:rFonts w:eastAsia="Calibri"/>
          <w:rtl/>
        </w:rPr>
        <w:t>המבטח או סייג להיקף הכיסוי הביטוחי יובלטו</w:t>
      </w:r>
      <w:r w:rsidRPr="00681586">
        <w:rPr>
          <w:rFonts w:eastAsia="Calibri" w:hint="cs"/>
          <w:rtl/>
        </w:rPr>
        <w:t xml:space="preserve"> </w:t>
      </w:r>
      <w:r w:rsidRPr="00681586">
        <w:rPr>
          <w:rFonts w:eastAsia="Calibri"/>
          <w:rtl/>
        </w:rPr>
        <w:t xml:space="preserve">במיוחד על ידי שימוש באותיות מסוג שונה או בצבע שונה.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מאז דצמבר 2023, מבנה הסיכונים של קרנות הביטוח שונה כך שחברות הביטוח אינן נושאות סיכון ביטוחי כלל. מבנה סיכונים כזה חושף את המבוטחים לסיכון שהם אינם מודעים לו - הסיכון לכך שקרן המבוטחים תתרוקן ולא יתאפשר להם לקבל חלק מהגמלה או אף את כולה אם אכן יהיו זכאים לה. להלן הפרטים: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הסיכון להתרוקנות קרנות המבוטחים יכול להתממש בכמה תרחישים. למשל, כאשר הפרמיות של הביטוח אינן מותאמות להסתברות להגדרה של מקרה ביטוחי ויש קושי להעלות את דמי הביטוח. תרחיש אפשרי נוסף הוא יציאת מבוטחים צעירים מהביטוח הסיעודי.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משרד מבקר המדינה חישב את תוחלת הרווח של המבוטח מהביטוח הסיעודי של כללית עבור מבוטחים בגילים 18 - 48</w:t>
      </w:r>
      <w:r>
        <w:rPr>
          <w:rFonts w:eastAsia="Calibri"/>
          <w:vertAlign w:val="superscript"/>
          <w:rtl/>
        </w:rPr>
        <w:footnoteReference w:id="128"/>
      </w:r>
      <w:r w:rsidRPr="00681586">
        <w:rPr>
          <w:rFonts w:eastAsia="Calibri" w:hint="cs"/>
          <w:rtl/>
        </w:rPr>
        <w:t xml:space="preserve"> ועבור מבוטחים בגילים 71 ומעלה, כאשר התשלומים המחושבים לפי הפרמיה השנתית המותאמת לאותו גיל והתקבולים המחושבים לפי שיעור הכניסה למצב סיעודי מוכפלים בסך התשלומים המקסימלי ובתוחלת משך התביעה עבור מקרה סיעודי</w:t>
      </w:r>
      <w:r>
        <w:rPr>
          <w:rFonts w:eastAsia="Calibri"/>
          <w:vertAlign w:val="superscript"/>
          <w:rtl/>
        </w:rPr>
        <w:footnoteReference w:id="129"/>
      </w:r>
      <w:r w:rsidRPr="00681586">
        <w:rPr>
          <w:rFonts w:eastAsia="Calibri" w:hint="cs"/>
          <w:rtl/>
        </w:rPr>
        <w:t>. בתרשים להלן תוחלת הרווח השנתי, על פי הפרמיות המעודכנות לשנת 2026</w:t>
      </w:r>
      <w:r>
        <w:rPr>
          <w:rFonts w:eastAsia="Calibri"/>
          <w:vertAlign w:val="superscript"/>
          <w:rtl/>
        </w:rPr>
        <w:footnoteReference w:id="130"/>
      </w:r>
      <w:r w:rsidRPr="00681586">
        <w:rPr>
          <w:rFonts w:eastAsia="Calibri" w:hint="cs"/>
          <w:rtl/>
        </w:rPr>
        <w:t>, מהביטוחים הסיעודיים בגילים הללו.</w:t>
      </w:r>
    </w:p>
    <w:p w:rsidR="00681586" w:rsidRPr="00681586" w:rsidP="00681586">
      <w:pPr>
        <w:spacing w:line="269" w:lineRule="auto"/>
        <w:ind w:left="-567"/>
        <w:rPr>
          <w:rFonts w:eastAsia="Calibri"/>
          <w:szCs w:val="20"/>
          <w:rtl/>
        </w:rPr>
      </w:pPr>
    </w:p>
    <w:p w:rsidR="00681586">
      <w:pPr>
        <w:bidi w:val="0"/>
        <w:spacing w:after="200" w:line="276" w:lineRule="auto"/>
        <w:rPr>
          <w:rFonts w:eastAsia="Calibri"/>
          <w:rtl/>
        </w:rPr>
      </w:pPr>
      <w:r>
        <w:rPr>
          <w:rFonts w:eastAsia="Calibri"/>
          <w:rtl/>
        </w:rPr>
        <w:br w:type="page"/>
      </w:r>
    </w:p>
    <w:p w:rsidR="00681586" w:rsidRPr="00681586" w:rsidP="00681586">
      <w:pPr>
        <w:spacing w:line="269" w:lineRule="auto"/>
        <w:jc w:val="center"/>
        <w:rPr>
          <w:rFonts w:eastAsia="Calibri"/>
          <w:b/>
          <w:bCs/>
          <w:rtl/>
        </w:rPr>
      </w:pPr>
      <w:r w:rsidRPr="00681586">
        <w:rPr>
          <w:rFonts w:eastAsia="Calibri" w:hint="cs"/>
          <w:rtl/>
        </w:rPr>
        <w:t xml:space="preserve">תרשים 23: </w:t>
      </w:r>
      <w:r w:rsidRPr="00681586">
        <w:rPr>
          <w:rFonts w:eastAsia="Calibri" w:hint="cs"/>
          <w:b/>
          <w:bCs/>
          <w:rtl/>
        </w:rPr>
        <w:t>תוחלת הרווח השנתי מרכישת ביטוח סיעודי בארבע קופות החולים</w:t>
      </w:r>
      <w:r>
        <w:rPr>
          <w:rFonts w:eastAsia="Calibri"/>
          <w:b/>
          <w:bCs/>
          <w:vertAlign w:val="superscript"/>
          <w:rtl/>
        </w:rPr>
        <w:footnoteReference w:id="131"/>
      </w:r>
      <w:r w:rsidRPr="00681586">
        <w:rPr>
          <w:rFonts w:eastAsia="Calibri" w:hint="cs"/>
          <w:b/>
          <w:bCs/>
          <w:rtl/>
        </w:rPr>
        <w:t>, על פי גיל המבוטח, 2026</w:t>
      </w:r>
    </w:p>
    <w:p w:rsidR="00681586" w:rsidRPr="00681586" w:rsidP="00681586">
      <w:pPr>
        <w:spacing w:line="269" w:lineRule="auto"/>
        <w:jc w:val="center"/>
        <w:rPr>
          <w:rFonts w:eastAsia="Calibri"/>
          <w:b/>
          <w:bCs/>
          <w:rtl/>
        </w:rPr>
      </w:pPr>
      <w:r w:rsidRPr="00681586">
        <w:rPr>
          <w:rFonts w:eastAsia="Calibri"/>
          <w:b/>
          <w:bCs/>
          <w:noProof/>
          <w:rtl/>
          <w:lang w:val="he-IL"/>
        </w:rPr>
        <w:drawing>
          <wp:inline distT="0" distB="0" distL="0" distR="0">
            <wp:extent cx="4711700" cy="5295014"/>
            <wp:effectExtent l="0" t="0" r="0" b="3810"/>
            <wp:docPr id="74" name="תמונה 74" descr="תוחלת הרווח השנתי מרכישת ביטוח סיעודי בארבע קופות החולים , על פי גיל המבוטח,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רווחיות ביטוחי הסיעוד_חדש.jpg"/>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rcRect b="5505"/>
                    <a:stretch>
                      <a:fillRect/>
                    </a:stretch>
                  </pic:blipFill>
                  <pic:spPr bwMode="auto">
                    <a:xfrm>
                      <a:off x="0" y="0"/>
                      <a:ext cx="4711700" cy="529501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81586" w:rsidRPr="00681586" w:rsidP="00681586">
      <w:pPr>
        <w:spacing w:line="269" w:lineRule="auto"/>
        <w:rPr>
          <w:rFonts w:eastAsia="Calibri"/>
          <w:szCs w:val="20"/>
          <w:rtl/>
        </w:rPr>
      </w:pPr>
      <w:r w:rsidRPr="00681586">
        <w:rPr>
          <w:rFonts w:eastAsia="Calibri" w:hint="eastAsia"/>
          <w:szCs w:val="20"/>
          <w:rtl/>
        </w:rPr>
        <w:t>על</w:t>
      </w:r>
      <w:r w:rsidRPr="00681586">
        <w:rPr>
          <w:rFonts w:eastAsia="Calibri"/>
          <w:szCs w:val="20"/>
          <w:rtl/>
        </w:rPr>
        <w:t xml:space="preserve"> </w:t>
      </w:r>
      <w:r w:rsidRPr="00681586">
        <w:rPr>
          <w:rFonts w:eastAsia="Calibri" w:hint="eastAsia"/>
          <w:szCs w:val="20"/>
          <w:rtl/>
        </w:rPr>
        <w:t>פי</w:t>
      </w:r>
      <w:r w:rsidRPr="00681586">
        <w:rPr>
          <w:rFonts w:eastAsia="Calibri"/>
          <w:szCs w:val="20"/>
          <w:rtl/>
        </w:rPr>
        <w:t xml:space="preserve"> נתוני </w:t>
      </w:r>
      <w:r w:rsidRPr="00681586">
        <w:rPr>
          <w:rFonts w:eastAsia="Calibri" w:hint="cs"/>
          <w:szCs w:val="20"/>
          <w:rtl/>
        </w:rPr>
        <w:t>קופות החולים</w:t>
      </w:r>
      <w:r w:rsidRPr="00681586">
        <w:rPr>
          <w:rFonts w:eastAsia="Calibri"/>
          <w:szCs w:val="20"/>
          <w:rtl/>
        </w:rPr>
        <w:t xml:space="preserve"> ונתוני רשת שוק ההון, בעיבוד משרד מבקר המדינה.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מהתרשים עולה כי בגילים הצעירים בכל קופות החולים תוחלת הרווח מהביטוח הסיעודי שלילית לעומת תוחלת הרווחה בגילים מבוגרים שהיא חיובית. כך, בגיל 48-46 תוחלת הרווח מהביטוח היא שלילית, בין כ-1,300- לכ-1,600- ש"ח בשנה, כלומר, סך תשלומי הפרמיות השנתיות גבוה מתוחלת התקבולים השנתית, בעוד שבגילים המבוגרים תוחלת הרווח מהביטוח הסיעודי חיובית- בגילים 85-81 תוחלת הרווח מהביטוח היא חיובית - כ-4,700-4200 ש"ח בשנה. משמעות הדבר היא כי קיים סבסוד צולב משמעותי בין הגילים הצעירים לגילים המבוגרים בביטוח. הסבסוד הצולב גורם לכך שעל מנת להשיא את התקבולים מהביטוח, יהיה לצעירים משתלם יותר לעזוב את הביטוח בגיל צעיר ולהצטרף אליו בגיל מבוגר יותר</w:t>
      </w:r>
      <w:r>
        <w:rPr>
          <w:rFonts w:eastAsia="Calibri"/>
          <w:b/>
          <w:bCs/>
          <w:vertAlign w:val="superscript"/>
          <w:rtl/>
        </w:rPr>
        <w:footnoteReference w:id="132"/>
      </w:r>
      <w:r w:rsidRPr="00681586">
        <w:rPr>
          <w:rFonts w:eastAsia="Calibri" w:hint="cs"/>
          <w:b/>
          <w:bCs/>
          <w:rtl/>
        </w:rPr>
        <w:t xml:space="preserve">. די בכך שחלק ניכר מהצעירים יחליטו לפעול כך כדי לגרום שקרנות הביטוח יתרוקנו, ויעלה הסיכון של מבוטחים הזכאים לקצבת סיעוד ושל אלו העתידים להיות זכאים, שלא להצליח לממש את </w:t>
      </w:r>
      <w:r w:rsidRPr="00681586">
        <w:rPr>
          <w:rFonts w:eastAsia="Calibri" w:hint="cs"/>
          <w:b/>
          <w:bCs/>
          <w:rtl/>
        </w:rPr>
        <w:t>זכאותם. אוכלוסיית הצעירים בגילים אלו היא כ-40% מאוכלוסיית ישראל</w:t>
      </w:r>
      <w:r>
        <w:rPr>
          <w:rFonts w:eastAsia="Calibri"/>
          <w:b/>
          <w:bCs/>
          <w:vertAlign w:val="superscript"/>
          <w:rtl/>
        </w:rPr>
        <w:footnoteReference w:id="133"/>
      </w:r>
      <w:r w:rsidRPr="00681586">
        <w:rPr>
          <w:rFonts w:eastAsia="Calibri" w:hint="cs"/>
          <w:b/>
          <w:bCs/>
          <w:rtl/>
        </w:rPr>
        <w:t>, ומתוכם בין 35% ל-60% מבוטחים בביטוח סיעודי</w:t>
      </w:r>
      <w:r>
        <w:rPr>
          <w:rFonts w:eastAsia="Calibri"/>
          <w:b/>
          <w:bCs/>
          <w:vertAlign w:val="superscript"/>
          <w:rtl/>
        </w:rPr>
        <w:footnoteReference w:id="134"/>
      </w:r>
      <w:r w:rsidRPr="00681586">
        <w:rPr>
          <w:rFonts w:eastAsia="Calibri" w:hint="cs"/>
          <w:b/>
          <w:bCs/>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בביקורת עלה כי שלא בהתאם לחוק חוזה הביטוח, הפוליסות של ביטוחי הסיעוד דרך קופת החולים משווקות לציבור כפוליסות ביטוח באחריות חברות הביטוח הפרטיות, באופן שמטעה את הציבור לחשוב כי חברות אלו נושאות בסיכון הביטוחי. בפועל, לאחר חוזר רשות שוק ההון מדצמבר 2023, אין הדבר כך, וחברות הביטוח אינן נושאות בסיכון הביטוחי והוא מוטל במלואו על המבוטחים.</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עוד עולה כי הפוליסה לחברי הקופות השונות עומדת על התנאים שייווצרו בעת אי-חידוש של הפוליסה לכלל המבוטחים, כלומר במצב של פוליסת המשך קבוצתית, אולם היא אינה מפרטת באופן ברור אילו תרחישים עשויים להביא את הביטוח למצב זה, ומה ההסתברות לתרחישים אלו. ובמיוחד, היא אינה עומדת על התרוקנות קרן המבוטחים כסיבה אפשרית לאי-חידוש של הפוליסה. בנוסף, מידת הפגיעה בזכויות המבוטחים במצב של פוליסת המשך אינה ברורה מהכתוב בתנאי הפוליסה.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רשות שוק ההון מסרה בתשובתה בעניין סוגיית כדאיות הביטוח עבור מבוטחים צעירים, כי סוגיה זו מהווה סיכון הקיים במודל הנוכחי אשר קשה להעריכו במלואו בעת הזו. עוד ציינה הרשות כי סוגיה זו עומדת בלב עבודת הרשות על פיתוח מודל חדש לביטוח הסיעודי שנועד לתת מענה מבני לאתגרים מסוג זה.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עוד מסרה הרשות בתשובתה, כי גם כאשר תנאי הפוליסה ומאפייניה הדינמיים מעוגנים במפורש, מורכבותם והדקויות הכרוכות בהם, שהן חלק בלתי נפרד מאופי המודל הקיים, מציבות אתגר בהנגשת המשמעות המעשית של תנאי הפוליסה לציבור המבוטחים. לדבריה, מציאות זו אינה ניתנת לפתרון בדרך של חידודי ניסוח בפוליסות, אלא מחייבת מעבר למודל המבוסס על הסכם ברור ויציב לטווח הארוך.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מומלץ לרשות שוק ההון כי עד לפיתוח מודל חדש לביטוחים הסיעודיים אשר עתיד לתת מענה ליציבות ארוכת הטווח של הביטוח, תפעל להורות לחברות הביטוח לשקף למבוטחים בצורה ברורה בפוליסות הביטוח את מבנה הסיכונים שמולו הם עומדים ואת הנסיבות שבהן לא ישולמו להם התגמולים המובטחים בפוליסה. </w:t>
      </w:r>
    </w:p>
    <w:p w:rsidR="00681586" w:rsidRPr="00681586" w:rsidP="00681586">
      <w:pPr>
        <w:spacing w:line="269" w:lineRule="auto"/>
        <w:rPr>
          <w:rFonts w:eastAsia="Calibri"/>
          <w:b/>
          <w:bCs/>
          <w:rtl/>
        </w:rPr>
      </w:pPr>
    </w:p>
    <w:p w:rsidR="00681586" w:rsidRPr="00681586" w:rsidP="00681586">
      <w:pPr>
        <w:keepNext/>
        <w:keepLines/>
        <w:spacing w:line="269" w:lineRule="auto"/>
        <w:outlineLvl w:val="4"/>
        <w:rPr>
          <w:rFonts w:eastAsia="Times New Roman"/>
          <w:bCs/>
          <w:spacing w:val="40"/>
          <w:rtl/>
        </w:rPr>
      </w:pPr>
      <w:r w:rsidRPr="00681586">
        <w:rPr>
          <w:rFonts w:eastAsia="Times New Roman" w:hint="cs"/>
          <w:bCs/>
          <w:spacing w:val="40"/>
          <w:rtl/>
        </w:rPr>
        <w:t>השקיפות לציבור בדבר מצב קרנות המבוטחים</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על פי חוק עקרונות האסדרה, התשפ"ב-2021, </w:t>
      </w:r>
      <w:r w:rsidRPr="00681586">
        <w:rPr>
          <w:rFonts w:eastAsia="Calibri"/>
          <w:b/>
          <w:bCs/>
          <w:rtl/>
        </w:rPr>
        <w:t>תהליך גיבוש האסדרה וקביעתה</w:t>
      </w:r>
      <w:r w:rsidRPr="00681586">
        <w:rPr>
          <w:rFonts w:eastAsia="Calibri" w:hint="cs"/>
          <w:b/>
          <w:bCs/>
          <w:rtl/>
        </w:rPr>
        <w:t xml:space="preserve"> </w:t>
      </w:r>
      <w:r w:rsidRPr="00681586">
        <w:rPr>
          <w:rFonts w:eastAsia="Calibri"/>
          <w:b/>
          <w:bCs/>
          <w:rtl/>
        </w:rPr>
        <w:t>נעש</w:t>
      </w:r>
      <w:r w:rsidRPr="00681586">
        <w:rPr>
          <w:rFonts w:eastAsia="Calibri" w:hint="cs"/>
          <w:b/>
          <w:bCs/>
          <w:rtl/>
        </w:rPr>
        <w:t>ה</w:t>
      </w:r>
      <w:r w:rsidRPr="00681586">
        <w:rPr>
          <w:rFonts w:eastAsia="Calibri"/>
          <w:b/>
          <w:bCs/>
          <w:rtl/>
        </w:rPr>
        <w:t xml:space="preserve"> בהתאם לעקרון השקיפות ותוך שיתוף הציבור במידה הנדרשת בנסיבות העניין</w:t>
      </w:r>
      <w:r w:rsidRPr="00681586">
        <w:rPr>
          <w:rFonts w:eastAsia="Calibri" w:hint="cs"/>
          <w:b/>
          <w:bCs/>
          <w:rtl/>
        </w:rPr>
        <w:t>. נוסף על כך, החוזר המאוחד של רשות שוק ההון קובע כי על גוף מוסדי לפרט בדוחות המפורסמים לציבור כל נתון, מידע או הבהרה, אשר היעדרם פוגע בהצגת מצבה הכספי של החברה, וכן את השינויים במצבה הכספי ובהונה העצמי בתקופת הדיווח</w:t>
      </w:r>
      <w:r>
        <w:rPr>
          <w:rFonts w:eastAsia="Calibri"/>
          <w:b/>
          <w:bCs/>
          <w:vertAlign w:val="superscript"/>
          <w:rtl/>
        </w:rPr>
        <w:footnoteReference w:id="135"/>
      </w:r>
      <w:r w:rsidRPr="00681586">
        <w:rPr>
          <w:rFonts w:eastAsia="Calibri" w:hint="cs"/>
          <w:b/>
          <w:bCs/>
          <w:rtl/>
        </w:rPr>
        <w:t>.</w:t>
      </w:r>
    </w:p>
    <w:p w:rsidR="00681586" w:rsidRPr="00681586" w:rsidP="00681586">
      <w:pPr>
        <w:spacing w:line="269" w:lineRule="auto"/>
        <w:ind w:left="-567"/>
        <w:rPr>
          <w:rFonts w:eastAsia="Calibri"/>
          <w:b/>
          <w:bCs/>
          <w:szCs w:val="20"/>
          <w:rtl/>
        </w:rPr>
      </w:pPr>
    </w:p>
    <w:p w:rsidR="00681586" w:rsidRPr="00681586" w:rsidP="00681586">
      <w:pPr>
        <w:spacing w:line="269" w:lineRule="auto"/>
        <w:rPr>
          <w:rFonts w:eastAsia="Calibri"/>
          <w:b/>
          <w:bCs/>
        </w:rPr>
      </w:pPr>
      <w:r w:rsidRPr="00681586">
        <w:rPr>
          <w:rFonts w:eastAsia="Calibri" w:hint="cs"/>
          <w:b/>
          <w:bCs/>
          <w:rtl/>
        </w:rPr>
        <w:t>נמצא כי אף על פי שחוק עקרונות האסדרה, התשפ"ב-2021, והחוזר המאוחד של רשות שוק ההון מדגישים את חשיבות השקיפות בהליך האסדרה ובדוחות המתפרסמים לציבור, הרי שקופות החולים ורשות שוק ההון פועלות בחוסר שקיפות כלפי הציבור כאשר הן אינן מפרסמות את מצבן של קרנות הביטוח של קופות החולים, אף שמידע זה רלוונטי לציבור בעת קבלת ההחלטה בדבר רכישת ביטוח כזה. כיום מצב הקרנות אינו מפורסם בדוחות השנתיים של חברות הביטוח כיוון שהוא אינו חלק מהסיכונים העומדים בפני חברת הביטוח</w:t>
      </w:r>
      <w:r>
        <w:rPr>
          <w:rFonts w:eastAsia="Calibri"/>
          <w:b/>
          <w:bCs/>
          <w:vertAlign w:val="superscript"/>
          <w:rtl/>
        </w:rPr>
        <w:footnoteReference w:id="136"/>
      </w:r>
      <w:r w:rsidRPr="00681586">
        <w:rPr>
          <w:rFonts w:eastAsia="Calibri" w:hint="cs"/>
          <w:b/>
          <w:bCs/>
          <w:rtl/>
        </w:rPr>
        <w:t xml:space="preserve">, וכן אינו מפורסם </w:t>
      </w:r>
      <w:r w:rsidRPr="00681586">
        <w:rPr>
          <w:rFonts w:eastAsia="Calibri" w:hint="cs"/>
          <w:b/>
          <w:bCs/>
          <w:rtl/>
        </w:rPr>
        <w:t xml:space="preserve">בדוחות השנתיים של קופות החולים, וזאת כדי למנוע מעבר של מבוטחים מקופות שבהן הקרנות בסכנת יציבות לקופות יציבות יותר, זאת לדברי הרשות.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היעדר השקיפות במצבן של הקרנות מביא לפגיעה בצרכנים שעשויים לרכוש ביטוח בלי לדעת את רמת הסיכון שאליה הם נחשפים. כיוון שכיום כל התגמולים למבוטחים סיעודיים משולמים מקרנות המבוטחים של קופות החולים, מידע זה הוא קריטי כדי לקבל את ההחלטה על רכישת הביטוח. יתרה מכך, כיוון שמדובר בפוליסות אחידות, חוסר יציבות של קרן המבוטחים בקופה אחת עלול לחייב שינויים בתנאי הפוליסות וכך לגרום לפגיעה בתנאי הביטוח של כלל הקופות. מכאן שהמידע בדבר גובה קרן המבוטחים של כל קופה ומידת יציבותה, רלוונטי לשיקולי הכדאיות של רכישת הביטוח עבור מבוטחי כלל הקופות.</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מומלץ כי רשות שוק ההון תורה לחברות הביטוח לפרסם לציבור את מצב קרנות המבוטחים באופן שוטף כדי להגביר את השקיפות ולאפשר לצרכנים לקבל החלטות מושכלות בנוגע לרכישת ביטוחים סיעודיים. </w:t>
      </w:r>
    </w:p>
    <w:p w:rsidR="00681586" w:rsidRPr="00681586" w:rsidP="00681586">
      <w:pPr>
        <w:spacing w:line="269" w:lineRule="auto"/>
        <w:rPr>
          <w:rFonts w:eastAsia="Calibri"/>
          <w:b/>
          <w:bCs/>
          <w:rtl/>
        </w:rPr>
      </w:pPr>
    </w:p>
    <w:p w:rsidR="00681586" w:rsidRPr="00681586" w:rsidP="00681586">
      <w:pPr>
        <w:keepNext/>
        <w:keepLines/>
        <w:spacing w:line="269" w:lineRule="auto"/>
        <w:outlineLvl w:val="4"/>
        <w:rPr>
          <w:rFonts w:eastAsia="Times New Roman"/>
          <w:bCs/>
          <w:spacing w:val="40"/>
          <w:rtl/>
        </w:rPr>
      </w:pPr>
      <w:r w:rsidRPr="00681586">
        <w:rPr>
          <w:rFonts w:eastAsia="Times New Roman" w:hint="cs"/>
          <w:bCs/>
          <w:spacing w:val="40"/>
          <w:rtl/>
        </w:rPr>
        <w:t>המחלוקת בין רשות שוק ההון למשרד הבריאות</w:t>
      </w:r>
      <w:r w:rsidRPr="00681586">
        <w:rPr>
          <w:rFonts w:eastAsia="Times New Roman"/>
          <w:bCs/>
          <w:spacing w:val="40"/>
          <w:rtl/>
        </w:rPr>
        <w:t xml:space="preserve"> ב</w:t>
      </w:r>
      <w:r w:rsidRPr="00681586">
        <w:rPr>
          <w:rFonts w:eastAsia="Times New Roman" w:hint="cs"/>
          <w:bCs/>
          <w:spacing w:val="40"/>
          <w:rtl/>
        </w:rPr>
        <w:t>עניין</w:t>
      </w:r>
      <w:r w:rsidRPr="00681586">
        <w:rPr>
          <w:rFonts w:eastAsia="Times New Roman"/>
          <w:bCs/>
          <w:spacing w:val="40"/>
          <w:rtl/>
        </w:rPr>
        <w:t xml:space="preserve"> הדרך לפתרון המשבר הנובע מהתרוקנות קרן המבוטחים של הביטוח הסיעודי של מבוטחי כללית</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rtl/>
        </w:rPr>
        <w:t>מחלוקות בין</w:t>
      </w:r>
      <w:r w:rsidRPr="00681586">
        <w:rPr>
          <w:rFonts w:eastAsia="Calibri" w:hint="cs"/>
          <w:rtl/>
        </w:rPr>
        <w:t>-</w:t>
      </w:r>
      <w:r w:rsidRPr="00681586">
        <w:rPr>
          <w:rFonts w:eastAsia="Calibri"/>
          <w:rtl/>
        </w:rPr>
        <w:t xml:space="preserve">משרדיות פוגעות בציבור </w:t>
      </w:r>
      <w:r w:rsidRPr="00681586">
        <w:rPr>
          <w:rFonts w:eastAsia="Calibri" w:hint="cs"/>
          <w:rtl/>
        </w:rPr>
        <w:t>ומעכבות מתן מענה לעניינים דחופים שעל הפרק.</w:t>
      </w:r>
      <w:r w:rsidRPr="00681586">
        <w:rPr>
          <w:rFonts w:eastAsia="Calibri"/>
          <w:rtl/>
        </w:rPr>
        <w:t xml:space="preserve"> לכן על </w:t>
      </w:r>
      <w:r w:rsidRPr="00681586">
        <w:rPr>
          <w:rFonts w:eastAsia="Calibri" w:hint="cs"/>
          <w:rtl/>
        </w:rPr>
        <w:t>הגורמים האחראים ב</w:t>
      </w:r>
      <w:r w:rsidRPr="00681586">
        <w:rPr>
          <w:rFonts w:eastAsia="Calibri"/>
          <w:rtl/>
        </w:rPr>
        <w:t xml:space="preserve">משרדי הממשלה לעשות כל </w:t>
      </w:r>
      <w:r w:rsidRPr="00681586">
        <w:rPr>
          <w:rFonts w:eastAsia="Calibri" w:hint="cs"/>
          <w:rtl/>
        </w:rPr>
        <w:t>שביכולתם</w:t>
      </w:r>
      <w:r w:rsidRPr="00681586">
        <w:rPr>
          <w:rFonts w:eastAsia="Calibri"/>
          <w:rtl/>
        </w:rPr>
        <w:t xml:space="preserve"> כדי לפתור מחלוקות ביניהם. </w:t>
      </w:r>
      <w:r w:rsidRPr="00681586">
        <w:rPr>
          <w:rFonts w:eastAsia="Calibri" w:hint="cs"/>
          <w:rtl/>
        </w:rPr>
        <w:t>כפי שעלה בדוח מבקר המדינה בנושא טיפול במחלוקות בין-משרדיות מתמשכות</w:t>
      </w:r>
      <w:r>
        <w:rPr>
          <w:rFonts w:eastAsia="Calibri"/>
          <w:vertAlign w:val="superscript"/>
          <w:rtl/>
        </w:rPr>
        <w:footnoteReference w:id="137"/>
      </w:r>
      <w:r w:rsidRPr="00681586">
        <w:rPr>
          <w:rFonts w:eastAsia="Calibri" w:hint="cs"/>
          <w:rtl/>
        </w:rPr>
        <w:t xml:space="preserve">, </w:t>
      </w:r>
      <w:r w:rsidRPr="00681586">
        <w:rPr>
          <w:rFonts w:eastAsia="Calibri"/>
          <w:rtl/>
        </w:rPr>
        <w:t xml:space="preserve">האחריות </w:t>
      </w:r>
      <w:r w:rsidRPr="00681586">
        <w:rPr>
          <w:rFonts w:eastAsia="Calibri" w:hint="cs"/>
          <w:rtl/>
        </w:rPr>
        <w:t>לפתרון</w:t>
      </w:r>
      <w:r w:rsidRPr="00681586">
        <w:rPr>
          <w:rFonts w:eastAsia="Calibri"/>
          <w:rtl/>
        </w:rPr>
        <w:t xml:space="preserve"> מחלוקות </w:t>
      </w:r>
      <w:r w:rsidRPr="00681586">
        <w:rPr>
          <w:rFonts w:eastAsia="Calibri" w:hint="cs"/>
          <w:rtl/>
        </w:rPr>
        <w:t>כאלה</w:t>
      </w:r>
      <w:r w:rsidRPr="00681586">
        <w:rPr>
          <w:rFonts w:eastAsia="Calibri"/>
          <w:rtl/>
        </w:rPr>
        <w:t xml:space="preserve"> מוטלת בראש ובראשונה על משרדי הממשלה ועל השרים העומדים בראשם, ו</w:t>
      </w:r>
      <w:r w:rsidRPr="00681586">
        <w:rPr>
          <w:rFonts w:eastAsia="Calibri" w:hint="cs"/>
          <w:rtl/>
        </w:rPr>
        <w:t xml:space="preserve">במקרים שבהם </w:t>
      </w:r>
      <w:r w:rsidRPr="00681586">
        <w:rPr>
          <w:rFonts w:eastAsia="Calibri"/>
          <w:rtl/>
        </w:rPr>
        <w:t>לא הצליחו ליישב</w:t>
      </w:r>
      <w:r w:rsidRPr="00681586">
        <w:rPr>
          <w:rFonts w:eastAsia="Calibri" w:hint="cs"/>
          <w:rtl/>
        </w:rPr>
        <w:t xml:space="preserve"> את המחלוקת</w:t>
      </w:r>
      <w:r w:rsidRPr="00681586">
        <w:rPr>
          <w:rFonts w:eastAsia="Calibri"/>
          <w:rtl/>
        </w:rPr>
        <w:t>, על</w:t>
      </w:r>
      <w:r w:rsidRPr="00681586">
        <w:rPr>
          <w:rFonts w:eastAsia="Calibri" w:hint="cs"/>
          <w:rtl/>
        </w:rPr>
        <w:t>יהם</w:t>
      </w:r>
      <w:r w:rsidRPr="00681586">
        <w:rPr>
          <w:rFonts w:eastAsia="Calibri"/>
          <w:rtl/>
        </w:rPr>
        <w:t xml:space="preserve"> להביאה לפני </w:t>
      </w:r>
      <w:r w:rsidRPr="00681586">
        <w:rPr>
          <w:rFonts w:eastAsia="Calibri" w:hint="cs"/>
          <w:rtl/>
        </w:rPr>
        <w:t>ראש הממשלה</w:t>
      </w:r>
      <w:r>
        <w:rPr>
          <w:rFonts w:eastAsia="Calibri"/>
          <w:vertAlign w:val="superscript"/>
          <w:rtl/>
        </w:rPr>
        <w:footnoteReference w:id="138"/>
      </w:r>
      <w:r w:rsidRPr="00681586">
        <w:rPr>
          <w:rFonts w:eastAsia="Calibri" w:hint="cs"/>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כאמור, במהלך החודשים יוני עד אוגוסט 2023 ניסו הרשות ומשרד הבריאות להגיע להסכמות בדבר המתווה לפתרון המשבר, אך ללא הצלחה. לגישת הרשות, הפתרון למתווה כולל הארכה של תקופת ההמתנה, הפחתת התגמולים לקשישים הסיעודיים והעלאת הפרמיות. אולם משרד הבריאות התנגד למתווה זה בטענה שהוא פוגע בקשישים הסיעודיים ופוגע בתחרות בין קופות החולים. יצוין כי הרשות דרשה מכללית באופן מפורש להציע לה מתווה להעלאת הפרמיות, ואילו משרד הבריאות אסר באופן מפורש על הכללית לקבל את דרישת הרשות.</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נמצא כי רשות שוק ההון ומשרד הבריאות לא הגיעו להסכמות על הדרך המתאימה לפתור את המשבר הנובע מהתרוקנות קרן המבוטחים בכללית והסתפקו בשליחת מכתבים הדדיים </w:t>
      </w:r>
      <w:r w:rsidRPr="00681586">
        <w:rPr>
          <w:rFonts w:eastAsia="Calibri" w:hint="eastAsia"/>
          <w:b/>
          <w:bCs/>
          <w:rtl/>
        </w:rPr>
        <w:t>במהלך</w:t>
      </w:r>
      <w:r w:rsidRPr="00681586">
        <w:rPr>
          <w:rFonts w:eastAsia="Calibri"/>
          <w:b/>
          <w:bCs/>
          <w:rtl/>
        </w:rPr>
        <w:t xml:space="preserve"> </w:t>
      </w:r>
      <w:r w:rsidRPr="00681586">
        <w:rPr>
          <w:rFonts w:eastAsia="Calibri" w:hint="cs"/>
          <w:b/>
          <w:bCs/>
          <w:rtl/>
        </w:rPr>
        <w:t xml:space="preserve">החודשים </w:t>
      </w:r>
      <w:r w:rsidRPr="00681586">
        <w:rPr>
          <w:rFonts w:eastAsia="Calibri"/>
          <w:b/>
          <w:bCs/>
          <w:rtl/>
        </w:rPr>
        <w:t xml:space="preserve">יוני עד אוגוסט 2023 </w:t>
      </w:r>
      <w:r w:rsidRPr="00681586">
        <w:rPr>
          <w:rFonts w:eastAsia="Calibri" w:hint="cs"/>
          <w:b/>
          <w:bCs/>
          <w:rtl/>
        </w:rPr>
        <w:t>במקום להשתמש במנגנונים הקיימים ליישוב מחלוקות</w:t>
      </w:r>
      <w:r>
        <w:rPr>
          <w:rFonts w:eastAsia="Calibri"/>
          <w:b/>
          <w:bCs/>
          <w:vertAlign w:val="superscript"/>
          <w:rtl/>
        </w:rPr>
        <w:footnoteReference w:id="139"/>
      </w:r>
      <w:r w:rsidRPr="00681586">
        <w:rPr>
          <w:rFonts w:eastAsia="Calibri" w:hint="cs"/>
          <w:b/>
          <w:bCs/>
          <w:rtl/>
        </w:rPr>
        <w:t xml:space="preserve">, בין היתר באמצעות מעורבות של ראש הממשלה. הדבר גרם להימשכות ההליכים בטיפול בסוגיה על אף הדחיפות הרבה במציאת פתרון, שכן חברת הביטוח של חברי הכללית הודיעה על סיום ההסכם עם הכללית בדצמבר 2023. עוד עלה כי כפל הרגולציה הביא להנחיות סותרות לקופת חולים כללית לגבי מתווה הפתרון הראוי למשבר.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highlight w:val="yellow"/>
          <w:rtl/>
        </w:rPr>
      </w:pPr>
      <w:r w:rsidRPr="00681586">
        <w:rPr>
          <w:rFonts w:eastAsia="Calibri" w:hint="cs"/>
          <w:b/>
          <w:bCs/>
          <w:rtl/>
        </w:rPr>
        <w:t xml:space="preserve">בשל הימשכות ההליכים כללית פנתה לבג"ץ </w:t>
      </w:r>
      <w:r w:rsidRPr="00681586">
        <w:rPr>
          <w:rFonts w:eastAsia="Calibri" w:hint="eastAsia"/>
          <w:b/>
          <w:bCs/>
          <w:rtl/>
        </w:rPr>
        <w:t>ב</w:t>
      </w:r>
      <w:r w:rsidRPr="00681586">
        <w:rPr>
          <w:rFonts w:eastAsia="Calibri"/>
          <w:b/>
          <w:bCs/>
          <w:rtl/>
        </w:rPr>
        <w:t>נובמבר 2023</w:t>
      </w:r>
      <w:r w:rsidRPr="00681586">
        <w:rPr>
          <w:rFonts w:eastAsia="Calibri" w:hint="cs"/>
          <w:b/>
          <w:bCs/>
          <w:rtl/>
        </w:rPr>
        <w:t>, כחודש לפני פקיעת ההסכם מול חברת הביטוח שזכתה במכרז, בדרישה למצוא מענה לסוגיה. העיכוב במציאת המענה, וחוסר ההסכמה בין רשות שוק ההון למשרד הבריאות</w:t>
      </w:r>
      <w:r w:rsidRPr="00681586">
        <w:rPr>
          <w:rFonts w:eastAsia="Calibri"/>
          <w:b/>
          <w:bCs/>
          <w:rtl/>
        </w:rPr>
        <w:t xml:space="preserve"> </w:t>
      </w:r>
      <w:r w:rsidRPr="00681586">
        <w:rPr>
          <w:rFonts w:eastAsia="Calibri" w:hint="cs"/>
          <w:b/>
          <w:bCs/>
          <w:rtl/>
        </w:rPr>
        <w:t xml:space="preserve">מאז שנת 2023 </w:t>
      </w:r>
      <w:r w:rsidRPr="00681586">
        <w:rPr>
          <w:rFonts w:eastAsia="Calibri"/>
          <w:b/>
          <w:bCs/>
          <w:rtl/>
        </w:rPr>
        <w:t xml:space="preserve">גרמה לכך שהצעדים שנאלצה </w:t>
      </w:r>
      <w:r w:rsidRPr="00681586">
        <w:rPr>
          <w:rFonts w:eastAsia="Calibri" w:hint="cs"/>
          <w:b/>
          <w:bCs/>
          <w:rtl/>
        </w:rPr>
        <w:t>ה</w:t>
      </w:r>
      <w:r w:rsidRPr="00681586">
        <w:rPr>
          <w:rFonts w:eastAsia="Calibri"/>
          <w:b/>
          <w:bCs/>
          <w:rtl/>
        </w:rPr>
        <w:t xml:space="preserve">רשות לנקוט בסופו של דבר היו </w:t>
      </w:r>
      <w:r w:rsidRPr="00681586">
        <w:rPr>
          <w:rFonts w:eastAsia="Calibri" w:hint="cs"/>
          <w:b/>
          <w:bCs/>
          <w:rtl/>
        </w:rPr>
        <w:t>קיצוניים ולא מדורגים</w:t>
      </w:r>
      <w:r w:rsidRPr="00681586">
        <w:rPr>
          <w:rFonts w:eastAsia="Calibri"/>
          <w:b/>
          <w:bCs/>
          <w:rtl/>
        </w:rPr>
        <w:t xml:space="preserve"> וכללו קיצוץ של כ-</w:t>
      </w:r>
      <w:r w:rsidRPr="00681586">
        <w:rPr>
          <w:rFonts w:eastAsia="Calibri" w:hint="cs"/>
          <w:b/>
          <w:bCs/>
          <w:rtl/>
        </w:rPr>
        <w:t>10</w:t>
      </w:r>
      <w:r w:rsidRPr="00681586">
        <w:rPr>
          <w:rFonts w:eastAsia="Calibri"/>
          <w:b/>
          <w:bCs/>
          <w:rtl/>
        </w:rPr>
        <w:t xml:space="preserve">% מקצבתם של קשישים </w:t>
      </w:r>
      <w:bookmarkStart w:id="18" w:name="_Hlk221435436"/>
      <w:r w:rsidRPr="00681586">
        <w:rPr>
          <w:rFonts w:eastAsia="Calibri" w:hint="eastAsia"/>
          <w:b/>
          <w:bCs/>
          <w:rtl/>
        </w:rPr>
        <w:t>סיעודיים</w:t>
      </w:r>
      <w:r w:rsidRPr="00681586">
        <w:rPr>
          <w:rFonts w:eastAsia="Calibri"/>
          <w:b/>
          <w:bCs/>
          <w:rtl/>
        </w:rPr>
        <w:t>.</w:t>
      </w:r>
      <w:bookmarkEnd w:id="18"/>
      <w:r w:rsidRPr="00681586">
        <w:rPr>
          <w:rFonts w:eastAsia="Calibri" w:hint="cs"/>
          <w:b/>
          <w:bCs/>
          <w:rtl/>
        </w:rPr>
        <w:t xml:space="preserve"> לבסוף נמצא פתרון זמני עד לדצמבר 2026 בלבד.</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מומלץ כי רשות שוק ההון ומשרד הבריאות יסדירו את הממשקים ביניהם ואת מנגנון קבלת ההחלטות על הביטוח הסיעודי. עוד מומלץ כי הרשות ומשרד הבריאות ינתחו את הפערים הקיימים בביטוחים מבעוד מועד ויערכו לתת להם פתרון בזמן סביר.</w:t>
      </w:r>
    </w:p>
    <w:p w:rsidR="002A401B" w:rsidP="00681586">
      <w:pPr>
        <w:spacing w:line="269" w:lineRule="auto"/>
        <w:rPr>
          <w:rFonts w:eastAsia="Calibri"/>
          <w:b/>
          <w:bCs/>
          <w:rtl/>
        </w:rPr>
      </w:pPr>
    </w:p>
    <w:p w:rsidR="00681586" w:rsidRPr="00681586" w:rsidP="00681586">
      <w:pPr>
        <w:keepNext/>
        <w:keepLines/>
        <w:spacing w:line="269" w:lineRule="auto"/>
        <w:outlineLvl w:val="4"/>
        <w:rPr>
          <w:rFonts w:eastAsia="Times New Roman"/>
          <w:bCs/>
          <w:spacing w:val="40"/>
          <w:rtl/>
        </w:rPr>
      </w:pPr>
      <w:r w:rsidRPr="00681586">
        <w:rPr>
          <w:rFonts w:eastAsia="Times New Roman" w:hint="cs"/>
          <w:bCs/>
          <w:spacing w:val="40"/>
          <w:rtl/>
        </w:rPr>
        <w:t>הביטוח הסיעודי בקופות חולים כמוצר ציבורי-פרטי</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מבנה הסיכונים של הביטוחים הסיעודיים, כפי שעוצב לאחר סדרת החלטות של רשות שוק ההון, היעדר המידע לציבור על אודות גובה קרנות המבוטחים וחוסר ההסכמה בין הרגולטורים שהחריף והאריך את המשבר בביטוחי הסיעוד של כללית, נובע מעירוב בין דגם של ביטוח ציבורי לדגם של ביטוח פרטי.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בביטוח ציבורי, הציבור נושא בסיכון הביטוחי, למשל הסיכון לעלייה בהסתברות של מקרי הביטוח. כמו כן, כאשר הביטוח הוא ציבורי, הרשות האחראית על הביטוח אמורה לפרסם את גובה קרנות המבוטחים ואת מידת היציבות של הביטוח (בדומה לקרנות המבוטחים בבט"ל). בנוסף, בביטוח ציבורי קיים רגולטור אחד שרלוונטי לביטוח - משרד הבריאות, בט"ל או כל רשות ציבורית אחרת שיוחלט כי היא אמונה על הפעלת הביטוח.</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לעומת זאת, בביטוח פרטי, חברת ביטוח פרטית, לעיתים באמצעות מבטחי משנה</w:t>
      </w:r>
      <w:r>
        <w:rPr>
          <w:rFonts w:eastAsia="Calibri"/>
          <w:vertAlign w:val="superscript"/>
          <w:rtl/>
        </w:rPr>
        <w:footnoteReference w:id="140"/>
      </w:r>
      <w:r w:rsidRPr="00681586">
        <w:rPr>
          <w:rFonts w:eastAsia="Calibri" w:hint="cs"/>
          <w:rtl/>
        </w:rPr>
        <w:t>, נושאת בסיכון הביטוחי וכן מחויבת על פי חוק לפרסם את גובה קרנות המבוטחים בדוחותיה הכספיים המפורסמים לציבור. כמו כן במקרה כזה, הרגולטור הרלוונטי הוא רשות שוק ההון.</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בביטוח ציבורי, למשל גמלת הסיעוד, הציבור (המדינה) נושא בסיכון ובביטוח פרטי חברת הביטוח נושאת בסיכון הביטוחי. </w:t>
      </w:r>
      <w:r w:rsidRPr="00681586">
        <w:rPr>
          <w:rFonts w:eastAsia="Calibri" w:hint="eastAsia"/>
          <w:b/>
          <w:bCs/>
          <w:rtl/>
        </w:rPr>
        <w:t>במקרה</w:t>
      </w:r>
      <w:r w:rsidRPr="00681586">
        <w:rPr>
          <w:rFonts w:eastAsia="Calibri"/>
          <w:b/>
          <w:bCs/>
          <w:rtl/>
        </w:rPr>
        <w:t xml:space="preserve"> </w:t>
      </w:r>
      <w:r w:rsidRPr="00681586">
        <w:rPr>
          <w:rFonts w:eastAsia="Calibri" w:hint="eastAsia"/>
          <w:b/>
          <w:bCs/>
          <w:rtl/>
        </w:rPr>
        <w:t>של</w:t>
      </w:r>
      <w:r w:rsidRPr="00681586">
        <w:rPr>
          <w:rFonts w:eastAsia="Calibri"/>
          <w:b/>
          <w:bCs/>
          <w:rtl/>
        </w:rPr>
        <w:t xml:space="preserve"> </w:t>
      </w:r>
      <w:r w:rsidRPr="00681586">
        <w:rPr>
          <w:rFonts w:eastAsia="Calibri" w:hint="eastAsia"/>
          <w:b/>
          <w:bCs/>
          <w:rtl/>
        </w:rPr>
        <w:t>הביטוחים</w:t>
      </w:r>
      <w:r w:rsidRPr="00681586">
        <w:rPr>
          <w:rFonts w:eastAsia="Calibri"/>
          <w:b/>
          <w:bCs/>
          <w:rtl/>
        </w:rPr>
        <w:t xml:space="preserve"> </w:t>
      </w:r>
      <w:r w:rsidRPr="00681586">
        <w:rPr>
          <w:rFonts w:eastAsia="Calibri" w:hint="eastAsia"/>
          <w:b/>
          <w:bCs/>
          <w:rtl/>
        </w:rPr>
        <w:t>הסיעודיים</w:t>
      </w:r>
      <w:r w:rsidRPr="00681586">
        <w:rPr>
          <w:rFonts w:eastAsia="Calibri"/>
          <w:b/>
          <w:bCs/>
          <w:rtl/>
        </w:rPr>
        <w:t xml:space="preserve"> </w:t>
      </w:r>
      <w:r w:rsidRPr="00681586">
        <w:rPr>
          <w:rFonts w:eastAsia="Calibri" w:hint="eastAsia"/>
          <w:b/>
          <w:bCs/>
          <w:rtl/>
        </w:rPr>
        <w:t>של</w:t>
      </w:r>
      <w:r w:rsidRPr="00681586">
        <w:rPr>
          <w:rFonts w:eastAsia="Calibri"/>
          <w:b/>
          <w:bCs/>
          <w:rtl/>
        </w:rPr>
        <w:t xml:space="preserve"> </w:t>
      </w:r>
      <w:r w:rsidRPr="00681586">
        <w:rPr>
          <w:rFonts w:eastAsia="Calibri" w:hint="eastAsia"/>
          <w:b/>
          <w:bCs/>
          <w:rtl/>
        </w:rPr>
        <w:t>קופות</w:t>
      </w:r>
      <w:r w:rsidRPr="00681586">
        <w:rPr>
          <w:rFonts w:eastAsia="Calibri"/>
          <w:b/>
          <w:bCs/>
          <w:rtl/>
        </w:rPr>
        <w:t xml:space="preserve"> </w:t>
      </w:r>
      <w:r w:rsidRPr="00681586">
        <w:rPr>
          <w:rFonts w:eastAsia="Calibri" w:hint="eastAsia"/>
          <w:b/>
          <w:bCs/>
          <w:rtl/>
        </w:rPr>
        <w:t>החולים</w:t>
      </w:r>
      <w:r w:rsidRPr="00681586">
        <w:rPr>
          <w:rFonts w:eastAsia="Calibri"/>
          <w:b/>
          <w:bCs/>
          <w:rtl/>
        </w:rPr>
        <w:t xml:space="preserve">, </w:t>
      </w:r>
      <w:r w:rsidRPr="00681586">
        <w:rPr>
          <w:rFonts w:eastAsia="Calibri" w:hint="eastAsia"/>
          <w:b/>
          <w:bCs/>
          <w:rtl/>
        </w:rPr>
        <w:t>הציבור</w:t>
      </w:r>
      <w:r w:rsidRPr="00681586">
        <w:rPr>
          <w:rFonts w:eastAsia="Calibri"/>
          <w:b/>
          <w:bCs/>
          <w:rtl/>
        </w:rPr>
        <w:t xml:space="preserve"> </w:t>
      </w:r>
      <w:r w:rsidRPr="00681586">
        <w:rPr>
          <w:rFonts w:eastAsia="Calibri" w:hint="eastAsia"/>
          <w:b/>
          <w:bCs/>
          <w:rtl/>
        </w:rPr>
        <w:t>מקבל</w:t>
      </w:r>
      <w:r w:rsidRPr="00681586">
        <w:rPr>
          <w:rFonts w:eastAsia="Calibri"/>
          <w:b/>
          <w:bCs/>
          <w:rtl/>
        </w:rPr>
        <w:t xml:space="preserve"> </w:t>
      </w:r>
      <w:r w:rsidRPr="00681586">
        <w:rPr>
          <w:rFonts w:eastAsia="Calibri" w:hint="eastAsia"/>
          <w:b/>
          <w:bCs/>
          <w:rtl/>
        </w:rPr>
        <w:t>מוצר</w:t>
      </w:r>
      <w:r w:rsidRPr="00681586">
        <w:rPr>
          <w:rFonts w:eastAsia="Calibri"/>
          <w:b/>
          <w:bCs/>
          <w:rtl/>
        </w:rPr>
        <w:t xml:space="preserve"> </w:t>
      </w:r>
      <w:r w:rsidRPr="00681586">
        <w:rPr>
          <w:rFonts w:eastAsia="Calibri" w:hint="eastAsia"/>
          <w:b/>
          <w:bCs/>
          <w:rtl/>
        </w:rPr>
        <w:t>שהוא</w:t>
      </w:r>
      <w:r w:rsidRPr="00681586">
        <w:rPr>
          <w:rFonts w:eastAsia="Calibri"/>
          <w:b/>
          <w:bCs/>
          <w:rtl/>
        </w:rPr>
        <w:t xml:space="preserve"> </w:t>
      </w:r>
      <w:r w:rsidRPr="00681586">
        <w:rPr>
          <w:rFonts w:eastAsia="Calibri" w:hint="eastAsia"/>
          <w:b/>
          <w:bCs/>
          <w:rtl/>
        </w:rPr>
        <w:t>למעשה</w:t>
      </w:r>
      <w:r w:rsidRPr="00681586">
        <w:rPr>
          <w:rFonts w:eastAsia="Calibri"/>
          <w:b/>
          <w:bCs/>
          <w:rtl/>
        </w:rPr>
        <w:t xml:space="preserve"> </w:t>
      </w:r>
      <w:r w:rsidRPr="00681586">
        <w:rPr>
          <w:rFonts w:eastAsia="Calibri" w:hint="eastAsia"/>
          <w:b/>
          <w:bCs/>
          <w:rtl/>
        </w:rPr>
        <w:t>קרן</w:t>
      </w:r>
      <w:r w:rsidRPr="00681586">
        <w:rPr>
          <w:rFonts w:eastAsia="Calibri"/>
          <w:b/>
          <w:bCs/>
          <w:rtl/>
        </w:rPr>
        <w:t xml:space="preserve"> </w:t>
      </w:r>
      <w:r w:rsidRPr="00681586">
        <w:rPr>
          <w:rFonts w:eastAsia="Calibri" w:hint="eastAsia"/>
          <w:b/>
          <w:bCs/>
          <w:rtl/>
        </w:rPr>
        <w:t>לביטוח</w:t>
      </w:r>
      <w:r w:rsidRPr="00681586">
        <w:rPr>
          <w:rFonts w:eastAsia="Calibri"/>
          <w:b/>
          <w:bCs/>
          <w:rtl/>
        </w:rPr>
        <w:t xml:space="preserve"> </w:t>
      </w:r>
      <w:r w:rsidRPr="00681586">
        <w:rPr>
          <w:rFonts w:eastAsia="Calibri" w:hint="eastAsia"/>
          <w:b/>
          <w:bCs/>
          <w:rtl/>
        </w:rPr>
        <w:t>הדדי</w:t>
      </w:r>
      <w:r w:rsidRPr="00681586">
        <w:rPr>
          <w:rFonts w:eastAsia="Calibri"/>
          <w:b/>
          <w:bCs/>
          <w:rtl/>
        </w:rPr>
        <w:t xml:space="preserve">, </w:t>
      </w:r>
      <w:r w:rsidRPr="00681586">
        <w:rPr>
          <w:rFonts w:eastAsia="Calibri" w:hint="eastAsia"/>
          <w:b/>
          <w:bCs/>
          <w:rtl/>
        </w:rPr>
        <w:t>קרי</w:t>
      </w:r>
      <w:r w:rsidRPr="00681586">
        <w:rPr>
          <w:rFonts w:eastAsia="Calibri"/>
          <w:b/>
          <w:bCs/>
          <w:rtl/>
        </w:rPr>
        <w:t xml:space="preserve"> הכסף של הקבוצה משמש לתשלום </w:t>
      </w:r>
      <w:r w:rsidRPr="00681586">
        <w:rPr>
          <w:rFonts w:eastAsia="Calibri" w:hint="eastAsia"/>
          <w:b/>
          <w:bCs/>
          <w:rtl/>
        </w:rPr>
        <w:t>ה</w:t>
      </w:r>
      <w:r w:rsidRPr="00681586">
        <w:rPr>
          <w:rFonts w:eastAsia="Calibri"/>
          <w:b/>
          <w:bCs/>
          <w:rtl/>
        </w:rPr>
        <w:t>תביעות של חבריה. חברת הביטוח משמשת מעין חברת השקעות, המנהלת את כספי המבוטחים במטרה להשיא תשואה מרבית, תמורת דמי ניהול קבועים. במקרה זה, לא המדינה ולא חברות הביטוח נושאות בסיכונים הנובעים מהפעלת הביטוח, אלא המבוטחים עצמם. בנוסף, מצב קרנ</w:t>
      </w:r>
      <w:r w:rsidRPr="00681586">
        <w:rPr>
          <w:rFonts w:eastAsia="Calibri" w:hint="cs"/>
          <w:b/>
          <w:bCs/>
          <w:rtl/>
        </w:rPr>
        <w:t>ו</w:t>
      </w:r>
      <w:r w:rsidRPr="00681586">
        <w:rPr>
          <w:rFonts w:eastAsia="Calibri"/>
          <w:b/>
          <w:bCs/>
          <w:rtl/>
        </w:rPr>
        <w:t>ת הביטוח אינו מתפרסם, שכן הן אינן שייכות מבחינה חשבונאית לקופות החולים וגם לא לחברות הביטוח, אלא למבוטחים עצמם</w:t>
      </w:r>
      <w:r w:rsidRPr="00681586">
        <w:rPr>
          <w:rFonts w:eastAsia="Calibri" w:hint="cs"/>
          <w:b/>
          <w:bCs/>
          <w:rtl/>
        </w:rPr>
        <w:t>,</w:t>
      </w:r>
      <w:r w:rsidRPr="00681586">
        <w:rPr>
          <w:rFonts w:eastAsia="Calibri"/>
          <w:rtl/>
        </w:rPr>
        <w:t xml:space="preserve"> </w:t>
      </w:r>
      <w:r w:rsidRPr="00681586">
        <w:rPr>
          <w:rFonts w:eastAsia="Calibri" w:hint="cs"/>
          <w:b/>
          <w:bCs/>
          <w:rtl/>
        </w:rPr>
        <w:t>ו</w:t>
      </w:r>
      <w:r w:rsidRPr="00681586">
        <w:rPr>
          <w:rFonts w:eastAsia="Calibri"/>
          <w:b/>
          <w:bCs/>
          <w:rtl/>
        </w:rPr>
        <w:t xml:space="preserve">זאת בשונה מהביטוח הפרטי שבו מצב הקרנות מתפרסם לציבור. </w:t>
      </w:r>
      <w:r w:rsidRPr="00681586">
        <w:rPr>
          <w:rFonts w:eastAsia="Calibri" w:hint="cs"/>
          <w:b/>
          <w:bCs/>
          <w:rtl/>
        </w:rPr>
        <w:t xml:space="preserve">יתרה מזו, נמצא כי יש שני רגולטורים שעוסקים בביטוחים הסיעודיים דרך קופות החולים - רשות שוק ההון ומשרד הבריאות, ולכן אין רגולטור אחד שאחראי על הביטוח בכל ההיבטים של הרגולציה. </w:t>
      </w:r>
      <w:r w:rsidRPr="00681586">
        <w:rPr>
          <w:rFonts w:eastAsia="Calibri"/>
          <w:b/>
          <w:bCs/>
          <w:rtl/>
        </w:rPr>
        <w:t xml:space="preserve">כפועל יוצא, השילוב בין ביטוח ציבורי לביטוח פרטי </w:t>
      </w:r>
      <w:r w:rsidRPr="00681586">
        <w:rPr>
          <w:rFonts w:eastAsia="Calibri" w:hint="cs"/>
          <w:b/>
          <w:bCs/>
          <w:rtl/>
        </w:rPr>
        <w:t xml:space="preserve">לא מאפשר למבוטחים ליהנות מהיתרונות של כל אחד מהביטוחים, כמו גורם חיצוני הנושא בסיכון (הציבור או חברות הביטוח), מידע מלא אודות המצב האקטוארי של הביטוח במקרה של ביטוחים פרטיים ורגולטור יחיד שאחראי על כל היבטי הביטוח.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יצוין כי משמעות הפעלת הביטוח באופן ציבורי בלבד היא שהמדינה מתחייבת ליטול את הסיכונים הכרוכים בהפעלת הביטוח, אשר הופך למוצר ציבורי, תוך ראייה מתכללת בין הביטוח הסיעודי של קופות החולים לביטוח הסיעודי של בט"ל. הראייה המתכללת בין הביטוחים עשויה לכלול איחוד הגדרת מקרה סיעודי בין שני הביטוחים, הערכת תלות משותפת וכן תיאום בין ההחלטות המינהליות המתקבלות בכל ביטוח, אשר יש להן השפעה הדדית על שני הביטוחים.</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כמו כן, משמעות הפעלת הביטוח באופן פרטי בלבד היא שמשרד האוצר ישית רגולציה המאפשרת לחברת הביטוח לשווק ביטוחים באופן רווחי על ידי למשל מתן גמישות לחברות הביטוח להגדיר מהו המקרה הסיעודי אשר הן מבטחות. במקרה זה, החברות הפרטיות יישאו בסיכון הכרוך בהפעלת הביטוח, בין היתר באמצעות מבטחי משנה.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רשות שוק ההון מסרה בתשובתה כי היא מסכימה עם הערכת משרד מבקר המדינה שהמבנה הנוכחי של ביטוחי הסיעוד דרך קופות החולים אינו אופטימלי, וכי היא שותפה למסקנות המרכזיות העולות מדוח הביקורת, ובפרט לצורך בריכוז אסדרה תחת גורם אחד, לחיזוק השקיפות כלפי המבוטחים ולשינוי מבני בענף הביטוח הסיעודי. עוד מסרה הרשות כי היא מקדמת באופן פעיל פתרון ארוך טווח שייתן מענה הולם לאתגרי הענף, וכי פתרון כולל מחייב גם תמיכה תקציבית שאינה בסמכות הרשות, ולכן שיתוף הפעולה הבין-משרדי הכרחי לקידומו.</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משרד הבריאות מסר בתשובתו מיוני 2026 כי הוא </w:t>
      </w:r>
      <w:r w:rsidRPr="00681586">
        <w:rPr>
          <w:rFonts w:eastAsia="Calibri"/>
          <w:rtl/>
        </w:rPr>
        <w:t xml:space="preserve">מסכים עם ניתוח המבקר </w:t>
      </w:r>
      <w:r w:rsidRPr="00681586">
        <w:rPr>
          <w:rFonts w:eastAsia="Calibri" w:hint="cs"/>
          <w:rtl/>
        </w:rPr>
        <w:t>ש</w:t>
      </w:r>
      <w:r w:rsidRPr="00681586">
        <w:rPr>
          <w:rFonts w:eastAsia="Calibri"/>
          <w:rtl/>
        </w:rPr>
        <w:t>המודל הנוכחי נושא כשלים מובנים ואינו בר-קיימ</w:t>
      </w:r>
      <w:r w:rsidRPr="00681586">
        <w:rPr>
          <w:rFonts w:eastAsia="Calibri" w:hint="cs"/>
          <w:rtl/>
        </w:rPr>
        <w:t>ה</w:t>
      </w:r>
      <w:r w:rsidRPr="00681586">
        <w:rPr>
          <w:rFonts w:eastAsia="Calibri"/>
          <w:rtl/>
        </w:rPr>
        <w:t xml:space="preserve"> </w:t>
      </w:r>
      <w:r w:rsidRPr="00681586">
        <w:rPr>
          <w:rFonts w:eastAsia="Calibri" w:hint="cs"/>
          <w:rtl/>
        </w:rPr>
        <w:t xml:space="preserve">וכי הוא </w:t>
      </w:r>
      <w:r w:rsidRPr="00681586">
        <w:rPr>
          <w:rFonts w:eastAsia="Calibri"/>
          <w:rtl/>
        </w:rPr>
        <w:t>מברך על המלצת המבקר לנתח את הפערים הקיימים בשיתוף פעולה עם רשות שוק ההון ולהיערך אליהם בהתאם</w:t>
      </w:r>
      <w:r w:rsidRPr="00681586">
        <w:rPr>
          <w:rFonts w:eastAsia="Calibri" w:hint="cs"/>
          <w:rtl/>
        </w:rPr>
        <w:t>. כמו כן לעמדתו</w:t>
      </w:r>
      <w:r w:rsidRPr="00681586">
        <w:rPr>
          <w:rFonts w:eastAsia="Calibri"/>
          <w:rtl/>
        </w:rPr>
        <w:t xml:space="preserve"> יש להקים צוות </w:t>
      </w:r>
      <w:r w:rsidR="005C395F">
        <w:rPr>
          <w:rFonts w:eastAsia="Calibri"/>
          <w:rtl/>
        </w:rPr>
        <w:br/>
      </w:r>
      <w:r w:rsidRPr="00681586">
        <w:rPr>
          <w:rFonts w:eastAsia="Calibri"/>
          <w:rtl/>
        </w:rPr>
        <w:t>בין-משרדי לגיבוש מדיניות לאומית ארוכת טווח בסוגיה זו.</w:t>
      </w:r>
      <w:r w:rsidRPr="00681586">
        <w:rPr>
          <w:rFonts w:eastAsia="Calibri" w:hint="cs"/>
          <w:rtl/>
        </w:rPr>
        <w:t xml:space="preserve"> עוד מסר משרד הבריאות בתשובתו כי </w:t>
      </w:r>
      <w:r w:rsidRPr="00681586">
        <w:rPr>
          <w:rFonts w:eastAsia="Calibri"/>
          <w:rtl/>
        </w:rPr>
        <w:t>נדרש מעבר ממודל המבוסס על ביטוח בלבד למודל חלופי שיכול לכלול שילוב עם רכיב של חיסכון, בכל תצורה שתיקבע (וולונטרית, מנדטורית, פרטית או ציבורית).</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eastAsia"/>
          <w:b/>
          <w:bCs/>
          <w:rtl/>
        </w:rPr>
        <w:t>מומלץ</w:t>
      </w:r>
      <w:r w:rsidRPr="00681586">
        <w:rPr>
          <w:rFonts w:eastAsia="Calibri"/>
          <w:b/>
          <w:bCs/>
          <w:rtl/>
        </w:rPr>
        <w:t xml:space="preserve"> למשרד האוצר</w:t>
      </w:r>
      <w:r w:rsidRPr="00681586">
        <w:rPr>
          <w:rFonts w:eastAsia="Calibri" w:hint="cs"/>
          <w:b/>
          <w:bCs/>
          <w:rtl/>
        </w:rPr>
        <w:t xml:space="preserve"> ובכלל זה לרשות שוק ההון בשיתוף משרד הבריאות </w:t>
      </w:r>
      <w:r w:rsidRPr="00681586">
        <w:rPr>
          <w:rFonts w:eastAsia="Calibri" w:hint="eastAsia"/>
          <w:b/>
          <w:bCs/>
          <w:rtl/>
        </w:rPr>
        <w:t>לבחון</w:t>
      </w:r>
      <w:r w:rsidRPr="00681586">
        <w:rPr>
          <w:rFonts w:eastAsia="Calibri"/>
          <w:b/>
          <w:bCs/>
          <w:rtl/>
        </w:rPr>
        <w:t xml:space="preserve"> </w:t>
      </w:r>
      <w:r w:rsidRPr="00681586">
        <w:rPr>
          <w:rFonts w:eastAsia="Calibri" w:hint="eastAsia"/>
          <w:b/>
          <w:bCs/>
          <w:rtl/>
        </w:rPr>
        <w:t>בעבודת</w:t>
      </w:r>
      <w:r w:rsidRPr="00681586">
        <w:rPr>
          <w:rFonts w:eastAsia="Calibri"/>
          <w:b/>
          <w:bCs/>
          <w:rtl/>
        </w:rPr>
        <w:t xml:space="preserve"> </w:t>
      </w:r>
      <w:r w:rsidRPr="00681586">
        <w:rPr>
          <w:rFonts w:eastAsia="Calibri" w:hint="eastAsia"/>
          <w:b/>
          <w:bCs/>
          <w:rtl/>
        </w:rPr>
        <w:t>מטה</w:t>
      </w:r>
      <w:r w:rsidRPr="00681586">
        <w:rPr>
          <w:rFonts w:eastAsia="Calibri"/>
          <w:b/>
          <w:bCs/>
          <w:rtl/>
        </w:rPr>
        <w:t xml:space="preserve"> את מבנה הביטוחים הקיים היום ואת ההשפעות של שילוב מרכיבים פרטיים ומרכיבים ציבוריים </w:t>
      </w:r>
      <w:r w:rsidRPr="00681586">
        <w:rPr>
          <w:rFonts w:eastAsia="Calibri" w:hint="eastAsia"/>
          <w:b/>
          <w:bCs/>
          <w:rtl/>
        </w:rPr>
        <w:t>על</w:t>
      </w:r>
      <w:r w:rsidRPr="00681586">
        <w:rPr>
          <w:rFonts w:eastAsia="Calibri"/>
          <w:b/>
          <w:bCs/>
          <w:rtl/>
        </w:rPr>
        <w:t xml:space="preserve"> </w:t>
      </w:r>
      <w:r w:rsidRPr="00681586">
        <w:rPr>
          <w:rFonts w:eastAsia="Calibri" w:hint="eastAsia"/>
          <w:b/>
          <w:bCs/>
          <w:rtl/>
        </w:rPr>
        <w:t>הביטוח</w:t>
      </w:r>
      <w:r w:rsidRPr="00681586">
        <w:rPr>
          <w:rFonts w:eastAsia="Calibri"/>
          <w:b/>
          <w:bCs/>
          <w:rtl/>
        </w:rPr>
        <w:t xml:space="preserve">. עוד מומלץ ליצור כללים </w:t>
      </w:r>
      <w:r w:rsidRPr="00681586">
        <w:rPr>
          <w:rFonts w:eastAsia="Calibri" w:hint="eastAsia"/>
          <w:b/>
          <w:bCs/>
          <w:rtl/>
        </w:rPr>
        <w:t>שישקפו</w:t>
      </w:r>
      <w:r w:rsidRPr="00681586">
        <w:rPr>
          <w:rFonts w:eastAsia="Calibri"/>
          <w:b/>
          <w:bCs/>
          <w:rtl/>
        </w:rPr>
        <w:t xml:space="preserve"> </w:t>
      </w:r>
      <w:r w:rsidRPr="00681586">
        <w:rPr>
          <w:rFonts w:eastAsia="Calibri" w:hint="eastAsia"/>
          <w:b/>
          <w:bCs/>
          <w:rtl/>
        </w:rPr>
        <w:t>לציבור</w:t>
      </w:r>
      <w:r w:rsidRPr="00681586">
        <w:rPr>
          <w:rFonts w:eastAsia="Calibri"/>
          <w:b/>
          <w:bCs/>
          <w:rtl/>
        </w:rPr>
        <w:t xml:space="preserve"> </w:t>
      </w:r>
      <w:r w:rsidRPr="00681586">
        <w:rPr>
          <w:rFonts w:eastAsia="Calibri" w:hint="eastAsia"/>
          <w:b/>
          <w:bCs/>
          <w:rtl/>
        </w:rPr>
        <w:t>את</w:t>
      </w:r>
      <w:r w:rsidRPr="00681586">
        <w:rPr>
          <w:rFonts w:eastAsia="Calibri"/>
          <w:b/>
          <w:bCs/>
          <w:rtl/>
        </w:rPr>
        <w:t xml:space="preserve"> </w:t>
      </w:r>
      <w:r w:rsidRPr="00681586">
        <w:rPr>
          <w:rFonts w:eastAsia="Calibri" w:hint="eastAsia"/>
          <w:b/>
          <w:bCs/>
          <w:rtl/>
        </w:rPr>
        <w:t>היבטי</w:t>
      </w:r>
      <w:r w:rsidRPr="00681586">
        <w:rPr>
          <w:rFonts w:eastAsia="Calibri"/>
          <w:b/>
          <w:bCs/>
          <w:rtl/>
        </w:rPr>
        <w:t xml:space="preserve"> </w:t>
      </w:r>
      <w:r w:rsidRPr="00681586">
        <w:rPr>
          <w:rFonts w:eastAsia="Calibri" w:hint="eastAsia"/>
          <w:b/>
          <w:bCs/>
          <w:rtl/>
        </w:rPr>
        <w:t>מבנה</w:t>
      </w:r>
      <w:r w:rsidRPr="00681586">
        <w:rPr>
          <w:rFonts w:eastAsia="Calibri"/>
          <w:b/>
          <w:bCs/>
          <w:rtl/>
        </w:rPr>
        <w:t xml:space="preserve"> </w:t>
      </w:r>
      <w:r w:rsidRPr="00681586">
        <w:rPr>
          <w:rFonts w:eastAsia="Calibri" w:hint="eastAsia"/>
          <w:b/>
          <w:bCs/>
          <w:rtl/>
        </w:rPr>
        <w:t>הביטוח</w:t>
      </w:r>
      <w:r w:rsidRPr="00681586">
        <w:rPr>
          <w:rFonts w:eastAsia="Calibri"/>
          <w:b/>
          <w:bCs/>
          <w:rtl/>
        </w:rPr>
        <w:t xml:space="preserve"> הסיעודי </w:t>
      </w:r>
      <w:r w:rsidRPr="00681586">
        <w:rPr>
          <w:rFonts w:eastAsia="Calibri" w:hint="eastAsia"/>
          <w:b/>
          <w:bCs/>
          <w:rtl/>
        </w:rPr>
        <w:t>דרך</w:t>
      </w:r>
      <w:r w:rsidRPr="00681586">
        <w:rPr>
          <w:rFonts w:eastAsia="Calibri"/>
          <w:b/>
          <w:bCs/>
          <w:rtl/>
        </w:rPr>
        <w:t xml:space="preserve"> קופות החולים, </w:t>
      </w:r>
      <w:r w:rsidRPr="00681586">
        <w:rPr>
          <w:rFonts w:eastAsia="Calibri" w:hint="eastAsia"/>
          <w:b/>
          <w:bCs/>
          <w:rtl/>
        </w:rPr>
        <w:t>ובפרט</w:t>
      </w:r>
      <w:r w:rsidRPr="00681586">
        <w:rPr>
          <w:rFonts w:eastAsia="Calibri"/>
          <w:b/>
          <w:bCs/>
          <w:rtl/>
        </w:rPr>
        <w:t xml:space="preserve"> </w:t>
      </w:r>
      <w:r w:rsidRPr="00681586">
        <w:rPr>
          <w:rFonts w:eastAsia="Calibri" w:hint="eastAsia"/>
          <w:b/>
          <w:bCs/>
          <w:rtl/>
        </w:rPr>
        <w:t>את</w:t>
      </w:r>
      <w:r w:rsidRPr="00681586">
        <w:rPr>
          <w:rFonts w:eastAsia="Calibri"/>
          <w:b/>
          <w:bCs/>
          <w:rtl/>
        </w:rPr>
        <w:t xml:space="preserve"> </w:t>
      </w:r>
      <w:r w:rsidRPr="00681586">
        <w:rPr>
          <w:rFonts w:eastAsia="Calibri" w:hint="eastAsia"/>
          <w:b/>
          <w:bCs/>
          <w:rtl/>
        </w:rPr>
        <w:t>מבנה</w:t>
      </w:r>
      <w:r w:rsidRPr="00681586">
        <w:rPr>
          <w:rFonts w:eastAsia="Calibri"/>
          <w:b/>
          <w:bCs/>
          <w:rtl/>
        </w:rPr>
        <w:t xml:space="preserve"> </w:t>
      </w:r>
      <w:r w:rsidRPr="00681586">
        <w:rPr>
          <w:rFonts w:eastAsia="Calibri" w:hint="eastAsia"/>
          <w:b/>
          <w:bCs/>
          <w:rtl/>
        </w:rPr>
        <w:t>הסיכונים</w:t>
      </w:r>
      <w:r w:rsidRPr="00681586">
        <w:rPr>
          <w:rFonts w:eastAsia="Calibri"/>
          <w:b/>
          <w:bCs/>
          <w:rtl/>
        </w:rPr>
        <w:t xml:space="preserve"> </w:t>
      </w:r>
      <w:r w:rsidRPr="00681586">
        <w:rPr>
          <w:rFonts w:eastAsia="Calibri" w:hint="eastAsia"/>
          <w:b/>
          <w:bCs/>
          <w:rtl/>
        </w:rPr>
        <w:t>שלו</w:t>
      </w:r>
      <w:r w:rsidRPr="00681586">
        <w:rPr>
          <w:rFonts w:eastAsia="Calibri"/>
          <w:b/>
          <w:bCs/>
          <w:rtl/>
        </w:rPr>
        <w:t xml:space="preserve"> </w:t>
      </w:r>
      <w:r w:rsidRPr="00681586">
        <w:rPr>
          <w:rFonts w:eastAsia="Calibri" w:hint="eastAsia"/>
          <w:b/>
          <w:bCs/>
          <w:rtl/>
        </w:rPr>
        <w:t>וגובה</w:t>
      </w:r>
      <w:r w:rsidRPr="00681586">
        <w:rPr>
          <w:rFonts w:eastAsia="Calibri"/>
          <w:b/>
          <w:bCs/>
          <w:rtl/>
        </w:rPr>
        <w:t xml:space="preserve"> הקרנות והשפעתן על יציבות </w:t>
      </w:r>
      <w:r w:rsidRPr="00681586">
        <w:rPr>
          <w:rFonts w:eastAsia="Calibri" w:hint="eastAsia"/>
          <w:b/>
          <w:bCs/>
          <w:rtl/>
        </w:rPr>
        <w:t>הביטוח</w:t>
      </w:r>
      <w:r w:rsidRPr="00681586">
        <w:rPr>
          <w:rFonts w:eastAsia="Calibri"/>
          <w:b/>
          <w:bCs/>
          <w:rtl/>
        </w:rPr>
        <w:t xml:space="preserve">. </w:t>
      </w:r>
    </w:p>
    <w:p w:rsidR="00681586" w:rsidRPr="00681586" w:rsidP="00681586">
      <w:pPr>
        <w:spacing w:line="269" w:lineRule="auto"/>
        <w:rPr>
          <w:rFonts w:eastAsia="Calibri"/>
          <w:b/>
          <w:bCs/>
          <w:rtl/>
        </w:rPr>
      </w:pPr>
    </w:p>
    <w:p w:rsidR="00681586" w:rsidRPr="00681586" w:rsidP="00681586">
      <w:pPr>
        <w:spacing w:line="269" w:lineRule="auto"/>
        <w:jc w:val="center"/>
        <w:rPr>
          <w:rFonts w:ascii="Segoe UI Symbol" w:eastAsia="Calibri" w:hAnsi="Segoe UI Symbol" w:cs="Segoe UI Symbol"/>
          <w:b/>
          <w:bCs/>
          <w:sz w:val="36"/>
          <w:rtl/>
        </w:rPr>
      </w:pPr>
      <w:r w:rsidRPr="00681586">
        <w:rPr>
          <w:rFonts w:ascii="Segoe UI Symbol" w:eastAsia="Calibri" w:hAnsi="Segoe UI Symbol" w:cs="Segoe UI Symbol" w:hint="cs"/>
          <w:b/>
          <w:bCs/>
          <w:sz w:val="36"/>
          <w:rtl/>
        </w:rPr>
        <w:t>✰</w:t>
      </w:r>
    </w:p>
    <w:p w:rsidR="00681586" w:rsidRPr="00681586" w:rsidP="00681586">
      <w:pPr>
        <w:spacing w:line="269" w:lineRule="auto"/>
        <w:rPr>
          <w:rFonts w:ascii="David" w:eastAsia="Calibri" w:hAnsi="David"/>
          <w:b/>
          <w:bCs/>
          <w:sz w:val="36"/>
          <w:rtl/>
        </w:rPr>
      </w:pPr>
    </w:p>
    <w:p w:rsidR="00681586" w:rsidRPr="00681586" w:rsidP="00681586">
      <w:pPr>
        <w:spacing w:line="269" w:lineRule="auto"/>
        <w:rPr>
          <w:rFonts w:eastAsia="Calibri"/>
          <w:b/>
          <w:bCs/>
          <w:rtl/>
        </w:rPr>
      </w:pPr>
      <w:r w:rsidRPr="00681586">
        <w:rPr>
          <w:rFonts w:ascii="David" w:eastAsia="Calibri" w:hAnsi="David" w:hint="cs"/>
          <w:b/>
          <w:bCs/>
          <w:sz w:val="36"/>
          <w:rtl/>
        </w:rPr>
        <w:t>אוכלוסיית ישראל מזדקנת בקצב מהיר, ו</w:t>
      </w:r>
      <w:r w:rsidRPr="00681586">
        <w:rPr>
          <w:rFonts w:ascii="David" w:eastAsia="Calibri" w:hAnsi="David"/>
          <w:b/>
          <w:bCs/>
          <w:sz w:val="36"/>
          <w:rtl/>
        </w:rPr>
        <w:t>שיעורם של בני 65 ומעלה מכלל האוכלוסייה צפוי לגדול מכ-13% בשנת 2025 לכ-15% בשנת 2050</w:t>
      </w:r>
      <w:r w:rsidRPr="00681586">
        <w:rPr>
          <w:rFonts w:ascii="David" w:eastAsia="Calibri" w:hAnsi="David" w:hint="cs"/>
          <w:b/>
          <w:bCs/>
          <w:sz w:val="36"/>
          <w:rtl/>
        </w:rPr>
        <w:t xml:space="preserve">; גיל הזקנה מאופיין במחלות כרוניות הגורמות לפגיעה בתפקוד ולצורך הולך וגובר בטיפול סיעודי. הטיפול הסיעודי הוא טיפול יקר, שעשוי להכביד על ההוצאה החודשית של משקי הבית. עבור תושבי ישראל קיימות שתי אפשרויות לסיוע כלכלי במימון הטיפול הסיעודי: גמלת סיעוד של בט"ל והביטוח הסיעודי באמצעות קופות החולים.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הרפורמה בסיעוד בשנת 2018 והשינויים בתקנות והחלטות מנהליות של בט"ל בגמלת סיעוד הביאו בין היתר לפגיעה ביציבותו הפיננסית של בט"ל בטווח הארוך. ההוצאה על הסיעוד עלתה בשנים 2018 - 2025 ב-14.1 מיליארד ש"ח, מכ-7 מיליארד ש"ח לכ-21.1 מיליארד ש"ח, דבר שגרם להקדמת איפוס הקרן של בט"ל ב-6.3 שנים. בביקורת עלה כי שיעור התביעות המאושרות באמצעות הערכות תלות על ידי מסמכים רפואיים גבוה בכ-16 נקודות אחוז לעומת שיעור התביעות המאושרות באמצעות הערכות תלות פרונטליות. השוואה להערכות תלות שבוצעו בקופת חולים א' מעלה כי בט"ל קובע רמת סיעוד הגבוהה בממוצע ב-1.7 רמות סיעוד מרמת הסיעוד הנקבעת בקופה א', פער הנאמד בכ-9.5 מיליארד ש"ח בשנה. עוד עלה בביקורת כי בט"ל אינו מלווה החלטות שיש בהן כדי להשפיע על הגירעון האקטוארי בתחשיב אקטוארי מתאים, וכי בניגוד להחלטת הממשלה, הממשלה לא דנה ביציבות האקטוארית של בט"ל בשנים 2025-2015, פרט לדיון אחד שלא כלל החלטות אופרטיביות, על אף שלושה דוחות אקטואריים רצופים שמצאו הקדמה של שנת איפוס הקרן.</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בביקורת עלה גם כי קיימים סיכונים משמעותיים ליציבות קרנות המבוטחים בביטוח הסיעודי דרך קופות החולים, וכי סיכונים אלו אינם שקופים לציבור; עבור מבוטחים בגילים הצעירים בכל קופות החולים סך תשלומי הפרמיות השנתיות גבוה מתוחלת התקבולים השנתית. משמעות הדבר היא כי די בכך שחלק ניכר מהצעירים יחליטו כי הביטוח אינו כדאי עבורם, קרנות הביטוח יתרוקנו, ויעלה הסיכון שמבוטחים הזכאים לקצבת סיעוד ואלו העתידים להיות זכאים, לא יצליחו לממש את זכאותם. עוד עלה בביקורת כי מבנה הביטוח הסיעודי דרך קופות החולים הקיים במועד כתיבת הביקורת, </w:t>
      </w:r>
      <w:r w:rsidRPr="00681586">
        <w:rPr>
          <w:rFonts w:eastAsia="Calibri" w:hint="eastAsia"/>
          <w:b/>
          <w:bCs/>
          <w:rtl/>
        </w:rPr>
        <w:t>משלב</w:t>
      </w:r>
      <w:r w:rsidRPr="00681586">
        <w:rPr>
          <w:rFonts w:eastAsia="Calibri"/>
          <w:b/>
          <w:bCs/>
          <w:rtl/>
        </w:rPr>
        <w:t xml:space="preserve"> מאפיינים ציבוריים ופרטיים באופן שמשאיר את </w:t>
      </w:r>
      <w:r w:rsidRPr="00681586">
        <w:rPr>
          <w:rFonts w:eastAsia="Calibri" w:hint="eastAsia"/>
          <w:b/>
          <w:bCs/>
          <w:rtl/>
        </w:rPr>
        <w:t>הציבור</w:t>
      </w:r>
      <w:r w:rsidRPr="00681586">
        <w:rPr>
          <w:rFonts w:eastAsia="Calibri"/>
          <w:b/>
          <w:bCs/>
          <w:rtl/>
        </w:rPr>
        <w:t xml:space="preserve"> </w:t>
      </w:r>
      <w:r w:rsidRPr="00681586">
        <w:rPr>
          <w:rFonts w:eastAsia="Calibri" w:hint="cs"/>
          <w:b/>
          <w:bCs/>
          <w:rtl/>
        </w:rPr>
        <w:t>ללא היתרונות של ביטוחים ציבוריים, אך גם ללא היתרונות של ביטוחים פרטיים</w:t>
      </w:r>
      <w:r w:rsidRPr="00681586">
        <w:rPr>
          <w:rFonts w:eastAsia="Calibri"/>
          <w:b/>
          <w:bCs/>
          <w:rtl/>
        </w:rPr>
        <w:t>:</w:t>
      </w:r>
      <w:r w:rsidRPr="00681586">
        <w:rPr>
          <w:rFonts w:eastAsia="Calibri" w:hint="cs"/>
          <w:b/>
          <w:bCs/>
          <w:rtl/>
        </w:rPr>
        <w:t xml:space="preserve"> אף גוף אינו נושא בסיכונים הנובעים מהביטוח, אף גוף אינו מפרסם את גובה קרנות המבוטחים, ואין אף גוף רגולטורי אחד האחראי על כל ההיבטים של הביטוח.</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מן האמור יוצא כי חלק מההחלטות המינהליות מבוססות על שיקולים קצרי טווח, בין של בט"ל בכל הנוגע להערכת התלות באמצעות מסמכים בלבד ובין של רשות שוק ההון בכל הנוגע לקרנות המבוטחים. כתוצאה מכך, כלל המענים הקיימים למתן סיוע בשירותים ובכסף לטובת הטיפול הסיעודי אינם יציבים בטווח הארוך, וקיימת סכנה כי לא יצליחו לתת את הסיוע הדרוש לתושבי ישראל לאורך זמן.</w:t>
      </w:r>
      <w:r w:rsidRPr="00681586">
        <w:rPr>
          <w:rFonts w:eastAsia="Calibri"/>
          <w:rtl/>
        </w:rPr>
        <w:t xml:space="preserve"> </w:t>
      </w:r>
      <w:r w:rsidRPr="00681586">
        <w:rPr>
          <w:rFonts w:eastAsia="Calibri"/>
          <w:b/>
          <w:bCs/>
          <w:rtl/>
        </w:rPr>
        <w:t xml:space="preserve">בהסתכלות צופה פני עתיד </w:t>
      </w:r>
      <w:r w:rsidRPr="00681586">
        <w:rPr>
          <w:rFonts w:eastAsia="Calibri" w:hint="cs"/>
          <w:b/>
          <w:bCs/>
          <w:rtl/>
        </w:rPr>
        <w:t xml:space="preserve">על </w:t>
      </w:r>
      <w:r w:rsidRPr="00681586">
        <w:rPr>
          <w:rFonts w:eastAsia="Calibri"/>
          <w:b/>
          <w:bCs/>
          <w:rtl/>
        </w:rPr>
        <w:t>תהליכי הזדקנות האוכלוסי</w:t>
      </w:r>
      <w:r w:rsidRPr="00681586">
        <w:rPr>
          <w:rFonts w:eastAsia="Calibri" w:hint="cs"/>
          <w:b/>
          <w:bCs/>
          <w:rtl/>
        </w:rPr>
        <w:t>י</w:t>
      </w:r>
      <w:r w:rsidRPr="00681586">
        <w:rPr>
          <w:rFonts w:eastAsia="Calibri"/>
          <w:b/>
          <w:bCs/>
          <w:rtl/>
        </w:rPr>
        <w:t>ה</w:t>
      </w:r>
      <w:r w:rsidRPr="00681586">
        <w:rPr>
          <w:rFonts w:eastAsia="Calibri" w:hint="cs"/>
          <w:b/>
          <w:bCs/>
          <w:rtl/>
        </w:rPr>
        <w:t>,</w:t>
      </w:r>
      <w:r w:rsidRPr="00681586">
        <w:rPr>
          <w:rFonts w:eastAsia="Calibri"/>
          <w:b/>
          <w:bCs/>
          <w:rtl/>
        </w:rPr>
        <w:t xml:space="preserve"> ובפרט </w:t>
      </w:r>
      <w:r w:rsidRPr="00681586">
        <w:rPr>
          <w:rFonts w:eastAsia="Calibri" w:hint="cs"/>
          <w:b/>
          <w:bCs/>
          <w:rtl/>
        </w:rPr>
        <w:t xml:space="preserve">על </w:t>
      </w:r>
      <w:r w:rsidRPr="00681586">
        <w:rPr>
          <w:rFonts w:eastAsia="Calibri"/>
          <w:b/>
          <w:bCs/>
          <w:rtl/>
        </w:rPr>
        <w:t>הגידול הצפוי במספר הקשישים הסיעודיים</w:t>
      </w:r>
      <w:r w:rsidRPr="00681586">
        <w:rPr>
          <w:rFonts w:eastAsia="Calibri" w:hint="cs"/>
          <w:b/>
          <w:bCs/>
          <w:rtl/>
        </w:rPr>
        <w:t>, שמשמעותו</w:t>
      </w:r>
      <w:r w:rsidRPr="00681586">
        <w:rPr>
          <w:rFonts w:eastAsia="Calibri"/>
          <w:b/>
          <w:bCs/>
          <w:rtl/>
        </w:rPr>
        <w:t xml:space="preserve"> עומס נוסף על יסודות </w:t>
      </w:r>
      <w:r w:rsidRPr="00681586">
        <w:rPr>
          <w:rFonts w:eastAsia="Calibri" w:hint="cs"/>
          <w:b/>
          <w:bCs/>
          <w:rtl/>
        </w:rPr>
        <w:t>שאינם יציבים דיים,</w:t>
      </w:r>
      <w:r w:rsidRPr="00681586">
        <w:rPr>
          <w:rFonts w:eastAsia="Calibri"/>
          <w:b/>
          <w:bCs/>
          <w:rtl/>
        </w:rPr>
        <w:t xml:space="preserve"> </w:t>
      </w:r>
      <w:r w:rsidRPr="00681586">
        <w:rPr>
          <w:rFonts w:eastAsia="Calibri" w:hint="cs"/>
          <w:b/>
          <w:bCs/>
          <w:rtl/>
        </w:rPr>
        <w:t>עולה</w:t>
      </w:r>
      <w:r w:rsidRPr="00681586">
        <w:rPr>
          <w:rFonts w:eastAsia="Calibri"/>
          <w:b/>
          <w:bCs/>
          <w:rtl/>
        </w:rPr>
        <w:t xml:space="preserve"> החשש </w:t>
      </w:r>
      <w:r w:rsidRPr="00681586">
        <w:rPr>
          <w:rFonts w:eastAsia="Calibri" w:hint="cs"/>
          <w:b/>
          <w:bCs/>
          <w:rtl/>
        </w:rPr>
        <w:t>של</w:t>
      </w:r>
      <w:r w:rsidRPr="00681586">
        <w:rPr>
          <w:rFonts w:eastAsia="Calibri"/>
          <w:b/>
          <w:bCs/>
          <w:rtl/>
        </w:rPr>
        <w:t>מערכת זאת אין יכולת בת קיימ</w:t>
      </w:r>
      <w:r w:rsidRPr="00681586">
        <w:rPr>
          <w:rFonts w:eastAsia="Calibri" w:hint="cs"/>
          <w:b/>
          <w:bCs/>
          <w:rtl/>
        </w:rPr>
        <w:t>ה</w:t>
      </w:r>
      <w:r w:rsidRPr="00681586">
        <w:rPr>
          <w:rFonts w:eastAsia="Calibri"/>
          <w:b/>
          <w:bCs/>
          <w:rtl/>
        </w:rPr>
        <w:t xml:space="preserve"> לספק את הנדרש לאזרח</w:t>
      </w:r>
      <w:r w:rsidRPr="00681586">
        <w:rPr>
          <w:rFonts w:eastAsia="Calibri" w:hint="cs"/>
          <w:b/>
          <w:bCs/>
          <w:rtl/>
        </w:rPr>
        <w:t>י</w:t>
      </w:r>
      <w:r w:rsidRPr="00681586">
        <w:rPr>
          <w:rFonts w:eastAsia="Calibri"/>
          <w:b/>
          <w:bCs/>
          <w:rtl/>
        </w:rPr>
        <w:t xml:space="preserve"> ישראל בעת הגעה למצב סיעודי.</w:t>
      </w:r>
      <w:r w:rsidRPr="00681586">
        <w:rPr>
          <w:rFonts w:eastAsia="Calibri" w:hint="cs"/>
          <w:b/>
          <w:bCs/>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כדי לאפשר מענה לקשישים סיעודיים לאורך זמן, מומלץ כי בט"ל ישקול את מועילות ויעילות שיטת ביצוע הערכות התלות בה הוא נוהג כיום -</w:t>
      </w:r>
      <w:r w:rsidRPr="00681586">
        <w:rPr>
          <w:rFonts w:eastAsia="Calibri" w:hint="cs"/>
          <w:b/>
          <w:bCs/>
        </w:rPr>
        <w:t xml:space="preserve"> </w:t>
      </w:r>
      <w:r w:rsidRPr="00681586">
        <w:rPr>
          <w:rFonts w:eastAsia="Calibri" w:hint="cs"/>
          <w:b/>
          <w:bCs/>
          <w:rtl/>
        </w:rPr>
        <w:t>באמצעות מסמכים רפואיים בלבד - תוך בחינת הצורך לשנותה לבדיקות פרונטליות, בין היתר לנוכח הממצאים של דוח זה והמלצות ה-</w:t>
      </w:r>
      <w:r w:rsidRPr="00681586">
        <w:rPr>
          <w:rFonts w:eastAsia="Calibri" w:hint="cs"/>
          <w:b/>
          <w:bCs/>
        </w:rPr>
        <w:t>OECD</w:t>
      </w:r>
      <w:r w:rsidRPr="00681586">
        <w:rPr>
          <w:rFonts w:eastAsia="Calibri" w:hint="cs"/>
          <w:b/>
          <w:bCs/>
          <w:rtl/>
        </w:rPr>
        <w:t>. מומלץ כי הבחינה תתבצע תוך שקילת רמת הדיוק של הערכות התלות, מידת ההיערכות מבחינת כוח האדם הדרוש ומשכי זמן הטיפול בתביעות. כמו כן מומלץ כי בט"ל ילווה החלטות שיש בהן כדי להשפיע על היציבות האקטוארית בתחשיב אקטוארי. בנוסף, על</w:t>
      </w:r>
      <w:r w:rsidRPr="00681586">
        <w:rPr>
          <w:rFonts w:eastAsia="Calibri" w:hint="cs"/>
          <w:rtl/>
        </w:rPr>
        <w:t xml:space="preserve"> </w:t>
      </w:r>
      <w:r w:rsidRPr="00681586">
        <w:rPr>
          <w:rFonts w:eastAsia="Calibri" w:hint="cs"/>
          <w:b/>
          <w:bCs/>
          <w:rtl/>
        </w:rPr>
        <w:t>ראש הממשלה להביא לדיון בממשלה את סוגיית הגירעון האקטוארי, ועל הקבינט החברתי-כלכלי לקיים דיון אחת לשנה בנוגע למאזן המוסד ולדין וחשבון האקטוארי השנתי בהתאם להחלטת הממשלה משנת 2015. כמו כן מומלץ כי שר העבודה בשיתוף עם שר האוצר יפעלו לאזן את התקציב הגירעוני, בין השאר באמצעות גיבוש תיקונים בחוק שיאפשרו יצירת מאזנים אוטומטיים ברוח המלצות ועדת דומיניסיני, או לחלופין באמצעות אימוץ של מגבלת תקציב כוללת על ההוצאה על טיפול סיעודי, בדומה לקיים ברוב מדינות ה-</w:t>
      </w:r>
      <w:r w:rsidRPr="00681586">
        <w:rPr>
          <w:rFonts w:eastAsia="Calibri" w:hint="cs"/>
          <w:b/>
          <w:bCs/>
        </w:rPr>
        <w:t>OECD</w:t>
      </w:r>
      <w:r w:rsidRPr="00681586">
        <w:rPr>
          <w:rFonts w:eastAsia="Calibri" w:hint="cs"/>
          <w:b/>
          <w:bCs/>
          <w:rtl/>
        </w:rPr>
        <w:t>.</w:t>
      </w:r>
    </w:p>
    <w:p w:rsidR="00681586" w:rsidRPr="00681586" w:rsidP="00681586">
      <w:pPr>
        <w:spacing w:line="269" w:lineRule="auto"/>
        <w:rPr>
          <w:rFonts w:eastAsia="Calibri"/>
          <w:b/>
          <w:bCs/>
          <w:rtl/>
        </w:rPr>
      </w:pPr>
    </w:p>
    <w:p w:rsidR="00681586" w:rsidRPr="00681586" w:rsidP="00681586">
      <w:pPr>
        <w:spacing w:line="269" w:lineRule="auto"/>
        <w:rPr>
          <w:rFonts w:eastAsia="Calibri"/>
          <w:b/>
          <w:bCs/>
          <w:rtl/>
        </w:rPr>
      </w:pPr>
      <w:r w:rsidRPr="00681586">
        <w:rPr>
          <w:rFonts w:eastAsia="Calibri" w:hint="cs"/>
          <w:b/>
          <w:bCs/>
          <w:rtl/>
        </w:rPr>
        <w:t xml:space="preserve">אשר לביטוחי הסיעוד דרך קופות החולים, </w:t>
      </w:r>
      <w:r w:rsidRPr="00681586">
        <w:rPr>
          <w:rFonts w:eastAsia="Calibri" w:hint="eastAsia"/>
          <w:b/>
          <w:bCs/>
          <w:rtl/>
        </w:rPr>
        <w:t>מומלץ</w:t>
      </w:r>
      <w:r w:rsidRPr="00681586">
        <w:rPr>
          <w:rFonts w:eastAsia="Calibri"/>
          <w:rtl/>
        </w:rPr>
        <w:t xml:space="preserve"> </w:t>
      </w:r>
      <w:r w:rsidRPr="00681586">
        <w:rPr>
          <w:rFonts w:eastAsia="Calibri" w:hint="eastAsia"/>
          <w:b/>
          <w:bCs/>
          <w:rtl/>
        </w:rPr>
        <w:t>למשרד</w:t>
      </w:r>
      <w:r w:rsidRPr="00681586">
        <w:rPr>
          <w:rFonts w:eastAsia="Calibri"/>
          <w:b/>
          <w:bCs/>
          <w:rtl/>
        </w:rPr>
        <w:t xml:space="preserve"> האוצר </w:t>
      </w:r>
      <w:r w:rsidRPr="00681586">
        <w:rPr>
          <w:rFonts w:eastAsia="Calibri" w:hint="cs"/>
          <w:b/>
          <w:bCs/>
          <w:rtl/>
        </w:rPr>
        <w:t>בשיתוף משרד הבריאות לבחון בעבודת מטה את מבנה הביטוחים הקיים היום ואת ההשפעות של שילוב מרכיבים פרטיים ומרכיבים ציבוריים בביטוח. עוד מומלץ ליצור כללים שישקפו לציבור את היבטי מבנה הביטוח הסיעודי דרך קופות החולים, ובפרט של מבנה הסיכונים שלו וגובה הקרנות והשפעתן על יציבות ביטוח.</w:t>
      </w:r>
    </w:p>
    <w:p w:rsidR="00681586" w:rsidRPr="00681586" w:rsidP="00681586">
      <w:pPr>
        <w:spacing w:line="269" w:lineRule="auto"/>
        <w:rPr>
          <w:rFonts w:eastAsia="Calibri"/>
          <w:b/>
          <w:bCs/>
          <w:rtl/>
        </w:rPr>
      </w:pPr>
    </w:p>
    <w:p w:rsidR="00681586" w:rsidRPr="00681586" w:rsidP="00681586">
      <w:pPr>
        <w:keepNext/>
        <w:keepLines/>
        <w:spacing w:line="269" w:lineRule="auto"/>
        <w:outlineLvl w:val="2"/>
        <w:rPr>
          <w:rFonts w:eastAsia="Times New Roman"/>
          <w:bCs/>
          <w:szCs w:val="28"/>
          <w:u w:val="single"/>
          <w:rtl/>
        </w:rPr>
      </w:pPr>
      <w:r w:rsidRPr="00681586">
        <w:rPr>
          <w:rFonts w:eastAsia="Times New Roman" w:hint="cs"/>
          <w:bCs/>
          <w:szCs w:val="28"/>
          <w:u w:val="single"/>
          <w:rtl/>
        </w:rPr>
        <w:t>היבטים נוספים ברפורמה בסיעוד - פיקוח ובקרה של המוסד לביטוח לאומי</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דוחות קודמים של מבקר המדינה מהשנים 2017 ו-2022</w:t>
      </w:r>
      <w:r>
        <w:rPr>
          <w:rFonts w:eastAsia="Calibri"/>
          <w:vertAlign w:val="superscript"/>
          <w:rtl/>
        </w:rPr>
        <w:footnoteReference w:id="141"/>
      </w:r>
      <w:r w:rsidRPr="00681586">
        <w:rPr>
          <w:rFonts w:eastAsia="Calibri" w:hint="cs"/>
          <w:rtl/>
        </w:rPr>
        <w:t xml:space="preserve">, שעסקו בגמלת סיעוד של בט"ל העלו ליקויים משמעותיים בתחום הפיקוח והבקרה של בט"ל על טיב הטיפול הניתן באחריות בט"ל לקשישים הסיעודיים. כך למשל בדוחות עלה כי </w:t>
      </w:r>
      <w:r w:rsidRPr="00681586">
        <w:rPr>
          <w:rFonts w:eastAsia="Calibri"/>
          <w:rtl/>
        </w:rPr>
        <w:t>בט"ל לא מממש כראוי את אחריותו</w:t>
      </w:r>
      <w:r w:rsidRPr="00681586">
        <w:rPr>
          <w:rFonts w:eastAsia="Calibri" w:hint="cs"/>
          <w:rtl/>
        </w:rPr>
        <w:t xml:space="preserve"> </w:t>
      </w:r>
      <w:r w:rsidRPr="00681586">
        <w:rPr>
          <w:rFonts w:eastAsia="Calibri"/>
          <w:rtl/>
        </w:rPr>
        <w:t>להבטחת איכות הטיפול הביתי</w:t>
      </w:r>
      <w:r w:rsidRPr="00681586">
        <w:rPr>
          <w:rFonts w:eastAsia="Calibri" w:hint="cs"/>
          <w:rtl/>
        </w:rPr>
        <w:t>; ק</w:t>
      </w:r>
      <w:r w:rsidRPr="00681586">
        <w:rPr>
          <w:rFonts w:eastAsia="Calibri"/>
          <w:rtl/>
        </w:rPr>
        <w:t>שישים שהוכרה זכאותם לגמלת סיעוד לא קיבלו את כל שעות הטיפול שהיו זכאים להן מהמטפלות הישראליות</w:t>
      </w:r>
      <w:r w:rsidRPr="00681586">
        <w:rPr>
          <w:rFonts w:eastAsia="Calibri" w:hint="cs"/>
          <w:rtl/>
        </w:rPr>
        <w:t>; מערכת דיווחי הנוכחות והתשלום עבורם לא החלה לפעול ועודנה בשלבי הפיילוט; וטרם גובש מכרז חדש למתן שירותי סיעוד. בהמשך לליקויים שנמצאו בדוחות קודמים, משרד מבקר המדינה בדק את הפיקוח והבקרה בשני היבטים נוספים של הרפורמה בסיעוד והשינויים בנהלים הפנימיים של בט"ל - האפשרות להעסקת בני משפחה בטיפול בקשישים סיעודיים והאפשרות לקבל את גמלת הסיעוד בכסף.</w:t>
      </w:r>
    </w:p>
    <w:p w:rsidR="00681586" w:rsidRPr="00681586" w:rsidP="00681586">
      <w:pPr>
        <w:spacing w:line="269" w:lineRule="auto"/>
        <w:rPr>
          <w:rFonts w:eastAsia="Calibri"/>
          <w:rtl/>
        </w:rPr>
      </w:pPr>
    </w:p>
    <w:p w:rsidR="00681586" w:rsidRPr="00681586" w:rsidP="00681586">
      <w:pPr>
        <w:keepNext/>
        <w:keepLines/>
        <w:spacing w:line="269" w:lineRule="auto"/>
        <w:outlineLvl w:val="3"/>
        <w:rPr>
          <w:rFonts w:eastAsia="Times New Roman"/>
          <w:bCs/>
          <w:szCs w:val="26"/>
          <w:rtl/>
        </w:rPr>
      </w:pPr>
      <w:r w:rsidRPr="00681586">
        <w:rPr>
          <w:rFonts w:eastAsia="Times New Roman" w:hint="cs"/>
          <w:bCs/>
          <w:szCs w:val="26"/>
          <w:rtl/>
        </w:rPr>
        <w:t>פיקוח על העסקתם של בני משפחה מטפלים</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כאמור, זכאי לגמלת סיעוד יכול לבחור בין כמה שירותים במסגרת הגמלה, ובהם ביקורים במרכז יום, טיפול אישי בבית, לחצן מצוקה, שירותי כביסה, מוצרי ספיגה וחברות בקהילה תומכת. זכאי הגמלה יכול גם לשלב בין השירותים השונים, במסגרת סל הטיפולים שאליו הוא זכאי, ויכול גם לקבל חלק מהסל, או במקרים מסוימים את כל הסל, בכסף ולא בשירותים. חוק בט"ל קובע כי על בט"ל לערוך פיקוח ובקרה על מתן שירותי סיעוד בפועל לזכאים בהיקף שנקבע להם וברמה </w:t>
      </w:r>
      <w:r w:rsidRPr="00681586">
        <w:rPr>
          <w:rFonts w:eastAsia="Calibri" w:hint="cs"/>
          <w:rtl/>
        </w:rPr>
        <w:t>הולמת</w:t>
      </w:r>
      <w:r>
        <w:rPr>
          <w:rFonts w:eastAsia="Calibri"/>
          <w:vertAlign w:val="superscript"/>
          <w:rtl/>
        </w:rPr>
        <w:footnoteReference w:id="142"/>
      </w:r>
      <w:r w:rsidRPr="00681586">
        <w:rPr>
          <w:rFonts w:eastAsia="Calibri" w:hint="cs"/>
          <w:rtl/>
        </w:rPr>
        <w:t>. נכון לסוף שנת 2024, כ-78% (כ-292,000 מתוך כ-375,000) מהזכאים לגמלת סיעוד, קיבלו מטפל אישי בבית כחלק מתוכנית הטיפול שנקבעה להם. מטפל אישי הוא מטפל שמעניק שירותי סיעוד בבית הקשיש, הכוללים הלבשה, אכילה, רחצה, טיפול בהיגיינה אישית, החלפת מוצרי ספיגה ומצעים, סיוע בניידות והשגחה. המטפלים מועסקים על ידי חברות סיעוד שנבחרו במכרז, בהיקף שעות שתלוי ברמת הסיעוד של הקשיש</w:t>
      </w:r>
      <w:r>
        <w:rPr>
          <w:rFonts w:eastAsia="Calibri"/>
          <w:vertAlign w:val="superscript"/>
          <w:rtl/>
        </w:rPr>
        <w:footnoteReference w:id="143"/>
      </w:r>
      <w:r w:rsidRPr="00681586">
        <w:rPr>
          <w:rFonts w:eastAsia="Calibri" w:hint="cs"/>
          <w:rtl/>
        </w:rPr>
        <w:t>. כך, למשל, אם התוכנית הטיפולית כוללת רק טיפול אישי, קשישים סיעודיים ברמה 2 זכאים לעשר שעות טיפול בשבוע, ואילו קשישים סיעודיים ברמה 6 זכאים ל-30 שעות טיפול בשבוע</w:t>
      </w:r>
      <w:r>
        <w:rPr>
          <w:rFonts w:eastAsia="Calibri"/>
          <w:vertAlign w:val="superscript"/>
          <w:rtl/>
        </w:rPr>
        <w:footnoteReference w:id="144"/>
      </w:r>
      <w:r w:rsidRPr="00681586">
        <w:rPr>
          <w:rFonts w:eastAsia="Calibri" w:hint="cs"/>
          <w:rtl/>
        </w:rPr>
        <w:t xml:space="preserve">. בט"ל מעביר את התשלום עבור שכרם של המטפלים לחברת הסיעוד מתוך גמלת הסיעוד של הקשיש.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Pr>
      </w:pPr>
      <w:r w:rsidRPr="00681586">
        <w:rPr>
          <w:rFonts w:eastAsia="Calibri" w:hint="cs"/>
          <w:rtl/>
        </w:rPr>
        <w:t>העסקת בני משפחה כמטפלים אישיים הוסדרה בחוזר</w:t>
      </w:r>
      <w:r>
        <w:rPr>
          <w:rFonts w:eastAsia="Calibri"/>
          <w:vertAlign w:val="superscript"/>
          <w:rtl/>
        </w:rPr>
        <w:footnoteReference w:id="145"/>
      </w:r>
      <w:r w:rsidRPr="00681586">
        <w:rPr>
          <w:rFonts w:eastAsia="Calibri" w:hint="cs"/>
          <w:rtl/>
        </w:rPr>
        <w:t xml:space="preserve"> שבו נקבע כי העסקת בן משפחה על ידי חברות הסיעוד תאושר מכל קרבה ובכל האזורים בארץ; עוד נקבע בחוזר כי חברות הסיעוד יתעדו את כל השיקולים שהיו בפניהן לגבי העסקת בן המשפחה, בדוח שיכלול את כל המידע הרלוונטי להחלטה על התאמת בן המשפחה המטפל לטיפול בזכאי. נקבע גם כי על חברות הסיעוד להמציא דוח זה לפי דרישה; על פי החוזר, לא ניתן לאשר למי</w:t>
      </w:r>
      <w:r w:rsidRPr="00681586">
        <w:rPr>
          <w:rFonts w:eastAsia="Calibri"/>
          <w:rtl/>
        </w:rPr>
        <w:t xml:space="preserve"> </w:t>
      </w:r>
      <w:r w:rsidRPr="00681586">
        <w:rPr>
          <w:rFonts w:eastAsia="Calibri" w:hint="cs"/>
          <w:rtl/>
        </w:rPr>
        <w:t>ש</w:t>
      </w:r>
      <w:r w:rsidRPr="00681586">
        <w:rPr>
          <w:rFonts w:eastAsia="Calibri"/>
          <w:rtl/>
        </w:rPr>
        <w:t xml:space="preserve">זכאי לגמלת סיעוד או </w:t>
      </w:r>
      <w:r w:rsidRPr="00681586">
        <w:rPr>
          <w:rFonts w:eastAsia="Calibri" w:hint="cs"/>
          <w:rtl/>
        </w:rPr>
        <w:t>ל</w:t>
      </w:r>
      <w:r w:rsidRPr="00681586">
        <w:rPr>
          <w:rFonts w:eastAsia="Calibri"/>
          <w:rtl/>
        </w:rPr>
        <w:t>גמלת שירותים מיוחדים</w:t>
      </w:r>
      <w:r>
        <w:rPr>
          <w:rFonts w:eastAsia="Calibri"/>
          <w:sz w:val="24"/>
          <w:vertAlign w:val="superscript"/>
          <w:rtl/>
        </w:rPr>
        <w:footnoteReference w:id="146"/>
      </w:r>
      <w:r w:rsidRPr="00681586">
        <w:rPr>
          <w:rFonts w:eastAsia="Calibri"/>
          <w:rtl/>
        </w:rPr>
        <w:t>, או לכל גמלה לפי חוק אחר שניתנת בעבור טיפול אישי בבית</w:t>
      </w:r>
      <w:r w:rsidRPr="00681586">
        <w:rPr>
          <w:rFonts w:eastAsia="Calibri" w:hint="cs"/>
          <w:rtl/>
        </w:rPr>
        <w:t>, לעבוד כמטפל סיעודי בבן משפחתו</w:t>
      </w:r>
      <w:r w:rsidRPr="00681586">
        <w:rPr>
          <w:rFonts w:eastAsia="Calibri"/>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בתרשים להלן פילוח של מטפלים על פי סוג</w:t>
      </w:r>
      <w:r>
        <w:rPr>
          <w:rFonts w:eastAsia="Calibri"/>
          <w:vertAlign w:val="superscript"/>
          <w:rtl/>
        </w:rPr>
        <w:footnoteReference w:id="147"/>
      </w:r>
      <w:r w:rsidRPr="00681586">
        <w:rPr>
          <w:rFonts w:eastAsia="Calibri" w:hint="cs"/>
          <w:rtl/>
        </w:rPr>
        <w:t xml:space="preserve"> וקרבה</w:t>
      </w:r>
      <w:r>
        <w:rPr>
          <w:rFonts w:eastAsia="Calibri"/>
          <w:vertAlign w:val="superscript"/>
          <w:rtl/>
        </w:rPr>
        <w:footnoteReference w:id="148"/>
      </w:r>
      <w:r w:rsidRPr="00681586">
        <w:rPr>
          <w:rFonts w:eastAsia="Calibri" w:hint="cs"/>
          <w:rtl/>
        </w:rPr>
        <w:t>, נכון לדצמבר 2025.</w:t>
      </w:r>
    </w:p>
    <w:p w:rsidR="00681586" w:rsidRPr="00681586" w:rsidP="00681586">
      <w:pPr>
        <w:spacing w:line="269" w:lineRule="auto"/>
        <w:ind w:left="-567"/>
        <w:rPr>
          <w:rFonts w:eastAsia="Calibri"/>
          <w:szCs w:val="20"/>
          <w:rtl/>
        </w:rPr>
      </w:pPr>
    </w:p>
    <w:p w:rsidR="00681586" w:rsidRPr="00681586" w:rsidP="00681586">
      <w:pPr>
        <w:keepNext/>
        <w:keepLines/>
        <w:spacing w:line="269" w:lineRule="auto"/>
        <w:jc w:val="center"/>
        <w:rPr>
          <w:rFonts w:eastAsia="Calibri"/>
          <w:noProof/>
          <w:rtl/>
        </w:rPr>
      </w:pPr>
      <w:r w:rsidRPr="00681586">
        <w:rPr>
          <w:rFonts w:eastAsia="Calibri" w:hint="cs"/>
          <w:rtl/>
        </w:rPr>
        <w:t xml:space="preserve">תרשים 24: </w:t>
      </w:r>
      <w:r w:rsidRPr="00681586">
        <w:rPr>
          <w:rFonts w:eastAsia="Calibri"/>
          <w:b/>
          <w:bCs/>
          <w:rtl/>
        </w:rPr>
        <w:t>פילוח של מטפלים על פי סוג וקרבה</w:t>
      </w:r>
      <w:r w:rsidRPr="00681586">
        <w:rPr>
          <w:rFonts w:eastAsia="Calibri" w:hint="cs"/>
          <w:b/>
          <w:bCs/>
          <w:rtl/>
        </w:rPr>
        <w:t>, באחוזים ובאלפים</w:t>
      </w:r>
      <w:r w:rsidRPr="00681586">
        <w:rPr>
          <w:rFonts w:eastAsia="Calibri"/>
          <w:b/>
          <w:bCs/>
          <w:rtl/>
        </w:rPr>
        <w:t xml:space="preserve">, דצמבר </w:t>
      </w:r>
      <w:r w:rsidRPr="00681586">
        <w:rPr>
          <w:rFonts w:eastAsia="Calibri" w:hint="cs"/>
          <w:b/>
          <w:bCs/>
          <w:rtl/>
        </w:rPr>
        <w:t>2025</w:t>
      </w:r>
    </w:p>
    <w:p w:rsidR="00681586" w:rsidRPr="00681586" w:rsidP="00681586">
      <w:pPr>
        <w:spacing w:line="269" w:lineRule="auto"/>
        <w:jc w:val="center"/>
        <w:rPr>
          <w:rFonts w:eastAsia="Calibri"/>
          <w:rtl/>
        </w:rPr>
      </w:pPr>
      <w:r w:rsidRPr="00681586">
        <w:rPr>
          <w:rFonts w:eastAsia="Calibri"/>
          <w:noProof/>
        </w:rPr>
        <w:drawing>
          <wp:inline distT="0" distB="0" distL="0" distR="0">
            <wp:extent cx="4970777" cy="3068493"/>
            <wp:effectExtent l="0" t="0" r="1905" b="0"/>
            <wp:docPr id="105" name="תמונה 105" descr="פילוח של מטפלים על פי סוג וקרבה, באחוזים ובאלפים, דצמבר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32"/>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rcRect l="-4" t="7437" r="4" b="5862"/>
                    <a:stretch>
                      <a:fillRect/>
                    </a:stretch>
                  </pic:blipFill>
                  <pic:spPr bwMode="auto">
                    <a:xfrm>
                      <a:off x="0" y="0"/>
                      <a:ext cx="4979624" cy="307395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81586" w:rsidRPr="00681586" w:rsidP="00681586">
      <w:pPr>
        <w:spacing w:line="269" w:lineRule="auto"/>
        <w:jc w:val="left"/>
        <w:rPr>
          <w:rFonts w:eastAsia="Calibri"/>
          <w:szCs w:val="20"/>
          <w:rtl/>
        </w:rPr>
      </w:pPr>
      <w:r w:rsidRPr="00681586">
        <w:rPr>
          <w:rFonts w:eastAsia="Calibri" w:hint="cs"/>
          <w:szCs w:val="20"/>
          <w:rtl/>
        </w:rPr>
        <w:t xml:space="preserve">על פי נתוני המוסד לביטוח לאומי, </w:t>
      </w:r>
      <w:r w:rsidRPr="00681586">
        <w:rPr>
          <w:rFonts w:eastAsia="Calibri" w:hint="eastAsia"/>
          <w:szCs w:val="20"/>
          <w:rtl/>
        </w:rPr>
        <w:t>בעיבוד</w:t>
      </w:r>
      <w:r w:rsidRPr="00681586">
        <w:rPr>
          <w:rFonts w:eastAsia="Calibri"/>
          <w:szCs w:val="20"/>
          <w:rtl/>
        </w:rPr>
        <w:t xml:space="preserve"> </w:t>
      </w:r>
      <w:r w:rsidRPr="00681586">
        <w:rPr>
          <w:rFonts w:eastAsia="Calibri" w:hint="eastAsia"/>
          <w:szCs w:val="20"/>
          <w:rtl/>
        </w:rPr>
        <w:t>משרד</w:t>
      </w:r>
      <w:r w:rsidRPr="00681586">
        <w:rPr>
          <w:rFonts w:eastAsia="Calibri"/>
          <w:szCs w:val="20"/>
          <w:rtl/>
        </w:rPr>
        <w:t xml:space="preserve"> </w:t>
      </w:r>
      <w:r w:rsidRPr="00681586">
        <w:rPr>
          <w:rFonts w:eastAsia="Calibri" w:hint="eastAsia"/>
          <w:szCs w:val="20"/>
          <w:rtl/>
        </w:rPr>
        <w:t>מבקר</w:t>
      </w:r>
      <w:r w:rsidRPr="00681586">
        <w:rPr>
          <w:rFonts w:eastAsia="Calibri"/>
          <w:szCs w:val="20"/>
          <w:rtl/>
        </w:rPr>
        <w:t xml:space="preserve"> </w:t>
      </w:r>
      <w:r w:rsidRPr="00681586">
        <w:rPr>
          <w:rFonts w:eastAsia="Calibri" w:hint="eastAsia"/>
          <w:szCs w:val="20"/>
          <w:rtl/>
        </w:rPr>
        <w:t>המדינה</w:t>
      </w:r>
      <w:r w:rsidRPr="00681586">
        <w:rPr>
          <w:rFonts w:eastAsia="Calibri"/>
          <w:szCs w:val="20"/>
          <w:rtl/>
        </w:rPr>
        <w:t>.</w:t>
      </w:r>
    </w:p>
    <w:p w:rsidR="00681586" w:rsidRPr="00681586" w:rsidP="00681586">
      <w:pPr>
        <w:spacing w:line="269" w:lineRule="auto"/>
        <w:rPr>
          <w:rFonts w:eastAsia="Calibri"/>
          <w:rtl/>
        </w:rPr>
      </w:pPr>
    </w:p>
    <w:p w:rsidR="00681586" w:rsidRPr="00681586" w:rsidP="00681586">
      <w:pPr>
        <w:spacing w:line="269" w:lineRule="auto"/>
        <w:rPr>
          <w:rFonts w:eastAsia="Calibri"/>
          <w:b/>
          <w:bCs/>
          <w:rtl/>
        </w:rPr>
      </w:pPr>
      <w:r w:rsidRPr="00681586">
        <w:rPr>
          <w:rFonts w:eastAsia="Calibri" w:hint="cs"/>
          <w:b/>
          <w:bCs/>
          <w:rtl/>
        </w:rPr>
        <w:t>מנתוני התרשים עולה כי נכון לדצמבר 2025, כ-50% (כ-119,000) מהמטפלים, מטפלים בזכאים לגמלת סיעוד שהם בני משפחתם; כ-29% (כ-69,000) מהמטפלים הם תושבי ישראל שמטפלים בזכאים לגמלת סיעוד שאינם בני משפחתם, וכ-21% (כ-50,000) מהמטפלים הם מטפלים זרים</w:t>
      </w:r>
      <w:r>
        <w:rPr>
          <w:rFonts w:eastAsia="Calibri"/>
          <w:b/>
          <w:bCs/>
          <w:vertAlign w:val="superscript"/>
          <w:rtl/>
        </w:rPr>
        <w:footnoteReference w:id="149"/>
      </w:r>
      <w:r w:rsidRPr="00681586">
        <w:rPr>
          <w:rFonts w:eastAsia="Calibri" w:hint="cs"/>
          <w:b/>
          <w:bCs/>
          <w:rtl/>
        </w:rPr>
        <w:t>. כמו כן עולה כי בקרב המטפלים שמטפלים בבני משפחתם, הנפוץ ביותר הוא טיפול על ידי הבן או הבת של הקשיש או בני זוגם.</w:t>
      </w:r>
    </w:p>
    <w:p w:rsidR="00681586" w:rsidRPr="00681586" w:rsidP="00681586">
      <w:pPr>
        <w:spacing w:line="269" w:lineRule="auto"/>
        <w:ind w:left="-567"/>
        <w:rPr>
          <w:rFonts w:eastAsia="Calibri"/>
          <w:szCs w:val="20"/>
          <w:rtl/>
        </w:rPr>
      </w:pPr>
    </w:p>
    <w:p w:rsidR="00681586" w:rsidRPr="00681586" w:rsidP="00AE60E6">
      <w:pPr>
        <w:keepNext/>
        <w:keepLines/>
        <w:spacing w:before="120" w:line="269" w:lineRule="auto"/>
        <w:outlineLvl w:val="4"/>
        <w:rPr>
          <w:rFonts w:eastAsia="Times New Roman"/>
          <w:bCs/>
          <w:spacing w:val="40"/>
          <w:rtl/>
        </w:rPr>
      </w:pPr>
      <w:r w:rsidRPr="00681586">
        <w:rPr>
          <w:rFonts w:eastAsia="Times New Roman" w:hint="cs"/>
          <w:bCs/>
          <w:spacing w:val="40"/>
          <w:rtl/>
        </w:rPr>
        <w:t>נוהל בקרה</w:t>
      </w:r>
    </w:p>
    <w:p w:rsidR="00681586" w:rsidRPr="00681586" w:rsidP="00681586">
      <w:pPr>
        <w:spacing w:line="269" w:lineRule="auto"/>
        <w:ind w:left="-567"/>
        <w:rPr>
          <w:rFonts w:eastAsia="Times New Roman"/>
          <w:spacing w:val="40"/>
          <w:rtl/>
        </w:rPr>
      </w:pPr>
    </w:p>
    <w:p w:rsidR="00681586" w:rsidRPr="00681586" w:rsidP="00681586">
      <w:pPr>
        <w:spacing w:line="269" w:lineRule="auto"/>
        <w:rPr>
          <w:rFonts w:eastAsia="Calibri"/>
          <w:rtl/>
        </w:rPr>
      </w:pPr>
      <w:r w:rsidRPr="00681586">
        <w:rPr>
          <w:rFonts w:eastAsia="Calibri" w:hint="cs"/>
          <w:rtl/>
        </w:rPr>
        <w:t>העסקתם של בני משפחה בטיפול בקשישים במסגרת זכאות לגמלת סיעוד עלולה להקשות על הפיקוח על הטיפול המוענק לקשיש הסיעודי</w:t>
      </w:r>
      <w:r>
        <w:rPr>
          <w:rFonts w:eastAsia="Calibri"/>
          <w:vertAlign w:val="superscript"/>
          <w:rtl/>
        </w:rPr>
        <w:footnoteReference w:id="150"/>
      </w:r>
      <w:r w:rsidRPr="00681586">
        <w:rPr>
          <w:rFonts w:eastAsia="Calibri" w:hint="cs"/>
          <w:rtl/>
        </w:rPr>
        <w:t>, וזאת כיוון שהקשיש שמקבל טיפול עשוי לחשוש מלהתלונן על בן משפחתו, אם הטיפול אינו עומד בדרישות החוק. מסיבה זאת, החל משנת 2010, אסר בט"ל על העסקת בני משפחה מטפלים מדרגה ראשונה</w:t>
      </w:r>
      <w:r>
        <w:rPr>
          <w:rFonts w:eastAsia="Calibri"/>
          <w:vertAlign w:val="superscript"/>
          <w:rtl/>
        </w:rPr>
        <w:footnoteReference w:id="151"/>
      </w:r>
      <w:r w:rsidRPr="00681586">
        <w:rPr>
          <w:rFonts w:eastAsia="Calibri" w:hint="cs"/>
          <w:rtl/>
        </w:rPr>
        <w:t xml:space="preserve"> במסגרת המכרז עם חברות הסיעוד. עם זאת, בעקבות העתירה לבג"ץ</w:t>
      </w:r>
      <w:r>
        <w:rPr>
          <w:rFonts w:eastAsia="Calibri"/>
          <w:vertAlign w:val="superscript"/>
          <w:rtl/>
        </w:rPr>
        <w:footnoteReference w:id="152"/>
      </w:r>
      <w:r w:rsidRPr="00681586">
        <w:rPr>
          <w:rFonts w:eastAsia="Calibri" w:hint="cs"/>
          <w:rtl/>
        </w:rPr>
        <w:t xml:space="preserve"> החליט בט"ל בשנת 2018 על עריכת פיילוט שמאפשר העסקתם של בני משפחה מדרגה ראשונה רק ביישובים שבהם הוטמעה </w:t>
      </w:r>
      <w:r w:rsidRPr="00681586">
        <w:rPr>
          <w:rFonts w:eastAsia="Calibri"/>
          <w:rtl/>
        </w:rPr>
        <w:t>מערכת דיווח אלקטרונית</w:t>
      </w:r>
      <w:r w:rsidRPr="00681586">
        <w:rPr>
          <w:rFonts w:eastAsia="Calibri" w:hint="cs"/>
          <w:rtl/>
        </w:rPr>
        <w:t>,</w:t>
      </w:r>
      <w:r w:rsidRPr="00681586">
        <w:rPr>
          <w:rFonts w:eastAsia="Calibri"/>
          <w:rtl/>
        </w:rPr>
        <w:t xml:space="preserve"> שתאפשר קיומו של פיקוח הדוק יותר על שעות העבודה של המטפלים</w:t>
      </w:r>
      <w:r>
        <w:rPr>
          <w:rFonts w:eastAsia="Calibri"/>
          <w:vertAlign w:val="superscript"/>
          <w:rtl/>
        </w:rPr>
        <w:footnoteReference w:id="153"/>
      </w:r>
      <w:r w:rsidRPr="00681586">
        <w:rPr>
          <w:rFonts w:eastAsia="Calibri" w:hint="cs"/>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Pr>
      </w:pPr>
      <w:r w:rsidRPr="00681586">
        <w:rPr>
          <w:rFonts w:eastAsia="Calibri" w:hint="cs"/>
          <w:b/>
          <w:bCs/>
          <w:rtl/>
        </w:rPr>
        <w:t xml:space="preserve">במסגרת </w:t>
      </w:r>
      <w:r w:rsidRPr="00681586">
        <w:rPr>
          <w:rFonts w:eastAsia="Calibri" w:hint="eastAsia"/>
          <w:b/>
          <w:bCs/>
          <w:rtl/>
        </w:rPr>
        <w:t>פיילוט</w:t>
      </w:r>
      <w:r w:rsidRPr="00681586">
        <w:rPr>
          <w:rFonts w:eastAsia="Calibri" w:hint="cs"/>
          <w:b/>
          <w:bCs/>
          <w:rtl/>
        </w:rPr>
        <w:t xml:space="preserve"> שערך בט"ל בשנת 2018</w:t>
      </w:r>
      <w:r w:rsidRPr="00681586">
        <w:rPr>
          <w:rFonts w:eastAsia="Calibri" w:hint="cs"/>
          <w:rtl/>
        </w:rPr>
        <w:t>,</w:t>
      </w:r>
      <w:r w:rsidRPr="00681586">
        <w:rPr>
          <w:rFonts w:eastAsia="Calibri"/>
          <w:rtl/>
        </w:rPr>
        <w:t xml:space="preserve"> </w:t>
      </w:r>
      <w:r w:rsidRPr="00681586">
        <w:rPr>
          <w:rFonts w:eastAsia="Calibri"/>
          <w:b/>
          <w:bCs/>
          <w:rtl/>
        </w:rPr>
        <w:t>ביישובים בהם הוטמעה מערכת דיווח אלקטרונית שתאפשר קיומו של פיקוח הדוק יותר על שעות העבודה של המטפלים,</w:t>
      </w:r>
      <w:r w:rsidRPr="00681586">
        <w:rPr>
          <w:rFonts w:eastAsia="Calibri" w:hint="cs"/>
          <w:b/>
          <w:bCs/>
          <w:rtl/>
        </w:rPr>
        <w:t xml:space="preserve"> מצא בט"ל כמה מקרים שבהם הועסקו בני משפחה מטפלים, שעלה ספק לגבי יכולתם לטפל בזכאי חוק הסיעוד בהתאם לנוהל</w:t>
      </w:r>
      <w:r>
        <w:rPr>
          <w:rFonts w:eastAsia="Calibri"/>
          <w:b/>
          <w:bCs/>
          <w:vertAlign w:val="superscript"/>
          <w:rtl/>
        </w:rPr>
        <w:footnoteReference w:id="154"/>
      </w:r>
      <w:r w:rsidRPr="00681586">
        <w:rPr>
          <w:rFonts w:eastAsia="Calibri" w:hint="cs"/>
          <w:b/>
          <w:bCs/>
          <w:rtl/>
        </w:rPr>
        <w:t xml:space="preserve">: כך לדוגמה, </w:t>
      </w:r>
      <w:r w:rsidRPr="00681586">
        <w:rPr>
          <w:rFonts w:eastAsia="Calibri" w:hint="cs"/>
          <w:b/>
          <w:bCs/>
          <w:sz w:val="24"/>
          <w:rtl/>
        </w:rPr>
        <w:t>בזכאית הנזקקת לסיוע בטיפול אישי טיפל גבר (נכד); טיפול בזכאי ברמה 6 נעשה בשעות הערב בלבד, מכיוון שבשעות היום המטפל עבד במשרה מלאה, מבלי שניתן מענה לצורכי הזכאי בשעות היום; אישור בן משפחה מטפל הזכאי בעצמו לגמלת שירותים מיוחדים.</w:t>
      </w:r>
    </w:p>
    <w:p w:rsidR="00681586" w:rsidRPr="00681586" w:rsidP="00681586">
      <w:pPr>
        <w:spacing w:line="269" w:lineRule="auto"/>
        <w:ind w:left="-567"/>
        <w:rPr>
          <w:rFonts w:eastAsia="Calibri"/>
          <w:b/>
          <w:bCs/>
          <w:sz w:val="24"/>
          <w:rtl/>
        </w:rPr>
      </w:pPr>
    </w:p>
    <w:p w:rsidR="00681586" w:rsidRPr="00681586" w:rsidP="00681586">
      <w:pPr>
        <w:spacing w:line="269" w:lineRule="auto"/>
        <w:rPr>
          <w:rFonts w:eastAsia="Calibri"/>
          <w:b/>
          <w:bCs/>
          <w:rtl/>
        </w:rPr>
      </w:pPr>
      <w:r w:rsidRPr="00681586">
        <w:rPr>
          <w:rFonts w:eastAsia="Calibri" w:hint="cs"/>
          <w:b/>
          <w:bCs/>
          <w:rtl/>
        </w:rPr>
        <w:t>בעקבות מקרים אלו ומקרים נוספים דומים שעלו בבדיקה של בט"ל, הודיע בט"ל לחברות הסיעוד בשנת 2020 כי בכוונתו לגבש נוהל בקרה להליך אישורם של בני המשפחה המטפלים</w:t>
      </w:r>
      <w:r>
        <w:rPr>
          <w:rFonts w:eastAsia="Calibri"/>
          <w:b/>
          <w:bCs/>
          <w:vertAlign w:val="superscript"/>
          <w:rtl/>
        </w:rPr>
        <w:footnoteReference w:id="155"/>
      </w:r>
      <w:r w:rsidRPr="00681586">
        <w:rPr>
          <w:rFonts w:eastAsia="Calibri" w:hint="cs"/>
          <w:b/>
          <w:bCs/>
          <w:rtl/>
        </w:rPr>
        <w:t xml:space="preserve"> שמטרתו לבקר את נותני השירותים ולוודא כי הם מעסיקים בני משפחה על פי הנוהל.</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בביקורת עלה כי על אף הליקויים שנמצאו בפיילוט להעסקתם של בני משפחה מטפלים במקבלי גמלת סיעוד, בט"ל לא גיבש נוהל בקרה על חברות הסיעוד שיכלול הסדרת פיקוח על הליך האישור של בני משפחה מטפלים, כדי לוודא כי העסקתם תאושר רק לאחר בחינת הנתונים הרלוונטיים ולאחר התרשמות מקצועית.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מומלץ כי נוכח המאפיינים הייחודיים של מטפלים סיעודיים שהם בני משפחה, בט"ל יבצע בקרה מיוחדת עליהם, ובפרט, יתייחס באופן שונה לבני משפחה מטפלים בכל הנוגע ל</w:t>
      </w:r>
      <w:r w:rsidRPr="00681586">
        <w:rPr>
          <w:rFonts w:eastAsia="Calibri"/>
          <w:b/>
          <w:bCs/>
          <w:rtl/>
        </w:rPr>
        <w:t>הנחיות</w:t>
      </w:r>
      <w:r w:rsidRPr="00681586">
        <w:rPr>
          <w:rFonts w:eastAsia="Calibri" w:hint="cs"/>
          <w:b/>
          <w:bCs/>
          <w:rtl/>
        </w:rPr>
        <w:t xml:space="preserve">יו </w:t>
      </w:r>
      <w:r w:rsidRPr="00681586">
        <w:rPr>
          <w:rFonts w:eastAsia="Calibri"/>
          <w:b/>
          <w:bCs/>
          <w:rtl/>
        </w:rPr>
        <w:t xml:space="preserve">לנותני השירותים, </w:t>
      </w:r>
      <w:r w:rsidRPr="00681586">
        <w:rPr>
          <w:rFonts w:eastAsia="Calibri" w:hint="cs"/>
          <w:b/>
          <w:bCs/>
          <w:rtl/>
        </w:rPr>
        <w:t xml:space="preserve">לגיבוש </w:t>
      </w:r>
      <w:r w:rsidRPr="00681586">
        <w:rPr>
          <w:rFonts w:eastAsia="Calibri"/>
          <w:b/>
          <w:bCs/>
          <w:rtl/>
        </w:rPr>
        <w:t xml:space="preserve">תהליכי פיקוח ובקרה </w:t>
      </w:r>
      <w:r w:rsidRPr="00681586">
        <w:rPr>
          <w:rFonts w:eastAsia="Calibri" w:hint="cs"/>
          <w:b/>
          <w:bCs/>
          <w:rtl/>
        </w:rPr>
        <w:t>ול</w:t>
      </w:r>
      <w:r w:rsidRPr="00681586">
        <w:rPr>
          <w:rFonts w:eastAsia="Calibri"/>
          <w:b/>
          <w:bCs/>
          <w:rtl/>
        </w:rPr>
        <w:t>איסוף הנתונים</w:t>
      </w:r>
      <w:r w:rsidRPr="00681586">
        <w:rPr>
          <w:rFonts w:eastAsia="Calibri" w:hint="cs"/>
          <w:b/>
          <w:bCs/>
          <w:rtl/>
        </w:rPr>
        <w:t xml:space="preserve">. עוד מומלץ כי בבקרה המבוצעת על הכשרות המטפלים יפריד בט"ל בין סוגי המטפלים, ויאסוף וינתח מידע על מקרים שבהם חברת הסיעוד לא אישרה העסקה או סיימה העסקה של בן משפחה מטפל על רקע </w:t>
      </w:r>
      <w:r w:rsidR="005C395F">
        <w:rPr>
          <w:rFonts w:eastAsia="Calibri"/>
          <w:b/>
          <w:bCs/>
          <w:rtl/>
        </w:rPr>
        <w:br/>
      </w:r>
      <w:r w:rsidRPr="00681586">
        <w:rPr>
          <w:rFonts w:eastAsia="Calibri" w:hint="cs"/>
          <w:b/>
          <w:bCs/>
          <w:rtl/>
        </w:rPr>
        <w:t>אי-התאמה כדי לטייב את הפיקוח והבקרה של בט"ל על העסקת בני המשפחה המטפלים.</w:t>
      </w:r>
    </w:p>
    <w:p w:rsidR="00681586" w:rsidRPr="00681586" w:rsidP="00681586">
      <w:pPr>
        <w:spacing w:line="269" w:lineRule="auto"/>
        <w:rPr>
          <w:rFonts w:eastAsia="Calibri"/>
          <w:b/>
          <w:bCs/>
          <w:rtl/>
        </w:rPr>
      </w:pPr>
    </w:p>
    <w:p w:rsidR="00681586" w:rsidRPr="00681586" w:rsidP="00681586">
      <w:pPr>
        <w:keepNext/>
        <w:keepLines/>
        <w:spacing w:line="269" w:lineRule="auto"/>
        <w:outlineLvl w:val="4"/>
        <w:rPr>
          <w:rFonts w:eastAsia="Times New Roman"/>
          <w:bCs/>
          <w:spacing w:val="40"/>
          <w:rtl/>
        </w:rPr>
      </w:pPr>
      <w:r w:rsidRPr="00681586">
        <w:rPr>
          <w:rFonts w:eastAsia="Times New Roman" w:hint="cs"/>
          <w:bCs/>
          <w:spacing w:val="40"/>
          <w:rtl/>
        </w:rPr>
        <w:t>בקרה על הדוחות של חברות הסיעוד</w:t>
      </w:r>
    </w:p>
    <w:p w:rsidR="00681586" w:rsidRPr="00681586" w:rsidP="00681586">
      <w:pPr>
        <w:spacing w:line="269" w:lineRule="auto"/>
        <w:ind w:left="-567"/>
        <w:rPr>
          <w:rFonts w:eastAsia="Times New Roman"/>
          <w:spacing w:val="40"/>
          <w:rtl/>
        </w:rPr>
      </w:pPr>
    </w:p>
    <w:p w:rsidR="00681586" w:rsidRPr="00681586" w:rsidP="00681586">
      <w:pPr>
        <w:spacing w:line="269" w:lineRule="auto"/>
        <w:rPr>
          <w:rFonts w:eastAsia="Calibri"/>
          <w:rtl/>
        </w:rPr>
      </w:pPr>
      <w:r w:rsidRPr="00681586">
        <w:rPr>
          <w:rFonts w:eastAsia="Calibri" w:hint="cs"/>
          <w:rtl/>
        </w:rPr>
        <w:t>כאמור, כחלק מנוהל העסקת בני משפחה מטפלים, דרש בט"ל מחברות הסיעוד ל</w:t>
      </w:r>
      <w:r w:rsidRPr="00681586">
        <w:rPr>
          <w:rFonts w:eastAsia="Calibri"/>
          <w:rtl/>
        </w:rPr>
        <w:t>תעד את כל השיקולים שהיו בפני</w:t>
      </w:r>
      <w:r w:rsidRPr="00681586">
        <w:rPr>
          <w:rFonts w:eastAsia="Calibri" w:hint="cs"/>
          <w:rtl/>
        </w:rPr>
        <w:t>י</w:t>
      </w:r>
      <w:r w:rsidRPr="00681586">
        <w:rPr>
          <w:rFonts w:eastAsia="Calibri"/>
          <w:rtl/>
        </w:rPr>
        <w:t>ה לגבי העסקת בן המשפחה</w:t>
      </w:r>
      <w:r w:rsidRPr="00681586">
        <w:rPr>
          <w:rFonts w:eastAsia="Calibri" w:hint="cs"/>
          <w:rtl/>
        </w:rPr>
        <w:t xml:space="preserve"> בדוח</w:t>
      </w:r>
      <w:r w:rsidRPr="00681586">
        <w:rPr>
          <w:rFonts w:eastAsia="Calibri"/>
          <w:rtl/>
        </w:rPr>
        <w:t xml:space="preserve">. </w:t>
      </w:r>
      <w:r w:rsidRPr="00681586">
        <w:rPr>
          <w:rFonts w:eastAsia="Calibri" w:hint="cs"/>
          <w:rtl/>
        </w:rPr>
        <w:t xml:space="preserve">בנוסף דרש בט"ל כי </w:t>
      </w:r>
      <w:r w:rsidRPr="00681586">
        <w:rPr>
          <w:rFonts w:eastAsia="Calibri"/>
          <w:rtl/>
        </w:rPr>
        <w:t>על הדוח לכלול את כל המידע הרלוונטי להחלטה על התאמת</w:t>
      </w:r>
      <w:r w:rsidRPr="00681586">
        <w:rPr>
          <w:rFonts w:eastAsia="Calibri" w:hint="cs"/>
          <w:rtl/>
        </w:rPr>
        <w:t>ו של</w:t>
      </w:r>
      <w:r w:rsidRPr="00681586">
        <w:rPr>
          <w:rFonts w:eastAsia="Calibri"/>
          <w:rtl/>
        </w:rPr>
        <w:t xml:space="preserve"> בן המשפחה המטפל לטיפול בזכאי</w:t>
      </w:r>
      <w:r w:rsidRPr="00681586">
        <w:rPr>
          <w:rFonts w:eastAsia="Calibri" w:hint="cs"/>
          <w:rtl/>
        </w:rPr>
        <w:t xml:space="preserve">, וכן קבע בט"ל כי על חברות הסיעוד </w:t>
      </w:r>
      <w:r w:rsidRPr="00681586">
        <w:rPr>
          <w:rFonts w:eastAsia="Calibri"/>
          <w:rtl/>
        </w:rPr>
        <w:t>להמציא דוח זה לפי דרישת</w:t>
      </w:r>
      <w:r w:rsidRPr="00681586">
        <w:rPr>
          <w:rFonts w:eastAsia="Calibri" w:hint="cs"/>
          <w:rtl/>
        </w:rPr>
        <w:t xml:space="preserve">ו.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בביקורת עלה כי בט"ל לא פנה בדרישה לחברות הסיעוד לקבל דוחות המתעדים את השיקולים שהיו בפניהן באישור בני משפחה מטפלים, אף שדרש מהחברות להכין דוחות אלו ולהמציא לו אותם על פי דרישה. דוחות אלו עשויים לשמש כלי בקרה על העסקת בני משפחה מטפלים, ובהיעדר איסוף וניתוח נתונים לגביהם, בט"ל פוגע ביכולתו לבקר את טיב השירות שמקבלים סיעודיים מבני משפחתם.</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בט"ל מסר בתשובתו כי </w:t>
      </w:r>
      <w:r w:rsidRPr="00681586">
        <w:rPr>
          <w:rFonts w:eastAsia="Calibri"/>
          <w:rtl/>
        </w:rPr>
        <w:t>נושא הבקרה על גיוס מטפלים</w:t>
      </w:r>
      <w:r w:rsidRPr="00681586">
        <w:rPr>
          <w:rFonts w:eastAsia="Calibri" w:hint="cs"/>
          <w:rtl/>
        </w:rPr>
        <w:t>,</w:t>
      </w:r>
      <w:r w:rsidRPr="00681586">
        <w:rPr>
          <w:rFonts w:eastAsia="Calibri"/>
          <w:rtl/>
        </w:rPr>
        <w:t xml:space="preserve"> ובכללם גם בני משפחה, מצוי בתוכנית העבודה של יחידת הבקרה. </w:t>
      </w:r>
      <w:r w:rsidRPr="00681586">
        <w:rPr>
          <w:rFonts w:eastAsia="Calibri" w:hint="cs"/>
          <w:rtl/>
        </w:rPr>
        <w:t xml:space="preserve">בט"ל </w:t>
      </w:r>
      <w:r w:rsidRPr="00681586">
        <w:rPr>
          <w:rFonts w:eastAsia="Calibri"/>
          <w:rtl/>
        </w:rPr>
        <w:t xml:space="preserve">רואה חשיבות בהבטחת איכות, מקצועיות, הכשרה והתאמה של כלל המטפלים בזקנים. ללא הבחנה בין מטפלים </w:t>
      </w:r>
      <w:r w:rsidRPr="00681586">
        <w:rPr>
          <w:rFonts w:eastAsia="Calibri" w:hint="cs"/>
          <w:rtl/>
        </w:rPr>
        <w:t xml:space="preserve">שהם </w:t>
      </w:r>
      <w:r w:rsidRPr="00681586">
        <w:rPr>
          <w:rFonts w:eastAsia="Calibri"/>
          <w:rtl/>
        </w:rPr>
        <w:t xml:space="preserve">בני משפחה </w:t>
      </w:r>
      <w:r w:rsidRPr="00681586">
        <w:rPr>
          <w:rFonts w:eastAsia="Calibri" w:hint="cs"/>
          <w:rtl/>
        </w:rPr>
        <w:t>ל</w:t>
      </w:r>
      <w:r w:rsidRPr="00681586">
        <w:rPr>
          <w:rFonts w:eastAsia="Calibri"/>
          <w:rtl/>
        </w:rPr>
        <w:t>אחרים ולפיכך, הבקרה תתקיים על תהליכי הגיוס של כלל המטפלים, תוך איסוף והצג</w:t>
      </w:r>
      <w:r w:rsidRPr="00681586">
        <w:rPr>
          <w:rFonts w:eastAsia="Calibri" w:hint="cs"/>
          <w:rtl/>
        </w:rPr>
        <w:t>ה של</w:t>
      </w:r>
      <w:r w:rsidRPr="00681586">
        <w:rPr>
          <w:rFonts w:eastAsia="Calibri"/>
          <w:rtl/>
        </w:rPr>
        <w:t xml:space="preserve"> נתונים שיאפשרו ניתוח והשוואה בין מטפלים </w:t>
      </w:r>
      <w:r w:rsidRPr="00681586">
        <w:rPr>
          <w:rFonts w:eastAsia="Calibri" w:hint="cs"/>
          <w:rtl/>
        </w:rPr>
        <w:t xml:space="preserve">שהם </w:t>
      </w:r>
      <w:r w:rsidRPr="00681586">
        <w:rPr>
          <w:rFonts w:eastAsia="Calibri"/>
          <w:rtl/>
        </w:rPr>
        <w:t>בני משפחה לאחרים</w:t>
      </w:r>
      <w:r w:rsidRPr="00681586">
        <w:rPr>
          <w:rFonts w:eastAsia="Calibri" w:hint="cs"/>
          <w:rtl/>
        </w:rPr>
        <w:t>. עוד השיב בט"ל כי הוקמה באגף הסיעוד יחידת בקרה ייעודית האמונה על ביצוע בקרות שוטפות</w:t>
      </w:r>
      <w:r w:rsidRPr="00681586">
        <w:rPr>
          <w:rFonts w:eastAsia="Calibri"/>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eastAsia"/>
          <w:b/>
          <w:bCs/>
          <w:rtl/>
        </w:rPr>
        <w:t>מומלץ</w:t>
      </w:r>
      <w:r w:rsidRPr="00681586">
        <w:rPr>
          <w:rFonts w:eastAsia="Calibri"/>
          <w:b/>
          <w:bCs/>
          <w:rtl/>
        </w:rPr>
        <w:t xml:space="preserve"> כי בט"ל יאסוף את הדוחות המתעדים את השיקולים שהיו לחברות הסיעוד </w:t>
      </w:r>
      <w:r w:rsidRPr="00681586">
        <w:rPr>
          <w:rFonts w:eastAsia="Calibri" w:hint="eastAsia"/>
          <w:b/>
          <w:bCs/>
          <w:rtl/>
        </w:rPr>
        <w:t>באישור</w:t>
      </w:r>
      <w:r w:rsidRPr="00681586">
        <w:rPr>
          <w:rFonts w:eastAsia="Calibri"/>
          <w:b/>
          <w:bCs/>
          <w:rtl/>
        </w:rPr>
        <w:t xml:space="preserve"> בני משפחה מטפלים וינתחם, על מנת </w:t>
      </w:r>
      <w:r w:rsidRPr="00681586">
        <w:rPr>
          <w:rFonts w:eastAsia="Calibri" w:hint="eastAsia"/>
          <w:b/>
          <w:bCs/>
          <w:rtl/>
        </w:rPr>
        <w:t>לוודא</w:t>
      </w:r>
      <w:r w:rsidRPr="00681586">
        <w:rPr>
          <w:rFonts w:eastAsia="Calibri"/>
          <w:b/>
          <w:bCs/>
          <w:rtl/>
        </w:rPr>
        <w:t xml:space="preserve"> </w:t>
      </w:r>
      <w:r w:rsidRPr="00681586">
        <w:rPr>
          <w:rFonts w:eastAsia="Calibri" w:hint="eastAsia"/>
          <w:b/>
          <w:bCs/>
          <w:rtl/>
        </w:rPr>
        <w:t>כי</w:t>
      </w:r>
      <w:r w:rsidRPr="00681586">
        <w:rPr>
          <w:rFonts w:eastAsia="Calibri"/>
          <w:b/>
          <w:bCs/>
          <w:rtl/>
        </w:rPr>
        <w:t xml:space="preserve"> </w:t>
      </w:r>
      <w:r w:rsidRPr="00681586">
        <w:rPr>
          <w:rFonts w:eastAsia="Calibri" w:hint="eastAsia"/>
          <w:b/>
          <w:bCs/>
          <w:rtl/>
        </w:rPr>
        <w:t>השיקולים</w:t>
      </w:r>
      <w:r w:rsidRPr="00681586">
        <w:rPr>
          <w:rFonts w:eastAsia="Calibri"/>
          <w:b/>
          <w:bCs/>
          <w:rtl/>
        </w:rPr>
        <w:t xml:space="preserve"> על בסיסם התקבלת ההחלטה </w:t>
      </w:r>
      <w:r w:rsidRPr="00681586">
        <w:rPr>
          <w:rFonts w:eastAsia="Calibri" w:hint="eastAsia"/>
          <w:b/>
          <w:bCs/>
          <w:rtl/>
        </w:rPr>
        <w:t>הם</w:t>
      </w:r>
      <w:r w:rsidRPr="00681586">
        <w:rPr>
          <w:rFonts w:eastAsia="Calibri"/>
          <w:b/>
          <w:bCs/>
          <w:rtl/>
        </w:rPr>
        <w:t xml:space="preserve"> לטובת </w:t>
      </w:r>
      <w:r w:rsidRPr="00681586">
        <w:rPr>
          <w:rFonts w:eastAsia="Calibri" w:hint="cs"/>
          <w:b/>
          <w:bCs/>
          <w:rtl/>
        </w:rPr>
        <w:t>מקבל הגמלה</w:t>
      </w:r>
      <w:r w:rsidRPr="00681586">
        <w:rPr>
          <w:rFonts w:eastAsia="Calibri"/>
          <w:b/>
          <w:bCs/>
          <w:rtl/>
        </w:rPr>
        <w:t xml:space="preserve">, </w:t>
      </w:r>
      <w:r w:rsidRPr="00681586">
        <w:rPr>
          <w:rFonts w:eastAsia="Calibri" w:hint="eastAsia"/>
          <w:b/>
          <w:bCs/>
          <w:rtl/>
        </w:rPr>
        <w:t>דבר</w:t>
      </w:r>
      <w:r w:rsidRPr="00681586">
        <w:rPr>
          <w:rFonts w:eastAsia="Calibri"/>
          <w:b/>
          <w:bCs/>
          <w:rtl/>
        </w:rPr>
        <w:t xml:space="preserve"> </w:t>
      </w:r>
      <w:r w:rsidRPr="00681586">
        <w:rPr>
          <w:rFonts w:eastAsia="Calibri" w:hint="eastAsia"/>
          <w:b/>
          <w:bCs/>
          <w:rtl/>
        </w:rPr>
        <w:t>שיאפשר</w:t>
      </w:r>
      <w:r w:rsidRPr="00681586">
        <w:rPr>
          <w:rFonts w:eastAsia="Calibri"/>
          <w:b/>
          <w:bCs/>
          <w:rtl/>
        </w:rPr>
        <w:t xml:space="preserve"> </w:t>
      </w:r>
      <w:r w:rsidRPr="00681586">
        <w:rPr>
          <w:rFonts w:eastAsia="Calibri" w:hint="eastAsia"/>
          <w:b/>
          <w:bCs/>
          <w:rtl/>
        </w:rPr>
        <w:t>להעריך</w:t>
      </w:r>
      <w:r w:rsidRPr="00681586">
        <w:rPr>
          <w:rFonts w:eastAsia="Calibri"/>
          <w:b/>
          <w:bCs/>
          <w:rtl/>
        </w:rPr>
        <w:t xml:space="preserve"> </w:t>
      </w:r>
      <w:r w:rsidRPr="00681586">
        <w:rPr>
          <w:rFonts w:eastAsia="Calibri" w:hint="eastAsia"/>
          <w:b/>
          <w:bCs/>
          <w:rtl/>
        </w:rPr>
        <w:t>את</w:t>
      </w:r>
      <w:r w:rsidRPr="00681586">
        <w:rPr>
          <w:rFonts w:eastAsia="Calibri"/>
          <w:b/>
          <w:bCs/>
          <w:rtl/>
        </w:rPr>
        <w:t xml:space="preserve"> ההחלטות של חברות הסיעוד בעניין זה</w:t>
      </w:r>
      <w:r w:rsidRPr="00681586">
        <w:rPr>
          <w:rFonts w:eastAsia="Calibri" w:hint="cs"/>
          <w:b/>
          <w:bCs/>
          <w:rtl/>
        </w:rPr>
        <w:t>.</w:t>
      </w:r>
    </w:p>
    <w:p w:rsidR="00681586" w:rsidRPr="00681586" w:rsidP="00681586">
      <w:pPr>
        <w:spacing w:line="269" w:lineRule="auto"/>
        <w:ind w:left="-567"/>
        <w:rPr>
          <w:rFonts w:eastAsia="Calibri"/>
          <w:szCs w:val="20"/>
          <w:rtl/>
        </w:rPr>
      </w:pPr>
    </w:p>
    <w:p w:rsidR="00681586" w:rsidRPr="00681586" w:rsidP="00AE60E6">
      <w:pPr>
        <w:keepNext/>
        <w:keepLines/>
        <w:spacing w:before="120" w:line="269" w:lineRule="auto"/>
        <w:outlineLvl w:val="4"/>
        <w:rPr>
          <w:rFonts w:eastAsia="Times New Roman"/>
          <w:bCs/>
          <w:spacing w:val="40"/>
          <w:rtl/>
        </w:rPr>
      </w:pPr>
      <w:r w:rsidRPr="00681586">
        <w:rPr>
          <w:rFonts w:eastAsia="Times New Roman" w:hint="cs"/>
          <w:bCs/>
          <w:spacing w:val="40"/>
          <w:rtl/>
        </w:rPr>
        <w:t>בקרה על נוכחות בני המשפחה המטפלים</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כאמור, הפיילוט להעסקת בני משפחה מטפלים החל בשנת 2018 באזורים שבהם החל הפיילוט להטמעתה של מערכת רישום נוכחות למטפלים בזכאים לגמלת סיעוד. בט"ל קבע כי </w:t>
      </w:r>
      <w:r w:rsidRPr="00681586">
        <w:rPr>
          <w:rFonts w:eastAsia="Calibri"/>
          <w:rtl/>
        </w:rPr>
        <w:t xml:space="preserve">העסקת בני המשפחה בטיפול </w:t>
      </w:r>
      <w:r w:rsidRPr="00681586">
        <w:rPr>
          <w:rFonts w:eastAsia="Calibri" w:hint="cs"/>
          <w:rtl/>
        </w:rPr>
        <w:t>בסיעודיים</w:t>
      </w:r>
      <w:r w:rsidRPr="00681586">
        <w:rPr>
          <w:rFonts w:eastAsia="Calibri"/>
          <w:rtl/>
        </w:rPr>
        <w:t xml:space="preserve"> תתאפשר בתנאי שהמטפלים מדווחים על שעות עבודתם במערכת</w:t>
      </w:r>
      <w:r w:rsidRPr="00681586">
        <w:rPr>
          <w:rFonts w:eastAsia="Calibri" w:hint="cs"/>
          <w:rtl/>
        </w:rPr>
        <w:t xml:space="preserve"> של</w:t>
      </w:r>
      <w:r w:rsidRPr="00681586">
        <w:rPr>
          <w:rFonts w:eastAsia="Calibri"/>
          <w:rtl/>
        </w:rPr>
        <w:t xml:space="preserve"> רישום נוכחות מרחו</w:t>
      </w:r>
      <w:r w:rsidRPr="00681586">
        <w:rPr>
          <w:rFonts w:eastAsia="Calibri" w:hint="cs"/>
          <w:rtl/>
        </w:rPr>
        <w:t>ק</w:t>
      </w:r>
      <w:r>
        <w:rPr>
          <w:rFonts w:eastAsia="Calibri"/>
          <w:vertAlign w:val="superscript"/>
          <w:rtl/>
        </w:rPr>
        <w:footnoteReference w:id="156"/>
      </w:r>
      <w:r w:rsidRPr="00681586">
        <w:rPr>
          <w:rFonts w:eastAsia="Calibri" w:hint="cs"/>
          <w:rtl/>
        </w:rPr>
        <w:t xml:space="preserve">. בהמשך, בשנת 2020, הופסקה פריסת </w:t>
      </w:r>
      <w:r w:rsidRPr="00681586">
        <w:rPr>
          <w:rFonts w:eastAsia="Calibri"/>
          <w:rtl/>
        </w:rPr>
        <w:t xml:space="preserve">מערכת </w:t>
      </w:r>
      <w:r w:rsidRPr="00681586">
        <w:rPr>
          <w:rFonts w:eastAsia="Calibri" w:hint="cs"/>
          <w:rtl/>
        </w:rPr>
        <w:t>ה</w:t>
      </w:r>
      <w:r w:rsidRPr="00681586">
        <w:rPr>
          <w:rFonts w:eastAsia="Calibri"/>
          <w:rtl/>
        </w:rPr>
        <w:t xml:space="preserve">דיווח </w:t>
      </w:r>
      <w:r w:rsidRPr="00681586">
        <w:rPr>
          <w:rFonts w:eastAsia="Calibri" w:hint="cs"/>
          <w:rtl/>
        </w:rPr>
        <w:t>ה</w:t>
      </w:r>
      <w:r w:rsidRPr="00681586">
        <w:rPr>
          <w:rFonts w:eastAsia="Calibri"/>
          <w:rtl/>
        </w:rPr>
        <w:t>אלקטרונית</w:t>
      </w:r>
      <w:r w:rsidRPr="00681586">
        <w:rPr>
          <w:rFonts w:eastAsia="Calibri" w:hint="cs"/>
          <w:rtl/>
        </w:rPr>
        <w:t xml:space="preserve"> המאפשרת בקרה אחר המטפלים, והשימוש בה הפך להיות וולונטר</w:t>
      </w:r>
      <w:r w:rsidRPr="00681586">
        <w:rPr>
          <w:rFonts w:eastAsia="Calibri" w:hint="eastAsia"/>
          <w:rtl/>
        </w:rPr>
        <w:t>י</w:t>
      </w:r>
      <w:r w:rsidRPr="00681586">
        <w:rPr>
          <w:rFonts w:eastAsia="Calibri" w:hint="cs"/>
          <w:rtl/>
        </w:rPr>
        <w:t xml:space="preserve"> עבור חברות הסיעוד</w:t>
      </w:r>
      <w:r>
        <w:rPr>
          <w:rFonts w:eastAsia="Calibri"/>
          <w:vertAlign w:val="superscript"/>
          <w:rtl/>
        </w:rPr>
        <w:footnoteReference w:id="157"/>
      </w:r>
      <w:r w:rsidRPr="00681586">
        <w:rPr>
          <w:rFonts w:eastAsia="Calibri" w:hint="cs"/>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בביקורת עלה כי למרות ביטול הפיילוט לפריסה של מערכת רישום נוכחות מקוונת למטפלים, בשנת 2020, בט"ל המשיך לאפשר את העסקתם של בני משפחה מטפלים ואף הרחיב אפשרות להעסקת בני משפחה מטפלים לכלל היישובים בארץ, ללא מתן מענה לנושא הפיקוח על שעות העבודה של בני המשפחה המטפלים.</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בט"ל מסר בתשובתו כי </w:t>
      </w:r>
      <w:r w:rsidRPr="00681586">
        <w:rPr>
          <w:rFonts w:eastAsia="Calibri"/>
          <w:rtl/>
        </w:rPr>
        <w:t>אגף הסיעוד פועל להטמעת מערכת דיווח נוכחות מבוססת מיקום</w:t>
      </w:r>
      <w:r w:rsidRPr="00681586">
        <w:rPr>
          <w:rFonts w:eastAsia="Calibri" w:hint="cs"/>
          <w:rtl/>
        </w:rPr>
        <w:t>, וכי</w:t>
      </w:r>
      <w:r w:rsidRPr="00681586">
        <w:rPr>
          <w:rFonts w:eastAsia="Calibri"/>
          <w:rtl/>
        </w:rPr>
        <w:t xml:space="preserve"> יישומה המלא מתעכב</w:t>
      </w:r>
      <w:r w:rsidRPr="00681586">
        <w:rPr>
          <w:rFonts w:eastAsia="Calibri" w:hint="cs"/>
          <w:rtl/>
        </w:rPr>
        <w:t xml:space="preserve">. עוד מסר בט"ל כי </w:t>
      </w:r>
      <w:r w:rsidRPr="00681586">
        <w:rPr>
          <w:rFonts w:ascii="David" w:eastAsia="Calibri" w:hAnsi="David" w:hint="cs"/>
          <w:sz w:val="24"/>
          <w:rtl/>
        </w:rPr>
        <w:t xml:space="preserve">הוא </w:t>
      </w:r>
      <w:r w:rsidRPr="00681586">
        <w:rPr>
          <w:rFonts w:ascii="David" w:eastAsia="Calibri" w:hAnsi="David"/>
          <w:sz w:val="24"/>
          <w:rtl/>
        </w:rPr>
        <w:t xml:space="preserve">מטפל באופן שוטף בתלונות ובמקרים </w:t>
      </w:r>
      <w:r w:rsidRPr="00681586">
        <w:rPr>
          <w:rFonts w:ascii="David" w:eastAsia="Calibri" w:hAnsi="David" w:hint="cs"/>
          <w:sz w:val="24"/>
          <w:rtl/>
        </w:rPr>
        <w:t>ש</w:t>
      </w:r>
      <w:r w:rsidRPr="00681586">
        <w:rPr>
          <w:rFonts w:ascii="David" w:eastAsia="Calibri" w:hAnsi="David"/>
          <w:sz w:val="24"/>
          <w:rtl/>
        </w:rPr>
        <w:t>בהם עולה חשש כי בן משפחה מטפל או כל מטפל אחר אינו מספק טיפול הולם, ובמצב זה נדרשת החלפתו.</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b/>
          <w:bCs/>
          <w:rtl/>
        </w:rPr>
        <w:t>מומלץ לבט"ל לבחון את האפשרות לפקח על נוכחותם של בני המשפחה המטפלים בבית הזכאי לגמלת סיעוד על מנת לוודא שהוא מקבל את כל שעות הטיפול להם הוא זכאי על פי חוק</w:t>
      </w:r>
      <w:r w:rsidRPr="00681586">
        <w:rPr>
          <w:rFonts w:eastAsia="Calibri" w:hint="cs"/>
          <w:rtl/>
        </w:rPr>
        <w:t>.</w:t>
      </w:r>
    </w:p>
    <w:p w:rsidR="00681586" w:rsidRPr="00681586" w:rsidP="00681586">
      <w:pPr>
        <w:spacing w:line="269" w:lineRule="auto"/>
        <w:ind w:left="-567"/>
        <w:rPr>
          <w:rFonts w:eastAsia="Calibri"/>
          <w:szCs w:val="20"/>
          <w:rtl/>
        </w:rPr>
      </w:pPr>
    </w:p>
    <w:p w:rsidR="00681586" w:rsidRPr="00681586" w:rsidP="00AE60E6">
      <w:pPr>
        <w:keepNext/>
        <w:keepLines/>
        <w:spacing w:before="120" w:line="269" w:lineRule="auto"/>
        <w:outlineLvl w:val="4"/>
        <w:rPr>
          <w:rFonts w:eastAsia="Times New Roman"/>
          <w:spacing w:val="40"/>
          <w:rtl/>
        </w:rPr>
      </w:pPr>
      <w:r w:rsidRPr="00681586">
        <w:rPr>
          <w:rFonts w:eastAsia="Times New Roman" w:hint="eastAsia"/>
          <w:bCs/>
          <w:spacing w:val="40"/>
          <w:rtl/>
        </w:rPr>
        <w:t>ויתור</w:t>
      </w:r>
      <w:r w:rsidRPr="00681586">
        <w:rPr>
          <w:rFonts w:eastAsia="Times New Roman"/>
          <w:bCs/>
          <w:spacing w:val="40"/>
          <w:rtl/>
        </w:rPr>
        <w:t xml:space="preserve"> </w:t>
      </w:r>
      <w:r w:rsidRPr="00681586">
        <w:rPr>
          <w:rFonts w:eastAsia="Times New Roman" w:hint="eastAsia"/>
          <w:bCs/>
          <w:spacing w:val="40"/>
          <w:rtl/>
        </w:rPr>
        <w:t>על</w:t>
      </w:r>
      <w:r w:rsidRPr="00681586">
        <w:rPr>
          <w:rFonts w:eastAsia="Times New Roman" w:hint="cs"/>
          <w:bCs/>
          <w:spacing w:val="40"/>
          <w:rtl/>
        </w:rPr>
        <w:t xml:space="preserve"> </w:t>
      </w:r>
      <w:r w:rsidRPr="00681586">
        <w:rPr>
          <w:rFonts w:eastAsia="Times New Roman" w:hint="eastAsia"/>
          <w:bCs/>
          <w:spacing w:val="40"/>
          <w:rtl/>
        </w:rPr>
        <w:t>שירותי</w:t>
      </w:r>
      <w:r w:rsidRPr="00681586">
        <w:rPr>
          <w:rFonts w:eastAsia="Times New Roman"/>
          <w:bCs/>
          <w:spacing w:val="40"/>
          <w:rtl/>
        </w:rPr>
        <w:t xml:space="preserve"> </w:t>
      </w:r>
      <w:r w:rsidRPr="00681586">
        <w:rPr>
          <w:rFonts w:eastAsia="Times New Roman" w:hint="eastAsia"/>
          <w:bCs/>
          <w:spacing w:val="40"/>
          <w:rtl/>
        </w:rPr>
        <w:t>סיעוד</w:t>
      </w:r>
      <w:r w:rsidRPr="00681586">
        <w:rPr>
          <w:rFonts w:eastAsia="Times New Roman" w:hint="cs"/>
          <w:bCs/>
          <w:spacing w:val="40"/>
          <w:rtl/>
        </w:rPr>
        <w:t xml:space="preserve"> </w:t>
      </w:r>
      <w:r w:rsidRPr="00681586">
        <w:rPr>
          <w:rFonts w:eastAsia="Times New Roman" w:hint="eastAsia"/>
          <w:bCs/>
          <w:spacing w:val="40"/>
          <w:rtl/>
        </w:rPr>
        <w:t>קהילתיים</w:t>
      </w:r>
      <w:r w:rsidRPr="00681586">
        <w:rPr>
          <w:rFonts w:eastAsia="Times New Roman" w:hint="cs"/>
          <w:bCs/>
          <w:spacing w:val="40"/>
          <w:rtl/>
        </w:rPr>
        <w:t xml:space="preserve"> </w:t>
      </w:r>
    </w:p>
    <w:p w:rsidR="00681586" w:rsidRPr="00681586" w:rsidP="00681586">
      <w:pPr>
        <w:spacing w:line="269" w:lineRule="auto"/>
        <w:ind w:left="-567"/>
        <w:rPr>
          <w:rFonts w:eastAsia="Times New Roman"/>
          <w:spacing w:val="40"/>
          <w:rtl/>
        </w:rPr>
      </w:pPr>
    </w:p>
    <w:p w:rsidR="00681586" w:rsidRPr="00681586" w:rsidP="00681586">
      <w:pPr>
        <w:spacing w:line="269" w:lineRule="auto"/>
        <w:rPr>
          <w:rFonts w:eastAsia="Calibri"/>
          <w:rtl/>
        </w:rPr>
      </w:pPr>
      <w:r w:rsidRPr="00681586">
        <w:rPr>
          <w:rFonts w:eastAsia="Calibri" w:hint="cs"/>
          <w:rtl/>
        </w:rPr>
        <w:t xml:space="preserve">כאמור, הזכאות לגמלת סיעוד כוללת תוכנית טיפולית המכילה כמה מרכיבים כמו טיפול אישי וקצבה כספית, וכן שני סוגים של שירותים בקהילה - מרכזי יום לקשישים וקהילה תומכת. </w:t>
      </w:r>
      <w:r w:rsidRPr="00681586">
        <w:rPr>
          <w:rFonts w:eastAsia="Calibri" w:hint="cs"/>
          <w:rtl/>
        </w:rPr>
        <w:t xml:space="preserve">הזכאים לגמלת סיעוד בוחרים באילו מרכיבים מתוך הסל הם מעוניינים, והם גם יכולים לשלב בין המרכיבים, כך שאם הם בוחרים לדוגמה לבקר יותר ימים בשבוע במרכזי היום, הם מוותרים על שעות טיפול אישי בהתאמה.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מ</w:t>
      </w:r>
      <w:r w:rsidRPr="00681586">
        <w:rPr>
          <w:rFonts w:eastAsia="Calibri"/>
          <w:rtl/>
        </w:rPr>
        <w:t>רכזי היום ממלאים תפקיד חשוב בטיפול בקשישים סיעודיים</w:t>
      </w:r>
      <w:r w:rsidRPr="00681586">
        <w:rPr>
          <w:rFonts w:eastAsia="Calibri" w:hint="cs"/>
          <w:rtl/>
        </w:rPr>
        <w:t xml:space="preserve"> ו</w:t>
      </w:r>
      <w:r w:rsidRPr="00681586">
        <w:rPr>
          <w:rFonts w:eastAsia="Calibri"/>
          <w:rtl/>
        </w:rPr>
        <w:t xml:space="preserve">מספקים </w:t>
      </w:r>
      <w:r w:rsidRPr="00681586">
        <w:rPr>
          <w:rFonts w:eastAsia="Calibri" w:hint="cs"/>
          <w:rtl/>
        </w:rPr>
        <w:t xml:space="preserve">מעטפת </w:t>
      </w:r>
      <w:r w:rsidRPr="00681586">
        <w:rPr>
          <w:rFonts w:eastAsia="Calibri"/>
          <w:rtl/>
        </w:rPr>
        <w:t>טיפול</w:t>
      </w:r>
      <w:r w:rsidRPr="00681586">
        <w:rPr>
          <w:rFonts w:eastAsia="Calibri" w:hint="cs"/>
          <w:rtl/>
        </w:rPr>
        <w:t>ית שלמה</w:t>
      </w:r>
      <w:r w:rsidRPr="00681586">
        <w:rPr>
          <w:rFonts w:eastAsia="Calibri"/>
          <w:rtl/>
        </w:rPr>
        <w:t xml:space="preserve"> תחת קורת גג אחת</w:t>
      </w:r>
      <w:r w:rsidRPr="00681586">
        <w:rPr>
          <w:rFonts w:eastAsia="Calibri" w:hint="cs"/>
          <w:rtl/>
        </w:rPr>
        <w:t>,</w:t>
      </w:r>
      <w:r w:rsidRPr="00681586">
        <w:rPr>
          <w:rFonts w:eastAsia="Calibri"/>
          <w:rtl/>
        </w:rPr>
        <w:t xml:space="preserve"> </w:t>
      </w:r>
      <w:r w:rsidRPr="00681586">
        <w:rPr>
          <w:rFonts w:eastAsia="Calibri" w:hint="cs"/>
          <w:rtl/>
        </w:rPr>
        <w:t xml:space="preserve">הכוללת סיוע בפעילות תפקודית בסיסית - כגון </w:t>
      </w:r>
      <w:r w:rsidRPr="00681586">
        <w:rPr>
          <w:rFonts w:eastAsia="Calibri"/>
          <w:rtl/>
        </w:rPr>
        <w:t>הזנה, רחצה, עזרה בניידות והלבשה</w:t>
      </w:r>
      <w:r w:rsidRPr="00681586">
        <w:rPr>
          <w:rFonts w:eastAsia="Calibri" w:hint="cs"/>
          <w:rtl/>
        </w:rPr>
        <w:t xml:space="preserve"> - ו</w:t>
      </w:r>
      <w:r w:rsidRPr="00681586">
        <w:rPr>
          <w:rFonts w:eastAsia="Calibri"/>
          <w:rtl/>
        </w:rPr>
        <w:t>גם פעילות חברתית ותרבותית לצורך הפגת הבדידות</w:t>
      </w:r>
      <w:r w:rsidRPr="00681586">
        <w:rPr>
          <w:rFonts w:eastAsia="Times New Roman" w:hint="cs"/>
          <w:spacing w:val="40"/>
          <w:rtl/>
        </w:rPr>
        <w:t xml:space="preserve"> </w:t>
      </w:r>
      <w:r w:rsidRPr="00681586">
        <w:rPr>
          <w:rFonts w:eastAsia="Calibri" w:hint="eastAsia"/>
          <w:rtl/>
        </w:rPr>
        <w:t>ו</w:t>
      </w:r>
      <w:r w:rsidRPr="00681586">
        <w:rPr>
          <w:rFonts w:eastAsia="Calibri"/>
          <w:rtl/>
        </w:rPr>
        <w:t>שירותים פרה-רפואיים לשימור המצב התפקודי-קוגניטיבי ולמניעת הידרדרות</w:t>
      </w:r>
      <w:r>
        <w:rPr>
          <w:rFonts w:eastAsia="Calibri"/>
          <w:vertAlign w:val="superscript"/>
          <w:rtl/>
        </w:rPr>
        <w:footnoteReference w:id="158"/>
      </w:r>
      <w:r w:rsidRPr="00681586">
        <w:rPr>
          <w:rFonts w:eastAsia="Calibri" w:hint="cs"/>
          <w:rtl/>
        </w:rPr>
        <w:t xml:space="preserve">. מחקר שבדק את שביעות רצונם של קשישים ממרכזי היום מצא כי </w:t>
      </w:r>
      <w:r w:rsidRPr="00681586">
        <w:rPr>
          <w:rFonts w:eastAsia="Calibri"/>
          <w:rtl/>
        </w:rPr>
        <w:t xml:space="preserve">כמעט כל המבקרים </w:t>
      </w:r>
      <w:r w:rsidRPr="00681586">
        <w:rPr>
          <w:rFonts w:eastAsia="Calibri" w:hint="cs"/>
          <w:rtl/>
        </w:rPr>
        <w:t xml:space="preserve">במרכז </w:t>
      </w:r>
      <w:r w:rsidRPr="00681586">
        <w:rPr>
          <w:rFonts w:eastAsia="Calibri"/>
          <w:rtl/>
        </w:rPr>
        <w:t>(96%) ציינו כי הם באים למרכז כדי להיות בחברת אנשים ולהשתתף בפעילויות</w:t>
      </w:r>
      <w:r w:rsidRPr="00681586">
        <w:rPr>
          <w:rFonts w:eastAsia="Calibri" w:hint="cs"/>
          <w:rtl/>
        </w:rPr>
        <w:t xml:space="preserve">, והם </w:t>
      </w:r>
      <w:r w:rsidRPr="00681586">
        <w:rPr>
          <w:rFonts w:eastAsia="Calibri"/>
          <w:rtl/>
        </w:rPr>
        <w:t>רואים ב</w:t>
      </w:r>
      <w:r w:rsidRPr="00681586">
        <w:rPr>
          <w:rFonts w:eastAsia="Calibri" w:hint="cs"/>
          <w:rtl/>
        </w:rPr>
        <w:t>ו</w:t>
      </w:r>
      <w:r w:rsidRPr="00681586">
        <w:rPr>
          <w:rFonts w:eastAsia="Calibri"/>
          <w:rtl/>
        </w:rPr>
        <w:t xml:space="preserve"> מקום שמקל את הבדידות</w:t>
      </w:r>
      <w:r>
        <w:rPr>
          <w:rFonts w:eastAsia="Calibri"/>
          <w:vertAlign w:val="superscript"/>
          <w:rtl/>
        </w:rPr>
        <w:footnoteReference w:id="159"/>
      </w:r>
      <w:r w:rsidRPr="00681586">
        <w:rPr>
          <w:rFonts w:eastAsia="Calibri"/>
          <w:rtl/>
        </w:rPr>
        <w:t xml:space="preserve"> ומספק עניין, פעילות משמעותית וחברה</w:t>
      </w:r>
      <w:r>
        <w:rPr>
          <w:rFonts w:eastAsia="Calibri"/>
          <w:vertAlign w:val="superscript"/>
          <w:rtl/>
        </w:rPr>
        <w:footnoteReference w:id="160"/>
      </w:r>
      <w:r w:rsidRPr="00681586">
        <w:rPr>
          <w:rFonts w:eastAsia="Calibri" w:hint="cs"/>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נכון לדצמבר 2024, ביקרו במרכזי היום כ-14,200 קשישים, שהם כ-4% בלבד מזכאי חוק סיעוד.</w:t>
      </w:r>
    </w:p>
    <w:p w:rsidR="00681586" w:rsidRPr="00681586" w:rsidP="00681586">
      <w:pPr>
        <w:spacing w:line="269" w:lineRule="auto"/>
        <w:ind w:left="-567"/>
        <w:rPr>
          <w:rFonts w:eastAsia="Calibri"/>
          <w:rtl/>
        </w:rPr>
      </w:pPr>
    </w:p>
    <w:p w:rsidR="00681586" w:rsidRPr="00681586" w:rsidP="00681586">
      <w:pPr>
        <w:spacing w:line="269" w:lineRule="auto"/>
        <w:rPr>
          <w:rFonts w:eastAsia="Calibri"/>
          <w:rtl/>
        </w:rPr>
      </w:pPr>
      <w:r w:rsidRPr="00681586">
        <w:rPr>
          <w:rFonts w:eastAsia="Calibri"/>
          <w:rtl/>
        </w:rPr>
        <w:t xml:space="preserve">תוכנית קהילה תומכת </w:t>
      </w:r>
      <w:r w:rsidRPr="00681586">
        <w:rPr>
          <w:rFonts w:eastAsia="Calibri" w:hint="cs"/>
          <w:rtl/>
        </w:rPr>
        <w:t>מסייעת</w:t>
      </w:r>
      <w:r w:rsidRPr="00681586">
        <w:rPr>
          <w:rFonts w:eastAsia="Calibri"/>
          <w:rtl/>
        </w:rPr>
        <w:t xml:space="preserve"> ל</w:t>
      </w:r>
      <w:r w:rsidRPr="00681586">
        <w:rPr>
          <w:rFonts w:eastAsia="Calibri" w:hint="cs"/>
          <w:rtl/>
        </w:rPr>
        <w:t>קשישים</w:t>
      </w:r>
      <w:r w:rsidRPr="00681586">
        <w:rPr>
          <w:rFonts w:eastAsia="Calibri"/>
          <w:rtl/>
        </w:rPr>
        <w:t xml:space="preserve"> להמשיך לגור בביתם באיכות חיים, בביטחון</w:t>
      </w:r>
      <w:r w:rsidRPr="00681586">
        <w:rPr>
          <w:rFonts w:eastAsia="Calibri" w:hint="cs"/>
          <w:rtl/>
        </w:rPr>
        <w:t xml:space="preserve"> </w:t>
      </w:r>
      <w:r w:rsidRPr="00681586">
        <w:rPr>
          <w:rFonts w:eastAsia="Calibri"/>
          <w:rtl/>
        </w:rPr>
        <w:t>ובעצמאות.</w:t>
      </w:r>
      <w:r w:rsidRPr="00681586">
        <w:rPr>
          <w:rFonts w:eastAsia="Calibri" w:hint="cs"/>
          <w:rtl/>
        </w:rPr>
        <w:t xml:space="preserve"> שירותי קהילה תומכת </w:t>
      </w:r>
      <w:r w:rsidRPr="00681586">
        <w:rPr>
          <w:rFonts w:eastAsia="Calibri"/>
          <w:rtl/>
        </w:rPr>
        <w:t>מספק</w:t>
      </w:r>
      <w:r w:rsidRPr="00681586">
        <w:rPr>
          <w:rFonts w:eastAsia="Calibri" w:hint="cs"/>
          <w:rtl/>
        </w:rPr>
        <w:t>ים</w:t>
      </w:r>
      <w:r w:rsidRPr="00681586">
        <w:rPr>
          <w:rFonts w:eastAsia="Calibri"/>
          <w:rtl/>
        </w:rPr>
        <w:t xml:space="preserve"> </w:t>
      </w:r>
      <w:r w:rsidRPr="00681586">
        <w:rPr>
          <w:rFonts w:eastAsia="Calibri" w:hint="cs"/>
          <w:rtl/>
        </w:rPr>
        <w:t>סל</w:t>
      </w:r>
      <w:r w:rsidRPr="00681586">
        <w:rPr>
          <w:rFonts w:eastAsia="Calibri"/>
          <w:rtl/>
        </w:rPr>
        <w:t xml:space="preserve"> שירותים המסייע לשמירה על עצמאות ואיכות </w:t>
      </w:r>
      <w:r w:rsidRPr="00681586">
        <w:rPr>
          <w:rFonts w:eastAsia="Calibri" w:hint="cs"/>
          <w:rtl/>
        </w:rPr>
        <w:t>ה</w:t>
      </w:r>
      <w:r w:rsidRPr="00681586">
        <w:rPr>
          <w:rFonts w:eastAsia="Calibri"/>
          <w:rtl/>
        </w:rPr>
        <w:t>חיים.</w:t>
      </w:r>
      <w:r w:rsidRPr="00681586">
        <w:rPr>
          <w:rFonts w:eastAsia="Calibri" w:hint="cs"/>
          <w:rtl/>
        </w:rPr>
        <w:t xml:space="preserve"> </w:t>
      </w:r>
      <w:r w:rsidRPr="00681586">
        <w:rPr>
          <w:rFonts w:eastAsia="Calibri"/>
          <w:rtl/>
        </w:rPr>
        <w:t>התוכנית מעניקה לחברים בה</w:t>
      </w:r>
      <w:r w:rsidRPr="00681586">
        <w:rPr>
          <w:rFonts w:eastAsia="Calibri" w:hint="cs"/>
          <w:rtl/>
        </w:rPr>
        <w:t xml:space="preserve"> </w:t>
      </w:r>
      <w:r w:rsidRPr="00681586">
        <w:rPr>
          <w:rFonts w:eastAsia="Calibri"/>
          <w:rtl/>
        </w:rPr>
        <w:t>ביטחון אישי</w:t>
      </w:r>
      <w:r w:rsidRPr="00681586">
        <w:rPr>
          <w:rFonts w:eastAsia="Calibri" w:hint="cs"/>
          <w:rtl/>
        </w:rPr>
        <w:t xml:space="preserve">, </w:t>
      </w:r>
      <w:r w:rsidRPr="00681586">
        <w:rPr>
          <w:rFonts w:eastAsia="Calibri"/>
          <w:rtl/>
        </w:rPr>
        <w:t>נגישות לשירותים רפואיים</w:t>
      </w:r>
      <w:r w:rsidRPr="00681586">
        <w:rPr>
          <w:rFonts w:eastAsia="Calibri" w:hint="cs"/>
          <w:rtl/>
        </w:rPr>
        <w:t xml:space="preserve">, </w:t>
      </w:r>
      <w:r w:rsidRPr="00681586">
        <w:rPr>
          <w:rFonts w:eastAsia="Calibri"/>
          <w:rtl/>
        </w:rPr>
        <w:t>קשר עם מוקד חירום</w:t>
      </w:r>
      <w:r w:rsidRPr="00681586">
        <w:rPr>
          <w:rFonts w:eastAsia="Calibri" w:hint="cs"/>
          <w:rtl/>
        </w:rPr>
        <w:t>,</w:t>
      </w:r>
      <w:r w:rsidRPr="00681586">
        <w:rPr>
          <w:rFonts w:eastAsia="Calibri"/>
          <w:rtl/>
        </w:rPr>
        <w:t xml:space="preserve"> פעילות חברתית ותרבותית.</w:t>
      </w:r>
      <w:r w:rsidRPr="00681586">
        <w:rPr>
          <w:rFonts w:eastAsia="Calibri" w:hint="cs"/>
          <w:rtl/>
        </w:rPr>
        <w:t xml:space="preserve"> מחקר הערכה שנערך על התוכנית</w:t>
      </w:r>
      <w:r>
        <w:rPr>
          <w:rFonts w:eastAsia="Calibri"/>
          <w:vertAlign w:val="superscript"/>
          <w:rtl/>
        </w:rPr>
        <w:footnoteReference w:id="161"/>
      </w:r>
      <w:r w:rsidRPr="00681586">
        <w:rPr>
          <w:rFonts w:eastAsia="Calibri" w:hint="cs"/>
          <w:rtl/>
        </w:rPr>
        <w:t xml:space="preserve"> מצא כי 88% מהחברים בה</w:t>
      </w:r>
      <w:r>
        <w:rPr>
          <w:rFonts w:eastAsia="Calibri"/>
          <w:vertAlign w:val="superscript"/>
          <w:rtl/>
        </w:rPr>
        <w:footnoteReference w:id="162"/>
      </w:r>
      <w:r w:rsidRPr="00681586">
        <w:rPr>
          <w:rFonts w:eastAsia="Calibri" w:hint="cs"/>
          <w:rtl/>
        </w:rPr>
        <w:t xml:space="preserve"> דיווחו על שביעות רצון כללית גבוהה במידה רבה או במידה רבה מאוד, וכי </w:t>
      </w:r>
      <w:r w:rsidRPr="00681586">
        <w:rPr>
          <w:rFonts w:eastAsia="Calibri"/>
          <w:rtl/>
        </w:rPr>
        <w:t xml:space="preserve">כ-61% </w:t>
      </w:r>
      <w:r w:rsidRPr="00681586">
        <w:rPr>
          <w:rFonts w:eastAsia="Calibri" w:hint="cs"/>
          <w:rtl/>
        </w:rPr>
        <w:t>מ</w:t>
      </w:r>
      <w:r w:rsidRPr="00681586">
        <w:rPr>
          <w:rFonts w:eastAsia="Calibri"/>
          <w:rtl/>
        </w:rPr>
        <w:t>החברים השתתפו בפעילות חברתית</w:t>
      </w:r>
      <w:r>
        <w:rPr>
          <w:rFonts w:eastAsia="Calibri"/>
          <w:vertAlign w:val="superscript"/>
          <w:rtl/>
        </w:rPr>
        <w:footnoteReference w:id="163"/>
      </w:r>
      <w:r w:rsidRPr="00681586">
        <w:rPr>
          <w:rFonts w:eastAsia="Calibri"/>
          <w:rtl/>
        </w:rPr>
        <w:t>.</w:t>
      </w:r>
      <w:r w:rsidRPr="00681586">
        <w:rPr>
          <w:rFonts w:eastAsia="Calibri" w:hint="cs"/>
          <w:rtl/>
        </w:rPr>
        <w:t xml:space="preserve">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נכון לדצמבר 2024, כ-8,500 קשישים סיעודיים, שהם כ-2% בלבד מזכאי חוק סיעוד, כללו את שירותי הקהילה התומכת בסל הטיפול שלהם.</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מראיונות העומק שערך משרד מבקר המדינה במרכזי היום עם קשישים סיעודיים ועם מנהלים ועו"סים במרכזים עלה כי שביעות הרצון של הקשישים שהתראיינו במרכזי היום הייתה גבוהה. עם זאת עלה גם כי קשישים המטופלים על ידי בן משפחה נמנעים לעיתים מהגדלת מספר הימים שבהם הם מבקרים במרכזי היום במסגרת הזכאות לגמלת סיעוד. זאת כדי לא לפגוע בסך שעות הטיפול האישי במסגרת הגמלה, דבר הפוגע בשכר המשולם לבן המשפחה עבור שעות הטיפול. </w:t>
      </w:r>
    </w:p>
    <w:p w:rsidR="00681586" w:rsidRPr="00681586" w:rsidP="00681586">
      <w:pPr>
        <w:spacing w:line="269" w:lineRule="auto"/>
        <w:ind w:left="-567"/>
        <w:rPr>
          <w:rFonts w:eastAsia="Calibri"/>
          <w:b/>
          <w:bCs/>
          <w:szCs w:val="20"/>
          <w:rtl/>
        </w:rPr>
      </w:pPr>
    </w:p>
    <w:p w:rsidR="00681586" w:rsidRPr="00681586" w:rsidP="00681586">
      <w:pPr>
        <w:spacing w:line="269" w:lineRule="auto"/>
        <w:rPr>
          <w:rFonts w:eastAsia="Calibri"/>
          <w:b/>
          <w:bCs/>
          <w:rtl/>
        </w:rPr>
      </w:pPr>
      <w:r w:rsidRPr="00681586">
        <w:rPr>
          <w:rFonts w:eastAsia="Calibri" w:hint="cs"/>
          <w:b/>
          <w:bCs/>
          <w:rtl/>
        </w:rPr>
        <w:t>להלן כמה ציטוטים מראיונות שנערכו עם מנהלים של מרכזי היום לקשישים:</w:t>
      </w:r>
    </w:p>
    <w:p w:rsidR="00681586" w:rsidRPr="00681586" w:rsidP="00681586">
      <w:pPr>
        <w:spacing w:line="269" w:lineRule="auto"/>
        <w:jc w:val="center"/>
        <w:rPr>
          <w:rFonts w:eastAsia="Calibri"/>
          <w:b/>
          <w:bCs/>
          <w:rtl/>
        </w:rPr>
      </w:pPr>
      <w:r w:rsidRPr="00681586">
        <w:rPr>
          <w:rFonts w:eastAsia="Calibri"/>
          <w:b/>
          <w:bCs/>
          <w:noProof/>
        </w:rPr>
        <w:drawing>
          <wp:inline distT="0" distB="0" distL="0" distR="0">
            <wp:extent cx="2812616" cy="986554"/>
            <wp:effectExtent l="0" t="0" r="6985" b="4445"/>
            <wp:docPr id="125" name="תמונה 125" descr="&quot;פנו אלינו קשישים שמעוניינים לבקר ימים נוספים במהלך השבוע במרכזי היום, אך הם נמנעים מכך כיוון שהם לא רוצים להוריד מהסל חלק משעות טיפול כדי לא לפגוע במשכורת של&#10;בן המשפחה המוגדר כבן משפחה מטפל&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1"/>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46567" cy="998463"/>
                    </a:xfrm>
                    <a:prstGeom prst="rect">
                      <a:avLst/>
                    </a:prstGeom>
                    <a:noFill/>
                  </pic:spPr>
                </pic:pic>
              </a:graphicData>
            </a:graphic>
          </wp:inline>
        </w:drawing>
      </w:r>
    </w:p>
    <w:p w:rsidR="00681586" w:rsidRPr="00681586" w:rsidP="00681586">
      <w:pPr>
        <w:spacing w:line="269" w:lineRule="auto"/>
        <w:jc w:val="center"/>
        <w:rPr>
          <w:rFonts w:eastAsia="Calibri"/>
          <w:b/>
          <w:bCs/>
          <w:rtl/>
        </w:rPr>
      </w:pPr>
      <w:r w:rsidRPr="00681586">
        <w:rPr>
          <w:rFonts w:eastAsia="Calibri"/>
          <w:b/>
          <w:bCs/>
          <w:noProof/>
        </w:rPr>
        <w:drawing>
          <wp:inline distT="0" distB="0" distL="0" distR="0">
            <wp:extent cx="2875215" cy="671170"/>
            <wp:effectExtent l="0" t="0" r="1905" b="0"/>
            <wp:docPr id="126" name="תמונה 126" descr="&quot;עבור משפחות קשות יום זוהי [גמלת הסיעוד] הכנסה עיקרית שלהם. הם לא יפחיתו שקל מהקצבה&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74902" cy="694440"/>
                    </a:xfrm>
                    <a:prstGeom prst="rect">
                      <a:avLst/>
                    </a:prstGeom>
                    <a:noFill/>
                  </pic:spPr>
                </pic:pic>
              </a:graphicData>
            </a:graphic>
          </wp:inline>
        </w:drawing>
      </w:r>
    </w:p>
    <w:p w:rsidR="00681586" w:rsidRPr="00681586" w:rsidP="00681586">
      <w:pPr>
        <w:spacing w:line="269" w:lineRule="auto"/>
        <w:jc w:val="center"/>
        <w:rPr>
          <w:rFonts w:eastAsia="Calibri"/>
          <w:b/>
          <w:bCs/>
          <w:rtl/>
        </w:rPr>
      </w:pPr>
      <w:r w:rsidRPr="00681586">
        <w:rPr>
          <w:rFonts w:eastAsia="Calibri"/>
          <w:b/>
          <w:bCs/>
          <w:noProof/>
        </w:rPr>
        <w:drawing>
          <wp:inline distT="0" distB="0" distL="0" distR="0">
            <wp:extent cx="2766317" cy="934252"/>
            <wp:effectExtent l="0" t="0" r="0" b="0"/>
            <wp:docPr id="828943875" name="תמונה 828943875" descr="&quot;כדי להגיע למרכזי היום, הקשיש צריך לוותר על חלק מקצבת הבית. וכאן נכנסת המשפחה שלא מוכנה לוותר. לאדם שמקבל את הקצבה אין יכולת החלטה מה ומי. המשפחה מקבלת את&#10;ההחלטה. הם יעדיפו שהבן אדם לא יגיע למרכז היום&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43875" name="Picture 13"/>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7410" cy="944753"/>
                    </a:xfrm>
                    <a:prstGeom prst="rect">
                      <a:avLst/>
                    </a:prstGeom>
                    <a:noFill/>
                  </pic:spPr>
                </pic:pic>
              </a:graphicData>
            </a:graphic>
          </wp:inline>
        </w:drawing>
      </w:r>
    </w:p>
    <w:p w:rsidR="00681586" w:rsidRPr="00681586" w:rsidP="00681586">
      <w:pPr>
        <w:spacing w:line="269" w:lineRule="auto"/>
        <w:jc w:val="center"/>
        <w:rPr>
          <w:rFonts w:eastAsia="Calibri"/>
          <w:b/>
          <w:bCs/>
          <w:rtl/>
        </w:rPr>
      </w:pPr>
      <w:r w:rsidRPr="00681586">
        <w:rPr>
          <w:rFonts w:eastAsia="Calibri"/>
          <w:b/>
          <w:bCs/>
          <w:noProof/>
        </w:rPr>
        <w:drawing>
          <wp:inline distT="0" distB="0" distL="0" distR="0">
            <wp:extent cx="3788081" cy="790627"/>
            <wp:effectExtent l="0" t="0" r="3175" b="0"/>
            <wp:docPr id="828943876" name="תמונה 828943876" descr="&quot;הרפורמה החדשה נותנת למשפחה יכולת לטפל בקשיש. הקשיש לא יכול להחליט בעניין יציאתו מהבית. יש מישהו שמרוויח מהכסף. לא יתנו לקשיש לצאת כי יפסידו את הכנסה.&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43876" name="Picture 14"/>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8149" cy="796903"/>
                    </a:xfrm>
                    <a:prstGeom prst="rect">
                      <a:avLst/>
                    </a:prstGeom>
                    <a:noFill/>
                  </pic:spPr>
                </pic:pic>
              </a:graphicData>
            </a:graphic>
          </wp:inline>
        </w:drawing>
      </w:r>
    </w:p>
    <w:p w:rsidR="00681586" w:rsidRPr="00681586" w:rsidP="00681586">
      <w:pPr>
        <w:spacing w:line="269" w:lineRule="auto"/>
        <w:jc w:val="center"/>
        <w:rPr>
          <w:rFonts w:eastAsia="Calibri"/>
          <w:b/>
          <w:bCs/>
          <w:rtl/>
        </w:rPr>
      </w:pPr>
      <w:r w:rsidRPr="00681586">
        <w:rPr>
          <w:rFonts w:eastAsia="Calibri"/>
          <w:b/>
          <w:bCs/>
          <w:noProof/>
        </w:rPr>
        <w:drawing>
          <wp:inline distT="0" distB="0" distL="0" distR="0">
            <wp:extent cx="2731593" cy="922525"/>
            <wp:effectExtent l="0" t="0" r="0" b="0"/>
            <wp:docPr id="828943882" name="תמונה 828943882" descr="&quot;לפני כחודש וחצי הגיע אדם ואיים עלינו כי הגענו לבית של אימא שלו וניסינו לשכנע אותו [להגיע למרכזי היום]. הוא איים עלינו שלא נבוא. הוא מובטל ואשתו לא עובדת. בסוף הצלחנו לשכנע אותו לתת לקשיש לבוא ליום אחד.&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43882" name="Picture 15"/>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82867" cy="939841"/>
                    </a:xfrm>
                    <a:prstGeom prst="rect">
                      <a:avLst/>
                    </a:prstGeom>
                    <a:noFill/>
                  </pic:spPr>
                </pic:pic>
              </a:graphicData>
            </a:graphic>
          </wp:inline>
        </w:drawing>
      </w:r>
    </w:p>
    <w:p w:rsidR="00681586" w:rsidRPr="00681586" w:rsidP="00681586">
      <w:pPr>
        <w:spacing w:line="269" w:lineRule="auto"/>
        <w:ind w:left="708" w:right="1134"/>
        <w:rPr>
          <w:rFonts w:eastAsia="Calibri"/>
          <w:b/>
          <w:bCs/>
          <w:rtl/>
        </w:rPr>
      </w:pP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ניתוח נתוני בט"ל עולה בקנה אחד עם הממצאים שעלו בראיונות הע</w:t>
      </w:r>
      <w:bookmarkStart w:id="19" w:name="_GoBack"/>
      <w:bookmarkEnd w:id="19"/>
      <w:r w:rsidRPr="00681586">
        <w:rPr>
          <w:rFonts w:eastAsia="Calibri" w:hint="cs"/>
          <w:rtl/>
        </w:rPr>
        <w:t>ומק. בתרשים שלהלן שיעור הקשישים המגיעים למרכזי היום, כחלק מהתוכנית הטיפולית שנבנתה עבורם בגמלת סיעוד, בפילוח לקשישים שיש להם בן משפחה מטפל וקשישים שיש להם מטפל שאינו בן משפחה:</w:t>
      </w:r>
    </w:p>
    <w:p w:rsidR="00681586" w:rsidRPr="00681586" w:rsidP="00681586">
      <w:pPr>
        <w:spacing w:line="269" w:lineRule="auto"/>
        <w:ind w:left="-567"/>
        <w:rPr>
          <w:rFonts w:eastAsia="Calibri"/>
          <w:szCs w:val="20"/>
          <w:rtl/>
        </w:rPr>
      </w:pPr>
    </w:p>
    <w:p w:rsidR="002A401B" w:rsidP="00681586">
      <w:pPr>
        <w:keepNext/>
        <w:keepLines/>
        <w:spacing w:line="269" w:lineRule="auto"/>
        <w:jc w:val="center"/>
        <w:rPr>
          <w:rFonts w:eastAsia="Calibri"/>
          <w:rtl/>
        </w:rPr>
      </w:pPr>
      <w:r w:rsidRPr="00681586">
        <w:rPr>
          <w:rFonts w:eastAsia="Calibri" w:hint="cs"/>
          <w:rtl/>
        </w:rPr>
        <w:t xml:space="preserve">תרשים 25: </w:t>
      </w:r>
      <w:r w:rsidRPr="00681586">
        <w:rPr>
          <w:rFonts w:eastAsia="Calibri" w:hint="cs"/>
          <w:b/>
          <w:bCs/>
          <w:rtl/>
        </w:rPr>
        <w:t>שיעור הקשישים הסיעודיים שמגיעים למרכזי היום כחלק מהתוכנית הטיפולית, דצמבר 2024</w:t>
      </w:r>
    </w:p>
    <w:p w:rsidR="002A401B" w:rsidP="00681586">
      <w:pPr>
        <w:spacing w:line="269" w:lineRule="auto"/>
        <w:jc w:val="center"/>
        <w:rPr>
          <w:rFonts w:eastAsia="Calibri"/>
          <w:rtl/>
        </w:rPr>
      </w:pPr>
      <w:r w:rsidRPr="00681586">
        <w:rPr>
          <w:rFonts w:eastAsia="Calibri"/>
          <w:noProof/>
        </w:rPr>
        <w:drawing>
          <wp:inline distT="0" distB="0" distL="0" distR="0">
            <wp:extent cx="3927496" cy="2150317"/>
            <wp:effectExtent l="0" t="0" r="0" b="2540"/>
            <wp:docPr id="109" name="תמונה 109" descr="שיעור הקשישים הסיעודיים שמגיעים למרכזי היום כחלק מהתוכנית הטיפולית, דצמבר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35"/>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rcRect t="6040"/>
                    <a:stretch>
                      <a:fillRect/>
                    </a:stretch>
                  </pic:blipFill>
                  <pic:spPr bwMode="auto">
                    <a:xfrm>
                      <a:off x="0" y="0"/>
                      <a:ext cx="3940535" cy="215745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81586" w:rsidRPr="00681586" w:rsidP="00681586">
      <w:pPr>
        <w:spacing w:line="269" w:lineRule="auto"/>
        <w:jc w:val="left"/>
        <w:rPr>
          <w:rFonts w:eastAsia="Calibri"/>
          <w:sz w:val="16"/>
          <w:szCs w:val="20"/>
          <w:rtl/>
        </w:rPr>
      </w:pPr>
      <w:r w:rsidRPr="00681586">
        <w:rPr>
          <w:rFonts w:eastAsia="Calibri" w:hint="cs"/>
          <w:szCs w:val="20"/>
          <w:rtl/>
        </w:rPr>
        <w:t xml:space="preserve">על פי נתוני המוסד לביטוח לאומי, </w:t>
      </w:r>
      <w:r w:rsidRPr="00681586">
        <w:rPr>
          <w:rFonts w:eastAsia="Calibri" w:hint="cs"/>
          <w:sz w:val="16"/>
          <w:szCs w:val="20"/>
          <w:rtl/>
        </w:rPr>
        <w:t>בעיבוד משרד מבקר המדינה.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מהתרשים עולה כי שיעור הקשישים המגיעים למרכזי היום כחלק מהתוכנית הטיפולית, ומטופלים בידי מטפלים שאינם בני משפחה, גבוה בכ-50% משיעור הקשישים המגיעים למרכזי היום כחלק מהתוכנית הטיפולית ומטופלים בידי בני משפחה. הבדל זה נמצא מובהק</w:t>
      </w:r>
      <w:r>
        <w:rPr>
          <w:rFonts w:eastAsia="Calibri"/>
          <w:b/>
          <w:bCs/>
          <w:vertAlign w:val="superscript"/>
          <w:rtl/>
        </w:rPr>
        <w:footnoteReference w:id="164"/>
      </w:r>
      <w:r w:rsidRPr="00681586">
        <w:rPr>
          <w:rFonts w:eastAsia="Calibri" w:hint="cs"/>
          <w:b/>
          <w:bCs/>
          <w:rtl/>
        </w:rPr>
        <w:t>.</w:t>
      </w:r>
    </w:p>
    <w:p w:rsidR="00681586" w:rsidRPr="00681586" w:rsidP="00681586">
      <w:pPr>
        <w:spacing w:line="269" w:lineRule="auto"/>
        <w:ind w:left="-567"/>
        <w:rPr>
          <w:rFonts w:eastAsia="Calibri"/>
          <w:szCs w:val="20"/>
          <w:rtl/>
        </w:rPr>
      </w:pPr>
    </w:p>
    <w:p w:rsidR="00681586" w:rsidP="00681586">
      <w:pPr>
        <w:spacing w:line="269" w:lineRule="auto"/>
        <w:rPr>
          <w:rFonts w:eastAsia="Calibri"/>
          <w:rtl/>
        </w:rPr>
      </w:pPr>
      <w:r w:rsidRPr="00681586">
        <w:rPr>
          <w:rFonts w:eastAsia="Calibri" w:hint="cs"/>
          <w:rtl/>
        </w:rPr>
        <w:t>תופעה דומה ניתן למצוא גם בהשתתפות קשישים סיעודיים בתוכנית קהילה תומכת. להלן בתרשים שיעור הקשישים המשתתפים בתוכנית, כחלק מהתוכנית הטיפולית שנבנתה עבורם בגמלת סיעוד, בפילוח לקשישים המטופלים על ידי בן משפחה וקשישים המטופלים במטפל שאינו בן משפחה.</w:t>
      </w:r>
    </w:p>
    <w:p w:rsidR="00AE60E6" w:rsidRPr="00681586" w:rsidP="00681586">
      <w:pPr>
        <w:spacing w:line="269" w:lineRule="auto"/>
        <w:rPr>
          <w:rFonts w:eastAsia="Calibri"/>
          <w:rtl/>
        </w:rPr>
      </w:pPr>
    </w:p>
    <w:p w:rsidR="00681586" w:rsidRPr="00681586" w:rsidP="00681586">
      <w:pPr>
        <w:spacing w:line="269" w:lineRule="auto"/>
        <w:ind w:left="-567"/>
        <w:rPr>
          <w:rFonts w:eastAsia="Calibri"/>
          <w:szCs w:val="20"/>
          <w:rtl/>
        </w:rPr>
      </w:pPr>
    </w:p>
    <w:p w:rsidR="00681586" w:rsidRPr="00681586" w:rsidP="00681586">
      <w:pPr>
        <w:spacing w:line="269" w:lineRule="auto"/>
        <w:jc w:val="center"/>
        <w:rPr>
          <w:rFonts w:eastAsia="Calibri"/>
          <w:rtl/>
        </w:rPr>
      </w:pPr>
      <w:r w:rsidRPr="00681586">
        <w:rPr>
          <w:rFonts w:eastAsia="Calibri" w:hint="cs"/>
          <w:rtl/>
        </w:rPr>
        <w:t xml:space="preserve">תרשים 26: </w:t>
      </w:r>
      <w:r w:rsidRPr="00681586">
        <w:rPr>
          <w:rFonts w:eastAsia="Calibri" w:hint="cs"/>
          <w:b/>
          <w:bCs/>
          <w:rtl/>
        </w:rPr>
        <w:t>שיעור הקשישים הסיעודיים שמשתתפים ב"קהילה תומכת" כחלק מהתוכנית הטיפולית, דצמבר 2024</w:t>
      </w:r>
    </w:p>
    <w:p w:rsidR="00681586" w:rsidRPr="00681586" w:rsidP="00681586">
      <w:pPr>
        <w:spacing w:line="269" w:lineRule="auto"/>
        <w:jc w:val="center"/>
        <w:rPr>
          <w:rFonts w:eastAsia="Calibri"/>
          <w:rtl/>
        </w:rPr>
      </w:pPr>
      <w:r w:rsidRPr="00681586">
        <w:rPr>
          <w:rFonts w:eastAsia="Calibri"/>
          <w:noProof/>
        </w:rPr>
        <w:drawing>
          <wp:inline distT="0" distB="0" distL="0" distR="0">
            <wp:extent cx="3768946" cy="2060309"/>
            <wp:effectExtent l="0" t="0" r="3175" b="0"/>
            <wp:docPr id="112" name="תמונה 112" descr="שיעור הקשישים הסיעודיים שמשתתפים ב&quot;קהילה תומכת&quot; כחלק מהתוכנית הטיפולית, דצמבר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36"/>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rcRect t="6739"/>
                    <a:stretch>
                      <a:fillRect/>
                    </a:stretch>
                  </pic:blipFill>
                  <pic:spPr bwMode="auto">
                    <a:xfrm>
                      <a:off x="0" y="0"/>
                      <a:ext cx="3785522" cy="206937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81586" w:rsidRPr="00681586" w:rsidP="00681586">
      <w:pPr>
        <w:spacing w:line="269" w:lineRule="auto"/>
        <w:jc w:val="left"/>
        <w:rPr>
          <w:rFonts w:eastAsia="Calibri"/>
          <w:sz w:val="16"/>
          <w:szCs w:val="20"/>
          <w:rtl/>
        </w:rPr>
      </w:pPr>
      <w:r w:rsidRPr="00681586">
        <w:rPr>
          <w:rFonts w:eastAsia="Calibri" w:hint="cs"/>
          <w:szCs w:val="20"/>
          <w:rtl/>
        </w:rPr>
        <w:t xml:space="preserve">על פי נתוני המוסד לביטוח לאומי, </w:t>
      </w:r>
      <w:r w:rsidRPr="00681586">
        <w:rPr>
          <w:rFonts w:eastAsia="Calibri" w:hint="cs"/>
          <w:sz w:val="16"/>
          <w:szCs w:val="20"/>
          <w:rtl/>
        </w:rPr>
        <w:t>בעיבוד משרד מבקר המדינה.</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מהתרשים עולה כי שיעור הקשישים המשתתפים בקהילה תומכת כחלק מהתוכנית הטיפולית, ומטופלים בידי מטפלים שאינם בני משפחה, גבוה פי 2 משיעור הקשישים המגיעים למרכזי היום כחלק מהתוכנית הטיפולית ומטופלים בידי בני משפחה. הבדל זה נמצא מובהק</w:t>
      </w:r>
      <w:bookmarkStart w:id="20" w:name="_Hlk222739709"/>
      <w:r>
        <w:rPr>
          <w:rFonts w:eastAsia="Calibri"/>
          <w:b/>
          <w:bCs/>
          <w:vertAlign w:val="superscript"/>
          <w:rtl/>
        </w:rPr>
        <w:footnoteReference w:id="165"/>
      </w:r>
      <w:bookmarkEnd w:id="20"/>
      <w:r w:rsidRPr="00681586">
        <w:rPr>
          <w:rFonts w:eastAsia="Calibri" w:hint="cs"/>
          <w:b/>
          <w:bCs/>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בביקורת עלה כי קיים קשר שלילי בין השתתפותם של קשישים במרכזי היום ובת</w:t>
      </w:r>
      <w:r w:rsidR="00D10503">
        <w:rPr>
          <w:rFonts w:eastAsia="Calibri" w:hint="cs"/>
          <w:b/>
          <w:bCs/>
          <w:rtl/>
        </w:rPr>
        <w:t>ו</w:t>
      </w:r>
      <w:r w:rsidRPr="00681586">
        <w:rPr>
          <w:rFonts w:eastAsia="Calibri" w:hint="cs"/>
          <w:b/>
          <w:bCs/>
          <w:rtl/>
        </w:rPr>
        <w:t xml:space="preserve">כנית קהילה תומכת לעובדה שהמטפל בהם הוא בן משפחה. </w:t>
      </w:r>
      <w:r w:rsidRPr="00681586">
        <w:rPr>
          <w:rFonts w:eastAsia="Calibri" w:hint="eastAsia"/>
          <w:b/>
          <w:bCs/>
          <w:rtl/>
        </w:rPr>
        <w:t>כלומר</w:t>
      </w:r>
      <w:r w:rsidRPr="00681586">
        <w:rPr>
          <w:rFonts w:eastAsia="Calibri"/>
          <w:b/>
          <w:bCs/>
          <w:rtl/>
        </w:rPr>
        <w:t>, כאשר בני משפחה הם המטפלים בקשישים, או אז הקשישים נוטים פחות להשתתף במרכזי היום.</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בט"ל מסר בתשובתו כי </w:t>
      </w:r>
      <w:r w:rsidRPr="00681586">
        <w:rPr>
          <w:rFonts w:eastAsia="Calibri"/>
          <w:rtl/>
        </w:rPr>
        <w:t>המלצת</w:t>
      </w:r>
      <w:r w:rsidRPr="00681586">
        <w:rPr>
          <w:rFonts w:eastAsia="Calibri" w:hint="cs"/>
          <w:rtl/>
        </w:rPr>
        <w:t>ו</w:t>
      </w:r>
      <w:r w:rsidRPr="00681586">
        <w:rPr>
          <w:rFonts w:eastAsia="Calibri"/>
          <w:rtl/>
        </w:rPr>
        <w:t xml:space="preserve"> היא לאפשר לזכאים עם ירידה קוגניטיבית ברמות הגבוהות, המעסיקים עובד זר, לבקר במרכזי היום המתאימים להם שלא ע</w:t>
      </w:r>
      <w:r w:rsidRPr="00681586">
        <w:rPr>
          <w:rFonts w:eastAsia="Calibri" w:hint="cs"/>
          <w:rtl/>
        </w:rPr>
        <w:t>ל חשבון</w:t>
      </w:r>
      <w:r w:rsidRPr="00681586">
        <w:rPr>
          <w:rFonts w:eastAsia="Calibri"/>
          <w:rtl/>
        </w:rPr>
        <w:t xml:space="preserve"> גמלת הסיעוד וזאת כדי לא לפגוע ביכולתם לממן את הסיוע של העובד הזר.</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b/>
          <w:bCs/>
          <w:rtl/>
        </w:rPr>
        <w:t>לנוכח היתרונות הרבים בהשתתפות הקשישים במרכזי היום ובקהילות התומכות ולנוכח שיעורי ההשתתפות הנמוכים כאמור בת</w:t>
      </w:r>
      <w:r w:rsidR="00D10503">
        <w:rPr>
          <w:rFonts w:eastAsia="Calibri" w:hint="cs"/>
          <w:b/>
          <w:bCs/>
          <w:rtl/>
        </w:rPr>
        <w:t>ו</w:t>
      </w:r>
      <w:r w:rsidRPr="00681586">
        <w:rPr>
          <w:rFonts w:eastAsia="Calibri" w:hint="cs"/>
          <w:b/>
          <w:bCs/>
          <w:rtl/>
        </w:rPr>
        <w:t>כניות אלו מומלץ כי בט"ל יפעל לעידוד השתתפותם של קשישים בתוכניות. כמו כן מומלץ שבט"ל ומשרד הרווחה יהיו מודעים לתופעה שבה כאשר</w:t>
      </w:r>
      <w:r w:rsidRPr="00681586">
        <w:rPr>
          <w:rFonts w:eastAsia="Calibri"/>
          <w:b/>
          <w:bCs/>
          <w:rtl/>
        </w:rPr>
        <w:t xml:space="preserve"> בני משפחה הם המטפלים בקשישים, או אז הקשישים נוטים פחות </w:t>
      </w:r>
      <w:r w:rsidRPr="00681586">
        <w:rPr>
          <w:rFonts w:eastAsia="Calibri" w:hint="cs"/>
          <w:b/>
          <w:bCs/>
          <w:rtl/>
        </w:rPr>
        <w:t xml:space="preserve">להשתתף במרכזי היום, יאתרו מקרים שבהם בני המשפחה המטפלים עלולים להוות מעין חסם להשתתפות הקשישים במרכזי היום ובקהילות התומכות ויפעלו להסיר חסמים אפשריים להשתתפותם. </w:t>
      </w:r>
    </w:p>
    <w:p w:rsidR="00681586" w:rsidRPr="00681586" w:rsidP="00681586">
      <w:pPr>
        <w:spacing w:line="269" w:lineRule="auto"/>
        <w:rPr>
          <w:rFonts w:eastAsia="Calibri"/>
          <w:rtl/>
        </w:rPr>
      </w:pPr>
    </w:p>
    <w:p w:rsidR="00681586" w:rsidRPr="00681586" w:rsidP="00681586">
      <w:pPr>
        <w:keepNext/>
        <w:keepLines/>
        <w:spacing w:line="269" w:lineRule="auto"/>
        <w:outlineLvl w:val="3"/>
        <w:rPr>
          <w:rFonts w:eastAsia="Times New Roman"/>
          <w:bCs/>
          <w:szCs w:val="26"/>
          <w:rtl/>
        </w:rPr>
      </w:pPr>
      <w:r w:rsidRPr="00681586">
        <w:rPr>
          <w:rFonts w:eastAsia="Times New Roman" w:hint="cs"/>
          <w:bCs/>
          <w:szCs w:val="26"/>
          <w:rtl/>
        </w:rPr>
        <w:t>פיקוח על מקבלי גמלת סיעוד בכסף</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על פי חוק בט"ל, </w:t>
      </w:r>
      <w:r w:rsidRPr="00681586">
        <w:rPr>
          <w:rFonts w:eastAsia="Calibri"/>
          <w:rtl/>
        </w:rPr>
        <w:t>מבוטח שזכאי לגמלת סיעוד רשאי לבחור לקבל כגמלה בכסף את שוו</w:t>
      </w:r>
      <w:r w:rsidRPr="00681586">
        <w:rPr>
          <w:rFonts w:eastAsia="Calibri" w:hint="cs"/>
          <w:rtl/>
        </w:rPr>
        <w:t>י</w:t>
      </w:r>
      <w:r w:rsidRPr="00681586">
        <w:rPr>
          <w:rFonts w:eastAsia="Calibri"/>
          <w:rtl/>
        </w:rPr>
        <w:t>ין בכסף של עד שליש מיחידות השירות שהוא זכאי להן, ובלבד שגורם מקצועי ביקר בביתו של המבוטח והעריך כי מתן הגמלה בכסף יאפשר מתן שירותי סיעוד בהיקף וברמה שהולמים את צורכי המבוטח</w:t>
      </w:r>
      <w:r>
        <w:rPr>
          <w:rFonts w:eastAsia="Calibri"/>
          <w:vertAlign w:val="superscript"/>
          <w:rtl/>
        </w:rPr>
        <w:footnoteReference w:id="166"/>
      </w:r>
      <w:r w:rsidRPr="00681586">
        <w:rPr>
          <w:rFonts w:eastAsia="Calibri" w:hint="cs"/>
          <w:rtl/>
        </w:rPr>
        <w:t xml:space="preserve">. עוד קובע החוק כי </w:t>
      </w:r>
      <w:r w:rsidRPr="00681586">
        <w:rPr>
          <w:rFonts w:eastAsia="Calibri"/>
          <w:rtl/>
        </w:rPr>
        <w:t xml:space="preserve">גורם מקצועי יבקר בביתו של מבוטח שמשולמת לו גמלת סיעוד </w:t>
      </w:r>
      <w:r w:rsidRPr="00681586">
        <w:rPr>
          <w:rFonts w:eastAsia="Calibri" w:hint="cs"/>
          <w:rtl/>
        </w:rPr>
        <w:t>בכסף אחת לש</w:t>
      </w:r>
      <w:r w:rsidRPr="00681586">
        <w:rPr>
          <w:rFonts w:eastAsia="Calibri"/>
          <w:rtl/>
        </w:rPr>
        <w:t>נה, ויבדוק אם שירותי הסיעוד שניתנים לו בפועל ורמתם עונים על צרכיו</w:t>
      </w:r>
      <w:r>
        <w:rPr>
          <w:rFonts w:eastAsia="Calibri"/>
          <w:vertAlign w:val="superscript"/>
          <w:rtl/>
        </w:rPr>
        <w:footnoteReference w:id="167"/>
      </w:r>
      <w:r w:rsidRPr="00681586">
        <w:rPr>
          <w:rFonts w:eastAsia="Calibri"/>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בהמשך לאמור בחוק, נוהל פנימי של בט"ל</w:t>
      </w:r>
      <w:r>
        <w:rPr>
          <w:rFonts w:eastAsia="Calibri"/>
          <w:vertAlign w:val="superscript"/>
          <w:rtl/>
        </w:rPr>
        <w:footnoteReference w:id="168"/>
      </w:r>
      <w:r w:rsidRPr="00681586">
        <w:rPr>
          <w:rFonts w:eastAsia="Calibri" w:hint="cs"/>
          <w:rtl/>
        </w:rPr>
        <w:t xml:space="preserve"> קובע כי </w:t>
      </w:r>
      <w:r w:rsidRPr="00681586">
        <w:rPr>
          <w:rFonts w:eastAsia="Calibri"/>
          <w:rtl/>
        </w:rPr>
        <w:t xml:space="preserve">גורם מקצועי שהוא עובד סוציאלי מטעם </w:t>
      </w:r>
      <w:r w:rsidRPr="00681586">
        <w:rPr>
          <w:rFonts w:eastAsia="Calibri" w:hint="cs"/>
          <w:rtl/>
        </w:rPr>
        <w:t>בט"ל</w:t>
      </w:r>
      <w:r w:rsidRPr="00681586">
        <w:rPr>
          <w:rFonts w:eastAsia="Calibri"/>
          <w:rtl/>
        </w:rPr>
        <w:t xml:space="preserve">, יבקר </w:t>
      </w:r>
      <w:r w:rsidRPr="00681586">
        <w:rPr>
          <w:rFonts w:eastAsia="Calibri" w:hint="cs"/>
          <w:rtl/>
        </w:rPr>
        <w:t xml:space="preserve">אחת לשנה </w:t>
      </w:r>
      <w:r w:rsidRPr="00681586">
        <w:rPr>
          <w:rFonts w:eastAsia="Calibri"/>
          <w:rtl/>
        </w:rPr>
        <w:t xml:space="preserve">בביתו של זכאי שמשולמת לו גמלת סיעוד בכסף, הן ברמה </w:t>
      </w:r>
      <w:r w:rsidRPr="00681586">
        <w:rPr>
          <w:rFonts w:eastAsia="Calibri" w:hint="cs"/>
          <w:rtl/>
        </w:rPr>
        <w:t xml:space="preserve">1 </w:t>
      </w:r>
      <w:r w:rsidRPr="00681586">
        <w:rPr>
          <w:rFonts w:eastAsia="Calibri"/>
          <w:rtl/>
        </w:rPr>
        <w:t xml:space="preserve">והן ברמות </w:t>
      </w:r>
      <w:r w:rsidRPr="00681586">
        <w:rPr>
          <w:rFonts w:eastAsia="Calibri" w:hint="cs"/>
          <w:rtl/>
        </w:rPr>
        <w:t xml:space="preserve">2 </w:t>
      </w:r>
      <w:r w:rsidRPr="00681586">
        <w:rPr>
          <w:rFonts w:eastAsia="Calibri" w:hint="cs"/>
          <w:rtl/>
        </w:rPr>
        <w:t>עד 6,</w:t>
      </w:r>
      <w:r w:rsidRPr="00681586">
        <w:rPr>
          <w:rFonts w:eastAsia="Calibri"/>
          <w:rtl/>
        </w:rPr>
        <w:t xml:space="preserve"> ויבדוק אם שירותי הסיעוד שניתנים לו בפועל ורמתם עונים על צרכי</w:t>
      </w:r>
      <w:r w:rsidRPr="00681586">
        <w:rPr>
          <w:rFonts w:eastAsia="Calibri" w:hint="cs"/>
          <w:rtl/>
        </w:rPr>
        <w:t xml:space="preserve">ו. עוד קובע הנוהל כי </w:t>
      </w:r>
      <w:r w:rsidRPr="00681586">
        <w:rPr>
          <w:rFonts w:eastAsia="Calibri"/>
          <w:rtl/>
        </w:rPr>
        <w:t>במקרה שהמוסד קבע כי שירותי הסיעוד הניתנים לזכאי שמשולמת לו גמלת סיעוד בכסף</w:t>
      </w:r>
      <w:r w:rsidRPr="00681586">
        <w:rPr>
          <w:rFonts w:eastAsia="Calibri" w:hint="cs"/>
          <w:rtl/>
        </w:rPr>
        <w:t xml:space="preserve"> </w:t>
      </w:r>
      <w:r w:rsidRPr="00681586">
        <w:rPr>
          <w:rFonts w:eastAsia="Calibri"/>
          <w:rtl/>
        </w:rPr>
        <w:t>אינם עונים על צרכיו, המוסד רשאי שלא לשלם לו את הגמלה בכסף, ולקבוע כי יסופקו לו שירותי סיעוד בעין</w:t>
      </w:r>
      <w:r w:rsidRPr="00681586">
        <w:rPr>
          <w:rFonts w:eastAsia="Calibri" w:hint="cs"/>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בתרשים שלהלן התפלגות מקבלי הגמלה בכסף, גמלה משולבת (כלומר גמלה בכסף ובשירותים) וגמלה בשירותים בשנים 2019 - 2025</w:t>
      </w:r>
      <w:r>
        <w:rPr>
          <w:rFonts w:eastAsia="Calibri"/>
          <w:vertAlign w:val="superscript"/>
          <w:rtl/>
        </w:rPr>
        <w:footnoteReference w:id="169"/>
      </w:r>
      <w:r w:rsidRPr="00681586">
        <w:rPr>
          <w:rFonts w:eastAsia="Calibri" w:hint="cs"/>
          <w:rtl/>
        </w:rPr>
        <w:t>.</w:t>
      </w:r>
    </w:p>
    <w:p w:rsidR="00681586" w:rsidRPr="00681586" w:rsidP="00681586">
      <w:pPr>
        <w:spacing w:line="269" w:lineRule="auto"/>
        <w:ind w:left="-567"/>
        <w:rPr>
          <w:rFonts w:eastAsia="Calibri"/>
          <w:szCs w:val="20"/>
          <w:rtl/>
        </w:rPr>
      </w:pPr>
    </w:p>
    <w:p w:rsidR="00681586" w:rsidRPr="00681586" w:rsidP="00681586">
      <w:pPr>
        <w:keepNext/>
        <w:keepLines/>
        <w:spacing w:line="269" w:lineRule="auto"/>
        <w:jc w:val="center"/>
        <w:rPr>
          <w:rFonts w:eastAsia="Calibri"/>
          <w:b/>
          <w:bCs/>
          <w:rtl/>
        </w:rPr>
      </w:pPr>
      <w:r w:rsidRPr="00681586">
        <w:rPr>
          <w:rFonts w:eastAsia="Calibri" w:hint="cs"/>
          <w:rtl/>
        </w:rPr>
        <w:t xml:space="preserve">תרשים 27: </w:t>
      </w:r>
      <w:r w:rsidRPr="00681586">
        <w:rPr>
          <w:rFonts w:eastAsia="Calibri" w:hint="cs"/>
          <w:b/>
          <w:bCs/>
          <w:rtl/>
        </w:rPr>
        <w:t>התפלגות מקבלי גמלת סיעוד לפי סוג הגמלה, 2019 - 2025</w:t>
      </w:r>
    </w:p>
    <w:p w:rsidR="002A401B" w:rsidP="00681586">
      <w:pPr>
        <w:spacing w:line="269" w:lineRule="auto"/>
        <w:jc w:val="center"/>
        <w:rPr>
          <w:rFonts w:eastAsia="Calibri"/>
          <w:rtl/>
        </w:rPr>
      </w:pPr>
      <w:r w:rsidRPr="00681586">
        <w:rPr>
          <w:rFonts w:eastAsia="Calibri"/>
          <w:noProof/>
        </w:rPr>
        <w:drawing>
          <wp:inline distT="0" distB="0" distL="0" distR="0">
            <wp:extent cx="5218430" cy="2374496"/>
            <wp:effectExtent l="0" t="0" r="1270" b="6985"/>
            <wp:docPr id="113" name="תמונה 113" descr="התפלגות מקבלי גמלת סיעוד לפי סוג הגמלה, 2019 -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37"/>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rcRect t="12283"/>
                    <a:stretch>
                      <a:fillRect/>
                    </a:stretch>
                  </pic:blipFill>
                  <pic:spPr bwMode="auto">
                    <a:xfrm>
                      <a:off x="0" y="0"/>
                      <a:ext cx="5218430" cy="237449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81586" w:rsidRPr="00681586" w:rsidP="00681586">
      <w:pPr>
        <w:spacing w:line="269" w:lineRule="auto"/>
        <w:jc w:val="left"/>
        <w:rPr>
          <w:rFonts w:eastAsia="Calibri"/>
          <w:szCs w:val="20"/>
          <w:rtl/>
        </w:rPr>
      </w:pPr>
      <w:r w:rsidRPr="00681586">
        <w:rPr>
          <w:rFonts w:eastAsia="Calibri" w:hint="cs"/>
          <w:szCs w:val="20"/>
          <w:rtl/>
        </w:rPr>
        <w:t xml:space="preserve">על פי נתוני המוסד לביטוח לאומי, </w:t>
      </w:r>
      <w:r w:rsidRPr="00681586">
        <w:rPr>
          <w:rFonts w:eastAsia="Calibri" w:hint="eastAsia"/>
          <w:szCs w:val="20"/>
          <w:rtl/>
        </w:rPr>
        <w:t>בעיבוד</w:t>
      </w:r>
      <w:r w:rsidRPr="00681586">
        <w:rPr>
          <w:rFonts w:eastAsia="Calibri"/>
          <w:szCs w:val="20"/>
          <w:rtl/>
        </w:rPr>
        <w:t xml:space="preserve"> </w:t>
      </w:r>
      <w:r w:rsidRPr="00681586">
        <w:rPr>
          <w:rFonts w:eastAsia="Calibri" w:hint="eastAsia"/>
          <w:szCs w:val="20"/>
          <w:rtl/>
        </w:rPr>
        <w:t>משרד</w:t>
      </w:r>
      <w:r w:rsidRPr="00681586">
        <w:rPr>
          <w:rFonts w:eastAsia="Calibri"/>
          <w:szCs w:val="20"/>
          <w:rtl/>
        </w:rPr>
        <w:t xml:space="preserve"> </w:t>
      </w:r>
      <w:r w:rsidRPr="00681586">
        <w:rPr>
          <w:rFonts w:eastAsia="Calibri" w:hint="eastAsia"/>
          <w:szCs w:val="20"/>
          <w:rtl/>
        </w:rPr>
        <w:t>מבקר</w:t>
      </w:r>
      <w:r w:rsidRPr="00681586">
        <w:rPr>
          <w:rFonts w:eastAsia="Calibri"/>
          <w:szCs w:val="20"/>
          <w:rtl/>
        </w:rPr>
        <w:t xml:space="preserve"> </w:t>
      </w:r>
      <w:r w:rsidRPr="00681586">
        <w:rPr>
          <w:rFonts w:eastAsia="Calibri" w:hint="eastAsia"/>
          <w:szCs w:val="20"/>
          <w:rtl/>
        </w:rPr>
        <w:t>המדינה</w:t>
      </w:r>
      <w:r w:rsidRPr="00681586">
        <w:rPr>
          <w:rFonts w:eastAsia="Calibri"/>
          <w:szCs w:val="20"/>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מהתרשים עולה כי לאורך השנים, ובמיוחד לאחר הרפורמה בסיעוד (2018), עלה בהתמדה שיעור המקבלים גמלה בכסף וגמלה משולבת. מנתוני התרשים עולה כי נכון לינואר 2025, כ-19% מכלל הקשישים הסיעודיים מקבלים גמלת סיעוד בכסף באופן מלא (כ-70,000 קשישים סיעודיים), ועוד כ-62% מכלל הקשישים הסיעודיים (כ-233,500 קשישים סיעודיים) בחרו לקבל גמלה משולבת.</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בביקורת</w:t>
      </w:r>
      <w:r w:rsidRPr="00681586">
        <w:rPr>
          <w:rFonts w:eastAsia="Calibri" w:hint="cs"/>
          <w:rtl/>
        </w:rPr>
        <w:t xml:space="preserve"> </w:t>
      </w:r>
      <w:r w:rsidRPr="00681586">
        <w:rPr>
          <w:rFonts w:eastAsia="Calibri" w:hint="cs"/>
          <w:b/>
          <w:bCs/>
          <w:rtl/>
        </w:rPr>
        <w:t xml:space="preserve">עלה כי שלא בהתאם לחוק, בשנת 2025 ביקר בט"ל בביתם של 25,170 קשישים בלבד המקבלים גמלה משולבת (כ-11% מסך מקבלי גמלה משולבת בתחילת שנת 2025) ובביתם של 27,208 קשישים המקבלים גמלה בכסף בלבד (כ-39% מסך מקבלי גמלה בכסף בתחילת שנת 2025). יוצא אפוא כי בט"ל אינו מבקר אחת לשנה בביתם של כלל הקשישים הסיעודיים המקבלים גמלה בכסף ואינו מוודא כי הם אכן מקבלים את </w:t>
      </w:r>
      <w:r w:rsidRPr="00681586">
        <w:rPr>
          <w:rFonts w:eastAsia="Calibri"/>
          <w:b/>
          <w:bCs/>
          <w:rtl/>
        </w:rPr>
        <w:t>שירותי הסיעוד בפועל ו</w:t>
      </w:r>
      <w:r w:rsidRPr="00681586">
        <w:rPr>
          <w:rFonts w:eastAsia="Calibri" w:hint="cs"/>
          <w:b/>
          <w:bCs/>
          <w:rtl/>
        </w:rPr>
        <w:t xml:space="preserve">כי </w:t>
      </w:r>
      <w:r w:rsidRPr="00681586">
        <w:rPr>
          <w:rFonts w:eastAsia="Calibri"/>
          <w:b/>
          <w:bCs/>
          <w:rtl/>
        </w:rPr>
        <w:t>רמתם עונ</w:t>
      </w:r>
      <w:r w:rsidRPr="00681586">
        <w:rPr>
          <w:rFonts w:eastAsia="Calibri" w:hint="cs"/>
          <w:b/>
          <w:bCs/>
          <w:rtl/>
        </w:rPr>
        <w:t>ה</w:t>
      </w:r>
      <w:r w:rsidRPr="00681586">
        <w:rPr>
          <w:rFonts w:eastAsia="Calibri"/>
          <w:b/>
          <w:bCs/>
          <w:rtl/>
        </w:rPr>
        <w:t xml:space="preserve"> על צ</w:t>
      </w:r>
      <w:r w:rsidRPr="00681586">
        <w:rPr>
          <w:rFonts w:eastAsia="Calibri" w:hint="cs"/>
          <w:b/>
          <w:bCs/>
          <w:rtl/>
        </w:rPr>
        <w:t>ו</w:t>
      </w:r>
      <w:r w:rsidRPr="00681586">
        <w:rPr>
          <w:rFonts w:eastAsia="Calibri"/>
          <w:b/>
          <w:bCs/>
          <w:rtl/>
        </w:rPr>
        <w:t>רכי</w:t>
      </w:r>
      <w:r w:rsidRPr="00681586">
        <w:rPr>
          <w:rFonts w:eastAsia="Calibri" w:hint="cs"/>
          <w:b/>
          <w:bCs/>
          <w:rtl/>
        </w:rPr>
        <w:t>הם</w:t>
      </w:r>
      <w:r w:rsidRPr="00681586">
        <w:rPr>
          <w:rFonts w:eastAsia="Calibri"/>
          <w:b/>
          <w:bCs/>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rtl/>
        </w:rPr>
        <w:t xml:space="preserve">בט"ל מסר בתשובתו כי </w:t>
      </w:r>
      <w:r w:rsidRPr="00681586">
        <w:rPr>
          <w:rFonts w:eastAsia="Calibri"/>
          <w:rtl/>
        </w:rPr>
        <w:t>במהלך שנת 2025 ביצע ביטוח לאומי 55,608 ביקורי בית</w:t>
      </w:r>
      <w:r w:rsidRPr="00681586">
        <w:rPr>
          <w:rFonts w:eastAsia="Calibri" w:hint="cs"/>
          <w:rtl/>
        </w:rPr>
        <w:t xml:space="preserve"> </w:t>
      </w:r>
      <w:r w:rsidRPr="00681586">
        <w:rPr>
          <w:rFonts w:eastAsia="Calibri"/>
          <w:rtl/>
        </w:rPr>
        <w:t>באמצעות העובדים הסוציאל</w:t>
      </w:r>
      <w:r w:rsidRPr="00681586">
        <w:rPr>
          <w:rFonts w:eastAsia="Calibri" w:hint="cs"/>
          <w:rtl/>
        </w:rPr>
        <w:t>י</w:t>
      </w:r>
      <w:r w:rsidRPr="00681586">
        <w:rPr>
          <w:rFonts w:eastAsia="Calibri"/>
          <w:rtl/>
        </w:rPr>
        <w:t xml:space="preserve">ים של מחלקות הסיעוד. במסגרת ביקורי הבית מנעו העובדים הסוציאליים קבלת גמלה בכסף </w:t>
      </w:r>
      <w:r w:rsidRPr="00681586">
        <w:rPr>
          <w:rFonts w:eastAsia="Calibri" w:hint="cs"/>
          <w:rtl/>
        </w:rPr>
        <w:t>מיותר מ-</w:t>
      </w:r>
      <w:r w:rsidRPr="00681586">
        <w:rPr>
          <w:rFonts w:eastAsia="Calibri"/>
          <w:rtl/>
        </w:rPr>
        <w:t xml:space="preserve">1,000 זכאים על רקע חוסר יכולתם לנהל את הגמלה בהתאם למטרות החוק. </w:t>
      </w:r>
      <w:r w:rsidRPr="00681586">
        <w:rPr>
          <w:rFonts w:eastAsia="Calibri" w:hint="cs"/>
          <w:rtl/>
        </w:rPr>
        <w:t xml:space="preserve">בט"ל ציין </w:t>
      </w:r>
      <w:r w:rsidRPr="00681586">
        <w:rPr>
          <w:rFonts w:eastAsia="Calibri"/>
          <w:rtl/>
        </w:rPr>
        <w:t xml:space="preserve">כי בהיעדר תוספות תקני כוח אדם </w:t>
      </w:r>
      <w:r w:rsidRPr="00681586">
        <w:rPr>
          <w:rFonts w:eastAsia="Calibri" w:hint="cs"/>
          <w:rtl/>
        </w:rPr>
        <w:t xml:space="preserve">הוא לא יוכל </w:t>
      </w:r>
      <w:r w:rsidRPr="00681586">
        <w:rPr>
          <w:rFonts w:eastAsia="Calibri"/>
          <w:rtl/>
        </w:rPr>
        <w:t>לבצע בקרות צמודות יותר. העומס הנוכחי</w:t>
      </w:r>
      <w:r w:rsidRPr="00681586">
        <w:rPr>
          <w:rFonts w:eastAsia="Calibri" w:hint="cs"/>
          <w:rtl/>
        </w:rPr>
        <w:t>,</w:t>
      </w:r>
      <w:r w:rsidRPr="00681586">
        <w:rPr>
          <w:rFonts w:eastAsia="Calibri"/>
          <w:rtl/>
        </w:rPr>
        <w:t xml:space="preserve"> </w:t>
      </w:r>
      <w:r w:rsidRPr="00681586">
        <w:rPr>
          <w:rFonts w:eastAsia="Calibri" w:hint="cs"/>
          <w:rtl/>
        </w:rPr>
        <w:t>ש</w:t>
      </w:r>
      <w:r w:rsidRPr="00681586">
        <w:rPr>
          <w:rFonts w:eastAsia="Calibri"/>
          <w:rtl/>
        </w:rPr>
        <w:t>במסגרתו כל עובד סוציאלי מטפל בממוצע בכ-2,300 זכאים, מהווה היקף חריג שאינו מאפשר בקרה אפקטיבית או קיום ביקורי בית בתדירות הנדרשת.</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על בט"ל, כפי שנקבע בחוק, לבקר אחת לשנה בבתיהם של כל הקשישים המקבלים גמלה בכסף כדי לוודא כי שירותי הסיעוד שהם רוכשים בכסף זה אכן עונים על צורכיהם.</w:t>
      </w:r>
    </w:p>
    <w:p w:rsidR="00681586">
      <w:pPr>
        <w:bidi w:val="0"/>
        <w:spacing w:after="200" w:line="276" w:lineRule="auto"/>
        <w:rPr>
          <w:rFonts w:eastAsia="Calibri"/>
          <w:szCs w:val="20"/>
          <w:rtl/>
        </w:rPr>
      </w:pPr>
      <w:r>
        <w:rPr>
          <w:rFonts w:eastAsia="Calibri"/>
          <w:szCs w:val="20"/>
          <w:rtl/>
        </w:rPr>
        <w:br w:type="page"/>
      </w:r>
    </w:p>
    <w:p w:rsidR="00681586" w:rsidRPr="00681586" w:rsidP="00681586">
      <w:pPr>
        <w:spacing w:line="269" w:lineRule="auto"/>
        <w:jc w:val="center"/>
        <w:rPr>
          <w:rFonts w:ascii="Arial" w:eastAsia="Calibri" w:hAnsi="Arial" w:cs="Arial"/>
          <w:sz w:val="36"/>
          <w:szCs w:val="20"/>
          <w:rtl/>
        </w:rPr>
      </w:pPr>
      <w:r w:rsidRPr="00681586">
        <w:rPr>
          <w:rFonts w:ascii="Segoe UI Symbol" w:eastAsia="Calibri" w:hAnsi="Segoe UI Symbol" w:cs="Segoe UI Symbol" w:hint="cs"/>
          <w:sz w:val="36"/>
          <w:szCs w:val="20"/>
          <w:rtl/>
        </w:rPr>
        <w:t>✰</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 xml:space="preserve">הרפורמה בסיעוד, ובעיקר האפשרות למתן גמלה בכסף ולמתן שירותי טיפול סיעודי על ידי בני משפחה מטפלים, אפשרה מתן גמישות רבה יותר לקשישים הסיעודיים בבחירת שירותי הסיעוד. עם זאת עלה הצורך להגביר את רמת הפיקוח והבקרה על ידי בט"ל, וזאת כדי להבטיח מתן שירות ראוי לקשיש ושימוש בכסף לטובת שירותי סיעוד באיכות מספקת. </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
          <w:bCs/>
          <w:rtl/>
        </w:rPr>
      </w:pPr>
      <w:r w:rsidRPr="00681586">
        <w:rPr>
          <w:rFonts w:eastAsia="Calibri" w:hint="cs"/>
          <w:b/>
          <w:bCs/>
          <w:rtl/>
        </w:rPr>
        <w:t>בביקורת עלה כי רמת הפיקוח והבקרה של בט"ל, שנמצאו בה ליקויים עוד לפני הרפורמה - כפי שעלה בדוחות קודמים של מבקר המדינה - לא השתפרה בהתאם לנדרש בשינויים שחלו בנוגע למתן טיפול סיעודי על ידי בני משפחה מטפלים ומתן גמלה בכסף. כך, אף שבט"ל לא גיבש נוהל בקרה על חברות הסיעוד והסדרת פיקוח על הליך האישור של בני משפחה מטפלים ושעות העבודה, הוא המשיך לאפשר העסקתם של בני משפחה מטפלים ואף הרחיב אפשרות להעסקת בני משפחה מטפלים לכלל היישובים בארץ</w:t>
      </w:r>
      <w:r>
        <w:rPr>
          <w:rFonts w:eastAsia="Calibri"/>
          <w:b/>
          <w:bCs/>
          <w:vertAlign w:val="superscript"/>
          <w:rtl/>
        </w:rPr>
        <w:footnoteReference w:id="170"/>
      </w:r>
      <w:r w:rsidRPr="00681586">
        <w:rPr>
          <w:rFonts w:eastAsia="Calibri" w:hint="cs"/>
          <w:b/>
          <w:bCs/>
          <w:rtl/>
        </w:rPr>
        <w:t>. כמו כן בט"ל לא ביצע ביקור שנתי בביתם של קשישים המקבלים גמלה בכסף או גמלה משולבת, כנדרש על פי חוק.</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rtl/>
        </w:rPr>
      </w:pPr>
      <w:r w:rsidRPr="00681586">
        <w:rPr>
          <w:rFonts w:eastAsia="Calibri" w:hint="cs"/>
          <w:b/>
          <w:bCs/>
          <w:rtl/>
        </w:rPr>
        <w:t>מומלץ כי בט"ל יגבש נוהל בקרה על בני משפחה מטפלים; יפעל לנטר מקרים שבהם העסקת בני משפחה מטפלים מונעת מזכאים לבחור לכלול שירותי סיעוד קהילתיים במסגרת התוכנית הטיפולית; כמו כן, על בט"ל לבקר אחת לשנה בביתם של כל הקשישים המקבלים גמלה בכסף כדי לוודא כי שירותי הסיעוד שהם רוכשים בכסף זה אכן עונים על צורכיהם, כפי שנקבע בחוק.</w:t>
      </w:r>
    </w:p>
    <w:p w:rsidR="00681586" w:rsidRPr="00681586" w:rsidP="00681586">
      <w:pPr>
        <w:spacing w:line="269" w:lineRule="auto"/>
        <w:rPr>
          <w:rFonts w:eastAsia="Calibri"/>
          <w:rtl/>
        </w:rPr>
      </w:pPr>
    </w:p>
    <w:p w:rsidR="00681586" w:rsidRPr="00681586" w:rsidP="00681586">
      <w:pPr>
        <w:keepNext/>
        <w:keepLines/>
        <w:spacing w:line="269" w:lineRule="auto"/>
        <w:outlineLvl w:val="2"/>
        <w:rPr>
          <w:rFonts w:eastAsia="Times New Roman"/>
          <w:bCs/>
          <w:szCs w:val="28"/>
          <w:u w:val="single"/>
          <w:rtl/>
        </w:rPr>
      </w:pPr>
      <w:bookmarkStart w:id="21" w:name="_Hlk232408717"/>
      <w:r w:rsidRPr="00681586">
        <w:rPr>
          <w:rFonts w:eastAsia="Times New Roman"/>
          <w:bCs/>
          <w:szCs w:val="28"/>
          <w:u w:val="single"/>
          <w:rtl/>
        </w:rPr>
        <w:t>סיכום</w:t>
      </w:r>
    </w:p>
    <w:p w:rsidR="00681586" w:rsidRPr="00681586" w:rsidP="00681586">
      <w:pPr>
        <w:spacing w:line="269" w:lineRule="auto"/>
        <w:ind w:left="-567"/>
        <w:rPr>
          <w:rFonts w:eastAsia="Calibri"/>
          <w:bCs/>
          <w:szCs w:val="20"/>
          <w:rtl/>
        </w:rPr>
      </w:pPr>
    </w:p>
    <w:p w:rsidR="00681586" w:rsidRPr="00681586" w:rsidP="00681586">
      <w:pPr>
        <w:spacing w:line="269" w:lineRule="auto"/>
        <w:rPr>
          <w:rFonts w:ascii="David" w:eastAsia="Calibri" w:hAnsi="David"/>
          <w:bCs/>
          <w:sz w:val="36"/>
          <w:rtl/>
        </w:rPr>
      </w:pPr>
      <w:r w:rsidRPr="00681586">
        <w:rPr>
          <w:rFonts w:ascii="David" w:eastAsia="Calibri" w:hAnsi="David" w:hint="cs"/>
          <w:bCs/>
          <w:sz w:val="36"/>
          <w:rtl/>
        </w:rPr>
        <w:t>אוכלוסיית ישראל מזדקנת בקצב מהיר; גיל הזקנה מאופיין במחלות כרוניות הגורמות לפגיעה בתפקוד ולצורך הולך וגובר בטיפול סיעודי. הטיפול הסיעודי הוא טיפול יקר שעלול להטיל נטל כלכלי כבד על קשישים סיעודיים ובני משפחותיה</w:t>
      </w:r>
      <w:r w:rsidRPr="00681586">
        <w:rPr>
          <w:rFonts w:ascii="David" w:eastAsia="Calibri" w:hAnsi="David" w:hint="eastAsia"/>
          <w:bCs/>
          <w:sz w:val="36"/>
          <w:rtl/>
        </w:rPr>
        <w:t>ם</w:t>
      </w:r>
      <w:r w:rsidRPr="00681586">
        <w:rPr>
          <w:rFonts w:ascii="David" w:eastAsia="Calibri" w:hAnsi="David" w:hint="cs"/>
          <w:bCs/>
          <w:sz w:val="36"/>
          <w:rtl/>
        </w:rPr>
        <w:t xml:space="preserve">. עבור תושבי ישראל קיימות שתי אפשרויות לסיוע כלכלי במימון הטיפול הסיעודי - גמלת סיעוד של בט"ל והביטוח הסיעודי בקופות החולים. בישראל בשנת 2025 כ-392 אלף זכאים לגמלת סיעוד של בט"ל, וההוצאה על סיעוד - 21.1 מיליארד </w:t>
      </w:r>
      <w:r w:rsidRPr="00681586">
        <w:rPr>
          <w:rFonts w:ascii="David" w:eastAsia="Calibri" w:hAnsi="David" w:hint="eastAsia"/>
          <w:bCs/>
          <w:sz w:val="36"/>
          <w:rtl/>
        </w:rPr>
        <w:t>ש</w:t>
      </w:r>
      <w:r w:rsidRPr="00681586">
        <w:rPr>
          <w:rFonts w:ascii="David" w:eastAsia="Calibri" w:hAnsi="David"/>
          <w:bCs/>
          <w:sz w:val="36"/>
          <w:rtl/>
        </w:rPr>
        <w:t>"ח</w:t>
      </w:r>
      <w:r w:rsidRPr="00681586">
        <w:rPr>
          <w:rFonts w:ascii="David" w:eastAsia="Calibri" w:hAnsi="David" w:hint="cs"/>
          <w:bCs/>
          <w:sz w:val="36"/>
          <w:rtl/>
        </w:rPr>
        <w:t>. בנוסף, כ-5 מיליון מאזרחי המדינה מבוטחים בביטוחים הסיעודיים בקופות החולים.</w:t>
      </w:r>
    </w:p>
    <w:p w:rsidR="00681586" w:rsidRPr="00681586" w:rsidP="00681586">
      <w:pPr>
        <w:spacing w:line="269" w:lineRule="auto"/>
        <w:ind w:left="-567"/>
        <w:rPr>
          <w:rFonts w:eastAsia="Calibri"/>
          <w:bCs/>
          <w:szCs w:val="20"/>
          <w:rtl/>
        </w:rPr>
      </w:pPr>
    </w:p>
    <w:p w:rsidR="00681586" w:rsidRPr="00681586" w:rsidP="00681586">
      <w:pPr>
        <w:spacing w:line="269" w:lineRule="auto"/>
        <w:rPr>
          <w:rFonts w:eastAsia="Calibri"/>
          <w:bCs/>
          <w:rtl/>
        </w:rPr>
      </w:pPr>
      <w:r w:rsidRPr="00681586">
        <w:rPr>
          <w:rFonts w:eastAsia="Calibri" w:hint="cs"/>
          <w:bCs/>
          <w:rtl/>
        </w:rPr>
        <w:t>בט"ל</w:t>
      </w:r>
      <w:r w:rsidRPr="00681586">
        <w:rPr>
          <w:rFonts w:eastAsia="Calibri"/>
          <w:bCs/>
          <w:rtl/>
        </w:rPr>
        <w:t xml:space="preserve"> הוא הגוף האחראי במדינת ישראל לתשלומי גמלאות סוציאליות ולתשלומים נוספים, ובכל שנה מיליוני זכאים מקבלים ממנו מגוון גמלאות</w:t>
      </w:r>
      <w:r w:rsidRPr="00681586">
        <w:rPr>
          <w:rFonts w:eastAsia="Calibri" w:hint="cs"/>
          <w:bCs/>
          <w:rtl/>
        </w:rPr>
        <w:t xml:space="preserve">. לפיכך, </w:t>
      </w:r>
      <w:r w:rsidRPr="00681586">
        <w:rPr>
          <w:rFonts w:eastAsia="Calibri"/>
          <w:bCs/>
          <w:rtl/>
        </w:rPr>
        <w:t>השמירה על איתנותו הפיננסית בטווח הארוך חשובה ביותר להבטחת רשת ביטחון סוציאלי לתושבי ישראל</w:t>
      </w:r>
      <w:r w:rsidRPr="00681586">
        <w:rPr>
          <w:rFonts w:eastAsia="Calibri" w:hint="cs"/>
          <w:bCs/>
          <w:rtl/>
        </w:rPr>
        <w:t xml:space="preserve">. הרפורמה בסיעוד בשנת 2018 והשינויים בתקנות וההחלטות המנהליות של בט"ל בגמלת סיעוד הביאו בין היתר לפגיעה ביציבותו הפיננסית של בט"ל בטווח הארוך. ההוצאה של בט"ל על סיעוד עלתה בשנים 2018 - 2025 ב-14.1 מיליארד ש"ח, מכ-7 מיליארד </w:t>
      </w:r>
      <w:r w:rsidRPr="00681586">
        <w:rPr>
          <w:rFonts w:eastAsia="Calibri" w:hint="eastAsia"/>
          <w:bCs/>
          <w:rtl/>
        </w:rPr>
        <w:t>ש</w:t>
      </w:r>
      <w:r w:rsidRPr="00681586">
        <w:rPr>
          <w:rFonts w:eastAsia="Calibri"/>
          <w:bCs/>
          <w:rtl/>
        </w:rPr>
        <w:t>"ח</w:t>
      </w:r>
      <w:r w:rsidRPr="00681586">
        <w:rPr>
          <w:rFonts w:eastAsia="Calibri" w:hint="cs"/>
          <w:bCs/>
          <w:rtl/>
        </w:rPr>
        <w:t xml:space="preserve"> בשנת 2018 לכ-21.1 מיליארד </w:t>
      </w:r>
      <w:r w:rsidRPr="00681586">
        <w:rPr>
          <w:rFonts w:eastAsia="Calibri" w:hint="eastAsia"/>
          <w:bCs/>
          <w:rtl/>
        </w:rPr>
        <w:t>ש</w:t>
      </w:r>
      <w:r w:rsidRPr="00681586">
        <w:rPr>
          <w:rFonts w:eastAsia="Calibri"/>
          <w:bCs/>
          <w:rtl/>
        </w:rPr>
        <w:t>"ח</w:t>
      </w:r>
      <w:r w:rsidRPr="00681586">
        <w:rPr>
          <w:rFonts w:eastAsia="Calibri" w:hint="cs"/>
          <w:bCs/>
          <w:rtl/>
        </w:rPr>
        <w:t xml:space="preserve"> בשנת 2025, דבר שגרם להקדמת איפוס הקרן של בט"ל - המבטיחה את מקורות המימון לתשלום גמלאות בט"ל - ב-6.3 שנים. בביקורת עלה כי המעבר לביצוע הערכות תלות על ידי מסמכים רפואיים מתואם עם גידול של כ-16 נקודות אחוז בשיעור התביעות המאושרות. מהשוואה להערכות תלות שבוצעו בקופת חולים א' עולה כי בט"ל קובע רמת סיעוד הגבוהה בממוצע ב-1.7 רמות סיעוד מרמת הסיעוד שנקבעה בקופה א', פער הנאמד בכ-9.5 מיליארד ש"ח בשנה. עוד עלה בביקורת כי פרט לדיון אחד בשנת 2018, ראש הממשלה לא כינס את הממשלה כדי לדון ביציבות האקטוארית של בט"ל, על אף שלושה דוחות אקטואריים רצופים שמצאו הקדמה של שנת איפוס הקרן.</w:t>
      </w:r>
    </w:p>
    <w:p w:rsidR="00681586" w:rsidRPr="00681586" w:rsidP="00681586">
      <w:pPr>
        <w:spacing w:line="269" w:lineRule="auto"/>
        <w:ind w:left="-567"/>
        <w:rPr>
          <w:rFonts w:eastAsia="Calibri"/>
          <w:bCs/>
          <w:szCs w:val="20"/>
          <w:rtl/>
        </w:rPr>
      </w:pPr>
    </w:p>
    <w:p w:rsidR="00681586" w:rsidRPr="00681586" w:rsidP="00681586">
      <w:pPr>
        <w:spacing w:line="269" w:lineRule="auto"/>
        <w:rPr>
          <w:rFonts w:eastAsia="Calibri"/>
          <w:bCs/>
          <w:rtl/>
        </w:rPr>
      </w:pPr>
      <w:r w:rsidRPr="00681586">
        <w:rPr>
          <w:rFonts w:eastAsia="Calibri" w:hint="cs"/>
          <w:bCs/>
          <w:rtl/>
        </w:rPr>
        <w:t xml:space="preserve">בביקורת עלה גם כי קיימים סיכונים משמעותיים ליציבות קרנות המבוטחים בביטוח הסיעודי דרך קופות החולים, וכי סיכונים אלו אינם שקופים לציבור. עוד עלה בביקורת כי מבנה הביטוח הסיעודי דרך קופות החולים, לאחר השינויים שערכה רשות שוק ההון בביטוחים אלו, משלב מאפיינים ציבוריים ופרטיים באופן שמשאיר את הציבור </w:t>
      </w:r>
      <w:r w:rsidRPr="00681586">
        <w:rPr>
          <w:rFonts w:eastAsia="Calibri"/>
          <w:bCs/>
          <w:rtl/>
        </w:rPr>
        <w:t xml:space="preserve">ללא היתרונות של ביטוחים ציבוריים, </w:t>
      </w:r>
      <w:r w:rsidRPr="00681586">
        <w:rPr>
          <w:rFonts w:eastAsia="Calibri"/>
          <w:bCs/>
          <w:rtl/>
        </w:rPr>
        <w:t>אך גם ללא היתרונות של ביטוחים פרטיים</w:t>
      </w:r>
      <w:r w:rsidRPr="00681586">
        <w:rPr>
          <w:rFonts w:eastAsia="Calibri" w:hint="cs"/>
          <w:bCs/>
          <w:rtl/>
        </w:rPr>
        <w:t>: אף גוף אינו נושא בסיכונים הנובעים מהביטוח, אף גוף אינו מפרסם את גובה קרנות המבוטחים, ואין אף גוף רגולטורי האחראי לכל ההיבטים של הביטוח.</w:t>
      </w:r>
    </w:p>
    <w:p w:rsidR="00681586" w:rsidRPr="00681586" w:rsidP="00681586">
      <w:pPr>
        <w:spacing w:line="269" w:lineRule="auto"/>
        <w:ind w:left="-567"/>
        <w:rPr>
          <w:rFonts w:eastAsia="Calibri"/>
          <w:bCs/>
          <w:szCs w:val="20"/>
          <w:rtl/>
        </w:rPr>
      </w:pPr>
    </w:p>
    <w:p w:rsidR="00681586" w:rsidRPr="00681586" w:rsidP="00681586">
      <w:pPr>
        <w:spacing w:line="269" w:lineRule="auto"/>
        <w:rPr>
          <w:rFonts w:eastAsia="Calibri"/>
          <w:bCs/>
          <w:rtl/>
        </w:rPr>
      </w:pPr>
      <w:r w:rsidRPr="00681586">
        <w:rPr>
          <w:rFonts w:eastAsia="Calibri" w:hint="cs"/>
          <w:bCs/>
          <w:rtl/>
        </w:rPr>
        <w:t xml:space="preserve">מן האמור יוצא כי חלק מההחלטות המינהליות </w:t>
      </w:r>
      <w:r w:rsidRPr="00681586">
        <w:rPr>
          <w:rFonts w:ascii="David" w:eastAsia="Calibri" w:hAnsi="David" w:hint="cs"/>
          <w:bCs/>
          <w:sz w:val="36"/>
          <w:rtl/>
        </w:rPr>
        <w:t xml:space="preserve">בכל הנוגע לטיפול הסיעודי </w:t>
      </w:r>
      <w:r w:rsidRPr="00681586">
        <w:rPr>
          <w:rFonts w:eastAsia="Calibri" w:hint="cs"/>
          <w:bCs/>
          <w:rtl/>
        </w:rPr>
        <w:t>מבוססות על שיקולים קצרי טווח, בין של בט"ל בכל הנוגע להערכת התלות באמצעות מסמכים בלבד ובין של רשות שוק ההון בכל הנוגע לקרנות המבוטחים בביטוח סיעודי בקופות החולים. כתוצאה מכך, כלל המענים הקיימים למתן סיוע בשירותים ובכסף לטובת הטיפול בסיעודיים אינם יציבים בטווח הארוך, וקיימת סכנה כי לא יצליחו לתת את הסיוע הדרוש לתושבי ישראל לאורך זמן.</w:t>
      </w:r>
      <w:r w:rsidRPr="00681586">
        <w:rPr>
          <w:rFonts w:eastAsia="Calibri"/>
          <w:bCs/>
          <w:rtl/>
        </w:rPr>
        <w:t xml:space="preserve"> </w:t>
      </w:r>
    </w:p>
    <w:p w:rsidR="00681586" w:rsidRPr="00681586" w:rsidP="00681586">
      <w:pPr>
        <w:spacing w:line="269" w:lineRule="auto"/>
        <w:ind w:left="-567"/>
        <w:rPr>
          <w:rFonts w:eastAsia="Calibri"/>
          <w:bCs/>
          <w:szCs w:val="20"/>
          <w:rtl/>
        </w:rPr>
      </w:pPr>
    </w:p>
    <w:p w:rsidR="00681586" w:rsidRPr="00681586" w:rsidP="00681586">
      <w:pPr>
        <w:spacing w:line="269" w:lineRule="auto"/>
        <w:rPr>
          <w:rFonts w:eastAsia="Calibri"/>
          <w:bCs/>
          <w:rtl/>
        </w:rPr>
      </w:pPr>
      <w:r w:rsidRPr="00681586">
        <w:rPr>
          <w:rFonts w:eastAsia="Calibri" w:hint="cs"/>
          <w:bCs/>
          <w:rtl/>
        </w:rPr>
        <w:t xml:space="preserve">כדי לאפשר מענה לקשישים סיעודיים לאורך זמן, </w:t>
      </w:r>
      <w:r w:rsidRPr="00681586">
        <w:rPr>
          <w:rFonts w:eastAsia="Calibri" w:hint="cs"/>
          <w:b/>
          <w:bCs/>
          <w:rtl/>
        </w:rPr>
        <w:t>מומלץ כי בט"ל ישקול את מועילות ויעילות שיטת הערכת התלות שבה הוא נוהג כיום - הערכה באמצעות מסמכים רפואיים. מומלץ כי הבחינה תתבצע תוך שקילת רמת הדיוק של הערכות התלות, מידת ההיערכות מבחינת כוח האדם הדרוש ומשכי זמן הטיפול בתביעות</w:t>
      </w:r>
      <w:r w:rsidRPr="00681586">
        <w:rPr>
          <w:rFonts w:eastAsia="Calibri" w:hint="cs"/>
          <w:bCs/>
          <w:rtl/>
        </w:rPr>
        <w:t>. עוד מומלץ כי בט"ל ילווה החלטות שיש בהן כדי להשפיע על היציבות האקטוארית בתחשיב אקטוארי. כמו כן מומלץ כי שר העבודה בשיתוף עם שר האוצר יפעלו לאזן את התקציב הגירעוני, בין השאר באמצעות גיבוש תיקונים בחוק שיאפשרו יצירת מאזנים אוטומטיים ברוח המלצות ועדת דומיניסיני, או לחלופין באמצעות אימוץ של מגבלת תקציב כוללת על ההוצאה על טיפול סיעודי, בדומה לקיים ברוב מדינות ה-</w:t>
      </w:r>
      <w:r w:rsidRPr="00681586">
        <w:rPr>
          <w:rFonts w:eastAsia="Calibri"/>
          <w:b/>
        </w:rPr>
        <w:t>OECD</w:t>
      </w:r>
      <w:r w:rsidRPr="00681586">
        <w:rPr>
          <w:rFonts w:eastAsia="Calibri"/>
          <w:b/>
          <w:rtl/>
        </w:rPr>
        <w:t>.</w:t>
      </w:r>
      <w:r w:rsidRPr="00681586">
        <w:rPr>
          <w:rFonts w:eastAsia="Calibri" w:hint="cs"/>
          <w:bCs/>
          <w:rtl/>
        </w:rPr>
        <w:t xml:space="preserve"> אשר לביטוחי הסיעוד דרך קופות החולים, </w:t>
      </w:r>
      <w:r w:rsidRPr="00681586">
        <w:rPr>
          <w:rFonts w:eastAsia="Calibri" w:hint="eastAsia"/>
          <w:b/>
          <w:bCs/>
          <w:rtl/>
        </w:rPr>
        <w:t>מומלץ</w:t>
      </w:r>
      <w:r w:rsidRPr="00681586">
        <w:rPr>
          <w:rFonts w:eastAsia="Calibri"/>
          <w:b/>
          <w:bCs/>
          <w:rtl/>
        </w:rPr>
        <w:t xml:space="preserve"> למשרד האוצר </w:t>
      </w:r>
      <w:r w:rsidRPr="00681586">
        <w:rPr>
          <w:rFonts w:eastAsia="Calibri" w:hint="cs"/>
          <w:b/>
          <w:bCs/>
          <w:rtl/>
        </w:rPr>
        <w:t>בשיתוף משרד הבריאות</w:t>
      </w:r>
      <w:r w:rsidRPr="00681586">
        <w:rPr>
          <w:rFonts w:eastAsia="Calibri"/>
          <w:bCs/>
          <w:rtl/>
        </w:rPr>
        <w:t xml:space="preserve"> לבחון בעבודת מטה את מבנה הביטוחים הקיים היום ואת ההשפעות של שילוב מרכיבים פרטיים ומרכיבים ציבוריים בביטוח. עוד מומלץ ליצור כללים שישקפו לציבור את היבטי מבנה הביטוח הסיעודי דרך קופות החולים, ובפרט של מבנה הסיכונים שלו וגובה הקרנות והשפעתן על יציבות ביטוח.</w:t>
      </w:r>
    </w:p>
    <w:p w:rsidR="00681586" w:rsidRPr="00681586" w:rsidP="00681586">
      <w:pPr>
        <w:spacing w:line="269" w:lineRule="auto"/>
        <w:ind w:left="-567"/>
        <w:rPr>
          <w:rFonts w:eastAsia="Calibri"/>
          <w:bCs/>
          <w:szCs w:val="20"/>
          <w:rtl/>
        </w:rPr>
      </w:pPr>
    </w:p>
    <w:p w:rsidR="00681586" w:rsidRPr="00681586" w:rsidP="00681586">
      <w:pPr>
        <w:spacing w:line="269" w:lineRule="auto"/>
        <w:rPr>
          <w:rFonts w:eastAsia="Calibri"/>
          <w:bCs/>
          <w:rtl/>
        </w:rPr>
      </w:pPr>
      <w:r w:rsidRPr="00681586">
        <w:rPr>
          <w:rFonts w:eastAsia="Calibri" w:hint="cs"/>
          <w:bCs/>
          <w:rtl/>
        </w:rPr>
        <w:t>בביקורת עלה גם כי רמת הפיקוח והבקרה של בט"ל, שנמצאו בה ליקויים עוד לפני הרפורמה, לא השתפרה בהתאם לנדרש בשינויים שחלו לגבי האפשרות של מתן טיפול סיעודי על ידי בני משפחה מטפלים ומתן גמלה בכסף. בט"ל לא גיבש נוהל בקרה על חברות הסיעוד שיכלול הסדרת פיקוח על הליך האישור של בני משפחה מטפלים ושעות העבודה ולא ביצע ביקור שנתי בביתם של קשישים המקבלים גמלה בכסף או גמלה משולבת כנדרש על פי חוק.</w:t>
      </w:r>
    </w:p>
    <w:p w:rsidR="00681586" w:rsidRPr="00681586" w:rsidP="00681586">
      <w:pPr>
        <w:spacing w:line="269" w:lineRule="auto"/>
        <w:ind w:left="-567"/>
        <w:rPr>
          <w:rFonts w:eastAsia="Calibri"/>
          <w:bCs/>
          <w:szCs w:val="20"/>
          <w:rtl/>
        </w:rPr>
      </w:pPr>
    </w:p>
    <w:p w:rsidR="00681586" w:rsidRPr="00681586" w:rsidP="00681586">
      <w:pPr>
        <w:spacing w:line="269" w:lineRule="auto"/>
        <w:rPr>
          <w:rFonts w:eastAsia="Calibri"/>
          <w:bCs/>
          <w:rtl/>
        </w:rPr>
      </w:pPr>
      <w:r w:rsidRPr="00681586">
        <w:rPr>
          <w:rFonts w:eastAsia="Calibri" w:hint="cs"/>
          <w:bCs/>
          <w:rtl/>
        </w:rPr>
        <w:t>מומלץ כי בט"ל יגבש נוהל בקרה על בני משפחה מטפלים</w:t>
      </w:r>
      <w:bookmarkStart w:id="22" w:name="_Hlk222739934"/>
      <w:r w:rsidRPr="00681586">
        <w:rPr>
          <w:rFonts w:eastAsia="Calibri" w:hint="cs"/>
          <w:bCs/>
          <w:rtl/>
        </w:rPr>
        <w:t>.</w:t>
      </w:r>
      <w:r w:rsidRPr="00681586">
        <w:rPr>
          <w:rFonts w:eastAsia="Calibri" w:hint="cs"/>
          <w:b/>
          <w:bCs/>
          <w:rtl/>
        </w:rPr>
        <w:t xml:space="preserve"> כמו כן על בט"ל לבקר</w:t>
      </w:r>
      <w:bookmarkEnd w:id="22"/>
      <w:r w:rsidRPr="00681586">
        <w:rPr>
          <w:rFonts w:eastAsia="Calibri" w:hint="cs"/>
          <w:bCs/>
          <w:rtl/>
        </w:rPr>
        <w:t xml:space="preserve"> אחת לשנה בביתם של כל הקשישים המקבלים גמלה בכסף כדי לוודא כי שירותי הסיעוד שהם רוכשים בכסף זה אכן עונים על צורכיהם, כפי שנקבע בחוק.</w:t>
      </w:r>
    </w:p>
    <w:p w:rsidR="00681586" w:rsidRPr="00681586" w:rsidP="00681586">
      <w:pPr>
        <w:spacing w:line="269" w:lineRule="auto"/>
        <w:ind w:left="-567"/>
        <w:rPr>
          <w:rFonts w:eastAsia="Calibri"/>
          <w:szCs w:val="20"/>
          <w:rtl/>
        </w:rPr>
      </w:pPr>
    </w:p>
    <w:p w:rsidR="00681586" w:rsidRPr="00681586" w:rsidP="00681586">
      <w:pPr>
        <w:spacing w:line="269" w:lineRule="auto"/>
        <w:rPr>
          <w:rFonts w:eastAsia="Calibri"/>
          <w:bCs/>
          <w:rtl/>
        </w:rPr>
      </w:pPr>
      <w:r w:rsidRPr="00681586">
        <w:rPr>
          <w:rFonts w:eastAsia="Calibri"/>
          <w:bCs/>
          <w:rtl/>
        </w:rPr>
        <w:t xml:space="preserve">בהסתכלות צופה פני עתיד </w:t>
      </w:r>
      <w:r w:rsidRPr="00681586">
        <w:rPr>
          <w:rFonts w:eastAsia="Calibri" w:hint="cs"/>
          <w:bCs/>
          <w:rtl/>
        </w:rPr>
        <w:t xml:space="preserve">על </w:t>
      </w:r>
      <w:r w:rsidRPr="00681586">
        <w:rPr>
          <w:rFonts w:eastAsia="Calibri"/>
          <w:bCs/>
          <w:rtl/>
        </w:rPr>
        <w:t>תהליכי הזדקנות האוכלוסי</w:t>
      </w:r>
      <w:r w:rsidRPr="00681586">
        <w:rPr>
          <w:rFonts w:eastAsia="Calibri" w:hint="cs"/>
          <w:bCs/>
          <w:rtl/>
        </w:rPr>
        <w:t>י</w:t>
      </w:r>
      <w:r w:rsidRPr="00681586">
        <w:rPr>
          <w:rFonts w:eastAsia="Calibri"/>
          <w:bCs/>
          <w:rtl/>
        </w:rPr>
        <w:t>ה</w:t>
      </w:r>
      <w:r w:rsidRPr="00681586">
        <w:rPr>
          <w:rFonts w:eastAsia="Calibri" w:hint="cs"/>
          <w:bCs/>
          <w:rtl/>
        </w:rPr>
        <w:t>,</w:t>
      </w:r>
      <w:r w:rsidRPr="00681586">
        <w:rPr>
          <w:rFonts w:eastAsia="Calibri"/>
          <w:bCs/>
          <w:rtl/>
        </w:rPr>
        <w:t xml:space="preserve"> ובפרט </w:t>
      </w:r>
      <w:r w:rsidRPr="00681586">
        <w:rPr>
          <w:rFonts w:eastAsia="Calibri" w:hint="cs"/>
          <w:bCs/>
          <w:rtl/>
        </w:rPr>
        <w:t xml:space="preserve">על </w:t>
      </w:r>
      <w:r w:rsidRPr="00681586">
        <w:rPr>
          <w:rFonts w:eastAsia="Calibri"/>
          <w:bCs/>
          <w:rtl/>
        </w:rPr>
        <w:t>הגידול הצפוי במספר הקשישים הסיעודיים</w:t>
      </w:r>
      <w:r w:rsidRPr="00681586">
        <w:rPr>
          <w:rFonts w:eastAsia="Calibri" w:hint="cs"/>
          <w:bCs/>
          <w:rtl/>
        </w:rPr>
        <w:t>, עולה</w:t>
      </w:r>
      <w:r w:rsidRPr="00681586">
        <w:rPr>
          <w:rFonts w:eastAsia="Calibri"/>
          <w:bCs/>
          <w:rtl/>
        </w:rPr>
        <w:t xml:space="preserve"> החשש </w:t>
      </w:r>
      <w:r w:rsidRPr="00681586">
        <w:rPr>
          <w:rFonts w:eastAsia="Calibri" w:hint="cs"/>
          <w:bCs/>
          <w:rtl/>
        </w:rPr>
        <w:t>של</w:t>
      </w:r>
      <w:r w:rsidRPr="00681586">
        <w:rPr>
          <w:rFonts w:eastAsia="Calibri"/>
          <w:bCs/>
          <w:rtl/>
        </w:rPr>
        <w:t>מערך הביטוח הסיעודי בישראל</w:t>
      </w:r>
      <w:r w:rsidRPr="00681586">
        <w:rPr>
          <w:rFonts w:eastAsia="Calibri" w:hint="cs"/>
          <w:bCs/>
          <w:rtl/>
        </w:rPr>
        <w:t xml:space="preserve"> </w:t>
      </w:r>
      <w:r w:rsidRPr="00681586">
        <w:rPr>
          <w:rFonts w:eastAsia="Calibri"/>
          <w:bCs/>
          <w:rtl/>
        </w:rPr>
        <w:t>אין יכולת בת קיימ</w:t>
      </w:r>
      <w:r w:rsidRPr="00681586">
        <w:rPr>
          <w:rFonts w:eastAsia="Calibri" w:hint="cs"/>
          <w:bCs/>
          <w:rtl/>
        </w:rPr>
        <w:t>ה</w:t>
      </w:r>
      <w:r w:rsidRPr="00681586">
        <w:rPr>
          <w:rFonts w:eastAsia="Calibri"/>
          <w:bCs/>
          <w:rtl/>
        </w:rPr>
        <w:t xml:space="preserve"> לספק את הנדרש ל</w:t>
      </w:r>
      <w:r w:rsidRPr="00681586">
        <w:rPr>
          <w:rFonts w:eastAsia="Calibri" w:hint="cs"/>
          <w:bCs/>
          <w:rtl/>
        </w:rPr>
        <w:t>תושבי</w:t>
      </w:r>
      <w:r w:rsidRPr="00681586">
        <w:rPr>
          <w:rFonts w:eastAsia="Calibri"/>
          <w:bCs/>
          <w:rtl/>
        </w:rPr>
        <w:t xml:space="preserve"> ישראל בעת הגעה למצב סיעודי.</w:t>
      </w:r>
      <w:r w:rsidRPr="00681586">
        <w:rPr>
          <w:rFonts w:eastAsia="Calibri" w:hint="cs"/>
          <w:bCs/>
          <w:rtl/>
        </w:rPr>
        <w:t xml:space="preserve"> אשר על כן, נדרש כי ממשלת ישראל, ובכלל זה בט"ל ומשרד האוצר, יפעלו כבר כעת כדי לייצב את המנגנונים של מערך הביטוח הסיעודי ולהבטיח כי גם בשנים הבאות הקשישים הסיעודיים יקבלו את המענה הראוי לצורכיהם.</w:t>
      </w:r>
    </w:p>
    <w:bookmarkEnd w:id="21"/>
    <w:p w:rsidR="00681586" w:rsidRPr="00681586" w:rsidP="00681586">
      <w:pPr>
        <w:spacing w:line="269" w:lineRule="auto"/>
        <w:rPr>
          <w:rFonts w:eastAsia="Calibri"/>
          <w:szCs w:val="20"/>
          <w:rtl/>
        </w:rPr>
      </w:pPr>
    </w:p>
    <w:p w:rsidR="00F954E4" w:rsidP="00F954E4">
      <w:pPr>
        <w:bidi w:val="0"/>
        <w:spacing w:after="200" w:line="276" w:lineRule="auto"/>
        <w:rPr>
          <w:rFonts w:ascii="Calibri" w:hAnsi="Calibri" w:cs="Calibri"/>
          <w:b/>
          <w:bCs/>
          <w:color w:val="002060"/>
          <w:sz w:val="80"/>
          <w:szCs w:val="80"/>
        </w:rPr>
      </w:pPr>
    </w:p>
    <w:p w:rsidR="00F954E4" w:rsidP="00D96040">
      <w:pPr>
        <w:bidi w:val="0"/>
        <w:spacing w:after="200" w:line="276" w:lineRule="auto"/>
        <w:rPr>
          <w:rFonts w:ascii="Calibri" w:hAnsi="Calibri" w:cs="Calibri"/>
          <w:b/>
          <w:bCs/>
          <w:color w:val="002060"/>
          <w:sz w:val="80"/>
          <w:szCs w:val="80"/>
        </w:rPr>
      </w:pPr>
    </w:p>
    <w:sectPr w:rsidSect="006C2C6D">
      <w:headerReference w:type="first" r:id="rId40"/>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altName w:val="Calibri"/>
    <w:charset w:val="00"/>
    <w:family w:val="swiss"/>
    <w:pitch w:val="variable"/>
    <w:sig w:usb0="20000287" w:usb1="00000003" w:usb2="00000000" w:usb3="00000000" w:csb0="0000019F" w:csb1="00000000"/>
  </w:font>
  <w:font w:name="Almoni ML v5 AAA Light">
    <w:panose1 w:val="00000400000000000000"/>
    <w:charset w:val="00"/>
    <w:family w:val="modern"/>
    <w:notTrueType/>
    <w:pitch w:val="variable"/>
    <w:sig w:usb0="00000A07" w:usb1="40000000" w:usb2="00000000" w:usb3="00000000" w:csb0="000000B7" w:csb1="00000000"/>
  </w:font>
  <w:font w:name="Rubik">
    <w:altName w:val="Arial"/>
    <w:charset w:val="00"/>
    <w:family w:val="auto"/>
    <w:pitch w:val="variable"/>
    <w:sig w:usb0="00000A07" w:usb1="40000001" w:usb2="00000000" w:usb3="00000000" w:csb0="000000B7"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FrankRuehl">
    <w:altName w:val="Arial"/>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C3D62">
    <w:pPr>
      <w:pStyle w:val="Footer"/>
    </w:pPr>
    <w:r>
      <w:rPr>
        <w:noProof/>
      </w:rPr>
      <mc:AlternateContent>
        <mc:Choice Requires="wps">
          <w:drawing>
            <wp:anchor distT="0" distB="0" distL="114300" distR="114300" simplePos="0" relativeHeight="251658240" behindDoc="0" locked="0" layoutInCell="1" allowOverlap="1">
              <wp:simplePos x="0" y="0"/>
              <wp:positionH relativeFrom="page">
                <wp:posOffset>2186305</wp:posOffset>
              </wp:positionH>
              <wp:positionV relativeFrom="paragraph">
                <wp:posOffset>-1106170</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AC3D62"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3" type="#_x0000_t202" style="width:233pt;height:21.5pt;margin-top:-87.1pt;margin-left:172.15pt;mso-position-horizontal-relative:page;mso-wrap-distance-bottom:0;mso-wrap-distance-left:9pt;mso-wrap-distance-right:9pt;mso-wrap-distance-top:0;mso-wrap-style:square;position:absolute;visibility:visible;v-text-anchor:top;z-index:251659264" filled="f" stroked="f" strokeweight="0.5pt">
              <v:textbox>
                <w:txbxContent>
                  <w:p w:rsidR="00AC3D62"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C3D62" w:rsidP="00C23CC9">
      <w:pPr>
        <w:spacing w:line="240" w:lineRule="auto"/>
      </w:pPr>
      <w:r>
        <w:separator/>
      </w:r>
    </w:p>
  </w:footnote>
  <w:footnote w:type="continuationSeparator" w:id="1">
    <w:p w:rsidR="00AC3D62" w:rsidP="00C23CC9">
      <w:pPr>
        <w:spacing w:line="240" w:lineRule="auto"/>
      </w:pPr>
      <w:r>
        <w:continuationSeparator/>
      </w:r>
    </w:p>
  </w:footnote>
  <w:footnote w:id="2">
    <w:p w:rsidR="00AC3D62" w:rsidP="00681586">
      <w:pPr>
        <w:pStyle w:val="FootnoteText"/>
      </w:pPr>
      <w:r>
        <w:rPr>
          <w:rStyle w:val="FootnoteReference1"/>
        </w:rPr>
        <w:footnoteRef/>
      </w:r>
      <w:r>
        <w:rPr>
          <w:rtl/>
        </w:rPr>
        <w:t xml:space="preserve"> </w:t>
      </w:r>
      <w:r>
        <w:rPr>
          <w:rtl/>
        </w:rPr>
        <w:tab/>
      </w:r>
      <w:r>
        <w:rPr>
          <w:rFonts w:hint="cs"/>
          <w:rtl/>
        </w:rPr>
        <w:t xml:space="preserve">הלשכה המרכזית לסטטיסטיקה, </w:t>
      </w:r>
      <w:r w:rsidRPr="00F14F6D">
        <w:rPr>
          <w:b/>
          <w:bCs/>
          <w:rtl/>
        </w:rPr>
        <w:t>חודש האזרח הוותיק</w:t>
      </w:r>
      <w:r>
        <w:rPr>
          <w:rFonts w:hint="cs"/>
          <w:rtl/>
        </w:rPr>
        <w:t>,</w:t>
      </w:r>
      <w:r>
        <w:rPr>
          <w:rtl/>
        </w:rPr>
        <w:t xml:space="preserve"> </w:t>
      </w:r>
      <w:r>
        <w:rPr>
          <w:rFonts w:hint="cs"/>
          <w:rtl/>
        </w:rPr>
        <w:t>(</w:t>
      </w:r>
      <w:r>
        <w:rPr>
          <w:rtl/>
        </w:rPr>
        <w:t>202</w:t>
      </w:r>
      <w:r>
        <w:rPr>
          <w:rFonts w:hint="cs"/>
          <w:rtl/>
        </w:rPr>
        <w:t>5</w:t>
      </w:r>
      <w:r w:rsidRPr="00F14F6D">
        <w:rPr>
          <w:rFonts w:hint="cs"/>
          <w:rtl/>
        </w:rPr>
        <w:t xml:space="preserve">); תחזית מתוך הלשכה המרכזית לסטטיסטיקה, </w:t>
      </w:r>
      <w:r w:rsidRPr="00F14F6D">
        <w:rPr>
          <w:b/>
          <w:bCs/>
          <w:rtl/>
        </w:rPr>
        <w:t>מדדים</w:t>
      </w:r>
      <w:r w:rsidRPr="00F14F6D">
        <w:rPr>
          <w:rtl/>
        </w:rPr>
        <w:t xml:space="preserve"> </w:t>
      </w:r>
      <w:r w:rsidRPr="00F14F6D">
        <w:rPr>
          <w:b/>
          <w:bCs/>
          <w:rtl/>
        </w:rPr>
        <w:t>לאומיים להזדקנות מיטבית בישראל, 2022</w:t>
      </w:r>
      <w:r w:rsidRPr="00F14F6D">
        <w:rPr>
          <w:rFonts w:hint="cs"/>
          <w:rtl/>
        </w:rPr>
        <w:t xml:space="preserve"> (נובמבר 2024). </w:t>
      </w:r>
    </w:p>
  </w:footnote>
  <w:footnote w:id="3">
    <w:p w:rsidR="00AC3D62" w:rsidP="00681586">
      <w:pPr>
        <w:pStyle w:val="FootnoteText"/>
      </w:pPr>
      <w:r>
        <w:rPr>
          <w:rStyle w:val="FootnoteReference1"/>
        </w:rPr>
        <w:footnoteRef/>
      </w:r>
      <w:r>
        <w:rPr>
          <w:rtl/>
        </w:rPr>
        <w:t xml:space="preserve"> </w:t>
      </w:r>
      <w:r>
        <w:rPr>
          <w:rtl/>
        </w:rPr>
        <w:tab/>
      </w:r>
      <w:r>
        <w:rPr>
          <w:rFonts w:hint="cs"/>
          <w:rtl/>
        </w:rPr>
        <w:t xml:space="preserve">מרכז טאוב, </w:t>
      </w:r>
      <w:r w:rsidRPr="00F248E4">
        <w:rPr>
          <w:rFonts w:hint="eastAsia"/>
          <w:b/>
          <w:bCs/>
          <w:rtl/>
        </w:rPr>
        <w:t>ביטוח</w:t>
      </w:r>
      <w:r w:rsidRPr="00F248E4">
        <w:rPr>
          <w:b/>
          <w:bCs/>
          <w:rtl/>
        </w:rPr>
        <w:t xml:space="preserve"> </w:t>
      </w:r>
      <w:r w:rsidRPr="00F248E4">
        <w:rPr>
          <w:rFonts w:hint="eastAsia"/>
          <w:b/>
          <w:bCs/>
          <w:rtl/>
        </w:rPr>
        <w:t>סיעודי</w:t>
      </w:r>
      <w:r w:rsidRPr="00F248E4">
        <w:rPr>
          <w:b/>
          <w:bCs/>
          <w:rtl/>
        </w:rPr>
        <w:t xml:space="preserve"> </w:t>
      </w:r>
      <w:r w:rsidRPr="00F248E4">
        <w:rPr>
          <w:rFonts w:hint="eastAsia"/>
          <w:b/>
          <w:bCs/>
          <w:rtl/>
        </w:rPr>
        <w:t>בישראל</w:t>
      </w:r>
      <w:r>
        <w:rPr>
          <w:rFonts w:hint="cs"/>
          <w:rtl/>
        </w:rPr>
        <w:t xml:space="preserve"> (2024).</w:t>
      </w:r>
    </w:p>
  </w:footnote>
  <w:footnote w:id="4">
    <w:p w:rsidR="00AC3D62" w:rsidP="00681586">
      <w:pPr>
        <w:pStyle w:val="FootnoteText"/>
        <w:rPr>
          <w:rtl/>
        </w:rPr>
      </w:pPr>
      <w:r>
        <w:rPr>
          <w:rStyle w:val="FootnoteReference1"/>
        </w:rPr>
        <w:footnoteRef/>
      </w:r>
      <w:r>
        <w:rPr>
          <w:rtl/>
        </w:rPr>
        <w:t xml:space="preserve"> </w:t>
      </w:r>
      <w:r>
        <w:rPr>
          <w:rtl/>
        </w:rPr>
        <w:tab/>
      </w:r>
      <w:r>
        <w:t xml:space="preserve">OECD, </w:t>
      </w:r>
      <w:r w:rsidRPr="00F248E4">
        <w:rPr>
          <w:b/>
          <w:bCs/>
        </w:rPr>
        <w:t>Health at a Glance</w:t>
      </w:r>
      <w:r>
        <w:t xml:space="preserve"> (2025), Figure 10.13 </w:t>
      </w:r>
    </w:p>
  </w:footnote>
  <w:footnote w:id="5">
    <w:p w:rsidR="00AC3D62" w:rsidP="00681586">
      <w:pPr>
        <w:pStyle w:val="FootnoteText"/>
      </w:pPr>
      <w:r>
        <w:rPr>
          <w:rStyle w:val="FootnoteReference1"/>
        </w:rPr>
        <w:footnoteRef/>
      </w:r>
      <w:r>
        <w:rPr>
          <w:rtl/>
        </w:rPr>
        <w:t xml:space="preserve"> </w:t>
      </w:r>
      <w:r>
        <w:rPr>
          <w:rtl/>
        </w:rPr>
        <w:tab/>
      </w:r>
      <w:r>
        <w:rPr>
          <w:rFonts w:hint="cs"/>
          <w:rtl/>
        </w:rPr>
        <w:t xml:space="preserve">עמותת רעות, </w:t>
      </w:r>
      <w:r w:rsidRPr="00F248E4">
        <w:rPr>
          <w:rFonts w:hint="cs"/>
          <w:b/>
          <w:bCs/>
          <w:rtl/>
        </w:rPr>
        <w:t>המשמעות הכלכלית של טיפול באדם סיעודי</w:t>
      </w:r>
      <w:r>
        <w:rPr>
          <w:rFonts w:hint="cs"/>
          <w:rtl/>
        </w:rPr>
        <w:t xml:space="preserve"> (2026).</w:t>
      </w:r>
    </w:p>
  </w:footnote>
  <w:footnote w:id="6">
    <w:p w:rsidR="00AC3D62" w:rsidP="00681586">
      <w:pPr>
        <w:pStyle w:val="FootnoteText"/>
        <w:rPr>
          <w:rtl/>
        </w:rPr>
      </w:pPr>
      <w:r>
        <w:rPr>
          <w:rStyle w:val="FootnoteReference1"/>
        </w:rPr>
        <w:footnoteRef/>
      </w:r>
      <w:r>
        <w:rPr>
          <w:rtl/>
        </w:rPr>
        <w:t xml:space="preserve"> </w:t>
      </w:r>
      <w:r>
        <w:rPr>
          <w:rtl/>
        </w:rPr>
        <w:tab/>
      </w:r>
      <w:r>
        <w:rPr>
          <w:rFonts w:hint="cs"/>
          <w:rtl/>
        </w:rPr>
        <w:t>בט"ל</w:t>
      </w:r>
      <w:r>
        <w:rPr>
          <w:rtl/>
        </w:rPr>
        <w:t xml:space="preserve"> הוא הגוף האחראי במדינת ישראל לתשלומי גמלאות סוציאליות ולתשלומים נוספים</w:t>
      </w:r>
      <w:r>
        <w:rPr>
          <w:rFonts w:hint="cs"/>
          <w:rtl/>
        </w:rPr>
        <w:t>.</w:t>
      </w:r>
    </w:p>
  </w:footnote>
  <w:footnote w:id="7">
    <w:p w:rsidR="00AC3D62" w:rsidP="00681586">
      <w:pPr>
        <w:pStyle w:val="FootnoteText"/>
      </w:pPr>
      <w:r>
        <w:rPr>
          <w:rStyle w:val="FootnoteReference1"/>
        </w:rPr>
        <w:footnoteRef/>
      </w:r>
      <w:r>
        <w:rPr>
          <w:rtl/>
        </w:rPr>
        <w:t xml:space="preserve"> </w:t>
      </w:r>
      <w:r>
        <w:rPr>
          <w:rtl/>
        </w:rPr>
        <w:tab/>
      </w:r>
      <w:r w:rsidRPr="0006362B">
        <w:rPr>
          <w:rtl/>
        </w:rPr>
        <w:t>תשלום ישירות לנותני שירותים</w:t>
      </w:r>
      <w:r>
        <w:rPr>
          <w:rFonts w:hint="cs"/>
          <w:rtl/>
        </w:rPr>
        <w:t>.</w:t>
      </w:r>
    </w:p>
  </w:footnote>
  <w:footnote w:id="8">
    <w:p w:rsidR="00AC3D62" w:rsidP="00681586">
      <w:pPr>
        <w:pStyle w:val="FootnoteText"/>
      </w:pPr>
      <w:r>
        <w:rPr>
          <w:rStyle w:val="FootnoteReference1"/>
        </w:rPr>
        <w:footnoteRef/>
      </w:r>
      <w:r>
        <w:rPr>
          <w:rtl/>
        </w:rPr>
        <w:t xml:space="preserve"> </w:t>
      </w:r>
      <w:r>
        <w:rPr>
          <w:rtl/>
        </w:rPr>
        <w:tab/>
      </w:r>
      <w:r>
        <w:rPr>
          <w:rFonts w:hint="cs"/>
          <w:rtl/>
        </w:rPr>
        <w:t>בעבר היה ניתן לרכוש גם ביטוחי פרט וביטוחים קבוצתיים נוספים, אולם אפשרות זו אינה זמינה יותר.</w:t>
      </w:r>
    </w:p>
  </w:footnote>
  <w:footnote w:id="9">
    <w:p w:rsidR="00AC3D62" w:rsidP="00681586">
      <w:pPr>
        <w:pStyle w:val="FootnoteText"/>
      </w:pPr>
      <w:r>
        <w:rPr>
          <w:rStyle w:val="FootnoteReference1"/>
        </w:rPr>
        <w:footnoteRef/>
      </w:r>
      <w:r>
        <w:rPr>
          <w:rtl/>
        </w:rPr>
        <w:t xml:space="preserve"> </w:t>
      </w:r>
      <w:r>
        <w:rPr>
          <w:rtl/>
        </w:rPr>
        <w:tab/>
      </w:r>
      <w:r>
        <w:rPr>
          <w:rFonts w:hint="cs"/>
          <w:rtl/>
        </w:rPr>
        <w:t>גיל 62 לנשים (אשר עולה בהדרגה לגיל 65) ו-67 לגברים.</w:t>
      </w:r>
    </w:p>
  </w:footnote>
  <w:footnote w:id="10">
    <w:p w:rsidR="00AC3D62" w:rsidP="00681586">
      <w:pPr>
        <w:pStyle w:val="FootnoteText"/>
      </w:pPr>
      <w:r>
        <w:rPr>
          <w:rStyle w:val="FootnoteReference1"/>
        </w:rPr>
        <w:footnoteRef/>
      </w:r>
      <w:r>
        <w:rPr>
          <w:rtl/>
        </w:rPr>
        <w:t xml:space="preserve"> </w:t>
      </w:r>
      <w:r>
        <w:rPr>
          <w:rtl/>
        </w:rPr>
        <w:tab/>
      </w:r>
      <w:r>
        <w:rPr>
          <w:rFonts w:hint="cs"/>
          <w:rtl/>
        </w:rPr>
        <w:t>הביטוח הלאומי [נוסח משולב], התשנ"ה-1995 (להלן - חוק בט"ל), פרק י': ביטוח סיעוד.</w:t>
      </w:r>
    </w:p>
  </w:footnote>
  <w:footnote w:id="11">
    <w:p w:rsidR="00AC3D62" w:rsidP="00681586">
      <w:pPr>
        <w:pStyle w:val="FootnoteText"/>
      </w:pPr>
      <w:r>
        <w:rPr>
          <w:rStyle w:val="FootnoteReference1"/>
        </w:rPr>
        <w:footnoteRef/>
      </w:r>
      <w:r>
        <w:rPr>
          <w:rtl/>
        </w:rPr>
        <w:t xml:space="preserve"> </w:t>
      </w:r>
      <w:r>
        <w:rPr>
          <w:rtl/>
        </w:rPr>
        <w:tab/>
      </w:r>
      <w:r>
        <w:rPr>
          <w:rFonts w:hint="cs"/>
          <w:rtl/>
        </w:rPr>
        <w:t>חוק הביטוח הלאומי [נוסח משולב], התשנ"ה-1995, פרק י': ביטוח סיעוד.</w:t>
      </w:r>
    </w:p>
  </w:footnote>
  <w:footnote w:id="12">
    <w:p w:rsidR="00AC3D62" w:rsidP="00681586">
      <w:pPr>
        <w:pStyle w:val="FootnoteText"/>
      </w:pPr>
      <w:r>
        <w:rPr>
          <w:rStyle w:val="FootnoteReference1"/>
        </w:rPr>
        <w:footnoteRef/>
      </w:r>
      <w:r>
        <w:rPr>
          <w:rtl/>
        </w:rPr>
        <w:t xml:space="preserve"> </w:t>
      </w:r>
      <w:r>
        <w:rPr>
          <w:rtl/>
        </w:rPr>
        <w:tab/>
      </w:r>
      <w:r>
        <w:rPr>
          <w:rFonts w:hint="cs"/>
          <w:rtl/>
        </w:rPr>
        <w:t>חוק הביטוח הלאומי [נוסח משולב], התשנ"ה-1995, פרק י', סע' 223</w:t>
      </w:r>
    </w:p>
  </w:footnote>
  <w:footnote w:id="13">
    <w:p w:rsidR="00AC3D62" w:rsidP="00681586">
      <w:pPr>
        <w:pStyle w:val="FootnoteText"/>
      </w:pPr>
      <w:r>
        <w:rPr>
          <w:rStyle w:val="FootnoteReference1"/>
        </w:rPr>
        <w:footnoteRef/>
      </w:r>
      <w:r>
        <w:rPr>
          <w:rtl/>
        </w:rPr>
        <w:t xml:space="preserve"> </w:t>
      </w:r>
      <w:r>
        <w:rPr>
          <w:rtl/>
        </w:rPr>
        <w:tab/>
      </w:r>
      <w:r>
        <w:rPr>
          <w:rFonts w:hint="cs"/>
          <w:rtl/>
        </w:rPr>
        <w:t xml:space="preserve">עבור משק בית זוגי, הזכאות לגמלה מופחתת היא כאשר משק הבית מרוויח שכר חודשי הגבוה מכ-20,000, וכאשר משק הבית מרוויח מעל כ-30,000 ש"ח בחודש, שני </w:t>
      </w:r>
      <w:r w:rsidRPr="00085CF0">
        <w:rPr>
          <w:rFonts w:hint="eastAsia"/>
          <w:rtl/>
        </w:rPr>
        <w:t>בני</w:t>
      </w:r>
      <w:r w:rsidRPr="00085CF0">
        <w:rPr>
          <w:rtl/>
        </w:rPr>
        <w:t xml:space="preserve"> </w:t>
      </w:r>
      <w:r w:rsidRPr="00085CF0">
        <w:rPr>
          <w:rFonts w:hint="eastAsia"/>
          <w:rtl/>
        </w:rPr>
        <w:t>הזוג</w:t>
      </w:r>
      <w:r w:rsidRPr="00085CF0">
        <w:rPr>
          <w:rFonts w:hint="cs"/>
          <w:rtl/>
        </w:rPr>
        <w:t xml:space="preserve"> במשק הבית</w:t>
      </w:r>
      <w:r w:rsidRPr="00085CF0">
        <w:rPr>
          <w:rtl/>
        </w:rPr>
        <w:t xml:space="preserve"> </w:t>
      </w:r>
      <w:r w:rsidRPr="00085CF0">
        <w:rPr>
          <w:rFonts w:hint="eastAsia"/>
          <w:rtl/>
        </w:rPr>
        <w:t>אינם</w:t>
      </w:r>
      <w:r w:rsidRPr="00085CF0">
        <w:rPr>
          <w:rtl/>
        </w:rPr>
        <w:t xml:space="preserve"> </w:t>
      </w:r>
      <w:r w:rsidRPr="00085CF0">
        <w:rPr>
          <w:rFonts w:hint="eastAsia"/>
          <w:rtl/>
        </w:rPr>
        <w:t>זכאים</w:t>
      </w:r>
      <w:r w:rsidRPr="00085CF0">
        <w:rPr>
          <w:rtl/>
        </w:rPr>
        <w:t xml:space="preserve"> </w:t>
      </w:r>
      <w:r w:rsidRPr="00085CF0">
        <w:rPr>
          <w:rFonts w:hint="eastAsia"/>
          <w:rtl/>
        </w:rPr>
        <w:t>כלל</w:t>
      </w:r>
      <w:r w:rsidRPr="00085CF0">
        <w:rPr>
          <w:rtl/>
        </w:rPr>
        <w:t xml:space="preserve"> </w:t>
      </w:r>
      <w:r w:rsidRPr="00085CF0">
        <w:rPr>
          <w:rFonts w:hint="eastAsia"/>
          <w:rtl/>
        </w:rPr>
        <w:t>לגמלת</w:t>
      </w:r>
      <w:r w:rsidRPr="00085CF0">
        <w:rPr>
          <w:rtl/>
        </w:rPr>
        <w:t xml:space="preserve"> </w:t>
      </w:r>
      <w:r w:rsidRPr="00085CF0">
        <w:rPr>
          <w:rFonts w:hint="eastAsia"/>
          <w:rtl/>
        </w:rPr>
        <w:t>סיעוד</w:t>
      </w:r>
      <w:r w:rsidRPr="00085CF0">
        <w:rPr>
          <w:rtl/>
        </w:rPr>
        <w:t>.</w:t>
      </w:r>
    </w:p>
  </w:footnote>
  <w:footnote w:id="14">
    <w:p w:rsidR="00AC3D62" w:rsidP="00681586">
      <w:pPr>
        <w:pStyle w:val="FootnoteText"/>
      </w:pPr>
      <w:r>
        <w:rPr>
          <w:rStyle w:val="FootnoteReference1"/>
        </w:rPr>
        <w:footnoteRef/>
      </w:r>
      <w:r>
        <w:rPr>
          <w:rtl/>
        </w:rPr>
        <w:t xml:space="preserve"> </w:t>
      </w:r>
      <w:r>
        <w:rPr>
          <w:rtl/>
        </w:rPr>
        <w:tab/>
      </w:r>
      <w:r>
        <w:rPr>
          <w:rFonts w:ascii="David" w:eastAsia="Aptos" w:hAnsi="David" w:hint="cs"/>
          <w:kern w:val="2"/>
          <w:sz w:val="24"/>
          <w:rtl/>
          <w14:ligatures w14:val="standardContextual"/>
        </w:rPr>
        <w:t xml:space="preserve">השוק כולל גם </w:t>
      </w:r>
      <w:r w:rsidRPr="000A2A47">
        <w:rPr>
          <w:rFonts w:ascii="David" w:eastAsia="Aptos" w:hAnsi="David" w:hint="cs"/>
          <w:kern w:val="2"/>
          <w:sz w:val="24"/>
          <w:rtl/>
          <w14:ligatures w14:val="standardContextual"/>
        </w:rPr>
        <w:t>כמיליון</w:t>
      </w:r>
      <w:r>
        <w:rPr>
          <w:rFonts w:ascii="David" w:eastAsia="Aptos" w:hAnsi="David" w:hint="cs"/>
          <w:kern w:val="2"/>
          <w:sz w:val="24"/>
          <w:rtl/>
          <w14:ligatures w14:val="standardContextual"/>
        </w:rPr>
        <w:t xml:space="preserve"> מבוטחים</w:t>
      </w:r>
      <w:r w:rsidRPr="000A2A47">
        <w:rPr>
          <w:rFonts w:ascii="David" w:eastAsia="Aptos" w:hAnsi="David"/>
          <w:kern w:val="2"/>
          <w:sz w:val="24"/>
          <w:rtl/>
          <w14:ligatures w14:val="standardContextual"/>
        </w:rPr>
        <w:t xml:space="preserve"> </w:t>
      </w:r>
      <w:r w:rsidRPr="000A2A47">
        <w:rPr>
          <w:rFonts w:ascii="David" w:eastAsia="Aptos" w:hAnsi="David" w:hint="cs"/>
          <w:kern w:val="2"/>
          <w:sz w:val="24"/>
          <w:rtl/>
          <w14:ligatures w14:val="standardContextual"/>
        </w:rPr>
        <w:t>נוספים</w:t>
      </w:r>
      <w:r w:rsidRPr="000A2A47">
        <w:rPr>
          <w:rFonts w:ascii="David" w:eastAsia="Aptos" w:hAnsi="David"/>
          <w:kern w:val="2"/>
          <w:sz w:val="24"/>
          <w:rtl/>
          <w14:ligatures w14:val="standardContextual"/>
        </w:rPr>
        <w:t xml:space="preserve"> </w:t>
      </w:r>
      <w:r w:rsidRPr="000A2A47">
        <w:rPr>
          <w:rFonts w:ascii="David" w:eastAsia="Aptos" w:hAnsi="David" w:hint="cs"/>
          <w:kern w:val="2"/>
          <w:sz w:val="24"/>
          <w:rtl/>
          <w14:ligatures w14:val="standardContextual"/>
        </w:rPr>
        <w:t>בביטוחי</w:t>
      </w:r>
      <w:r w:rsidRPr="000A2A47">
        <w:rPr>
          <w:rFonts w:ascii="David" w:eastAsia="Aptos" w:hAnsi="David"/>
          <w:kern w:val="2"/>
          <w:sz w:val="24"/>
          <w:rtl/>
          <w14:ligatures w14:val="standardContextual"/>
        </w:rPr>
        <w:t xml:space="preserve"> </w:t>
      </w:r>
      <w:r w:rsidRPr="000A2A47">
        <w:rPr>
          <w:rFonts w:ascii="David" w:eastAsia="Aptos" w:hAnsi="David" w:hint="cs"/>
          <w:kern w:val="2"/>
          <w:sz w:val="24"/>
          <w:rtl/>
          <w14:ligatures w14:val="standardContextual"/>
        </w:rPr>
        <w:t>סיעוד</w:t>
      </w:r>
      <w:r w:rsidRPr="000A2A47">
        <w:rPr>
          <w:rFonts w:ascii="David" w:eastAsia="Aptos" w:hAnsi="David"/>
          <w:kern w:val="2"/>
          <w:sz w:val="24"/>
          <w:rtl/>
          <w14:ligatures w14:val="standardContextual"/>
        </w:rPr>
        <w:t xml:space="preserve"> </w:t>
      </w:r>
      <w:r>
        <w:rPr>
          <w:rFonts w:ascii="David" w:eastAsia="Aptos" w:hAnsi="David" w:hint="cs"/>
          <w:kern w:val="2"/>
          <w:sz w:val="24"/>
          <w:rtl/>
          <w14:ligatures w14:val="standardContextual"/>
        </w:rPr>
        <w:t xml:space="preserve">פרטיים אשר </w:t>
      </w:r>
      <w:r>
        <w:rPr>
          <w:rFonts w:hint="cs"/>
          <w:rtl/>
        </w:rPr>
        <w:t>נרכשו בעבר ואינם נמכרים יותר בשוק.</w:t>
      </w:r>
    </w:p>
  </w:footnote>
  <w:footnote w:id="15">
    <w:p w:rsidR="00AC3D62" w:rsidP="00681586">
      <w:pPr>
        <w:pStyle w:val="FootnoteText"/>
      </w:pPr>
      <w:r>
        <w:rPr>
          <w:rStyle w:val="FootnoteReference1"/>
        </w:rPr>
        <w:footnoteRef/>
      </w:r>
      <w:r>
        <w:rPr>
          <w:rtl/>
        </w:rPr>
        <w:t xml:space="preserve"> </w:t>
      </w:r>
      <w:r>
        <w:rPr>
          <w:rtl/>
        </w:rPr>
        <w:tab/>
      </w:r>
      <w:r>
        <w:rPr>
          <w:rFonts w:hint="cs"/>
          <w:rtl/>
        </w:rPr>
        <w:t>לרבות תביעות שקרו אך טרם דווחו (או שולמו).</w:t>
      </w:r>
    </w:p>
  </w:footnote>
  <w:footnote w:id="16">
    <w:p w:rsidR="00AC3D62" w:rsidP="00681586">
      <w:pPr>
        <w:pStyle w:val="FootnoteText"/>
      </w:pPr>
      <w:r>
        <w:rPr>
          <w:rStyle w:val="FootnoteReference1"/>
        </w:rPr>
        <w:footnoteRef/>
      </w:r>
      <w:r>
        <w:rPr>
          <w:rtl/>
        </w:rPr>
        <w:t xml:space="preserve"> </w:t>
      </w:r>
      <w:r>
        <w:rPr>
          <w:rtl/>
        </w:rPr>
        <w:tab/>
      </w:r>
      <w:r>
        <w:rPr>
          <w:rFonts w:hint="cs"/>
          <w:rtl/>
        </w:rPr>
        <w:t xml:space="preserve">ביטוח לאומי, </w:t>
      </w:r>
      <w:r w:rsidRPr="00FF1862">
        <w:rPr>
          <w:rFonts w:hint="eastAsia"/>
          <w:b/>
          <w:bCs/>
          <w:rtl/>
        </w:rPr>
        <w:t>תשלומי</w:t>
      </w:r>
      <w:r w:rsidRPr="00FF1862">
        <w:rPr>
          <w:b/>
          <w:bCs/>
          <w:rtl/>
        </w:rPr>
        <w:t xml:space="preserve"> גמלאות מחירים </w:t>
      </w:r>
      <w:r w:rsidRPr="00FF1862">
        <w:rPr>
          <w:rFonts w:hint="eastAsia"/>
          <w:b/>
          <w:bCs/>
          <w:rtl/>
        </w:rPr>
        <w:t>שוטפים</w:t>
      </w:r>
      <w:r w:rsidRPr="00FF1862">
        <w:rPr>
          <w:b/>
          <w:bCs/>
          <w:rtl/>
        </w:rPr>
        <w:t xml:space="preserve"> </w:t>
      </w:r>
      <w:r w:rsidRPr="00F248E4">
        <w:rPr>
          <w:rFonts w:hint="cs"/>
          <w:rtl/>
        </w:rPr>
        <w:t>(</w:t>
      </w:r>
      <w:r w:rsidRPr="00F248E4">
        <w:rPr>
          <w:rtl/>
        </w:rPr>
        <w:t>2024</w:t>
      </w:r>
      <w:r w:rsidRPr="00F248E4">
        <w:rPr>
          <w:rFonts w:hint="cs"/>
          <w:rtl/>
        </w:rPr>
        <w:t>)</w:t>
      </w:r>
      <w:r>
        <w:rPr>
          <w:rFonts w:hint="cs"/>
          <w:rtl/>
        </w:rPr>
        <w:t xml:space="preserve">. בתרשים הושמטו ההוצאות על הגמלאות: פשיטות רגל ופירוק תאגיד, נפגעי תאונות והענקות מטעמי צדק, המהווים יחד כ-0.3% מסך ההוצאות על גמלאות. כמו כן הושמטו ההוצאות על גמלת מילואים, המשולמות במלואן </w:t>
      </w:r>
      <w:r w:rsidRPr="001F2D33">
        <w:rPr>
          <w:rtl/>
        </w:rPr>
        <w:t>מאוצר המדינה במסגרת תקציב הב</w:t>
      </w:r>
      <w:r>
        <w:rPr>
          <w:rFonts w:hint="cs"/>
          <w:rtl/>
        </w:rPr>
        <w:t>י</w:t>
      </w:r>
      <w:r w:rsidRPr="001F2D33">
        <w:rPr>
          <w:rtl/>
        </w:rPr>
        <w:t>טחון</w:t>
      </w:r>
      <w:r>
        <w:rPr>
          <w:rFonts w:hint="cs"/>
          <w:rtl/>
        </w:rPr>
        <w:t xml:space="preserve">, ראו חוק בט"ל סע' 248(א). יצוין כי חלק מהגמלאות ממומנות מהתקציב הביטוחי של בט"ל, וחלקן </w:t>
      </w:r>
      <w:r>
        <w:rPr>
          <w:rtl/>
        </w:rPr>
        <w:t>ממומנות מתקציב המדינה</w:t>
      </w:r>
      <w:r>
        <w:rPr>
          <w:rFonts w:hint="cs"/>
          <w:rtl/>
        </w:rPr>
        <w:t xml:space="preserve"> במסגרת סעיף 9 לחוק בט"ל והסכמים נוספים.</w:t>
      </w:r>
    </w:p>
  </w:footnote>
  <w:footnote w:id="17">
    <w:p w:rsidR="00AC3D62" w:rsidP="00681586">
      <w:pPr>
        <w:pStyle w:val="FootnoteText"/>
      </w:pPr>
      <w:r>
        <w:rPr>
          <w:rStyle w:val="FootnoteReference1"/>
        </w:rPr>
        <w:footnoteRef/>
      </w:r>
      <w:r>
        <w:rPr>
          <w:rtl/>
        </w:rPr>
        <w:t xml:space="preserve"> </w:t>
      </w:r>
      <w:r>
        <w:rPr>
          <w:rtl/>
        </w:rPr>
        <w:tab/>
      </w:r>
      <w:r w:rsidRPr="007B00A5">
        <w:rPr>
          <w:rtl/>
        </w:rPr>
        <w:t xml:space="preserve">מרכזי יום לקשיש הם מסגרות יומיות המיועדות לאזרחים ותיקים </w:t>
      </w:r>
      <w:r>
        <w:rPr>
          <w:rFonts w:hint="cs"/>
          <w:rtl/>
        </w:rPr>
        <w:t>ש</w:t>
      </w:r>
      <w:r w:rsidRPr="007B00A5">
        <w:rPr>
          <w:rtl/>
        </w:rPr>
        <w:t xml:space="preserve">גרים בביתם ומתקשים בניהול משק הבית בגלל ירידה בתפקוד. המרכזים נותנים מענה טיפולי, ומאפשרים לקשיש להישאר בביתו עם משפחתו </w:t>
      </w:r>
      <w:r>
        <w:rPr>
          <w:rFonts w:hint="cs"/>
          <w:rtl/>
        </w:rPr>
        <w:t>בלי לעזוב את</w:t>
      </w:r>
      <w:r w:rsidRPr="007B00A5">
        <w:rPr>
          <w:rtl/>
        </w:rPr>
        <w:t xml:space="preserve"> הבית והקהילה.</w:t>
      </w:r>
    </w:p>
  </w:footnote>
  <w:footnote w:id="18">
    <w:p w:rsidR="00AC3D62" w:rsidP="00681586">
      <w:pPr>
        <w:pStyle w:val="FootnoteText"/>
        <w:rPr>
          <w:rtl/>
        </w:rPr>
      </w:pPr>
      <w:r>
        <w:rPr>
          <w:rStyle w:val="FootnoteReference1"/>
        </w:rPr>
        <w:footnoteRef/>
      </w:r>
      <w:r>
        <w:rPr>
          <w:rtl/>
        </w:rPr>
        <w:t xml:space="preserve"> </w:t>
      </w:r>
      <w:r>
        <w:rPr>
          <w:rtl/>
        </w:rPr>
        <w:tab/>
      </w:r>
      <w:r>
        <w:rPr>
          <w:rFonts w:hint="cs"/>
          <w:rtl/>
        </w:rPr>
        <w:t>להרחבה על קבלת גמלה בכסף או בשירותים, ראו בפרק העוסק במתן גמלה בכסף.</w:t>
      </w:r>
    </w:p>
  </w:footnote>
  <w:footnote w:id="19">
    <w:p w:rsidR="00AC3D62" w:rsidP="00681586">
      <w:pPr>
        <w:pStyle w:val="FootnoteText"/>
      </w:pPr>
      <w:r>
        <w:rPr>
          <w:rStyle w:val="FootnoteReference1"/>
        </w:rPr>
        <w:footnoteRef/>
      </w:r>
      <w:r>
        <w:rPr>
          <w:rtl/>
        </w:rPr>
        <w:t xml:space="preserve"> </w:t>
      </w:r>
      <w:r>
        <w:rPr>
          <w:rtl/>
        </w:rPr>
        <w:tab/>
      </w:r>
      <w:r w:rsidRPr="002B3248">
        <w:rPr>
          <w:rtl/>
        </w:rPr>
        <w:t xml:space="preserve">כיוון שאותו זכאי יכול לבחור </w:t>
      </w:r>
      <w:r>
        <w:rPr>
          <w:rFonts w:hint="cs"/>
          <w:rtl/>
        </w:rPr>
        <w:t xml:space="preserve">הרכב של כמה </w:t>
      </w:r>
      <w:r w:rsidRPr="002B3248">
        <w:rPr>
          <w:rtl/>
        </w:rPr>
        <w:t>שירותים</w:t>
      </w:r>
      <w:r>
        <w:rPr>
          <w:rFonts w:hint="cs"/>
          <w:rtl/>
        </w:rPr>
        <w:t>, שיעור הזכאים המקבל כל אחד מהרכיבים מסתכם ביותר מ-100%.</w:t>
      </w:r>
    </w:p>
  </w:footnote>
  <w:footnote w:id="20">
    <w:p w:rsidR="00AC3D62" w:rsidP="00681586">
      <w:pPr>
        <w:pStyle w:val="FootnoteText"/>
      </w:pPr>
      <w:r>
        <w:rPr>
          <w:rStyle w:val="FootnoteReference1"/>
        </w:rPr>
        <w:footnoteRef/>
      </w:r>
      <w:r>
        <w:rPr>
          <w:rtl/>
        </w:rPr>
        <w:t xml:space="preserve"> </w:t>
      </w:r>
      <w:r>
        <w:rPr>
          <w:rtl/>
        </w:rPr>
        <w:tab/>
      </w:r>
      <w:r>
        <w:rPr>
          <w:rFonts w:hint="cs"/>
          <w:rtl/>
        </w:rPr>
        <w:t>בהוראת הפיקוח על שירותים פיננסיים (ביטוח)(ביטוח סיעודי קבוצתי לחברי קופת חולים)(תיקון) התשפ"ג-2023, נקבע כי מקרה ביטוח שאירע ב-60 החודשים הראשונים לחיי המבוטח אינו מכוסה.</w:t>
      </w:r>
    </w:p>
  </w:footnote>
  <w:footnote w:id="21">
    <w:p w:rsidR="00AC3D62" w:rsidP="00681586">
      <w:pPr>
        <w:pStyle w:val="FootnoteText"/>
      </w:pPr>
      <w:r>
        <w:rPr>
          <w:rStyle w:val="FootnoteReference1"/>
        </w:rPr>
        <w:footnoteRef/>
      </w:r>
      <w:r>
        <w:rPr>
          <w:rtl/>
        </w:rPr>
        <w:t xml:space="preserve"> </w:t>
      </w:r>
      <w:r>
        <w:rPr>
          <w:rtl/>
        </w:rPr>
        <w:tab/>
      </w:r>
      <w:r>
        <w:rPr>
          <w:rFonts w:hint="cs"/>
          <w:rtl/>
        </w:rPr>
        <w:t>סכומים אלו משולמים אם גיל המבוטח במועד ההצטרפות לביטוח היה נמוך מ-49. אם הצטרף מאוחר יותר, זכאי לסכומים מופחתים. הסכומים צמודים למדד.</w:t>
      </w:r>
    </w:p>
  </w:footnote>
  <w:footnote w:id="22">
    <w:p w:rsidR="00AC3D62" w:rsidP="00681586">
      <w:pPr>
        <w:pStyle w:val="FootnoteText"/>
      </w:pPr>
      <w:r>
        <w:rPr>
          <w:rStyle w:val="FootnoteReference1"/>
        </w:rPr>
        <w:footnoteRef/>
      </w:r>
      <w:r>
        <w:rPr>
          <w:rtl/>
        </w:rPr>
        <w:t xml:space="preserve"> </w:t>
      </w:r>
      <w:r>
        <w:rPr>
          <w:rtl/>
        </w:rPr>
        <w:tab/>
      </w:r>
      <w:r>
        <w:rPr>
          <w:rFonts w:hint="cs"/>
          <w:rtl/>
        </w:rPr>
        <w:t>חוק הפיקוח על שירותים פיננסיים (ביטוח), התשמ"א-1981.</w:t>
      </w:r>
    </w:p>
  </w:footnote>
  <w:footnote w:id="23">
    <w:p w:rsidR="00AC3D62" w:rsidP="00681586">
      <w:pPr>
        <w:pStyle w:val="FootnoteText"/>
      </w:pPr>
      <w:r>
        <w:rPr>
          <w:rStyle w:val="FootnoteReference1"/>
        </w:rPr>
        <w:footnoteRef/>
      </w:r>
      <w:r>
        <w:rPr>
          <w:rtl/>
        </w:rPr>
        <w:t xml:space="preserve"> </w:t>
      </w:r>
      <w:r>
        <w:rPr>
          <w:rtl/>
        </w:rPr>
        <w:tab/>
      </w:r>
      <w:r>
        <w:rPr>
          <w:rFonts w:hint="cs"/>
          <w:rtl/>
        </w:rPr>
        <w:t xml:space="preserve">מרכז המידע והמחקר של הכנסת, </w:t>
      </w:r>
      <w:r w:rsidRPr="00B02741">
        <w:rPr>
          <w:rFonts w:hint="cs"/>
          <w:b/>
          <w:bCs/>
          <w:rtl/>
        </w:rPr>
        <w:t>המוסד לביטוח לאומי - תיאור וניתוח מעמדו ואיתנותו הפיננסית</w:t>
      </w:r>
      <w:r>
        <w:rPr>
          <w:rFonts w:hint="cs"/>
          <w:rtl/>
        </w:rPr>
        <w:t xml:space="preserve"> (29.4.21).</w:t>
      </w:r>
    </w:p>
  </w:footnote>
  <w:footnote w:id="24">
    <w:p w:rsidR="00AC3D62" w:rsidP="00681586">
      <w:pPr>
        <w:pStyle w:val="FootnoteText"/>
      </w:pPr>
      <w:r>
        <w:rPr>
          <w:rStyle w:val="FootnoteReference1"/>
        </w:rPr>
        <w:footnoteRef/>
      </w:r>
      <w:r>
        <w:rPr>
          <w:rtl/>
        </w:rPr>
        <w:t xml:space="preserve"> </w:t>
      </w:r>
      <w:r>
        <w:rPr>
          <w:rtl/>
        </w:rPr>
        <w:tab/>
      </w:r>
      <w:r>
        <w:rPr>
          <w:rFonts w:hint="cs"/>
          <w:rtl/>
        </w:rPr>
        <w:t xml:space="preserve">ביטוח לאומי, </w:t>
      </w:r>
      <w:r w:rsidRPr="003B31F8">
        <w:rPr>
          <w:rFonts w:hint="eastAsia"/>
          <w:b/>
          <w:bCs/>
          <w:rtl/>
        </w:rPr>
        <w:t>דין</w:t>
      </w:r>
      <w:r w:rsidRPr="003B31F8">
        <w:rPr>
          <w:b/>
          <w:bCs/>
          <w:rtl/>
        </w:rPr>
        <w:t xml:space="preserve"> </w:t>
      </w:r>
      <w:r w:rsidRPr="003B31F8">
        <w:rPr>
          <w:rFonts w:hint="eastAsia"/>
          <w:b/>
          <w:bCs/>
          <w:rtl/>
        </w:rPr>
        <w:t>וחשבון</w:t>
      </w:r>
      <w:r w:rsidRPr="003B31F8">
        <w:rPr>
          <w:b/>
          <w:bCs/>
          <w:rtl/>
        </w:rPr>
        <w:t xml:space="preserve"> </w:t>
      </w:r>
      <w:r w:rsidRPr="003B31F8">
        <w:rPr>
          <w:rFonts w:hint="eastAsia"/>
          <w:b/>
          <w:bCs/>
          <w:rtl/>
        </w:rPr>
        <w:t>אקטוארי</w:t>
      </w:r>
      <w:r w:rsidRPr="003B31F8">
        <w:rPr>
          <w:b/>
          <w:bCs/>
          <w:rtl/>
        </w:rPr>
        <w:t xml:space="preserve"> </w:t>
      </w:r>
      <w:r w:rsidRPr="003B31F8">
        <w:rPr>
          <w:rFonts w:hint="eastAsia"/>
          <w:b/>
          <w:bCs/>
          <w:rtl/>
        </w:rPr>
        <w:t>מלא</w:t>
      </w:r>
      <w:r>
        <w:rPr>
          <w:rFonts w:hint="cs"/>
          <w:rtl/>
        </w:rPr>
        <w:t xml:space="preserve"> (דצמבר 2022), עמ' 12.</w:t>
      </w:r>
    </w:p>
  </w:footnote>
  <w:footnote w:id="25">
    <w:p w:rsidR="00AC3D62" w:rsidP="00681586">
      <w:pPr>
        <w:pStyle w:val="FootnoteText"/>
        <w:rPr>
          <w:rtl/>
        </w:rPr>
      </w:pPr>
      <w:r>
        <w:rPr>
          <w:rStyle w:val="FootnoteReference1"/>
        </w:rPr>
        <w:footnoteRef/>
      </w:r>
      <w:r>
        <w:rPr>
          <w:rtl/>
        </w:rPr>
        <w:t xml:space="preserve"> </w:t>
      </w:r>
      <w:r>
        <w:rPr>
          <w:rtl/>
        </w:rPr>
        <w:tab/>
      </w:r>
      <w:r>
        <w:rPr>
          <w:rFonts w:hint="cs"/>
          <w:rtl/>
        </w:rPr>
        <w:t xml:space="preserve">להרחבה על תמונת המצב בגמלת סיעוד של בט"ל לפני הרפורמה, ראו מבקר המדינה, דוח מיוחד, </w:t>
      </w:r>
      <w:r w:rsidRPr="00F44380">
        <w:rPr>
          <w:rFonts w:hint="eastAsia"/>
          <w:b/>
          <w:bCs/>
          <w:rtl/>
        </w:rPr>
        <w:t>טיפול</w:t>
      </w:r>
      <w:r w:rsidRPr="00F44380">
        <w:rPr>
          <w:b/>
          <w:bCs/>
          <w:rtl/>
        </w:rPr>
        <w:t xml:space="preserve"> </w:t>
      </w:r>
      <w:r w:rsidRPr="00F44380">
        <w:rPr>
          <w:rFonts w:hint="eastAsia"/>
          <w:b/>
          <w:bCs/>
          <w:rtl/>
        </w:rPr>
        <w:t>המדינה</w:t>
      </w:r>
      <w:r w:rsidRPr="00F44380">
        <w:rPr>
          <w:b/>
          <w:bCs/>
          <w:rtl/>
        </w:rPr>
        <w:t xml:space="preserve"> </w:t>
      </w:r>
      <w:r w:rsidRPr="00F44380">
        <w:rPr>
          <w:rFonts w:hint="eastAsia"/>
          <w:b/>
          <w:bCs/>
          <w:rtl/>
        </w:rPr>
        <w:t>בקשישים</w:t>
      </w:r>
      <w:r w:rsidRPr="00F44380">
        <w:rPr>
          <w:b/>
          <w:bCs/>
          <w:rtl/>
        </w:rPr>
        <w:t xml:space="preserve"> </w:t>
      </w:r>
      <w:r w:rsidRPr="00F44380">
        <w:rPr>
          <w:rFonts w:hint="eastAsia"/>
          <w:b/>
          <w:bCs/>
          <w:rtl/>
        </w:rPr>
        <w:t>סיעודיים</w:t>
      </w:r>
      <w:r w:rsidRPr="00F44380">
        <w:rPr>
          <w:b/>
          <w:bCs/>
          <w:rtl/>
        </w:rPr>
        <w:t xml:space="preserve"> </w:t>
      </w:r>
      <w:r w:rsidRPr="00F44380">
        <w:rPr>
          <w:rFonts w:hint="eastAsia"/>
          <w:b/>
          <w:bCs/>
          <w:rtl/>
        </w:rPr>
        <w:t>השוהים</w:t>
      </w:r>
      <w:r w:rsidRPr="00F44380">
        <w:rPr>
          <w:b/>
          <w:bCs/>
          <w:rtl/>
        </w:rPr>
        <w:t xml:space="preserve"> </w:t>
      </w:r>
      <w:r w:rsidRPr="00F44380">
        <w:rPr>
          <w:rFonts w:hint="eastAsia"/>
          <w:b/>
          <w:bCs/>
          <w:rtl/>
        </w:rPr>
        <w:t>בביתם</w:t>
      </w:r>
      <w:r>
        <w:rPr>
          <w:rFonts w:hint="cs"/>
          <w:rtl/>
        </w:rPr>
        <w:t xml:space="preserve"> (2017).</w:t>
      </w:r>
    </w:p>
  </w:footnote>
  <w:footnote w:id="26">
    <w:p w:rsidR="00AC3D62" w:rsidRPr="00A73A61" w:rsidP="00681586">
      <w:pPr>
        <w:pStyle w:val="FootnoteText"/>
      </w:pPr>
      <w:r>
        <w:rPr>
          <w:rStyle w:val="FootnoteReference1"/>
        </w:rPr>
        <w:footnoteRef/>
      </w:r>
      <w:r>
        <w:rPr>
          <w:rtl/>
        </w:rPr>
        <w:t xml:space="preserve"> </w:t>
      </w:r>
      <w:r>
        <w:rPr>
          <w:rtl/>
        </w:rPr>
        <w:tab/>
      </w:r>
      <w:r w:rsidRPr="00A73A61">
        <w:rPr>
          <w:rtl/>
        </w:rPr>
        <w:t>החלט</w:t>
      </w:r>
      <w:r>
        <w:rPr>
          <w:rFonts w:hint="cs"/>
          <w:rtl/>
        </w:rPr>
        <w:t>ת הממשלה</w:t>
      </w:r>
      <w:r w:rsidRPr="00A73A61">
        <w:rPr>
          <w:rtl/>
        </w:rPr>
        <w:t xml:space="preserve"> 3379 </w:t>
      </w:r>
      <w:r>
        <w:rPr>
          <w:rFonts w:hint="cs"/>
          <w:rtl/>
        </w:rPr>
        <w:t>(11.1.18).</w:t>
      </w:r>
    </w:p>
  </w:footnote>
  <w:footnote w:id="27">
    <w:p w:rsidR="00AC3D62" w:rsidP="00681586">
      <w:pPr>
        <w:pStyle w:val="FootnoteText"/>
      </w:pPr>
      <w:r>
        <w:rPr>
          <w:rStyle w:val="FootnoteReference1"/>
        </w:rPr>
        <w:footnoteRef/>
      </w:r>
      <w:r>
        <w:rPr>
          <w:rtl/>
        </w:rPr>
        <w:t xml:space="preserve"> </w:t>
      </w:r>
      <w:r>
        <w:rPr>
          <w:rtl/>
        </w:rPr>
        <w:tab/>
      </w:r>
      <w:r>
        <w:rPr>
          <w:rFonts w:hint="cs"/>
          <w:rtl/>
        </w:rPr>
        <w:t>הרפורמה התבצעה באמצעות תיקון 203 לחוק הבט"ל שנחקק כחלק מחוק ההתייעלות הכלכלית (תיקוני חקיקה להשגת יעדי התקציב לשנת 2019), התשע"ח-2018.</w:t>
      </w:r>
    </w:p>
  </w:footnote>
  <w:footnote w:id="28">
    <w:p w:rsidR="00AC3D62" w:rsidRPr="0020586C" w:rsidP="00681586">
      <w:pPr>
        <w:pStyle w:val="FootnoteText"/>
      </w:pPr>
      <w:r>
        <w:rPr>
          <w:rStyle w:val="FootnoteReference1"/>
        </w:rPr>
        <w:footnoteRef/>
      </w:r>
      <w:r>
        <w:rPr>
          <w:rtl/>
        </w:rPr>
        <w:t xml:space="preserve"> </w:t>
      </w:r>
      <w:r>
        <w:rPr>
          <w:rtl/>
        </w:rPr>
        <w:tab/>
      </w:r>
      <w:r>
        <w:rPr>
          <w:rFonts w:hint="cs"/>
          <w:rtl/>
        </w:rPr>
        <w:t xml:space="preserve">המוסד לביטוח לאומי, </w:t>
      </w:r>
      <w:r w:rsidRPr="00B02741">
        <w:rPr>
          <w:rFonts w:hint="eastAsia"/>
          <w:b/>
          <w:bCs/>
          <w:rtl/>
        </w:rPr>
        <w:t>חוזר</w:t>
      </w:r>
      <w:r w:rsidRPr="00B02741">
        <w:rPr>
          <w:b/>
          <w:bCs/>
          <w:rtl/>
        </w:rPr>
        <w:t xml:space="preserve"> 1498 בנושא הרפורמה </w:t>
      </w:r>
      <w:r w:rsidRPr="00B02741">
        <w:rPr>
          <w:rFonts w:hint="eastAsia"/>
          <w:b/>
          <w:bCs/>
          <w:rtl/>
        </w:rPr>
        <w:t>בסיעוד</w:t>
      </w:r>
      <w:r>
        <w:rPr>
          <w:rFonts w:hint="cs"/>
          <w:rtl/>
        </w:rPr>
        <w:t xml:space="preserve"> (6.11.18).</w:t>
      </w:r>
    </w:p>
  </w:footnote>
  <w:footnote w:id="29">
    <w:p w:rsidR="00AC3D62" w:rsidP="00681586">
      <w:pPr>
        <w:pStyle w:val="FootnoteText"/>
        <w:rPr>
          <w:rtl/>
        </w:rPr>
      </w:pPr>
      <w:r>
        <w:rPr>
          <w:rStyle w:val="FootnoteReference1"/>
        </w:rPr>
        <w:footnoteRef/>
      </w:r>
      <w:r>
        <w:rPr>
          <w:rtl/>
        </w:rPr>
        <w:t xml:space="preserve"> </w:t>
      </w:r>
      <w:r>
        <w:rPr>
          <w:rtl/>
        </w:rPr>
        <w:tab/>
      </w:r>
      <w:r>
        <w:rPr>
          <w:rFonts w:hint="cs"/>
          <w:rtl/>
        </w:rPr>
        <w:t xml:space="preserve">לפירוט ראו מבקר המדינה, </w:t>
      </w:r>
      <w:r w:rsidRPr="00F44380">
        <w:rPr>
          <w:rFonts w:hint="eastAsia"/>
          <w:b/>
          <w:bCs/>
          <w:rtl/>
        </w:rPr>
        <w:t>טיפול</w:t>
      </w:r>
      <w:r w:rsidRPr="00F44380">
        <w:rPr>
          <w:b/>
          <w:bCs/>
          <w:rtl/>
        </w:rPr>
        <w:t xml:space="preserve"> המדינה בקשישים סיעודיים השוהים בביתם - </w:t>
      </w:r>
      <w:r w:rsidRPr="00F44380">
        <w:rPr>
          <w:rFonts w:hint="eastAsia"/>
          <w:b/>
          <w:bCs/>
          <w:rtl/>
        </w:rPr>
        <w:t>ביקורת</w:t>
      </w:r>
      <w:r w:rsidRPr="00F44380">
        <w:rPr>
          <w:b/>
          <w:bCs/>
          <w:rtl/>
        </w:rPr>
        <w:t xml:space="preserve"> </w:t>
      </w:r>
      <w:r w:rsidRPr="00F44380">
        <w:rPr>
          <w:rFonts w:hint="eastAsia"/>
          <w:b/>
          <w:bCs/>
          <w:rtl/>
        </w:rPr>
        <w:t>מעקב</w:t>
      </w:r>
      <w:r>
        <w:rPr>
          <w:rFonts w:hint="cs"/>
          <w:b/>
          <w:bCs/>
          <w:rtl/>
        </w:rPr>
        <w:t xml:space="preserve"> </w:t>
      </w:r>
      <w:r w:rsidRPr="00F44380">
        <w:rPr>
          <w:rtl/>
        </w:rPr>
        <w:t>(2022)</w:t>
      </w:r>
      <w:r w:rsidRPr="003E444D">
        <w:rPr>
          <w:rFonts w:hint="cs"/>
          <w:rtl/>
        </w:rPr>
        <w:t>,</w:t>
      </w:r>
      <w:r>
        <w:rPr>
          <w:rFonts w:hint="cs"/>
          <w:rtl/>
        </w:rPr>
        <w:t xml:space="preserve"> תרשים 2 ולוח 1. </w:t>
      </w:r>
    </w:p>
  </w:footnote>
  <w:footnote w:id="30">
    <w:p w:rsidR="00AC3D62" w:rsidP="00681586">
      <w:pPr>
        <w:pStyle w:val="FootnoteText"/>
      </w:pPr>
      <w:r>
        <w:rPr>
          <w:rStyle w:val="FootnoteReference1"/>
        </w:rPr>
        <w:footnoteRef/>
      </w:r>
      <w:r>
        <w:rPr>
          <w:rtl/>
        </w:rPr>
        <w:t xml:space="preserve"> </w:t>
      </w:r>
      <w:r>
        <w:rPr>
          <w:rtl/>
        </w:rPr>
        <w:tab/>
      </w:r>
      <w:r w:rsidRPr="00001181">
        <w:rPr>
          <w:rtl/>
        </w:rPr>
        <w:t>גמלה בכסף תהיה בשיעור של 80% משווין בכסף של יחידות השירות</w:t>
      </w:r>
      <w:r>
        <w:rPr>
          <w:rFonts w:hint="cs"/>
          <w:rtl/>
        </w:rPr>
        <w:t>.</w:t>
      </w:r>
    </w:p>
  </w:footnote>
  <w:footnote w:id="31">
    <w:p w:rsidR="00AC3D62" w:rsidP="00681586">
      <w:pPr>
        <w:pStyle w:val="FootnoteText"/>
      </w:pPr>
      <w:r>
        <w:rPr>
          <w:rStyle w:val="FootnoteReference1"/>
        </w:rPr>
        <w:footnoteRef/>
      </w:r>
      <w:r>
        <w:rPr>
          <w:rtl/>
        </w:rPr>
        <w:t xml:space="preserve"> </w:t>
      </w:r>
      <w:r>
        <w:rPr>
          <w:rtl/>
        </w:rPr>
        <w:tab/>
        <w:t xml:space="preserve">תקנות הביטוח הלאומי </w:t>
      </w:r>
      <w:r>
        <w:rPr>
          <w:rFonts w:hint="cs"/>
          <w:rtl/>
        </w:rPr>
        <w:t>(</w:t>
      </w:r>
      <w:r>
        <w:rPr>
          <w:rtl/>
        </w:rPr>
        <w:t>ביט</w:t>
      </w:r>
      <w:r>
        <w:rPr>
          <w:rFonts w:hint="cs"/>
          <w:rtl/>
        </w:rPr>
        <w:t>ו</w:t>
      </w:r>
      <w:r>
        <w:rPr>
          <w:rtl/>
        </w:rPr>
        <w:t>ח סיעוד)</w:t>
      </w:r>
      <w:r>
        <w:rPr>
          <w:rFonts w:hint="cs"/>
          <w:rtl/>
        </w:rPr>
        <w:t xml:space="preserve"> (</w:t>
      </w:r>
      <w:r>
        <w:rPr>
          <w:rtl/>
        </w:rPr>
        <w:t>בדיקה מחדש של מידת התלות בעזרת הזולת של זכאי לגימלת סיעוד</w:t>
      </w:r>
      <w:r>
        <w:rPr>
          <w:rFonts w:hint="cs"/>
          <w:rtl/>
        </w:rPr>
        <w:t>)</w:t>
      </w:r>
      <w:r>
        <w:rPr>
          <w:rtl/>
        </w:rPr>
        <w:t>, התשמ"ח</w:t>
      </w:r>
      <w:r>
        <w:rPr>
          <w:rFonts w:hint="cs"/>
          <w:rtl/>
        </w:rPr>
        <w:t xml:space="preserve">-1988. </w:t>
      </w:r>
      <w:r w:rsidRPr="00001181">
        <w:rPr>
          <w:rtl/>
        </w:rPr>
        <w:t>אי-הפחתה או אי-שלילה מתייחס רק לזכאות קבועה. במקרה של זכאות זמנית ניתן להפחית או לשלול בתום תקופת הזכאות הזמנית.</w:t>
      </w:r>
    </w:p>
  </w:footnote>
  <w:footnote w:id="32">
    <w:p w:rsidR="00AC3D62" w:rsidP="00681586">
      <w:pPr>
        <w:pStyle w:val="FootnoteText"/>
      </w:pPr>
      <w:r>
        <w:rPr>
          <w:rStyle w:val="FootnoteReference1"/>
        </w:rPr>
        <w:footnoteRef/>
      </w:r>
      <w:r>
        <w:rPr>
          <w:rtl/>
        </w:rPr>
        <w:t xml:space="preserve"> </w:t>
      </w:r>
      <w:r>
        <w:rPr>
          <w:rtl/>
        </w:rPr>
        <w:tab/>
      </w:r>
      <w:r>
        <w:rPr>
          <w:rFonts w:hint="cs"/>
          <w:rtl/>
        </w:rPr>
        <w:t xml:space="preserve">המוסד לביטוח לאומי, </w:t>
      </w:r>
      <w:r w:rsidRPr="00B02741">
        <w:rPr>
          <w:b/>
          <w:bCs/>
          <w:rtl/>
        </w:rPr>
        <w:t>אישור להעסיק בני משפחה בטיפול בזכאים לגמלת סיעוד</w:t>
      </w:r>
      <w:r>
        <w:rPr>
          <w:rFonts w:hint="cs"/>
          <w:rtl/>
        </w:rPr>
        <w:t xml:space="preserve"> (1.8.18).</w:t>
      </w:r>
    </w:p>
  </w:footnote>
  <w:footnote w:id="33">
    <w:p w:rsidR="00AC3D62" w:rsidP="00681586">
      <w:pPr>
        <w:pStyle w:val="FootnoteText"/>
      </w:pPr>
      <w:r>
        <w:rPr>
          <w:rStyle w:val="FootnoteReference1"/>
        </w:rPr>
        <w:footnoteRef/>
      </w:r>
      <w:r>
        <w:rPr>
          <w:rtl/>
        </w:rPr>
        <w:t xml:space="preserve"> </w:t>
      </w:r>
      <w:r>
        <w:rPr>
          <w:rtl/>
        </w:rPr>
        <w:tab/>
      </w:r>
      <w:r>
        <w:rPr>
          <w:rFonts w:hint="cs"/>
          <w:rtl/>
        </w:rPr>
        <w:t>המוסד לביטוח לאומי,</w:t>
      </w:r>
      <w:r w:rsidRPr="00F44380">
        <w:rPr>
          <w:b/>
          <w:bCs/>
          <w:rtl/>
        </w:rPr>
        <w:t xml:space="preserve"> גמלאות - </w:t>
      </w:r>
      <w:r w:rsidRPr="00F44380">
        <w:rPr>
          <w:rFonts w:hint="eastAsia"/>
          <w:b/>
          <w:bCs/>
          <w:rtl/>
        </w:rPr>
        <w:t>פעילות</w:t>
      </w:r>
      <w:r w:rsidRPr="00F44380">
        <w:rPr>
          <w:b/>
          <w:bCs/>
          <w:rtl/>
        </w:rPr>
        <w:t xml:space="preserve"> </w:t>
      </w:r>
      <w:r w:rsidRPr="00F44380">
        <w:rPr>
          <w:rFonts w:hint="eastAsia"/>
          <w:b/>
          <w:bCs/>
          <w:rtl/>
        </w:rPr>
        <w:t>ומגמות</w:t>
      </w:r>
      <w:r w:rsidRPr="00F44380">
        <w:rPr>
          <w:b/>
          <w:bCs/>
          <w:rtl/>
        </w:rPr>
        <w:t xml:space="preserve">, </w:t>
      </w:r>
      <w:r w:rsidRPr="00F44380">
        <w:rPr>
          <w:rFonts w:hint="eastAsia"/>
          <w:b/>
          <w:bCs/>
          <w:rtl/>
        </w:rPr>
        <w:t>ביטוח</w:t>
      </w:r>
      <w:r w:rsidRPr="00F44380">
        <w:rPr>
          <w:b/>
          <w:bCs/>
          <w:rtl/>
        </w:rPr>
        <w:t xml:space="preserve"> </w:t>
      </w:r>
      <w:r w:rsidRPr="00F44380">
        <w:rPr>
          <w:rFonts w:hint="eastAsia"/>
          <w:b/>
          <w:bCs/>
          <w:rtl/>
        </w:rPr>
        <w:t>סיעוד</w:t>
      </w:r>
      <w:r>
        <w:rPr>
          <w:rFonts w:hint="cs"/>
          <w:b/>
          <w:bCs/>
          <w:rtl/>
        </w:rPr>
        <w:t xml:space="preserve"> </w:t>
      </w:r>
      <w:r w:rsidRPr="00B02741">
        <w:rPr>
          <w:rFonts w:hint="cs"/>
          <w:rtl/>
        </w:rPr>
        <w:t>(2023).</w:t>
      </w:r>
    </w:p>
  </w:footnote>
  <w:footnote w:id="34">
    <w:p w:rsidR="00AC3D62" w:rsidP="00681586">
      <w:pPr>
        <w:pStyle w:val="FootnoteText"/>
      </w:pPr>
      <w:r>
        <w:rPr>
          <w:rStyle w:val="FootnoteReference1"/>
        </w:rPr>
        <w:footnoteRef/>
      </w:r>
      <w:r>
        <w:rPr>
          <w:rtl/>
        </w:rPr>
        <w:t xml:space="preserve"> </w:t>
      </w:r>
      <w:r>
        <w:rPr>
          <w:rtl/>
        </w:rPr>
        <w:tab/>
      </w:r>
      <w:r>
        <w:rPr>
          <w:rFonts w:hint="cs"/>
          <w:rtl/>
        </w:rPr>
        <w:t>הנתונים לשנים 2014 - 2015 מתוך הסקירה השנתית של בט"ל בנושא ביטוח סיעוד לשנת 2018, עמ' 7, הנתונים לשנים 2016 - 2023 מתוך הסקירה השנתית של בט"ל בנושא ביטוח סיעוד לשנת 2023, עמ' 7.</w:t>
      </w:r>
      <w:r w:rsidRPr="009F31E0">
        <w:rPr>
          <w:rFonts w:hint="cs"/>
          <w:rtl/>
        </w:rPr>
        <w:t xml:space="preserve"> </w:t>
      </w:r>
      <w:r>
        <w:rPr>
          <w:rFonts w:hint="cs"/>
          <w:rtl/>
        </w:rPr>
        <w:t>הנתונים מתייחסים לבקשות להחמרה על זכאויות קבועות בלבד.</w:t>
      </w:r>
    </w:p>
  </w:footnote>
  <w:footnote w:id="35">
    <w:p w:rsidR="00AC3D62" w:rsidP="00681586">
      <w:pPr>
        <w:pStyle w:val="FootnoteText"/>
      </w:pPr>
      <w:r>
        <w:rPr>
          <w:rStyle w:val="FootnoteReference1"/>
        </w:rPr>
        <w:footnoteRef/>
      </w:r>
      <w:r>
        <w:rPr>
          <w:rtl/>
        </w:rPr>
        <w:t xml:space="preserve"> </w:t>
      </w:r>
      <w:r>
        <w:rPr>
          <w:rtl/>
        </w:rPr>
        <w:tab/>
      </w:r>
      <w:r>
        <w:rPr>
          <w:rFonts w:hint="cs"/>
          <w:rtl/>
        </w:rPr>
        <w:t>פרוטוקול ישיבת ועדת העבודה והרווחה של הכנסת, 18.12.17. יצוין כי כאשר דנו בתקנות בוועדת הסיעוד של בט"ל העלות שחושבה לשינוי בתקנות החוק נאמדה בכ-6 מיליון ש"ח.</w:t>
      </w:r>
    </w:p>
  </w:footnote>
  <w:footnote w:id="36">
    <w:p w:rsidR="00AC3D62" w:rsidP="00681586">
      <w:pPr>
        <w:pStyle w:val="FootnoteText"/>
      </w:pPr>
      <w:r>
        <w:rPr>
          <w:rStyle w:val="FootnoteReference1"/>
        </w:rPr>
        <w:footnoteRef/>
      </w:r>
      <w:r>
        <w:rPr>
          <w:rtl/>
        </w:rPr>
        <w:t xml:space="preserve"> </w:t>
      </w:r>
      <w:r>
        <w:rPr>
          <w:rtl/>
        </w:rPr>
        <w:tab/>
      </w:r>
      <w:r>
        <w:rPr>
          <w:rFonts w:hint="cs"/>
          <w:rtl/>
        </w:rPr>
        <w:t>הנתונים לשנים 2014 - 2015 מתוך הסקירה השנתית של בט"ל בנושא ביטוח סיעוד לשנת 2018, עמ' 8, הנתונים לשנים 2016 - 2023 מתוך הסקירה השנתית של בט"ל בנושא ביטוח סיעוד לשנת 2023, עמ' 8. הנתונים מתייחסים לבקשות להחמרה על זכאויות קבועות בלבד.</w:t>
      </w:r>
    </w:p>
  </w:footnote>
  <w:footnote w:id="37">
    <w:p w:rsidR="00AC3D62" w:rsidP="00681586">
      <w:pPr>
        <w:pStyle w:val="FootnoteText"/>
      </w:pPr>
      <w:r>
        <w:rPr>
          <w:rStyle w:val="FootnoteReference1"/>
        </w:rPr>
        <w:footnoteRef/>
      </w:r>
      <w:r>
        <w:rPr>
          <w:rtl/>
        </w:rPr>
        <w:t xml:space="preserve"> </w:t>
      </w:r>
      <w:r>
        <w:rPr>
          <w:rtl/>
        </w:rPr>
        <w:tab/>
      </w:r>
      <w:r>
        <w:rPr>
          <w:rFonts w:ascii="David" w:hAnsi="David" w:hint="cs"/>
          <w:sz w:val="24"/>
          <w:rtl/>
        </w:rPr>
        <w:t xml:space="preserve">ללא </w:t>
      </w:r>
      <w:r w:rsidRPr="009947D3">
        <w:rPr>
          <w:rFonts w:ascii="David" w:hAnsi="David"/>
          <w:sz w:val="24"/>
          <w:rtl/>
        </w:rPr>
        <w:t>בקשות החמרה על זכאויות זמניות ו</w:t>
      </w:r>
      <w:r>
        <w:rPr>
          <w:rFonts w:ascii="David" w:hAnsi="David" w:hint="cs"/>
          <w:sz w:val="24"/>
          <w:rtl/>
        </w:rPr>
        <w:t>ל</w:t>
      </w:r>
      <w:r w:rsidRPr="009947D3">
        <w:rPr>
          <w:rFonts w:ascii="David" w:hAnsi="David"/>
          <w:sz w:val="24"/>
          <w:rtl/>
        </w:rPr>
        <w:t>לא הערכות תלות בתום זכאות זמנית</w:t>
      </w:r>
      <w:r>
        <w:rPr>
          <w:rFonts w:hint="cs"/>
          <w:rtl/>
        </w:rPr>
        <w:t>.</w:t>
      </w:r>
    </w:p>
  </w:footnote>
  <w:footnote w:id="38">
    <w:p w:rsidR="00AC3D62" w:rsidRPr="00DA56CB" w:rsidP="00681586">
      <w:pPr>
        <w:pStyle w:val="FootnoteText"/>
      </w:pPr>
      <w:r>
        <w:rPr>
          <w:rStyle w:val="FootnoteReference1"/>
        </w:rPr>
        <w:footnoteRef/>
      </w:r>
      <w:r>
        <w:rPr>
          <w:rtl/>
        </w:rPr>
        <w:t xml:space="preserve"> </w:t>
      </w:r>
      <w:r>
        <w:rPr>
          <w:rtl/>
        </w:rPr>
        <w:tab/>
      </w:r>
      <w:r>
        <w:rPr>
          <w:rFonts w:hint="cs"/>
          <w:rtl/>
        </w:rPr>
        <w:t>הנתונים לשנים 2016 - 2024 מתוך הסקירה השנתית של בט"ל בנושא ביטוח סיעוד לשנת 2024, עמ' 9.</w:t>
      </w:r>
    </w:p>
  </w:footnote>
  <w:footnote w:id="39">
    <w:p w:rsidR="00AC3D62" w:rsidP="00681586">
      <w:pPr>
        <w:pStyle w:val="FootnoteText"/>
      </w:pPr>
      <w:r>
        <w:rPr>
          <w:rStyle w:val="FootnoteReference1"/>
        </w:rPr>
        <w:footnoteRef/>
      </w:r>
      <w:r>
        <w:rPr>
          <w:rtl/>
        </w:rPr>
        <w:t xml:space="preserve"> </w:t>
      </w:r>
      <w:r>
        <w:rPr>
          <w:rtl/>
        </w:rPr>
        <w:tab/>
      </w:r>
      <w:r>
        <w:rPr>
          <w:rFonts w:hint="cs"/>
          <w:rtl/>
        </w:rPr>
        <w:t>הנתונים מתייחסים למספר הזכאים בחודש דצמבר בכל שנה.</w:t>
      </w:r>
    </w:p>
  </w:footnote>
  <w:footnote w:id="40">
    <w:p w:rsidR="00AC3D62" w:rsidP="00681586">
      <w:pPr>
        <w:pStyle w:val="FootnoteText"/>
        <w:rPr>
          <w:rtl/>
        </w:rPr>
      </w:pPr>
      <w:r>
        <w:rPr>
          <w:rStyle w:val="FootnoteReference1"/>
        </w:rPr>
        <w:footnoteRef/>
      </w:r>
      <w:r>
        <w:rPr>
          <w:rtl/>
        </w:rPr>
        <w:t xml:space="preserve"> </w:t>
      </w:r>
      <w:r>
        <w:rPr>
          <w:rtl/>
        </w:rPr>
        <w:tab/>
      </w:r>
      <w:r>
        <w:rPr>
          <w:rFonts w:hint="cs"/>
          <w:rtl/>
        </w:rPr>
        <w:t>הרפורמה נכנסה לתוקף בנובמבר 2018. בחודש זה היו כ-178,000 זכאי חוק סיעוד.</w:t>
      </w:r>
    </w:p>
  </w:footnote>
  <w:footnote w:id="41">
    <w:p w:rsidR="00AC3D62" w:rsidP="00681586">
      <w:pPr>
        <w:pStyle w:val="FootnoteText"/>
        <w:rPr>
          <w:rtl/>
        </w:rPr>
      </w:pPr>
      <w:r>
        <w:rPr>
          <w:rStyle w:val="FootnoteReference1"/>
        </w:rPr>
        <w:footnoteRef/>
      </w:r>
      <w:r>
        <w:rPr>
          <w:rtl/>
        </w:rPr>
        <w:t xml:space="preserve"> </w:t>
      </w:r>
      <w:r>
        <w:rPr>
          <w:rtl/>
        </w:rPr>
        <w:tab/>
      </w:r>
      <w:r>
        <w:rPr>
          <w:rFonts w:hint="cs"/>
          <w:rtl/>
        </w:rPr>
        <w:t xml:space="preserve">להרחבה ראו מבקר המדינה, </w:t>
      </w:r>
      <w:r w:rsidRPr="00F44380">
        <w:rPr>
          <w:rFonts w:hint="eastAsia"/>
          <w:b/>
          <w:bCs/>
          <w:rtl/>
        </w:rPr>
        <w:t>טיפול</w:t>
      </w:r>
      <w:r w:rsidRPr="00F44380">
        <w:rPr>
          <w:b/>
          <w:bCs/>
          <w:rtl/>
        </w:rPr>
        <w:t xml:space="preserve"> </w:t>
      </w:r>
      <w:r w:rsidRPr="00F44380">
        <w:rPr>
          <w:rFonts w:hint="eastAsia"/>
          <w:b/>
          <w:bCs/>
          <w:rtl/>
        </w:rPr>
        <w:t>המדינה</w:t>
      </w:r>
      <w:r w:rsidRPr="00F44380">
        <w:rPr>
          <w:b/>
          <w:bCs/>
          <w:rtl/>
        </w:rPr>
        <w:t xml:space="preserve"> </w:t>
      </w:r>
      <w:r w:rsidRPr="00F44380">
        <w:rPr>
          <w:rFonts w:hint="eastAsia"/>
          <w:b/>
          <w:bCs/>
          <w:rtl/>
        </w:rPr>
        <w:t>בקשישים</w:t>
      </w:r>
      <w:r w:rsidRPr="00F44380">
        <w:rPr>
          <w:b/>
          <w:bCs/>
          <w:rtl/>
        </w:rPr>
        <w:t xml:space="preserve"> </w:t>
      </w:r>
      <w:r w:rsidRPr="00F44380">
        <w:rPr>
          <w:rFonts w:hint="eastAsia"/>
          <w:b/>
          <w:bCs/>
          <w:rtl/>
        </w:rPr>
        <w:t>סיעודיים</w:t>
      </w:r>
      <w:r w:rsidRPr="00F44380">
        <w:rPr>
          <w:b/>
          <w:bCs/>
          <w:rtl/>
        </w:rPr>
        <w:t xml:space="preserve"> </w:t>
      </w:r>
      <w:r w:rsidRPr="00F44380">
        <w:rPr>
          <w:rFonts w:hint="eastAsia"/>
          <w:b/>
          <w:bCs/>
          <w:rtl/>
        </w:rPr>
        <w:t>השוהים</w:t>
      </w:r>
      <w:r w:rsidRPr="00F44380">
        <w:rPr>
          <w:b/>
          <w:bCs/>
          <w:rtl/>
        </w:rPr>
        <w:t xml:space="preserve"> </w:t>
      </w:r>
      <w:r w:rsidRPr="00F44380">
        <w:rPr>
          <w:rFonts w:hint="eastAsia"/>
          <w:b/>
          <w:bCs/>
          <w:rtl/>
        </w:rPr>
        <w:t>בביתם</w:t>
      </w:r>
      <w:r w:rsidRPr="00F44380">
        <w:rPr>
          <w:b/>
          <w:bCs/>
          <w:rtl/>
        </w:rPr>
        <w:t xml:space="preserve"> - </w:t>
      </w:r>
      <w:r w:rsidRPr="00F44380">
        <w:rPr>
          <w:rFonts w:hint="eastAsia"/>
          <w:b/>
          <w:bCs/>
          <w:rtl/>
        </w:rPr>
        <w:t>ביקורת</w:t>
      </w:r>
      <w:r w:rsidRPr="00F44380">
        <w:rPr>
          <w:b/>
          <w:bCs/>
          <w:rtl/>
        </w:rPr>
        <w:t xml:space="preserve"> </w:t>
      </w:r>
      <w:r w:rsidRPr="00F44380">
        <w:rPr>
          <w:rFonts w:hint="eastAsia"/>
          <w:b/>
          <w:bCs/>
          <w:rtl/>
        </w:rPr>
        <w:t>מעקב</w:t>
      </w:r>
      <w:r>
        <w:rPr>
          <w:rFonts w:hint="cs"/>
          <w:rtl/>
        </w:rPr>
        <w:t xml:space="preserve"> (2022), תרשים 3.</w:t>
      </w:r>
    </w:p>
  </w:footnote>
  <w:footnote w:id="42">
    <w:p w:rsidR="00AC3D62" w:rsidP="00681586">
      <w:pPr>
        <w:pStyle w:val="FootnoteText"/>
        <w:rPr>
          <w:rtl/>
        </w:rPr>
      </w:pPr>
      <w:r>
        <w:rPr>
          <w:rStyle w:val="FootnoteReference1"/>
        </w:rPr>
        <w:footnoteRef/>
      </w:r>
      <w:r>
        <w:rPr>
          <w:rtl/>
        </w:rPr>
        <w:t xml:space="preserve"> </w:t>
      </w:r>
      <w:r>
        <w:rPr>
          <w:rtl/>
        </w:rPr>
        <w:tab/>
      </w:r>
      <w:r>
        <w:rPr>
          <w:rFonts w:hint="cs"/>
          <w:rtl/>
        </w:rPr>
        <w:t xml:space="preserve">כולל 100 מיליון ש"ח למימון מיטות בפיקוח משרד הבריאות. </w:t>
      </w:r>
    </w:p>
  </w:footnote>
  <w:footnote w:id="43">
    <w:p w:rsidR="00AC3D62" w:rsidP="00681586">
      <w:pPr>
        <w:pStyle w:val="FootnoteText"/>
      </w:pPr>
      <w:r>
        <w:rPr>
          <w:rStyle w:val="FootnoteReference1"/>
        </w:rPr>
        <w:footnoteRef/>
      </w:r>
      <w:r>
        <w:rPr>
          <w:rtl/>
        </w:rPr>
        <w:t xml:space="preserve"> </w:t>
      </w:r>
      <w:r>
        <w:rPr>
          <w:rtl/>
        </w:rPr>
        <w:tab/>
      </w:r>
      <w:r>
        <w:rPr>
          <w:rFonts w:hint="cs"/>
          <w:rtl/>
        </w:rPr>
        <w:t>כאשר שנת 2013 היא שנת הבסיס, כלומר, בכל שנה התרשים מציג את האוכלוסייה באותה שנה, ביחס לאוכלוסייה ב-2013. הנתונים מתייחסים לנתוני דצמבר בכל שנה.</w:t>
      </w:r>
    </w:p>
  </w:footnote>
  <w:footnote w:id="44">
    <w:p w:rsidR="00AC3D62" w:rsidP="00681586">
      <w:pPr>
        <w:pStyle w:val="FootnoteText"/>
      </w:pPr>
      <w:r>
        <w:rPr>
          <w:rStyle w:val="FootnoteReference1"/>
        </w:rPr>
        <w:footnoteRef/>
      </w:r>
      <w:r>
        <w:rPr>
          <w:rtl/>
        </w:rPr>
        <w:t xml:space="preserve"> </w:t>
      </w:r>
      <w:r>
        <w:rPr>
          <w:rtl/>
        </w:rPr>
        <w:tab/>
      </w:r>
      <w:r>
        <w:rPr>
          <w:rFonts w:hint="cs"/>
          <w:rtl/>
        </w:rPr>
        <w:t>ביטוח לאומי,</w:t>
      </w:r>
      <w:r w:rsidRPr="00B02741">
        <w:rPr>
          <w:rFonts w:hint="cs"/>
          <w:b/>
          <w:bCs/>
          <w:rtl/>
        </w:rPr>
        <w:t xml:space="preserve"> </w:t>
      </w:r>
      <w:r w:rsidRPr="00B02741">
        <w:rPr>
          <w:rFonts w:hint="eastAsia"/>
          <w:b/>
          <w:bCs/>
          <w:rtl/>
        </w:rPr>
        <w:t>גמלאות</w:t>
      </w:r>
      <w:r w:rsidRPr="00B02741">
        <w:rPr>
          <w:b/>
          <w:bCs/>
          <w:rtl/>
        </w:rPr>
        <w:t xml:space="preserve"> - </w:t>
      </w:r>
      <w:r w:rsidRPr="00B02741">
        <w:rPr>
          <w:rFonts w:hint="eastAsia"/>
          <w:b/>
          <w:bCs/>
          <w:rtl/>
        </w:rPr>
        <w:t>פעילות</w:t>
      </w:r>
      <w:r w:rsidRPr="00B02741">
        <w:rPr>
          <w:b/>
          <w:bCs/>
          <w:rtl/>
        </w:rPr>
        <w:t xml:space="preserve"> </w:t>
      </w:r>
      <w:r w:rsidRPr="00B02741">
        <w:rPr>
          <w:rFonts w:hint="eastAsia"/>
          <w:b/>
          <w:bCs/>
          <w:rtl/>
        </w:rPr>
        <w:t>ומגמות</w:t>
      </w:r>
      <w:r>
        <w:rPr>
          <w:rFonts w:hint="cs"/>
          <w:rtl/>
        </w:rPr>
        <w:t>, עמ' 11. הנתונים נכונים לדצמבר בכל שנה.</w:t>
      </w:r>
    </w:p>
  </w:footnote>
  <w:footnote w:id="45">
    <w:p w:rsidR="00AC3D62" w:rsidP="00681586">
      <w:pPr>
        <w:pStyle w:val="FootnoteText"/>
      </w:pPr>
      <w:r>
        <w:rPr>
          <w:rStyle w:val="FootnoteReference1"/>
        </w:rPr>
        <w:footnoteRef/>
      </w:r>
      <w:r>
        <w:rPr>
          <w:rtl/>
        </w:rPr>
        <w:t xml:space="preserve"> </w:t>
      </w:r>
      <w:r>
        <w:rPr>
          <w:rtl/>
        </w:rPr>
        <w:tab/>
      </w:r>
      <w:r>
        <w:rPr>
          <w:rFonts w:hint="cs"/>
          <w:rtl/>
        </w:rPr>
        <w:t xml:space="preserve">בהינתן כי נתוני האינפלציה השנתית יוותרו ללא שינוי. החישוב בוצע על פי ההנחה כי שיעור הגידול השנתי בהוצאה משנת 2024 לשנת 2025 (13.4%) יימשך עד שנת 2030. </w:t>
      </w:r>
    </w:p>
  </w:footnote>
  <w:footnote w:id="46">
    <w:p w:rsidR="00AC3D62" w:rsidP="00681586">
      <w:pPr>
        <w:pStyle w:val="FootnoteText"/>
      </w:pPr>
      <w:r>
        <w:rPr>
          <w:rStyle w:val="FootnoteReference1"/>
        </w:rPr>
        <w:footnoteRef/>
      </w:r>
      <w:r>
        <w:rPr>
          <w:rtl/>
        </w:rPr>
        <w:t xml:space="preserve"> </w:t>
      </w:r>
      <w:r>
        <w:rPr>
          <w:rtl/>
        </w:rPr>
        <w:tab/>
      </w:r>
      <w:r>
        <w:rPr>
          <w:rFonts w:hint="cs"/>
          <w:rtl/>
        </w:rPr>
        <w:t>ה-</w:t>
      </w:r>
      <w:r>
        <w:rPr>
          <w:rFonts w:hint="cs"/>
        </w:rPr>
        <w:t>OECD</w:t>
      </w:r>
      <w:r>
        <w:rPr>
          <w:rFonts w:hint="cs"/>
          <w:rtl/>
        </w:rPr>
        <w:t xml:space="preserve"> הוא </w:t>
      </w:r>
      <w:r w:rsidRPr="00B25179">
        <w:rPr>
          <w:rtl/>
        </w:rPr>
        <w:t>ארגון בי</w:t>
      </w:r>
      <w:r>
        <w:rPr>
          <w:rFonts w:hint="cs"/>
          <w:rtl/>
        </w:rPr>
        <w:t>ן-</w:t>
      </w:r>
      <w:r w:rsidRPr="00B25179">
        <w:rPr>
          <w:rtl/>
        </w:rPr>
        <w:t>לאומי של המדינות המפותחות המקבלות את עקרונות הדמוקרטיה הליברלית והשוק החופשי</w:t>
      </w:r>
      <w:r>
        <w:rPr>
          <w:rFonts w:hint="cs"/>
          <w:rtl/>
        </w:rPr>
        <w:t>.</w:t>
      </w:r>
    </w:p>
  </w:footnote>
  <w:footnote w:id="47">
    <w:p w:rsidR="00AC3D62" w:rsidP="00681586">
      <w:pPr>
        <w:pStyle w:val="FootnoteText"/>
        <w:rPr>
          <w:rtl/>
        </w:rPr>
      </w:pPr>
      <w:r>
        <w:rPr>
          <w:rStyle w:val="FootnoteReference1"/>
        </w:rPr>
        <w:footnoteRef/>
      </w:r>
      <w:r>
        <w:rPr>
          <w:rtl/>
        </w:rPr>
        <w:t xml:space="preserve"> </w:t>
      </w:r>
      <w:r>
        <w:rPr>
          <w:rtl/>
        </w:rPr>
        <w:tab/>
      </w:r>
      <w:bookmarkStart w:id="6" w:name="_Hlk231732152"/>
      <w:r w:rsidRPr="00865CD5">
        <w:rPr>
          <w:rFonts w:ascii="David" w:hAnsi="David"/>
          <w:b/>
          <w:bCs/>
        </w:rPr>
        <w:t>Health at a Glance</w:t>
      </w:r>
      <w:r>
        <w:rPr>
          <w:rFonts w:ascii="David" w:hAnsi="David"/>
          <w:b/>
          <w:bCs/>
        </w:rPr>
        <w:t>,</w:t>
      </w:r>
      <w:r w:rsidRPr="007F6055">
        <w:rPr>
          <w:rFonts w:ascii="David" w:hAnsi="David"/>
        </w:rPr>
        <w:t xml:space="preserve"> </w:t>
      </w:r>
      <w:r>
        <w:rPr>
          <w:rFonts w:ascii="David" w:hAnsi="David"/>
        </w:rPr>
        <w:t>(</w:t>
      </w:r>
      <w:r w:rsidRPr="007F6055">
        <w:rPr>
          <w:rFonts w:ascii="David" w:hAnsi="David"/>
        </w:rPr>
        <w:t>2025</w:t>
      </w:r>
      <w:r>
        <w:rPr>
          <w:rFonts w:ascii="David" w:hAnsi="David"/>
        </w:rPr>
        <w:t>)</w:t>
      </w:r>
      <w:r>
        <w:rPr>
          <w:rFonts w:ascii="David" w:hAnsi="David" w:hint="cs"/>
          <w:rtl/>
        </w:rPr>
        <w:t xml:space="preserve"> </w:t>
      </w:r>
      <w:bookmarkEnd w:id="6"/>
      <w:r>
        <w:rPr>
          <w:rFonts w:ascii="David" w:hAnsi="David" w:hint="cs"/>
        </w:rPr>
        <w:t>OECD</w:t>
      </w:r>
      <w:r>
        <w:rPr>
          <w:rFonts w:ascii="David" w:hAnsi="David"/>
        </w:rPr>
        <w:t>,</w:t>
      </w:r>
      <w:r>
        <w:rPr>
          <w:rFonts w:ascii="David" w:hAnsi="David" w:hint="cs"/>
          <w:rtl/>
        </w:rPr>
        <w:t>.</w:t>
      </w:r>
    </w:p>
  </w:footnote>
  <w:footnote w:id="48">
    <w:p w:rsidR="00AC3D62" w:rsidP="00681586">
      <w:pPr>
        <w:pStyle w:val="FootnoteText"/>
      </w:pPr>
      <w:r>
        <w:rPr>
          <w:rStyle w:val="FootnoteReference1"/>
        </w:rPr>
        <w:footnoteRef/>
      </w:r>
      <w:r>
        <w:rPr>
          <w:rtl/>
        </w:rPr>
        <w:t xml:space="preserve"> </w:t>
      </w:r>
      <w:r>
        <w:tab/>
      </w:r>
      <w:r w:rsidRPr="00865CD5">
        <w:rPr>
          <w:b/>
          <w:bCs/>
        </w:rPr>
        <w:t>Policies to ensure the sustainability of longterm care funding</w:t>
      </w:r>
      <w:r>
        <w:t>, (2025)</w:t>
      </w:r>
      <w:r>
        <w:rPr>
          <w:rFonts w:hint="cs"/>
          <w:rtl/>
        </w:rPr>
        <w:t xml:space="preserve">, </w:t>
      </w:r>
      <w:r>
        <w:t>OECD</w:t>
      </w:r>
      <w:r>
        <w:rPr>
          <w:rFonts w:hint="cs"/>
          <w:rtl/>
        </w:rPr>
        <w:t xml:space="preserve"> עמ' 11.</w:t>
      </w:r>
    </w:p>
  </w:footnote>
  <w:footnote w:id="49">
    <w:p w:rsidR="00AC3D62" w:rsidP="00681586">
      <w:pPr>
        <w:pStyle w:val="FootnoteText"/>
      </w:pPr>
      <w:r>
        <w:rPr>
          <w:rStyle w:val="FootnoteReference1"/>
        </w:rPr>
        <w:footnoteRef/>
      </w:r>
      <w:r>
        <w:rPr>
          <w:rtl/>
        </w:rPr>
        <w:t xml:space="preserve"> </w:t>
      </w:r>
      <w:r>
        <w:rPr>
          <w:rtl/>
        </w:rPr>
        <w:tab/>
      </w:r>
      <w:r w:rsidRPr="005A2354">
        <w:rPr>
          <w:rFonts w:ascii="Rubik" w:hAnsi="Rubik"/>
          <w:shd w:val="clear" w:color="auto" w:fill="FFFFFF"/>
          <w:rtl/>
        </w:rPr>
        <w:t>אגף תקציבים פועל כיחידה מקצועית ומרכזית בתוך משרד האוצר והוא אחראי על קביעת המדיניות הכלכלית של הממשלה. בין תפקידיו העיקריים: הכנת תקציב המדינה והגשתו לאישור הממשלה</w:t>
      </w:r>
      <w:r>
        <w:rPr>
          <w:rFonts w:ascii="Rubik" w:hAnsi="Rubik" w:hint="cs"/>
          <w:shd w:val="clear" w:color="auto" w:fill="FFFFFF"/>
          <w:rtl/>
        </w:rPr>
        <w:t>,</w:t>
      </w:r>
      <w:r w:rsidRPr="005A2354">
        <w:rPr>
          <w:rFonts w:ascii="Rubik" w:hAnsi="Rubik"/>
          <w:shd w:val="clear" w:color="auto" w:fill="FFFFFF"/>
          <w:rtl/>
        </w:rPr>
        <w:t xml:space="preserve"> וכן גיבוש המדיניות המאקרו-כלכלית של הממשלה והגשתה לאישור</w:t>
      </w:r>
      <w:r>
        <w:rPr>
          <w:rFonts w:ascii="Rubik" w:hAnsi="Rubik" w:hint="cs"/>
          <w:shd w:val="clear" w:color="auto" w:fill="FFFFFF"/>
          <w:rtl/>
        </w:rPr>
        <w:t>ם של</w:t>
      </w:r>
      <w:r w:rsidRPr="005A2354">
        <w:rPr>
          <w:rFonts w:ascii="Rubik" w:hAnsi="Rubik"/>
          <w:shd w:val="clear" w:color="auto" w:fill="FFFFFF"/>
          <w:rtl/>
        </w:rPr>
        <w:t xml:space="preserve"> מקבלי ההחלטות</w:t>
      </w:r>
      <w:r w:rsidRPr="005A2354">
        <w:rPr>
          <w:rFonts w:ascii="Rubik" w:hAnsi="Rubik" w:hint="cs"/>
          <w:shd w:val="clear" w:color="auto" w:fill="FFFFFF"/>
          <w:rtl/>
        </w:rPr>
        <w:t>.</w:t>
      </w:r>
    </w:p>
  </w:footnote>
  <w:footnote w:id="50">
    <w:p w:rsidR="00AC3D62" w:rsidP="00681586">
      <w:pPr>
        <w:pStyle w:val="FootnoteText"/>
      </w:pPr>
      <w:r>
        <w:rPr>
          <w:rStyle w:val="FootnoteReference1"/>
        </w:rPr>
        <w:footnoteRef/>
      </w:r>
      <w:r>
        <w:rPr>
          <w:rtl/>
        </w:rPr>
        <w:t xml:space="preserve"> </w:t>
      </w:r>
      <w:r>
        <w:rPr>
          <w:rtl/>
        </w:rPr>
        <w:tab/>
      </w:r>
      <w:r>
        <w:rPr>
          <w:rFonts w:hint="cs"/>
          <w:rtl/>
        </w:rPr>
        <w:t xml:space="preserve">התחשיב בוצע לשלוש שנים, כאשר לשנת 2021 האומדן היה 1.3 </w:t>
      </w:r>
      <w:r w:rsidRPr="00B20C96">
        <w:rPr>
          <w:rFonts w:hint="cs"/>
          <w:rtl/>
        </w:rPr>
        <w:t xml:space="preserve">מיליארד </w:t>
      </w:r>
      <w:r w:rsidRPr="00B20C96">
        <w:rPr>
          <w:rFonts w:hint="eastAsia"/>
          <w:rtl/>
        </w:rPr>
        <w:t>ש</w:t>
      </w:r>
      <w:r w:rsidRPr="00B20C96">
        <w:rPr>
          <w:rtl/>
        </w:rPr>
        <w:t>"ח</w:t>
      </w:r>
      <w:r w:rsidRPr="00B20C96">
        <w:rPr>
          <w:rFonts w:hint="cs"/>
          <w:rtl/>
        </w:rPr>
        <w:t>.</w:t>
      </w:r>
      <w:r>
        <w:rPr>
          <w:rFonts w:hint="cs"/>
          <w:rtl/>
        </w:rPr>
        <w:t xml:space="preserve"> לשנים 2020-2019 האומדן היה נמוך יותר.</w:t>
      </w:r>
    </w:p>
  </w:footnote>
  <w:footnote w:id="51">
    <w:p w:rsidR="00AC3D62" w:rsidP="00681586">
      <w:pPr>
        <w:pStyle w:val="FootnoteText"/>
      </w:pPr>
      <w:r>
        <w:rPr>
          <w:rStyle w:val="FootnoteReference1"/>
        </w:rPr>
        <w:footnoteRef/>
      </w:r>
      <w:r>
        <w:rPr>
          <w:rtl/>
        </w:rPr>
        <w:t xml:space="preserve"> </w:t>
      </w:r>
      <w:r>
        <w:rPr>
          <w:rtl/>
        </w:rPr>
        <w:tab/>
      </w:r>
      <w:r>
        <w:rPr>
          <w:rFonts w:hint="cs"/>
          <w:rtl/>
        </w:rPr>
        <w:t>התחשיב כלל גם הוספת טיפולי שיניים לקשישים לסל הבריאות בסך 400 מיליון ש"ח, והקמת מנגנון תמרוץ למעורבות קופות החולים לשיקום בקהילה בסך 100 מיליון ש"ח, סה"כ 1.8 מיליארד.</w:t>
      </w:r>
    </w:p>
  </w:footnote>
  <w:footnote w:id="52">
    <w:p w:rsidR="00AC3D62" w:rsidP="00681586">
      <w:pPr>
        <w:pStyle w:val="FootnoteText"/>
      </w:pPr>
      <w:r>
        <w:rPr>
          <w:rStyle w:val="FootnoteReference1"/>
        </w:rPr>
        <w:footnoteRef/>
      </w:r>
      <w:r>
        <w:rPr>
          <w:rtl/>
        </w:rPr>
        <w:t xml:space="preserve"> </w:t>
      </w:r>
      <w:r>
        <w:rPr>
          <w:rtl/>
        </w:rPr>
        <w:tab/>
      </w:r>
      <w:r>
        <w:rPr>
          <w:rFonts w:hint="cs"/>
          <w:rtl/>
        </w:rPr>
        <w:t>המוסד לביטוח לאומי,</w:t>
      </w:r>
      <w:r w:rsidRPr="00F44380">
        <w:rPr>
          <w:b/>
          <w:bCs/>
          <w:rtl/>
        </w:rPr>
        <w:t xml:space="preserve"> גמלאות - </w:t>
      </w:r>
      <w:r w:rsidRPr="00F44380">
        <w:rPr>
          <w:rFonts w:hint="eastAsia"/>
          <w:b/>
          <w:bCs/>
          <w:rtl/>
        </w:rPr>
        <w:t>פעילות</w:t>
      </w:r>
      <w:r w:rsidRPr="00F44380">
        <w:rPr>
          <w:b/>
          <w:bCs/>
          <w:rtl/>
        </w:rPr>
        <w:t xml:space="preserve"> </w:t>
      </w:r>
      <w:r w:rsidRPr="00F44380">
        <w:rPr>
          <w:rFonts w:hint="eastAsia"/>
          <w:b/>
          <w:bCs/>
          <w:rtl/>
        </w:rPr>
        <w:t>ומגמות</w:t>
      </w:r>
      <w:r w:rsidRPr="00F44380">
        <w:rPr>
          <w:b/>
          <w:bCs/>
          <w:rtl/>
        </w:rPr>
        <w:t xml:space="preserve">, </w:t>
      </w:r>
      <w:r w:rsidRPr="00F44380">
        <w:rPr>
          <w:rFonts w:hint="eastAsia"/>
          <w:b/>
          <w:bCs/>
          <w:rtl/>
        </w:rPr>
        <w:t>ביטוח</w:t>
      </w:r>
      <w:r w:rsidRPr="00F44380">
        <w:rPr>
          <w:b/>
          <w:bCs/>
          <w:rtl/>
        </w:rPr>
        <w:t xml:space="preserve"> </w:t>
      </w:r>
      <w:r w:rsidRPr="00F44380">
        <w:rPr>
          <w:rFonts w:hint="eastAsia"/>
          <w:b/>
          <w:bCs/>
          <w:rtl/>
        </w:rPr>
        <w:t>סיעוד</w:t>
      </w:r>
      <w:r>
        <w:rPr>
          <w:rFonts w:hint="cs"/>
          <w:b/>
          <w:bCs/>
          <w:rtl/>
        </w:rPr>
        <w:t xml:space="preserve"> </w:t>
      </w:r>
      <w:r w:rsidRPr="00B02741">
        <w:rPr>
          <w:rFonts w:hint="cs"/>
          <w:rtl/>
        </w:rPr>
        <w:t>(2023)</w:t>
      </w:r>
      <w:r>
        <w:rPr>
          <w:rFonts w:hint="cs"/>
          <w:rtl/>
        </w:rPr>
        <w:t>.</w:t>
      </w:r>
    </w:p>
  </w:footnote>
  <w:footnote w:id="53">
    <w:p w:rsidR="00AC3D62" w:rsidP="00681586">
      <w:pPr>
        <w:pStyle w:val="FootnoteText"/>
      </w:pPr>
      <w:r>
        <w:rPr>
          <w:rStyle w:val="FootnoteReference1"/>
        </w:rPr>
        <w:footnoteRef/>
      </w:r>
      <w:r>
        <w:rPr>
          <w:rtl/>
        </w:rPr>
        <w:t xml:space="preserve"> </w:t>
      </w:r>
      <w:r>
        <w:rPr>
          <w:rtl/>
        </w:rPr>
        <w:tab/>
      </w:r>
      <w:r>
        <w:rPr>
          <w:rFonts w:hint="cs"/>
          <w:rtl/>
        </w:rPr>
        <w:t>פרק ב', סימן ב', ג'.</w:t>
      </w:r>
    </w:p>
  </w:footnote>
  <w:footnote w:id="54">
    <w:p w:rsidR="00AC3D62" w:rsidP="00681586">
      <w:pPr>
        <w:pStyle w:val="FootnoteText"/>
      </w:pPr>
      <w:r>
        <w:rPr>
          <w:rStyle w:val="FootnoteReference1"/>
        </w:rPr>
        <w:footnoteRef/>
      </w:r>
      <w:r>
        <w:rPr>
          <w:rtl/>
        </w:rPr>
        <w:t xml:space="preserve"> </w:t>
      </w:r>
      <w:r>
        <w:rPr>
          <w:rtl/>
        </w:rPr>
        <w:tab/>
      </w:r>
      <w:r>
        <w:rPr>
          <w:rFonts w:hint="cs"/>
          <w:rtl/>
        </w:rPr>
        <w:t>חוק הביטוח הלאומי [נוסח משולב] התשנ"ה-1995, פרק ב', סימן ד'.</w:t>
      </w:r>
    </w:p>
  </w:footnote>
  <w:footnote w:id="55">
    <w:p w:rsidR="00AC3D62" w:rsidP="00681586">
      <w:pPr>
        <w:pStyle w:val="FootnoteText"/>
      </w:pPr>
      <w:r>
        <w:rPr>
          <w:rStyle w:val="FootnoteReference1"/>
        </w:rPr>
        <w:footnoteRef/>
      </w:r>
      <w:r>
        <w:rPr>
          <w:rtl/>
        </w:rPr>
        <w:t xml:space="preserve"> </w:t>
      </w:r>
      <w:r>
        <w:rPr>
          <w:rtl/>
        </w:rPr>
        <w:tab/>
      </w:r>
      <w:r>
        <w:rPr>
          <w:rFonts w:hint="cs"/>
          <w:rtl/>
        </w:rPr>
        <w:t xml:space="preserve">ביטוח לאומי, </w:t>
      </w:r>
      <w:r w:rsidRPr="001E1B12">
        <w:rPr>
          <w:rFonts w:hint="eastAsia"/>
          <w:b/>
          <w:bCs/>
          <w:rtl/>
        </w:rPr>
        <w:t>דין</w:t>
      </w:r>
      <w:r w:rsidRPr="001E1B12">
        <w:rPr>
          <w:b/>
          <w:bCs/>
          <w:rtl/>
        </w:rPr>
        <w:t xml:space="preserve"> </w:t>
      </w:r>
      <w:r w:rsidRPr="001E1B12">
        <w:rPr>
          <w:rFonts w:hint="eastAsia"/>
          <w:b/>
          <w:bCs/>
          <w:rtl/>
        </w:rPr>
        <w:t>וחשבון</w:t>
      </w:r>
      <w:r w:rsidRPr="001E1B12">
        <w:rPr>
          <w:b/>
          <w:bCs/>
          <w:rtl/>
        </w:rPr>
        <w:t xml:space="preserve"> </w:t>
      </w:r>
      <w:r w:rsidRPr="001E1B12">
        <w:rPr>
          <w:rFonts w:hint="eastAsia"/>
          <w:b/>
          <w:bCs/>
          <w:rtl/>
        </w:rPr>
        <w:t>אקטוארי</w:t>
      </w:r>
      <w:r w:rsidRPr="001E1B12">
        <w:rPr>
          <w:b/>
          <w:bCs/>
          <w:rtl/>
        </w:rPr>
        <w:t xml:space="preserve"> </w:t>
      </w:r>
      <w:r w:rsidRPr="001E1B12">
        <w:rPr>
          <w:rFonts w:hint="eastAsia"/>
          <w:b/>
          <w:bCs/>
          <w:rtl/>
        </w:rPr>
        <w:t>מלא</w:t>
      </w:r>
      <w:r>
        <w:rPr>
          <w:rFonts w:hint="cs"/>
          <w:rtl/>
        </w:rPr>
        <w:t xml:space="preserve"> (דצמבר 2022), עמ' 12.</w:t>
      </w:r>
    </w:p>
  </w:footnote>
  <w:footnote w:id="56">
    <w:p w:rsidR="00AC3D62" w:rsidP="00681586">
      <w:pPr>
        <w:pStyle w:val="FootnoteText"/>
      </w:pPr>
      <w:r>
        <w:rPr>
          <w:rStyle w:val="FootnoteReference1"/>
        </w:rPr>
        <w:footnoteRef/>
      </w:r>
      <w:r>
        <w:rPr>
          <w:rtl/>
        </w:rPr>
        <w:t xml:space="preserve"> </w:t>
      </w:r>
      <w:r>
        <w:rPr>
          <w:rtl/>
        </w:rPr>
        <w:tab/>
      </w:r>
      <w:r>
        <w:rPr>
          <w:rFonts w:hint="cs"/>
          <w:rtl/>
        </w:rPr>
        <w:t xml:space="preserve">ביטוח לאומי, </w:t>
      </w:r>
      <w:r w:rsidRPr="001E1B12">
        <w:rPr>
          <w:rFonts w:hint="eastAsia"/>
          <w:b/>
          <w:bCs/>
          <w:rtl/>
        </w:rPr>
        <w:t>דין</w:t>
      </w:r>
      <w:r w:rsidRPr="001E1B12">
        <w:rPr>
          <w:b/>
          <w:bCs/>
          <w:rtl/>
        </w:rPr>
        <w:t xml:space="preserve"> </w:t>
      </w:r>
      <w:r w:rsidRPr="001E1B12">
        <w:rPr>
          <w:rFonts w:hint="eastAsia"/>
          <w:b/>
          <w:bCs/>
          <w:rtl/>
        </w:rPr>
        <w:t>וחשבון</w:t>
      </w:r>
      <w:r w:rsidRPr="001E1B12">
        <w:rPr>
          <w:b/>
          <w:bCs/>
          <w:rtl/>
        </w:rPr>
        <w:t xml:space="preserve"> </w:t>
      </w:r>
      <w:r w:rsidRPr="001E1B12">
        <w:rPr>
          <w:rFonts w:hint="eastAsia"/>
          <w:b/>
          <w:bCs/>
          <w:rtl/>
        </w:rPr>
        <w:t>אקטוארי</w:t>
      </w:r>
      <w:r w:rsidRPr="001E1B12">
        <w:rPr>
          <w:b/>
          <w:bCs/>
          <w:rtl/>
        </w:rPr>
        <w:t xml:space="preserve"> </w:t>
      </w:r>
      <w:r w:rsidRPr="001E1B12">
        <w:rPr>
          <w:rFonts w:hint="eastAsia"/>
          <w:b/>
          <w:bCs/>
          <w:rtl/>
        </w:rPr>
        <w:t>מלא</w:t>
      </w:r>
      <w:r>
        <w:rPr>
          <w:rFonts w:hint="cs"/>
          <w:rtl/>
        </w:rPr>
        <w:t xml:space="preserve"> (דצמבר 2022), עמ' 51.</w:t>
      </w:r>
    </w:p>
  </w:footnote>
  <w:footnote w:id="57">
    <w:p w:rsidR="00AC3D62" w:rsidP="00681586">
      <w:pPr>
        <w:pStyle w:val="FootnoteText"/>
      </w:pPr>
      <w:r>
        <w:rPr>
          <w:rStyle w:val="FootnoteReference1"/>
        </w:rPr>
        <w:footnoteRef/>
      </w:r>
      <w:r>
        <w:rPr>
          <w:rtl/>
        </w:rPr>
        <w:t xml:space="preserve"> </w:t>
      </w:r>
      <w:r>
        <w:rPr>
          <w:rtl/>
        </w:rPr>
        <w:tab/>
      </w:r>
      <w:r>
        <w:rPr>
          <w:rFonts w:hint="cs"/>
          <w:rtl/>
        </w:rPr>
        <w:t xml:space="preserve">ביטוח לאומי, </w:t>
      </w:r>
      <w:r w:rsidRPr="001E1B12">
        <w:rPr>
          <w:rFonts w:hint="eastAsia"/>
          <w:b/>
          <w:bCs/>
          <w:rtl/>
        </w:rPr>
        <w:t>דין</w:t>
      </w:r>
      <w:r w:rsidRPr="001E1B12">
        <w:rPr>
          <w:b/>
          <w:bCs/>
          <w:rtl/>
        </w:rPr>
        <w:t xml:space="preserve"> </w:t>
      </w:r>
      <w:r w:rsidRPr="001E1B12">
        <w:rPr>
          <w:rFonts w:hint="eastAsia"/>
          <w:b/>
          <w:bCs/>
          <w:rtl/>
        </w:rPr>
        <w:t>וחשבון</w:t>
      </w:r>
      <w:r w:rsidRPr="001E1B12">
        <w:rPr>
          <w:b/>
          <w:bCs/>
          <w:rtl/>
        </w:rPr>
        <w:t xml:space="preserve"> </w:t>
      </w:r>
      <w:r w:rsidRPr="001E1B12">
        <w:rPr>
          <w:rFonts w:hint="eastAsia"/>
          <w:b/>
          <w:bCs/>
          <w:rtl/>
        </w:rPr>
        <w:t>אקטוארי</w:t>
      </w:r>
      <w:r w:rsidRPr="001E1B12">
        <w:rPr>
          <w:b/>
          <w:bCs/>
          <w:rtl/>
        </w:rPr>
        <w:t xml:space="preserve"> </w:t>
      </w:r>
      <w:r w:rsidRPr="001E1B12">
        <w:rPr>
          <w:rFonts w:hint="eastAsia"/>
          <w:b/>
          <w:bCs/>
          <w:rtl/>
        </w:rPr>
        <w:t>מלא</w:t>
      </w:r>
      <w:r>
        <w:rPr>
          <w:rFonts w:hint="cs"/>
          <w:rtl/>
        </w:rPr>
        <w:t xml:space="preserve"> (יוני 2020), עמ' 15.</w:t>
      </w:r>
    </w:p>
  </w:footnote>
  <w:footnote w:id="58">
    <w:p w:rsidR="00AC3D62" w:rsidP="00681586">
      <w:pPr>
        <w:pStyle w:val="FootnoteText"/>
      </w:pPr>
      <w:r>
        <w:rPr>
          <w:rStyle w:val="FootnoteReference1"/>
        </w:rPr>
        <w:footnoteRef/>
      </w:r>
      <w:r>
        <w:rPr>
          <w:rtl/>
        </w:rPr>
        <w:t xml:space="preserve"> </w:t>
      </w:r>
      <w:r>
        <w:rPr>
          <w:rtl/>
        </w:rPr>
        <w:tab/>
      </w:r>
      <w:r>
        <w:rPr>
          <w:rFonts w:hint="cs"/>
          <w:rtl/>
        </w:rPr>
        <w:t xml:space="preserve">ביטוח לאומי, </w:t>
      </w:r>
      <w:r w:rsidRPr="001E1B12">
        <w:rPr>
          <w:rFonts w:hint="eastAsia"/>
          <w:b/>
          <w:bCs/>
          <w:rtl/>
        </w:rPr>
        <w:t>דין</w:t>
      </w:r>
      <w:r w:rsidRPr="001E1B12">
        <w:rPr>
          <w:b/>
          <w:bCs/>
          <w:rtl/>
        </w:rPr>
        <w:t xml:space="preserve"> </w:t>
      </w:r>
      <w:r w:rsidRPr="001E1B12">
        <w:rPr>
          <w:rFonts w:hint="eastAsia"/>
          <w:b/>
          <w:bCs/>
          <w:rtl/>
        </w:rPr>
        <w:t>וחשבון</w:t>
      </w:r>
      <w:r w:rsidRPr="001E1B12">
        <w:rPr>
          <w:b/>
          <w:bCs/>
          <w:rtl/>
        </w:rPr>
        <w:t xml:space="preserve"> </w:t>
      </w:r>
      <w:r w:rsidRPr="001E1B12">
        <w:rPr>
          <w:rFonts w:hint="eastAsia"/>
          <w:b/>
          <w:bCs/>
          <w:rtl/>
        </w:rPr>
        <w:t>אקטוארי</w:t>
      </w:r>
      <w:r w:rsidRPr="001E1B12">
        <w:rPr>
          <w:b/>
          <w:bCs/>
          <w:rtl/>
        </w:rPr>
        <w:t xml:space="preserve"> </w:t>
      </w:r>
      <w:r w:rsidRPr="001E1B12">
        <w:rPr>
          <w:rFonts w:hint="eastAsia"/>
          <w:b/>
          <w:bCs/>
          <w:rtl/>
        </w:rPr>
        <w:t>מלא</w:t>
      </w:r>
      <w:r>
        <w:rPr>
          <w:rFonts w:hint="cs"/>
          <w:rtl/>
        </w:rPr>
        <w:t xml:space="preserve"> (דצמבר 2024), עמ' 56.</w:t>
      </w:r>
    </w:p>
  </w:footnote>
  <w:footnote w:id="59">
    <w:p w:rsidR="00AC3D62" w:rsidP="00681586">
      <w:pPr>
        <w:pStyle w:val="FootnoteText"/>
      </w:pPr>
      <w:r>
        <w:rPr>
          <w:rStyle w:val="FootnoteReference1"/>
        </w:rPr>
        <w:footnoteRef/>
      </w:r>
      <w:r>
        <w:rPr>
          <w:rtl/>
        </w:rPr>
        <w:t xml:space="preserve"> </w:t>
      </w:r>
      <w:r>
        <w:rPr>
          <w:rtl/>
        </w:rPr>
        <w:tab/>
      </w:r>
      <w:r>
        <w:rPr>
          <w:rFonts w:hint="cs"/>
          <w:rtl/>
        </w:rPr>
        <w:t>פרק י', סימן ב', סע' 224(ג)(1).</w:t>
      </w:r>
    </w:p>
  </w:footnote>
  <w:footnote w:id="60">
    <w:p w:rsidR="00AC3D62" w:rsidP="00681586">
      <w:pPr>
        <w:pStyle w:val="FootnoteText"/>
      </w:pPr>
      <w:r>
        <w:rPr>
          <w:rStyle w:val="FootnoteReference1"/>
        </w:rPr>
        <w:footnoteRef/>
      </w:r>
      <w:r>
        <w:rPr>
          <w:rtl/>
        </w:rPr>
        <w:t xml:space="preserve"> </w:t>
      </w:r>
      <w:r>
        <w:rPr>
          <w:rtl/>
        </w:rPr>
        <w:tab/>
      </w:r>
      <w:r>
        <w:rPr>
          <w:rFonts w:hint="cs"/>
          <w:rtl/>
        </w:rPr>
        <w:t xml:space="preserve">ביטוח לאומי, </w:t>
      </w:r>
      <w:r w:rsidRPr="001E1B12">
        <w:rPr>
          <w:rFonts w:hint="eastAsia"/>
          <w:b/>
          <w:bCs/>
          <w:rtl/>
        </w:rPr>
        <w:t>דוח</w:t>
      </w:r>
      <w:r w:rsidRPr="001E1B12">
        <w:rPr>
          <w:b/>
          <w:bCs/>
          <w:rtl/>
        </w:rPr>
        <w:t xml:space="preserve"> שנתי 2023, גמלאות - פעילות ומגמות, ביטוחי </w:t>
      </w:r>
      <w:r w:rsidRPr="001E1B12">
        <w:rPr>
          <w:rFonts w:hint="eastAsia"/>
          <w:b/>
          <w:bCs/>
          <w:rtl/>
        </w:rPr>
        <w:t>סיעוד</w:t>
      </w:r>
      <w:r w:rsidRPr="001E1B12">
        <w:rPr>
          <w:rtl/>
        </w:rPr>
        <w:t>,</w:t>
      </w:r>
      <w:r>
        <w:rPr>
          <w:rFonts w:hint="cs"/>
          <w:rtl/>
        </w:rPr>
        <w:t xml:space="preserve"> עמ' 4.</w:t>
      </w:r>
    </w:p>
  </w:footnote>
  <w:footnote w:id="61">
    <w:p w:rsidR="00AC3D62" w:rsidP="00681586">
      <w:pPr>
        <w:pStyle w:val="FootnoteText"/>
      </w:pPr>
      <w:r>
        <w:rPr>
          <w:rStyle w:val="FootnoteReference1"/>
        </w:rPr>
        <w:footnoteRef/>
      </w:r>
      <w:r>
        <w:rPr>
          <w:rtl/>
        </w:rPr>
        <w:t xml:space="preserve"> </w:t>
      </w:r>
      <w:r>
        <w:rPr>
          <w:rtl/>
        </w:rPr>
        <w:tab/>
      </w:r>
      <w:bookmarkStart w:id="7" w:name="_Hlk217546871"/>
      <w:r>
        <w:rPr>
          <w:rFonts w:hint="cs"/>
          <w:rtl/>
        </w:rPr>
        <w:t>המסמכים הרפואיים כוללים בין היתר מסמכים המפרטים מחלות, טיפולים ותרופות שנוטל התובע. כמו כן מכתבי סיכום רפואי של רופא מטפל או רופא מומחה, סיכומי אשפוז, תוצאות בדיקות, תעודת עיוור וכן מידע רפואי שנמסר מגורמים מטפלים נוספים.</w:t>
      </w:r>
      <w:bookmarkEnd w:id="7"/>
    </w:p>
  </w:footnote>
  <w:footnote w:id="62">
    <w:p w:rsidR="00AC3D62" w:rsidP="00681586">
      <w:pPr>
        <w:pStyle w:val="FootnoteText"/>
      </w:pPr>
      <w:r>
        <w:rPr>
          <w:rStyle w:val="FootnoteReference1"/>
        </w:rPr>
        <w:footnoteRef/>
      </w:r>
      <w:r>
        <w:rPr>
          <w:rtl/>
        </w:rPr>
        <w:t xml:space="preserve"> </w:t>
      </w:r>
      <w:r>
        <w:rPr>
          <w:rtl/>
        </w:rPr>
        <w:tab/>
      </w:r>
      <w:r>
        <w:rPr>
          <w:rFonts w:hint="cs"/>
          <w:rtl/>
        </w:rPr>
        <w:t>שהחלה בחודש מרץ 2020 ונמשכה כשנתיים.</w:t>
      </w:r>
    </w:p>
  </w:footnote>
  <w:footnote w:id="63">
    <w:p w:rsidR="00AC3D62" w:rsidP="00681586">
      <w:pPr>
        <w:pStyle w:val="FootnoteText"/>
      </w:pPr>
      <w:r>
        <w:rPr>
          <w:rStyle w:val="FootnoteReference1"/>
        </w:rPr>
        <w:footnoteRef/>
      </w:r>
      <w:r>
        <w:rPr>
          <w:rtl/>
        </w:rPr>
        <w:t xml:space="preserve"> </w:t>
      </w:r>
      <w:r>
        <w:rPr>
          <w:rtl/>
        </w:rPr>
        <w:tab/>
      </w:r>
      <w:r>
        <w:rPr>
          <w:rFonts w:hint="cs"/>
          <w:rtl/>
        </w:rPr>
        <w:t>2% הנותרים השאר בוצעו על ידי רופאים, ועדות מייעצות וועדות ערר.</w:t>
      </w:r>
    </w:p>
  </w:footnote>
  <w:footnote w:id="64">
    <w:p w:rsidR="00AC3D62" w:rsidP="00681586">
      <w:pPr>
        <w:pStyle w:val="FootnoteText"/>
        <w:rPr>
          <w:rtl/>
        </w:rPr>
      </w:pPr>
      <w:r>
        <w:rPr>
          <w:rStyle w:val="FootnoteReference1"/>
        </w:rPr>
        <w:footnoteRef/>
      </w:r>
      <w:r>
        <w:rPr>
          <w:rtl/>
        </w:rPr>
        <w:t xml:space="preserve"> </w:t>
      </w:r>
      <w:r>
        <w:rPr>
          <w:rtl/>
        </w:rPr>
        <w:tab/>
      </w:r>
      <w:hyperlink r:id="rId1" w:history="1">
        <w:r w:rsidRPr="00D06437">
          <w:rPr>
            <w:rStyle w:val="Hyperlink"/>
          </w:rPr>
          <w:t>OECD Health Working Papers</w:t>
        </w:r>
      </w:hyperlink>
      <w:r>
        <w:rPr>
          <w:rStyle w:val="Hyperlink"/>
        </w:rPr>
        <w:t xml:space="preserve">, </w:t>
      </w:r>
      <w:r w:rsidRPr="00B02741">
        <w:rPr>
          <w:b/>
          <w:bCs/>
        </w:rPr>
        <w:t>Needs assessment and eligibility criteria in long-term care: How access is managed across OECD countries</w:t>
      </w:r>
      <w:r>
        <w:t>, (June 2025), p. 61</w:t>
      </w:r>
      <w:r>
        <w:rPr>
          <w:rFonts w:hint="cs"/>
          <w:rtl/>
        </w:rPr>
        <w:t>.</w:t>
      </w:r>
    </w:p>
  </w:footnote>
  <w:footnote w:id="65">
    <w:p w:rsidR="00AC3D62" w:rsidP="00681586">
      <w:pPr>
        <w:pStyle w:val="FootnoteText"/>
      </w:pPr>
      <w:r>
        <w:rPr>
          <w:rStyle w:val="FootnoteReference1"/>
        </w:rPr>
        <w:footnoteRef/>
      </w:r>
      <w:r>
        <w:rPr>
          <w:rtl/>
        </w:rPr>
        <w:t xml:space="preserve"> </w:t>
      </w:r>
      <w:r>
        <w:rPr>
          <w:rtl/>
        </w:rPr>
        <w:tab/>
      </w:r>
      <w:r>
        <w:rPr>
          <w:rFonts w:hint="cs"/>
          <w:rtl/>
        </w:rPr>
        <w:t>בחלק מהמדינות נבדקו מחוזות ספציפיים: באוסטריה נבדקה וינה, בבלגיה - פלנדריה, בקנדה - אונטריו, באסטוניה - טאלין, באיטליה - דרום טירול, ובארצות הברית - קליפורניה.</w:t>
      </w:r>
    </w:p>
  </w:footnote>
  <w:footnote w:id="66">
    <w:p w:rsidR="00AC3D62" w:rsidP="00681586">
      <w:pPr>
        <w:pStyle w:val="FootnoteText"/>
      </w:pPr>
      <w:r>
        <w:rPr>
          <w:rStyle w:val="FootnoteReference1"/>
        </w:rPr>
        <w:footnoteRef/>
      </w:r>
      <w:r>
        <w:rPr>
          <w:rtl/>
        </w:rPr>
        <w:t xml:space="preserve"> </w:t>
      </w:r>
      <w:r>
        <w:rPr>
          <w:rtl/>
        </w:rPr>
        <w:tab/>
        <w:t>שלוש מדינות עדיין מאפשרות הערכות מקוונות בנסיבות מאוד ספציפיות:</w:t>
      </w:r>
      <w:r>
        <w:rPr>
          <w:rFonts w:hint="cs"/>
          <w:rtl/>
        </w:rPr>
        <w:t xml:space="preserve"> </w:t>
      </w:r>
      <w:r>
        <w:rPr>
          <w:rtl/>
        </w:rPr>
        <w:t>סלובניה - אימצה אפשרות להערכות וירטואליות במצבים מסוימים</w:t>
      </w:r>
      <w:r>
        <w:rPr>
          <w:rFonts w:hint="cs"/>
          <w:rtl/>
        </w:rPr>
        <w:t xml:space="preserve">; </w:t>
      </w:r>
      <w:r>
        <w:rPr>
          <w:rtl/>
        </w:rPr>
        <w:t>אוסטרליה - שמרה על האפשרות הזו אך ורק עבור אנשים החיים באזורים מרוחקים מאוד כדי לשפר נגישות ולהפחית זמני המתנה</w:t>
      </w:r>
      <w:r>
        <w:rPr>
          <w:rFonts w:hint="cs"/>
          <w:rtl/>
        </w:rPr>
        <w:t xml:space="preserve">; </w:t>
      </w:r>
      <w:r>
        <w:rPr>
          <w:rtl/>
        </w:rPr>
        <w:t>איטליה - מאפשרת הערכה וירטואלית כאפשרות אחרונה בלבד, כאשר לא ניתן לארגן בשום אופן פגישה פרונטלית.</w:t>
      </w:r>
    </w:p>
  </w:footnote>
  <w:footnote w:id="67">
    <w:p w:rsidR="00AC3D62" w:rsidP="00681586">
      <w:pPr>
        <w:pStyle w:val="FootnoteText"/>
        <w:rPr>
          <w:rtl/>
        </w:rPr>
      </w:pPr>
      <w:r>
        <w:rPr>
          <w:rStyle w:val="FootnoteReference1"/>
        </w:rPr>
        <w:footnoteRef/>
      </w:r>
      <w:r>
        <w:rPr>
          <w:rtl/>
        </w:rPr>
        <w:t xml:space="preserve"> </w:t>
      </w:r>
      <w:r>
        <w:rPr>
          <w:rtl/>
        </w:rPr>
        <w:tab/>
      </w:r>
      <w:r>
        <w:t xml:space="preserve"> </w:t>
      </w:r>
      <w:r w:rsidRPr="00B02741">
        <w:rPr>
          <w:b/>
          <w:bCs/>
        </w:rPr>
        <w:t>Policies to ensure the sustainability of long-term care funding</w:t>
      </w:r>
      <w:r>
        <w:rPr>
          <w:rFonts w:hint="cs"/>
          <w:rtl/>
        </w:rPr>
        <w:t>,</w:t>
      </w:r>
      <w:r>
        <w:t xml:space="preserve"> OECD</w:t>
      </w:r>
      <w:r>
        <w:rPr>
          <w:rFonts w:hint="cs"/>
          <w:rtl/>
        </w:rPr>
        <w:t xml:space="preserve"> עמ' 90.</w:t>
      </w:r>
    </w:p>
  </w:footnote>
  <w:footnote w:id="68">
    <w:p w:rsidR="00AC3D62" w:rsidP="00681586">
      <w:pPr>
        <w:pStyle w:val="FootnoteText"/>
      </w:pPr>
      <w:r>
        <w:rPr>
          <w:rStyle w:val="FootnoteReference1"/>
        </w:rPr>
        <w:footnoteRef/>
      </w:r>
      <w:r>
        <w:rPr>
          <w:rtl/>
        </w:rPr>
        <w:t xml:space="preserve"> </w:t>
      </w:r>
      <w:r>
        <w:rPr>
          <w:rtl/>
        </w:rPr>
        <w:tab/>
      </w:r>
      <w:r>
        <w:rPr>
          <w:rFonts w:hint="cs"/>
          <w:rtl/>
        </w:rPr>
        <w:t>התבצע ניתוח דומה כדי לבחון את ההשפעה של אופן בדיקת הבקשה על מספר נקודות הזכאות שקיבל הקשיש בעקבות הגשת הבקשה, ונמצאו ממצאים דומים.</w:t>
      </w:r>
    </w:p>
  </w:footnote>
  <w:footnote w:id="69">
    <w:p w:rsidR="00AC3D62" w:rsidP="00681586">
      <w:pPr>
        <w:pStyle w:val="FootnoteText"/>
      </w:pPr>
      <w:r>
        <w:rPr>
          <w:rStyle w:val="FootnoteReference1"/>
        </w:rPr>
        <w:footnoteRef/>
      </w:r>
      <w:r>
        <w:rPr>
          <w:rtl/>
        </w:rPr>
        <w:t xml:space="preserve"> </w:t>
      </w:r>
      <w:r>
        <w:rPr>
          <w:rtl/>
        </w:rPr>
        <w:tab/>
      </w:r>
      <w:r>
        <w:rPr>
          <w:rFonts w:hint="cs"/>
          <w:rtl/>
        </w:rPr>
        <w:t>בחודשים אלו שתי שיטות הערכה היו בשימוש נרחב, וכן חודשים אלו היו לאחר תקופת הקורונה, בה חלו הנחיות ייחודיות לגבי אופן בדיקת הערכות התלות.</w:t>
      </w:r>
    </w:p>
  </w:footnote>
  <w:footnote w:id="70">
    <w:p w:rsidR="00AC3D62" w:rsidP="00681586">
      <w:pPr>
        <w:pStyle w:val="FootnoteText"/>
      </w:pPr>
      <w:r>
        <w:rPr>
          <w:rStyle w:val="FootnoteReference1"/>
        </w:rPr>
        <w:footnoteRef/>
      </w:r>
      <w:r>
        <w:rPr>
          <w:rtl/>
        </w:rPr>
        <w:t xml:space="preserve"> </w:t>
      </w:r>
      <w:r>
        <w:rPr>
          <w:rtl/>
        </w:rPr>
        <w:tab/>
      </w:r>
      <w:r>
        <w:rPr>
          <w:rFonts w:hint="cs"/>
          <w:rtl/>
        </w:rPr>
        <w:t>מהניתוח הוסרו</w:t>
      </w:r>
      <w:r>
        <w:t xml:space="preserve"> </w:t>
      </w:r>
      <w:r>
        <w:rPr>
          <w:rFonts w:hint="cs"/>
          <w:rtl/>
        </w:rPr>
        <w:t xml:space="preserve">41,438 תצפיות שכללו תביעות שאין מידע לגביהן על אופן אישור התביעה, תצפיות אשר הערכת התלות לא בוצעה על ידי מעריכי תלות של בט"ל אלא על ידי פקיד או רופא, או הערכות תלות שהתבצעו במסלול מהיר. </w:t>
      </w:r>
      <w:r w:rsidRPr="00681586">
        <w:rPr>
          <w:rFonts w:ascii="Arial" w:hAnsi="Arial" w:hint="cs"/>
          <w:color w:val="000000"/>
          <w:rtl/>
        </w:rPr>
        <w:t>בבדיקה בוצעה בקרה על גיל הקשיש בעת הגשת הבקשה ועל החודש הקלנדרי שבו הוגשה הבקשה.</w:t>
      </w:r>
    </w:p>
  </w:footnote>
  <w:footnote w:id="71">
    <w:p w:rsidR="00AC3D62" w:rsidP="00681586">
      <w:pPr>
        <w:pStyle w:val="FootnoteText"/>
      </w:pPr>
      <w:r>
        <w:rPr>
          <w:rStyle w:val="FootnoteReference1"/>
        </w:rPr>
        <w:footnoteRef/>
      </w:r>
      <w:r>
        <w:rPr>
          <w:rtl/>
        </w:rPr>
        <w:t xml:space="preserve"> </w:t>
      </w:r>
      <w:r>
        <w:rPr>
          <w:rtl/>
        </w:rPr>
        <w:tab/>
      </w:r>
      <w:r>
        <w:rPr>
          <w:rFonts w:hint="cs"/>
          <w:rtl/>
        </w:rPr>
        <w:t>ברמת מובהקות 1%.</w:t>
      </w:r>
    </w:p>
  </w:footnote>
  <w:footnote w:id="72">
    <w:p w:rsidR="00AC3D62" w:rsidP="00681586">
      <w:pPr>
        <w:pStyle w:val="FootnoteText"/>
      </w:pPr>
      <w:r>
        <w:rPr>
          <w:rStyle w:val="FootnoteReference1"/>
        </w:rPr>
        <w:footnoteRef/>
      </w:r>
      <w:r>
        <w:rPr>
          <w:rtl/>
        </w:rPr>
        <w:t xml:space="preserve"> </w:t>
      </w:r>
      <w:r>
        <w:rPr>
          <w:rtl/>
        </w:rPr>
        <w:tab/>
      </w:r>
      <w:r>
        <w:rPr>
          <w:rFonts w:hint="cs"/>
          <w:rtl/>
        </w:rPr>
        <w:t>לא כולל תביעות חוזרות ותביעות להחמרה.</w:t>
      </w:r>
    </w:p>
  </w:footnote>
  <w:footnote w:id="73">
    <w:p w:rsidR="00AC3D62" w:rsidP="00681586">
      <w:pPr>
        <w:pStyle w:val="FootnoteText"/>
      </w:pPr>
      <w:r>
        <w:rPr>
          <w:rStyle w:val="FootnoteReference1"/>
        </w:rPr>
        <w:footnoteRef/>
      </w:r>
      <w:r>
        <w:rPr>
          <w:rtl/>
        </w:rPr>
        <w:t xml:space="preserve"> </w:t>
      </w:r>
      <w:r>
        <w:rPr>
          <w:rtl/>
        </w:rPr>
        <w:tab/>
      </w:r>
      <w:r w:rsidRPr="0097479D">
        <w:rPr>
          <w:rtl/>
        </w:rPr>
        <w:t xml:space="preserve">יצוין כי </w:t>
      </w:r>
      <w:r>
        <w:rPr>
          <w:rFonts w:hint="cs"/>
          <w:rtl/>
        </w:rPr>
        <w:t>גם בשנת 2022 הפער היה חיובי ומובהק (ההסתברות לאשר תביעות בבדיקה על פי מסמכים היה גבוה יותר מההסתברות לאשר תביעות בבדיקה פרונטלית), ובשנים 2024-2023 הפער בין שיעורי האישורים בין שתי שיטות הערכת התלות היה חיובי, אך לא מובהק.</w:t>
      </w:r>
    </w:p>
  </w:footnote>
  <w:footnote w:id="74">
    <w:p w:rsidR="00AC3D62" w:rsidP="00681586">
      <w:pPr>
        <w:pStyle w:val="FootnoteText"/>
      </w:pPr>
      <w:r>
        <w:rPr>
          <w:rStyle w:val="FootnoteReference1"/>
        </w:rPr>
        <w:footnoteRef/>
      </w:r>
      <w:r>
        <w:rPr>
          <w:rtl/>
        </w:rPr>
        <w:t xml:space="preserve"> </w:t>
      </w:r>
      <w:r>
        <w:rPr>
          <w:rtl/>
        </w:rPr>
        <w:tab/>
      </w:r>
      <w:r>
        <w:rPr>
          <w:rFonts w:hint="cs"/>
          <w:rtl/>
        </w:rPr>
        <w:t>דוח הוועדה כלל המלצות נוספות בנושא, לרבות המלצה לאפשר הפחתת רמת גמלה בעקבות הגשת בקשת החמרה; להגביל את האפשרות להגיש בקשה להחמרה לפעם בשישה חודשים בלבד; לצמצם ככל הניתן את האפשרות להעסיק בן משפחה כמטפל בלעדי בשכר; לצמצם את האפשרות לקבל גמלת סיעוד בכסף בלבד; ועוד.</w:t>
      </w:r>
    </w:p>
  </w:footnote>
  <w:footnote w:id="75">
    <w:p w:rsidR="00AC3D62" w:rsidP="00681586">
      <w:pPr>
        <w:pStyle w:val="FootnoteText"/>
      </w:pPr>
      <w:r>
        <w:rPr>
          <w:rStyle w:val="FootnoteReference1"/>
        </w:rPr>
        <w:footnoteRef/>
      </w:r>
      <w:r>
        <w:rPr>
          <w:rtl/>
        </w:rPr>
        <w:t xml:space="preserve"> </w:t>
      </w:r>
      <w:r>
        <w:rPr>
          <w:rtl/>
        </w:rPr>
        <w:tab/>
      </w:r>
      <w:r>
        <w:rPr>
          <w:rFonts w:hint="cs"/>
          <w:rtl/>
        </w:rPr>
        <w:t>בבדיקות התלות בבט"ל הובא בחשבון גם הצורך של הקשיש בהשגחה וכן אם הקשיש מוגדר כקשיש "בודד". ראו גם ביטוח לאומי, "</w:t>
      </w:r>
      <w:r w:rsidRPr="00BC26CD">
        <w:rPr>
          <w:rFonts w:hint="eastAsia"/>
          <w:rtl/>
        </w:rPr>
        <w:t>חוזר</w:t>
      </w:r>
      <w:r w:rsidRPr="00BC26CD">
        <w:rPr>
          <w:rtl/>
        </w:rPr>
        <w:t xml:space="preserve"> </w:t>
      </w:r>
      <w:r w:rsidRPr="00BC26CD">
        <w:rPr>
          <w:rFonts w:hint="eastAsia"/>
          <w:rtl/>
        </w:rPr>
        <w:t>מס</w:t>
      </w:r>
      <w:r w:rsidRPr="00BC26CD">
        <w:rPr>
          <w:rtl/>
        </w:rPr>
        <w:t xml:space="preserve">' 1508 </w:t>
      </w:r>
      <w:r w:rsidRPr="00BC26CD">
        <w:rPr>
          <w:rFonts w:hint="eastAsia"/>
          <w:rtl/>
        </w:rPr>
        <w:t>בנושא</w:t>
      </w:r>
      <w:r w:rsidRPr="00BC26CD">
        <w:rPr>
          <w:rtl/>
        </w:rPr>
        <w:t xml:space="preserve"> </w:t>
      </w:r>
      <w:r w:rsidRPr="00BC26CD">
        <w:rPr>
          <w:rFonts w:hint="eastAsia"/>
          <w:rtl/>
        </w:rPr>
        <w:t>הערכת</w:t>
      </w:r>
      <w:r w:rsidRPr="00BC26CD">
        <w:rPr>
          <w:rtl/>
        </w:rPr>
        <w:t xml:space="preserve"> </w:t>
      </w:r>
      <w:r w:rsidRPr="00BC26CD">
        <w:rPr>
          <w:rFonts w:hint="eastAsia"/>
          <w:rtl/>
        </w:rPr>
        <w:t>התלות</w:t>
      </w:r>
      <w:r>
        <w:rPr>
          <w:rFonts w:hint="cs"/>
          <w:rtl/>
        </w:rPr>
        <w:t xml:space="preserve">" (ספטמבר 2019). </w:t>
      </w:r>
    </w:p>
  </w:footnote>
  <w:footnote w:id="76">
    <w:p w:rsidR="00AC3D62" w:rsidP="00681586">
      <w:pPr>
        <w:pStyle w:val="FootnoteText"/>
      </w:pPr>
      <w:r>
        <w:rPr>
          <w:rStyle w:val="FootnoteReference1"/>
        </w:rPr>
        <w:footnoteRef/>
      </w:r>
      <w:r>
        <w:rPr>
          <w:rtl/>
        </w:rPr>
        <w:tab/>
      </w:r>
      <w:r>
        <w:rPr>
          <w:rFonts w:hint="cs"/>
          <w:rtl/>
        </w:rPr>
        <w:t>בקופות האחרות לא אוספים את הנתונים באופן שמאפשר השוואה בינם לבין הערכות התלות של בט"ל, או שמסתמכים על הערכות התלות של בט"ל.</w:t>
      </w:r>
    </w:p>
  </w:footnote>
  <w:footnote w:id="77">
    <w:p w:rsidR="00AC3D62" w:rsidP="00681586">
      <w:pPr>
        <w:pStyle w:val="FootnoteText"/>
      </w:pPr>
      <w:r>
        <w:rPr>
          <w:rStyle w:val="FootnoteReference1"/>
        </w:rPr>
        <w:footnoteRef/>
      </w:r>
      <w:r>
        <w:rPr>
          <w:rtl/>
        </w:rPr>
        <w:t xml:space="preserve"> </w:t>
      </w:r>
      <w:r>
        <w:rPr>
          <w:rtl/>
        </w:rPr>
        <w:tab/>
      </w:r>
      <w:r>
        <w:rPr>
          <w:rFonts w:hint="cs"/>
          <w:rtl/>
        </w:rPr>
        <w:t>הערכה תפקודית היא חלק מהערכה גריאטרית וניתנת למשל לצורך זכאות לאבזרי ניידות, התאמת מוסד או דיור לקשיש, במסגרת קבלת מימון ממשלתי לאשפוז סיעודי או במסגרת ביקור אצל רופאי המשפחה. הקופות האחרות אינן מבצעות את ההערכות בעצמן, אלא מסתמכות על נתונים של בט"ל.</w:t>
      </w:r>
    </w:p>
  </w:footnote>
  <w:footnote w:id="78">
    <w:p w:rsidR="00AC3D62" w:rsidP="00681586">
      <w:pPr>
        <w:pStyle w:val="FootnoteText"/>
        <w:rPr>
          <w:rtl/>
        </w:rPr>
      </w:pPr>
      <w:r>
        <w:rPr>
          <w:rStyle w:val="FootnoteReference1"/>
        </w:rPr>
        <w:footnoteRef/>
      </w:r>
      <w:r>
        <w:rPr>
          <w:rtl/>
        </w:rPr>
        <w:t xml:space="preserve"> </w:t>
      </w:r>
      <w:r>
        <w:rPr>
          <w:rtl/>
        </w:rPr>
        <w:tab/>
      </w:r>
      <w:r>
        <w:rPr>
          <w:rFonts w:hint="cs"/>
          <w:rtl/>
        </w:rPr>
        <w:t xml:space="preserve">הן ביטוח לאומי והן קופה א' משתמשים בסולם כץ להערכת התלות. למידע נוסף על סולם כץ: </w:t>
      </w:r>
      <w:hyperlink r:id="rId2" w:history="1">
        <w:r w:rsidRPr="00737B46">
          <w:rPr>
            <w:rStyle w:val="Hyperlink"/>
          </w:rPr>
          <w:t>hign.org/sites/default/files/2020-06/Try_This_General_Assessment_2.pdf</w:t>
        </w:r>
      </w:hyperlink>
      <w:r>
        <w:rPr>
          <w:rStyle w:val="Hyperlink"/>
          <w:rFonts w:hint="cs"/>
          <w:rtl/>
        </w:rPr>
        <w:t>.</w:t>
      </w:r>
    </w:p>
    <w:p w:rsidR="00AC3D62" w:rsidP="00681586">
      <w:pPr>
        <w:pStyle w:val="FootnoteText"/>
        <w:ind w:firstLine="0"/>
      </w:pPr>
      <w:r>
        <w:rPr>
          <w:rFonts w:hint="cs"/>
          <w:rtl/>
        </w:rPr>
        <w:t xml:space="preserve">בקופה א' הניקוד הוא בין 0 (לא סיעודי) ל-9.5 (סיעודי ברמה הגבוהה ביותר), ואילו בביטוח לאומי טווח הניקוד הוא 0 - 11. כדי להתאים את טווח הניקוד הוכפלו כל הציונים בבדיקות שבוצעו בקופת החולים </w:t>
      </w:r>
      <w:r>
        <w:rPr>
          <w:rtl/>
        </w:rPr>
        <w:br/>
      </w:r>
      <w:r>
        <w:rPr>
          <w:rFonts w:hint="cs"/>
          <w:rtl/>
        </w:rPr>
        <w:t xml:space="preserve">ב-1.158. </w:t>
      </w:r>
    </w:p>
  </w:footnote>
  <w:footnote w:id="79">
    <w:p w:rsidR="00AC3D62" w:rsidP="00681586">
      <w:pPr>
        <w:pStyle w:val="FootnoteText"/>
      </w:pPr>
      <w:r>
        <w:rPr>
          <w:rStyle w:val="FootnoteReference1"/>
        </w:rPr>
        <w:footnoteRef/>
      </w:r>
      <w:r>
        <w:rPr>
          <w:rtl/>
        </w:rPr>
        <w:t xml:space="preserve"> </w:t>
      </w:r>
      <w:r>
        <w:rPr>
          <w:rtl/>
        </w:rPr>
        <w:tab/>
      </w:r>
      <w:r>
        <w:rPr>
          <w:rFonts w:hint="cs"/>
          <w:rtl/>
        </w:rPr>
        <w:t xml:space="preserve">כדי לנקוט גישה שמרנית, הבדיקה התבצעה רק במקרים שבהם בדיקת התלות בקופה א' התבצעה </w:t>
      </w:r>
      <w:r>
        <w:rPr>
          <w:rFonts w:hint="cs"/>
          <w:b/>
          <w:bCs/>
          <w:rtl/>
        </w:rPr>
        <w:t>לאחר</w:t>
      </w:r>
      <w:r>
        <w:rPr>
          <w:rFonts w:hint="cs"/>
          <w:rtl/>
        </w:rPr>
        <w:t xml:space="preserve"> הבדיקה בבט"ל.</w:t>
      </w:r>
    </w:p>
  </w:footnote>
  <w:footnote w:id="80">
    <w:p w:rsidR="00AC3D62" w:rsidP="00681586">
      <w:pPr>
        <w:pStyle w:val="FootnoteText"/>
        <w:rPr>
          <w:rtl/>
        </w:rPr>
      </w:pPr>
      <w:r>
        <w:rPr>
          <w:rStyle w:val="FootnoteReference1"/>
        </w:rPr>
        <w:footnoteRef/>
      </w:r>
      <w:r>
        <w:rPr>
          <w:rtl/>
        </w:rPr>
        <w:t xml:space="preserve"> </w:t>
      </w:r>
      <w:r>
        <w:rPr>
          <w:rtl/>
        </w:rPr>
        <w:tab/>
      </w:r>
      <w:r>
        <w:rPr>
          <w:rFonts w:hint="cs"/>
          <w:rtl/>
        </w:rPr>
        <w:t xml:space="preserve">במבחן </w:t>
      </w:r>
      <w:r>
        <w:t>t</w:t>
      </w:r>
      <w:r>
        <w:rPr>
          <w:rFonts w:hint="cs"/>
          <w:rtl/>
        </w:rPr>
        <w:t xml:space="preserve"> דו-צדדי למדגמים מזווגים, ברמת מובהקות 1%. </w:t>
      </w:r>
    </w:p>
  </w:footnote>
  <w:footnote w:id="81">
    <w:p w:rsidR="00AC3D62" w:rsidP="00681586">
      <w:pPr>
        <w:pStyle w:val="FootnoteText"/>
      </w:pPr>
      <w:r>
        <w:rPr>
          <w:rStyle w:val="FootnoteReference1"/>
        </w:rPr>
        <w:footnoteRef/>
      </w:r>
      <w:r>
        <w:rPr>
          <w:rtl/>
        </w:rPr>
        <w:t xml:space="preserve"> </w:t>
      </w:r>
      <w:r>
        <w:rPr>
          <w:rtl/>
        </w:rPr>
        <w:tab/>
      </w:r>
      <w:r>
        <w:rPr>
          <w:rFonts w:hint="cs"/>
          <w:rtl/>
        </w:rPr>
        <w:t xml:space="preserve">במבחן </w:t>
      </w:r>
      <w:r>
        <w:t>t</w:t>
      </w:r>
      <w:r>
        <w:rPr>
          <w:rFonts w:hint="cs"/>
          <w:rtl/>
        </w:rPr>
        <w:t xml:space="preserve"> דו-צדדי למדגמים מזווגים, ברמת מובהקות 1%.</w:t>
      </w:r>
    </w:p>
  </w:footnote>
  <w:footnote w:id="82">
    <w:p w:rsidR="00AC3D62" w:rsidP="00681586">
      <w:pPr>
        <w:pStyle w:val="FootnoteText"/>
      </w:pPr>
      <w:r>
        <w:rPr>
          <w:rStyle w:val="FootnoteReference1"/>
        </w:rPr>
        <w:footnoteRef/>
      </w:r>
      <w:r>
        <w:rPr>
          <w:rtl/>
        </w:rPr>
        <w:t xml:space="preserve"> </w:t>
      </w:r>
      <w:r>
        <w:rPr>
          <w:rtl/>
        </w:rPr>
        <w:tab/>
      </w:r>
      <w:r>
        <w:rPr>
          <w:rFonts w:hint="cs"/>
          <w:rtl/>
        </w:rPr>
        <w:t>החישוב התבצע באמצעות נתוני עדכון קצבאות של ינואר 2025, עמ' 13. עלות הקצבה החודשית חושבה לפי עלות יחידת טיפול, כפול מספר יחידות הטיפול השבועיות, כפול 4.3 (כדי לקבל את העלות החודשית).</w:t>
      </w:r>
      <w:r>
        <w:t xml:space="preserve"> </w:t>
      </w:r>
      <w:r>
        <w:rPr>
          <w:rFonts w:hint="cs"/>
          <w:rtl/>
        </w:rPr>
        <w:t>לכל קשיש סיעודי חושב הפער בין עלות רמת הסיעוד הנוכחית שלו לעלות רמת הסיעוד תחתיה. אם הקשיש מעסיק עובד ישראלי, הובא בחשבון מספר השעות השבועיות שלו הוא זכאי כמי שמעסיק עובד ישראלי. כמו כן, אם הקשיש מקבל גמלה מופחתת, חושב רק חצי מהפער. העלויות הוכפלו ב-0.93 כדי לבטא את הפחתת העלויות כתוצאה מקבלת גמלה בכסף (כפי שהמודל האקטוארי מחשב זאת). לבסוף נסכמו הפערים עבור כלל הקשישים הסיעודיים והוכפלו ב-12 כדי לקבל עלות שנתית. הנתונים חושבו עבוד דצמבר 2024 ומהווים חישוב שמרני לשנת 2025, שבה ההוצאה על קצבאות עולה בכל חודש.</w:t>
      </w:r>
    </w:p>
  </w:footnote>
  <w:footnote w:id="83">
    <w:p w:rsidR="00AC3D62" w:rsidP="00681586">
      <w:pPr>
        <w:pStyle w:val="FootnoteText"/>
      </w:pPr>
      <w:r>
        <w:rPr>
          <w:rStyle w:val="FootnoteReference1"/>
        </w:rPr>
        <w:footnoteRef/>
      </w:r>
      <w:r>
        <w:rPr>
          <w:rtl/>
        </w:rPr>
        <w:t xml:space="preserve"> </w:t>
      </w:r>
      <w:r>
        <w:rPr>
          <w:rtl/>
        </w:rPr>
        <w:tab/>
      </w:r>
      <w:r>
        <w:rPr>
          <w:rFonts w:hint="cs"/>
          <w:rtl/>
        </w:rPr>
        <w:t>על פי עדכון הקצבאות בינואר 2025</w:t>
      </w:r>
      <w:r w:rsidRPr="00396044">
        <w:rPr>
          <w:rtl/>
        </w:rPr>
        <w:t>,</w:t>
      </w:r>
      <w:r>
        <w:rPr>
          <w:rFonts w:hint="cs"/>
          <w:rtl/>
        </w:rPr>
        <w:t xml:space="preserve"> עמ' 13. החישוב התבצע באופן הבא: תעריף שעת טיפול מוכפל במספר יחידות השירות בשבוע ברמה 3, וברמה 6 מוכפל ב-4.3 כדי לחשב עלות </w:t>
      </w:r>
      <w:r w:rsidRPr="00396044">
        <w:rPr>
          <w:rFonts w:hint="cs"/>
          <w:rtl/>
        </w:rPr>
        <w:t xml:space="preserve">חודשית. </w:t>
      </w:r>
    </w:p>
  </w:footnote>
  <w:footnote w:id="84">
    <w:p w:rsidR="00AC3D62" w:rsidP="00681586">
      <w:pPr>
        <w:pStyle w:val="FootnoteText"/>
      </w:pPr>
      <w:r>
        <w:rPr>
          <w:rStyle w:val="FootnoteReference1"/>
        </w:rPr>
        <w:footnoteRef/>
      </w:r>
      <w:r>
        <w:rPr>
          <w:rtl/>
        </w:rPr>
        <w:t xml:space="preserve"> </w:t>
      </w:r>
      <w:r>
        <w:rPr>
          <w:rtl/>
        </w:rPr>
        <w:tab/>
      </w:r>
      <w:r w:rsidRPr="004B6266">
        <w:rPr>
          <w:rtl/>
        </w:rPr>
        <w:t>השטח הבהיר סביב קו המגמה מהווה רווח בר-סמך</w:t>
      </w:r>
      <w:r>
        <w:rPr>
          <w:rFonts w:hint="cs"/>
          <w:rtl/>
        </w:rPr>
        <w:t xml:space="preserve"> של הפער הממוצע בין הבדיקות.</w:t>
      </w:r>
    </w:p>
  </w:footnote>
  <w:footnote w:id="85">
    <w:p w:rsidR="00AC3D62" w:rsidP="00681586">
      <w:pPr>
        <w:pStyle w:val="FootnoteText"/>
      </w:pPr>
      <w:r>
        <w:rPr>
          <w:rStyle w:val="FootnoteReference1"/>
        </w:rPr>
        <w:footnoteRef/>
      </w:r>
      <w:r>
        <w:rPr>
          <w:rtl/>
        </w:rPr>
        <w:t xml:space="preserve"> </w:t>
      </w:r>
      <w:r>
        <w:rPr>
          <w:rtl/>
        </w:rPr>
        <w:tab/>
        <w:t xml:space="preserve">תקנות הביטוח הלאומי </w:t>
      </w:r>
      <w:r>
        <w:rPr>
          <w:rFonts w:hint="cs"/>
          <w:rtl/>
        </w:rPr>
        <w:t>(</w:t>
      </w:r>
      <w:r>
        <w:rPr>
          <w:rtl/>
        </w:rPr>
        <w:t>ביט</w:t>
      </w:r>
      <w:r>
        <w:rPr>
          <w:rFonts w:hint="cs"/>
          <w:rtl/>
        </w:rPr>
        <w:t>ו</w:t>
      </w:r>
      <w:r>
        <w:rPr>
          <w:rtl/>
        </w:rPr>
        <w:t>ח סיעוד)</w:t>
      </w:r>
      <w:r>
        <w:rPr>
          <w:rFonts w:hint="cs"/>
          <w:rtl/>
        </w:rPr>
        <w:t xml:space="preserve"> (</w:t>
      </w:r>
      <w:r>
        <w:rPr>
          <w:rtl/>
        </w:rPr>
        <w:t>בדיקה מחדש של מידת התלות בעזרת הזולת של זכאי לגימלת סיעוד</w:t>
      </w:r>
      <w:r>
        <w:rPr>
          <w:rFonts w:hint="cs"/>
          <w:rtl/>
        </w:rPr>
        <w:t>)</w:t>
      </w:r>
      <w:r>
        <w:rPr>
          <w:rtl/>
        </w:rPr>
        <w:t>, התשמ"ח</w:t>
      </w:r>
      <w:r>
        <w:rPr>
          <w:rFonts w:hint="cs"/>
          <w:rtl/>
        </w:rPr>
        <w:t>-1988.</w:t>
      </w:r>
    </w:p>
  </w:footnote>
  <w:footnote w:id="86">
    <w:p w:rsidR="00AC3D62" w:rsidP="00681586">
      <w:pPr>
        <w:pStyle w:val="FootnoteText"/>
      </w:pPr>
      <w:r>
        <w:rPr>
          <w:rStyle w:val="FootnoteReference1"/>
        </w:rPr>
        <w:footnoteRef/>
      </w:r>
      <w:r>
        <w:rPr>
          <w:rtl/>
        </w:rPr>
        <w:t xml:space="preserve"> </w:t>
      </w:r>
      <w:r>
        <w:rPr>
          <w:rtl/>
        </w:rPr>
        <w:tab/>
      </w:r>
      <w:r>
        <w:rPr>
          <w:rFonts w:hint="cs"/>
          <w:rtl/>
        </w:rPr>
        <w:t>פרק ב', סימן ב', ג'.</w:t>
      </w:r>
    </w:p>
  </w:footnote>
  <w:footnote w:id="87">
    <w:p w:rsidR="00AC3D62" w:rsidP="00681586">
      <w:pPr>
        <w:pStyle w:val="FootnoteText"/>
      </w:pPr>
      <w:r>
        <w:rPr>
          <w:rStyle w:val="FootnoteReference1"/>
        </w:rPr>
        <w:footnoteRef/>
      </w:r>
      <w:r>
        <w:rPr>
          <w:rtl/>
        </w:rPr>
        <w:t xml:space="preserve"> </w:t>
      </w:r>
      <w:r>
        <w:rPr>
          <w:rtl/>
        </w:rPr>
        <w:tab/>
      </w:r>
      <w:r>
        <w:rPr>
          <w:rFonts w:hint="cs"/>
          <w:rtl/>
        </w:rPr>
        <w:t xml:space="preserve">מרכז המידע והמחקר של הכנסת, </w:t>
      </w:r>
      <w:r w:rsidRPr="00B02741">
        <w:rPr>
          <w:rFonts w:hint="eastAsia"/>
          <w:b/>
          <w:bCs/>
          <w:rtl/>
        </w:rPr>
        <w:t>המוסד</w:t>
      </w:r>
      <w:r w:rsidRPr="00B02741">
        <w:rPr>
          <w:b/>
          <w:bCs/>
          <w:rtl/>
        </w:rPr>
        <w:t xml:space="preserve"> </w:t>
      </w:r>
      <w:r w:rsidRPr="00B02741">
        <w:rPr>
          <w:rFonts w:hint="eastAsia"/>
          <w:b/>
          <w:bCs/>
          <w:rtl/>
        </w:rPr>
        <w:t>לביטוח</w:t>
      </w:r>
      <w:r w:rsidRPr="00B02741">
        <w:rPr>
          <w:b/>
          <w:bCs/>
          <w:rtl/>
        </w:rPr>
        <w:t xml:space="preserve"> </w:t>
      </w:r>
      <w:r w:rsidRPr="00B02741">
        <w:rPr>
          <w:rFonts w:hint="eastAsia"/>
          <w:b/>
          <w:bCs/>
          <w:rtl/>
        </w:rPr>
        <w:t>לאומי</w:t>
      </w:r>
      <w:r w:rsidRPr="00B02741">
        <w:rPr>
          <w:b/>
          <w:bCs/>
          <w:rtl/>
        </w:rPr>
        <w:t xml:space="preserve"> - </w:t>
      </w:r>
      <w:r w:rsidRPr="00B02741">
        <w:rPr>
          <w:rFonts w:hint="eastAsia"/>
          <w:b/>
          <w:bCs/>
          <w:rtl/>
        </w:rPr>
        <w:t>תיאור</w:t>
      </w:r>
      <w:r w:rsidRPr="00B02741">
        <w:rPr>
          <w:b/>
          <w:bCs/>
          <w:rtl/>
        </w:rPr>
        <w:t xml:space="preserve"> </w:t>
      </w:r>
      <w:r w:rsidRPr="00B02741">
        <w:rPr>
          <w:rFonts w:hint="eastAsia"/>
          <w:b/>
          <w:bCs/>
          <w:rtl/>
        </w:rPr>
        <w:t>וניתוח</w:t>
      </w:r>
      <w:r w:rsidRPr="00B02741">
        <w:rPr>
          <w:b/>
          <w:bCs/>
          <w:rtl/>
        </w:rPr>
        <w:t xml:space="preserve"> </w:t>
      </w:r>
      <w:r w:rsidRPr="00B02741">
        <w:rPr>
          <w:rFonts w:hint="eastAsia"/>
          <w:b/>
          <w:bCs/>
          <w:rtl/>
        </w:rPr>
        <w:t>מעמדו</w:t>
      </w:r>
      <w:r w:rsidRPr="00B02741">
        <w:rPr>
          <w:b/>
          <w:bCs/>
          <w:rtl/>
        </w:rPr>
        <w:t xml:space="preserve"> </w:t>
      </w:r>
      <w:r w:rsidRPr="00B02741">
        <w:rPr>
          <w:rFonts w:hint="eastAsia"/>
          <w:b/>
          <w:bCs/>
          <w:rtl/>
        </w:rPr>
        <w:t>ואיתנותו</w:t>
      </w:r>
      <w:r w:rsidRPr="00B02741">
        <w:rPr>
          <w:b/>
          <w:bCs/>
          <w:rtl/>
        </w:rPr>
        <w:t xml:space="preserve"> </w:t>
      </w:r>
      <w:r w:rsidRPr="00B02741">
        <w:rPr>
          <w:rFonts w:hint="eastAsia"/>
          <w:b/>
          <w:bCs/>
          <w:rtl/>
        </w:rPr>
        <w:t>הפיננסית</w:t>
      </w:r>
      <w:r>
        <w:rPr>
          <w:rFonts w:hint="cs"/>
          <w:rtl/>
        </w:rPr>
        <w:t xml:space="preserve"> (29.4.21).</w:t>
      </w:r>
    </w:p>
  </w:footnote>
  <w:footnote w:id="88">
    <w:p w:rsidR="00AC3D62" w:rsidP="00681586">
      <w:pPr>
        <w:pStyle w:val="FootnoteText"/>
      </w:pPr>
      <w:r>
        <w:rPr>
          <w:rStyle w:val="FootnoteReference1"/>
        </w:rPr>
        <w:footnoteRef/>
      </w:r>
      <w:r>
        <w:rPr>
          <w:rtl/>
        </w:rPr>
        <w:t xml:space="preserve"> </w:t>
      </w:r>
      <w:r>
        <w:rPr>
          <w:rtl/>
        </w:rPr>
        <w:tab/>
      </w:r>
      <w:r>
        <w:rPr>
          <w:rFonts w:hint="cs"/>
          <w:rtl/>
        </w:rPr>
        <w:t xml:space="preserve">החלטת הממשלה 145 </w:t>
      </w:r>
      <w:r>
        <w:t>)</w:t>
      </w:r>
      <w:r>
        <w:rPr>
          <w:rFonts w:hint="cs"/>
          <w:rtl/>
        </w:rPr>
        <w:t>28.6.15</w:t>
      </w:r>
      <w:r>
        <w:t>(</w:t>
      </w:r>
      <w:r>
        <w:rPr>
          <w:rFonts w:hint="cs"/>
          <w:rtl/>
        </w:rPr>
        <w:t>.</w:t>
      </w:r>
    </w:p>
  </w:footnote>
  <w:footnote w:id="89">
    <w:p w:rsidR="00AC3D62" w:rsidP="00681586">
      <w:pPr>
        <w:pStyle w:val="FootnoteText"/>
      </w:pPr>
      <w:r>
        <w:rPr>
          <w:rStyle w:val="FootnoteReference1"/>
        </w:rPr>
        <w:footnoteRef/>
      </w:r>
      <w:r>
        <w:rPr>
          <w:rtl/>
        </w:rPr>
        <w:t xml:space="preserve"> </w:t>
      </w:r>
      <w:r>
        <w:rPr>
          <w:rtl/>
        </w:rPr>
        <w:tab/>
        <w:t xml:space="preserve">החלטת </w:t>
      </w:r>
      <w:r>
        <w:rPr>
          <w:rFonts w:hint="cs"/>
          <w:rtl/>
        </w:rPr>
        <w:t>ה</w:t>
      </w:r>
      <w:r>
        <w:rPr>
          <w:rtl/>
        </w:rPr>
        <w:t>ממשלה 186</w:t>
      </w:r>
      <w:r>
        <w:rPr>
          <w:rFonts w:hint="cs"/>
          <w:rtl/>
        </w:rPr>
        <w:t>,</w:t>
      </w:r>
      <w:r>
        <w:rPr>
          <w:rtl/>
        </w:rPr>
        <w:t xml:space="preserve"> "בניית מנגנון לאיזון אקטוארי במוסד לביטוח לאומי"</w:t>
      </w:r>
      <w:r>
        <w:rPr>
          <w:rFonts w:hint="cs"/>
          <w:rtl/>
        </w:rPr>
        <w:t xml:space="preserve"> (12.5.09). </w:t>
      </w:r>
    </w:p>
  </w:footnote>
  <w:footnote w:id="90">
    <w:p w:rsidR="00AC3D62" w:rsidP="00681586">
      <w:pPr>
        <w:pStyle w:val="FootnoteText"/>
      </w:pPr>
      <w:r>
        <w:rPr>
          <w:rStyle w:val="FootnoteReference1"/>
        </w:rPr>
        <w:footnoteRef/>
      </w:r>
      <w:r>
        <w:rPr>
          <w:rtl/>
        </w:rPr>
        <w:t xml:space="preserve"> </w:t>
      </w:r>
      <w:r>
        <w:rPr>
          <w:rtl/>
        </w:rPr>
        <w:tab/>
      </w:r>
      <w:r>
        <w:rPr>
          <w:rFonts w:hint="cs"/>
          <w:rtl/>
        </w:rPr>
        <w:t>בוועדה היו חברים גם נציגים מהמועצה הלאומית לכלכלה, בנק ישראל והאקדמיה.</w:t>
      </w:r>
    </w:p>
  </w:footnote>
  <w:footnote w:id="91">
    <w:p w:rsidR="00AC3D62" w:rsidP="00681586">
      <w:pPr>
        <w:pStyle w:val="FootnoteText"/>
      </w:pPr>
      <w:r>
        <w:rPr>
          <w:rStyle w:val="FootnoteReference1"/>
        </w:rPr>
        <w:footnoteRef/>
      </w:r>
      <w:r>
        <w:rPr>
          <w:rtl/>
        </w:rPr>
        <w:t xml:space="preserve"> </w:t>
      </w:r>
      <w:r>
        <w:rPr>
          <w:rtl/>
        </w:rPr>
        <w:tab/>
      </w:r>
      <w:r>
        <w:rPr>
          <w:rFonts w:hint="cs"/>
          <w:rtl/>
        </w:rPr>
        <w:t>מסקנות הוועדה לבחינת דרכים לשמירה על האיתנות הפיננסית של המוסד לבט"ל בטווח הארוך.</w:t>
      </w:r>
    </w:p>
  </w:footnote>
  <w:footnote w:id="92">
    <w:p w:rsidR="00AC3D62" w:rsidP="00681586">
      <w:pPr>
        <w:pStyle w:val="FootnoteText"/>
      </w:pPr>
      <w:r>
        <w:rPr>
          <w:rStyle w:val="FootnoteReference1"/>
        </w:rPr>
        <w:footnoteRef/>
      </w:r>
      <w:r>
        <w:rPr>
          <w:rtl/>
        </w:rPr>
        <w:t xml:space="preserve"> </w:t>
      </w:r>
      <w:r>
        <w:rPr>
          <w:rtl/>
        </w:rPr>
        <w:tab/>
      </w:r>
      <w:r>
        <w:rPr>
          <w:rFonts w:hint="cs"/>
          <w:rtl/>
        </w:rPr>
        <w:t>מסקנות הוועדה לבחינת דרכים לשמירה על האיתנות הפיננסית של המוסד לבט"ל בטווח הארוך, עמ' 11.</w:t>
      </w:r>
    </w:p>
  </w:footnote>
  <w:footnote w:id="93">
    <w:p w:rsidR="00AC3D62" w:rsidP="00681586">
      <w:pPr>
        <w:pStyle w:val="FootnoteText"/>
      </w:pPr>
      <w:r>
        <w:rPr>
          <w:rStyle w:val="FootnoteReference1"/>
        </w:rPr>
        <w:footnoteRef/>
      </w:r>
      <w:r>
        <w:rPr>
          <w:rtl/>
        </w:rPr>
        <w:t xml:space="preserve"> </w:t>
      </w:r>
      <w:r>
        <w:rPr>
          <w:rtl/>
        </w:rPr>
        <w:tab/>
      </w:r>
      <w:r>
        <w:rPr>
          <w:rFonts w:hint="cs"/>
          <w:rtl/>
        </w:rPr>
        <w:t>להרחבה ראו: המכון הישראלי לדמוקרטיה, הבטחת האיתנות הפיננסית של הביטוח הלאומי (2020).</w:t>
      </w:r>
    </w:p>
  </w:footnote>
  <w:footnote w:id="94">
    <w:p w:rsidR="00AC3D62" w:rsidP="00681586">
      <w:pPr>
        <w:pStyle w:val="FootnoteText"/>
      </w:pPr>
      <w:r>
        <w:rPr>
          <w:rStyle w:val="FootnoteReference1"/>
        </w:rPr>
        <w:footnoteRef/>
      </w:r>
      <w:r>
        <w:rPr>
          <w:rtl/>
        </w:rPr>
        <w:t xml:space="preserve"> </w:t>
      </w:r>
      <w:r>
        <w:rPr>
          <w:rtl/>
        </w:rPr>
        <w:tab/>
      </w:r>
      <w:r>
        <w:rPr>
          <w:rFonts w:hint="cs"/>
          <w:rtl/>
        </w:rPr>
        <w:t xml:space="preserve">מבקר המדינה, </w:t>
      </w:r>
      <w:r w:rsidRPr="008E06D6">
        <w:rPr>
          <w:rFonts w:hint="eastAsia"/>
          <w:b/>
          <w:bCs/>
          <w:rtl/>
        </w:rPr>
        <w:t>הדוחות</w:t>
      </w:r>
      <w:r w:rsidRPr="008E06D6">
        <w:rPr>
          <w:b/>
          <w:bCs/>
          <w:rtl/>
        </w:rPr>
        <w:t xml:space="preserve"> </w:t>
      </w:r>
      <w:r w:rsidRPr="008E06D6">
        <w:rPr>
          <w:rFonts w:hint="eastAsia"/>
          <w:b/>
          <w:bCs/>
          <w:rtl/>
        </w:rPr>
        <w:t>הכספיים</w:t>
      </w:r>
      <w:r w:rsidRPr="008E06D6">
        <w:rPr>
          <w:b/>
          <w:bCs/>
          <w:rtl/>
        </w:rPr>
        <w:t xml:space="preserve"> </w:t>
      </w:r>
      <w:r w:rsidRPr="008E06D6">
        <w:rPr>
          <w:rFonts w:hint="eastAsia"/>
          <w:b/>
          <w:bCs/>
          <w:rtl/>
        </w:rPr>
        <w:t>של</w:t>
      </w:r>
      <w:r w:rsidRPr="008E06D6">
        <w:rPr>
          <w:b/>
          <w:bCs/>
          <w:rtl/>
        </w:rPr>
        <w:t xml:space="preserve"> </w:t>
      </w:r>
      <w:r w:rsidRPr="008E06D6">
        <w:rPr>
          <w:rFonts w:hint="eastAsia"/>
          <w:b/>
          <w:bCs/>
          <w:rtl/>
        </w:rPr>
        <w:t>מדינת</w:t>
      </w:r>
      <w:r w:rsidRPr="008E06D6">
        <w:rPr>
          <w:b/>
          <w:bCs/>
          <w:rtl/>
        </w:rPr>
        <w:t xml:space="preserve"> </w:t>
      </w:r>
      <w:r w:rsidRPr="008E06D6">
        <w:rPr>
          <w:rFonts w:hint="eastAsia"/>
          <w:b/>
          <w:bCs/>
          <w:rtl/>
        </w:rPr>
        <w:t>ישראל</w:t>
      </w:r>
      <w:r w:rsidRPr="008E06D6">
        <w:rPr>
          <w:b/>
          <w:bCs/>
          <w:rtl/>
        </w:rPr>
        <w:t xml:space="preserve"> </w:t>
      </w:r>
      <w:r w:rsidRPr="008E06D6">
        <w:rPr>
          <w:rFonts w:hint="eastAsia"/>
          <w:b/>
          <w:bCs/>
          <w:rtl/>
        </w:rPr>
        <w:t>ליום</w:t>
      </w:r>
      <w:r w:rsidRPr="008E06D6">
        <w:rPr>
          <w:b/>
          <w:bCs/>
          <w:rtl/>
        </w:rPr>
        <w:t xml:space="preserve"> 31.12.2019 - </w:t>
      </w:r>
      <w:r w:rsidRPr="008E06D6">
        <w:rPr>
          <w:rFonts w:hint="eastAsia"/>
          <w:b/>
          <w:bCs/>
          <w:rtl/>
        </w:rPr>
        <w:t>התחייבויות</w:t>
      </w:r>
      <w:r w:rsidRPr="008E06D6">
        <w:rPr>
          <w:b/>
          <w:bCs/>
          <w:rtl/>
        </w:rPr>
        <w:t xml:space="preserve"> </w:t>
      </w:r>
      <w:r w:rsidRPr="008E06D6">
        <w:rPr>
          <w:rFonts w:hint="eastAsia"/>
          <w:b/>
          <w:bCs/>
          <w:rtl/>
        </w:rPr>
        <w:t>ארוכות</w:t>
      </w:r>
      <w:r w:rsidRPr="008E06D6">
        <w:rPr>
          <w:b/>
          <w:bCs/>
          <w:rtl/>
        </w:rPr>
        <w:t xml:space="preserve"> </w:t>
      </w:r>
      <w:r w:rsidRPr="008E06D6">
        <w:rPr>
          <w:rFonts w:hint="eastAsia"/>
          <w:b/>
          <w:bCs/>
          <w:rtl/>
        </w:rPr>
        <w:t>טווח</w:t>
      </w:r>
      <w:r w:rsidRPr="008E06D6">
        <w:rPr>
          <w:b/>
          <w:bCs/>
          <w:rtl/>
        </w:rPr>
        <w:t xml:space="preserve"> </w:t>
      </w:r>
      <w:r w:rsidRPr="008E06D6">
        <w:rPr>
          <w:rFonts w:hint="eastAsia"/>
          <w:b/>
          <w:bCs/>
          <w:rtl/>
        </w:rPr>
        <w:t>של</w:t>
      </w:r>
      <w:r w:rsidRPr="008E06D6">
        <w:rPr>
          <w:b/>
          <w:bCs/>
          <w:rtl/>
        </w:rPr>
        <w:t xml:space="preserve"> </w:t>
      </w:r>
      <w:r w:rsidRPr="008E06D6">
        <w:rPr>
          <w:rFonts w:hint="eastAsia"/>
          <w:b/>
          <w:bCs/>
          <w:rtl/>
        </w:rPr>
        <w:t>המדינה</w:t>
      </w:r>
      <w:r w:rsidRPr="008E06D6">
        <w:rPr>
          <w:b/>
          <w:bCs/>
          <w:rtl/>
        </w:rPr>
        <w:t xml:space="preserve"> </w:t>
      </w:r>
      <w:r>
        <w:rPr>
          <w:rFonts w:hint="cs"/>
          <w:rtl/>
        </w:rPr>
        <w:t>(2021), עמ' 290.</w:t>
      </w:r>
    </w:p>
  </w:footnote>
  <w:footnote w:id="95">
    <w:p w:rsidR="00AC3D62" w:rsidP="00681586">
      <w:pPr>
        <w:pStyle w:val="FootnoteText"/>
      </w:pPr>
      <w:r>
        <w:rPr>
          <w:rStyle w:val="FootnoteReference1"/>
        </w:rPr>
        <w:footnoteRef/>
      </w:r>
      <w:r>
        <w:rPr>
          <w:rtl/>
        </w:rPr>
        <w:t xml:space="preserve"> </w:t>
      </w:r>
      <w:r>
        <w:rPr>
          <w:rtl/>
        </w:rPr>
        <w:tab/>
      </w:r>
      <w:r>
        <w:rPr>
          <w:rFonts w:hint="cs"/>
          <w:rtl/>
        </w:rPr>
        <w:t>תקנון עבודת הממשלה ה-36 (שאושר גם בממשלה ה-37), עמ' 27,28, 44.</w:t>
      </w:r>
    </w:p>
  </w:footnote>
  <w:footnote w:id="96">
    <w:p w:rsidR="00AC3D62" w:rsidP="00681586">
      <w:pPr>
        <w:pStyle w:val="FootnoteText"/>
      </w:pPr>
      <w:r>
        <w:rPr>
          <w:rStyle w:val="FootnoteReference1"/>
        </w:rPr>
        <w:footnoteRef/>
      </w:r>
      <w:r>
        <w:rPr>
          <w:rtl/>
        </w:rPr>
        <w:t xml:space="preserve"> </w:t>
      </w:r>
      <w:r>
        <w:rPr>
          <w:rtl/>
        </w:rPr>
        <w:tab/>
      </w:r>
      <w:r>
        <w:rPr>
          <w:rFonts w:hint="cs"/>
          <w:rtl/>
        </w:rPr>
        <w:t>דברי הסבר לחוק ההתייעלות הכלכלית (תיקוני חקיקה להשגת יעדי התקציב לשנת התקציב 2019), התשע"ח-2018, עמ' 203.</w:t>
      </w:r>
    </w:p>
  </w:footnote>
  <w:footnote w:id="97">
    <w:p w:rsidR="00AC3D62" w:rsidP="00681586">
      <w:pPr>
        <w:pStyle w:val="FootnoteText"/>
      </w:pPr>
      <w:r>
        <w:rPr>
          <w:rStyle w:val="FootnoteReference1"/>
        </w:rPr>
        <w:footnoteRef/>
      </w:r>
      <w:r>
        <w:rPr>
          <w:rtl/>
        </w:rPr>
        <w:t xml:space="preserve"> </w:t>
      </w:r>
      <w:r>
        <w:rPr>
          <w:rtl/>
        </w:rPr>
        <w:tab/>
        <w:t>פרוטוקול מס' 655 מישיבת ועדת העבודה, הרווחה והבריאות</w:t>
      </w:r>
      <w:r>
        <w:rPr>
          <w:rFonts w:hint="cs"/>
          <w:rtl/>
        </w:rPr>
        <w:t xml:space="preserve"> מיום 18.12.17 וכן </w:t>
      </w:r>
      <w:r>
        <w:rPr>
          <w:rtl/>
        </w:rPr>
        <w:t>פרוטוקול מס' 723 מישיבת ועדת העבודה, הרווחה והבריאות</w:t>
      </w:r>
      <w:r>
        <w:rPr>
          <w:rFonts w:hint="cs"/>
          <w:rtl/>
        </w:rPr>
        <w:t xml:space="preserve"> מיום 4.3.18.</w:t>
      </w:r>
    </w:p>
  </w:footnote>
  <w:footnote w:id="98">
    <w:p w:rsidR="00AC3D62" w:rsidRPr="00822621" w:rsidP="00681586">
      <w:pPr>
        <w:pStyle w:val="FootnoteText"/>
      </w:pPr>
      <w:r>
        <w:rPr>
          <w:rStyle w:val="FootnoteReference1"/>
        </w:rPr>
        <w:footnoteRef/>
      </w:r>
      <w:r>
        <w:rPr>
          <w:rtl/>
        </w:rPr>
        <w:t xml:space="preserve"> </w:t>
      </w:r>
      <w:r>
        <w:rPr>
          <w:rtl/>
        </w:rPr>
        <w:tab/>
      </w:r>
      <w:r>
        <w:rPr>
          <w:rFonts w:hint="cs"/>
          <w:rtl/>
        </w:rPr>
        <w:t xml:space="preserve">ביטוח לאומי, </w:t>
      </w:r>
      <w:r w:rsidRPr="00332890">
        <w:rPr>
          <w:rFonts w:hint="eastAsia"/>
          <w:b/>
          <w:bCs/>
          <w:rtl/>
        </w:rPr>
        <w:t>דין</w:t>
      </w:r>
      <w:r w:rsidRPr="00332890">
        <w:rPr>
          <w:b/>
          <w:bCs/>
          <w:rtl/>
        </w:rPr>
        <w:t xml:space="preserve"> </w:t>
      </w:r>
      <w:r w:rsidRPr="00332890">
        <w:rPr>
          <w:rFonts w:hint="eastAsia"/>
          <w:b/>
          <w:bCs/>
          <w:rtl/>
        </w:rPr>
        <w:t>וחשבון</w:t>
      </w:r>
      <w:r w:rsidRPr="00332890">
        <w:rPr>
          <w:b/>
          <w:bCs/>
          <w:rtl/>
        </w:rPr>
        <w:t xml:space="preserve"> </w:t>
      </w:r>
      <w:r w:rsidRPr="00332890">
        <w:rPr>
          <w:rFonts w:hint="eastAsia"/>
          <w:b/>
          <w:bCs/>
          <w:rtl/>
        </w:rPr>
        <w:t>אקטוארי</w:t>
      </w:r>
      <w:r w:rsidRPr="00332890">
        <w:rPr>
          <w:b/>
          <w:bCs/>
          <w:rtl/>
        </w:rPr>
        <w:t xml:space="preserve"> </w:t>
      </w:r>
      <w:r w:rsidRPr="00332890">
        <w:rPr>
          <w:rFonts w:hint="eastAsia"/>
          <w:b/>
          <w:bCs/>
          <w:rtl/>
        </w:rPr>
        <w:t>מלא</w:t>
      </w:r>
      <w:r>
        <w:rPr>
          <w:rFonts w:hint="cs"/>
          <w:rtl/>
        </w:rPr>
        <w:t xml:space="preserve"> (דצמבר 2022), עמ' 17.</w:t>
      </w:r>
    </w:p>
  </w:footnote>
  <w:footnote w:id="99">
    <w:p w:rsidR="00AC3D62" w:rsidP="00681586">
      <w:pPr>
        <w:pStyle w:val="FootnoteText"/>
      </w:pPr>
      <w:r>
        <w:rPr>
          <w:rStyle w:val="FootnoteReference1"/>
        </w:rPr>
        <w:footnoteRef/>
      </w:r>
      <w:r>
        <w:rPr>
          <w:rtl/>
        </w:rPr>
        <w:t xml:space="preserve"> </w:t>
      </w:r>
      <w:r>
        <w:rPr>
          <w:rtl/>
        </w:rPr>
        <w:tab/>
      </w:r>
      <w:r>
        <w:rPr>
          <w:rFonts w:hint="cs"/>
          <w:rtl/>
        </w:rPr>
        <w:t xml:space="preserve">בט"ל, </w:t>
      </w:r>
      <w:r w:rsidRPr="00332890">
        <w:rPr>
          <w:rFonts w:hint="eastAsia"/>
          <w:b/>
          <w:bCs/>
          <w:rtl/>
        </w:rPr>
        <w:t>דין</w:t>
      </w:r>
      <w:r w:rsidRPr="00332890">
        <w:rPr>
          <w:b/>
          <w:bCs/>
          <w:rtl/>
        </w:rPr>
        <w:t xml:space="preserve"> וחשבון </w:t>
      </w:r>
      <w:r w:rsidRPr="00332890">
        <w:rPr>
          <w:rFonts w:hint="eastAsia"/>
          <w:b/>
          <w:bCs/>
          <w:rtl/>
        </w:rPr>
        <w:t>אקטוארי</w:t>
      </w:r>
      <w:r w:rsidRPr="00332890">
        <w:rPr>
          <w:b/>
          <w:bCs/>
          <w:rtl/>
        </w:rPr>
        <w:t xml:space="preserve"> </w:t>
      </w:r>
      <w:r w:rsidRPr="00332890">
        <w:rPr>
          <w:rFonts w:hint="eastAsia"/>
          <w:b/>
          <w:bCs/>
          <w:rtl/>
        </w:rPr>
        <w:t>מלא</w:t>
      </w:r>
      <w:r w:rsidRPr="00332890">
        <w:rPr>
          <w:b/>
          <w:bCs/>
          <w:rtl/>
        </w:rPr>
        <w:t xml:space="preserve"> </w:t>
      </w:r>
      <w:r w:rsidRPr="00332890">
        <w:rPr>
          <w:rFonts w:hint="eastAsia"/>
          <w:b/>
          <w:bCs/>
          <w:rtl/>
        </w:rPr>
        <w:t>ליום</w:t>
      </w:r>
      <w:r w:rsidRPr="00332890">
        <w:rPr>
          <w:b/>
          <w:bCs/>
          <w:rtl/>
        </w:rPr>
        <w:t xml:space="preserve"> 31.12.2022</w:t>
      </w:r>
      <w:r>
        <w:rPr>
          <w:rFonts w:hint="cs"/>
          <w:rtl/>
        </w:rPr>
        <w:t>, (אוגוסט 2025) עמ' 17.</w:t>
      </w:r>
    </w:p>
  </w:footnote>
  <w:footnote w:id="100">
    <w:p w:rsidR="00AC3D62" w:rsidP="00681586">
      <w:pPr>
        <w:pStyle w:val="FootnoteText"/>
      </w:pPr>
      <w:r>
        <w:rPr>
          <w:rStyle w:val="FootnoteReference1"/>
        </w:rPr>
        <w:footnoteRef/>
      </w:r>
      <w:r>
        <w:rPr>
          <w:rtl/>
        </w:rPr>
        <w:t xml:space="preserve"> </w:t>
      </w:r>
      <w:r>
        <w:rPr>
          <w:rtl/>
        </w:rPr>
        <w:tab/>
      </w:r>
      <w:r>
        <w:rPr>
          <w:rFonts w:hint="cs"/>
          <w:rtl/>
        </w:rPr>
        <w:t>החלטת הממשלה 371 (5.8.15).</w:t>
      </w:r>
    </w:p>
  </w:footnote>
  <w:footnote w:id="101">
    <w:p w:rsidR="00AC3D62" w:rsidP="00681586">
      <w:pPr>
        <w:pStyle w:val="FootnoteText"/>
      </w:pPr>
      <w:r>
        <w:rPr>
          <w:rStyle w:val="FootnoteReference1"/>
        </w:rPr>
        <w:footnoteRef/>
      </w:r>
      <w:r>
        <w:rPr>
          <w:rtl/>
        </w:rPr>
        <w:t xml:space="preserve"> </w:t>
      </w:r>
      <w:r>
        <w:rPr>
          <w:rtl/>
        </w:rPr>
        <w:tab/>
      </w:r>
      <w:r>
        <w:rPr>
          <w:rFonts w:hint="cs"/>
          <w:rtl/>
        </w:rPr>
        <w:t xml:space="preserve">כלומר, הגעה למצב שבו </w:t>
      </w:r>
      <w:r w:rsidRPr="00257AD4">
        <w:rPr>
          <w:rtl/>
        </w:rPr>
        <w:t>במשך תקופה של 50 שנה קדימה יתרת הקרן תעמוד על לפחות פי 2.5 מתשלום הקצבאות החזוי לשנה העוקבת</w:t>
      </w:r>
      <w:r>
        <w:rPr>
          <w:rFonts w:hint="cs"/>
          <w:rtl/>
        </w:rPr>
        <w:t>.</w:t>
      </w:r>
    </w:p>
  </w:footnote>
  <w:footnote w:id="102">
    <w:p w:rsidR="00AC3D62" w:rsidP="00681586">
      <w:pPr>
        <w:pStyle w:val="FootnoteText"/>
      </w:pPr>
      <w:r>
        <w:rPr>
          <w:rStyle w:val="FootnoteReference1"/>
        </w:rPr>
        <w:footnoteRef/>
      </w:r>
      <w:r>
        <w:rPr>
          <w:rtl/>
        </w:rPr>
        <w:t xml:space="preserve"> </w:t>
      </w:r>
      <w:r>
        <w:rPr>
          <w:rtl/>
        </w:rPr>
        <w:tab/>
      </w:r>
      <w:r>
        <w:rPr>
          <w:rFonts w:hint="cs"/>
          <w:rtl/>
        </w:rPr>
        <w:t>הדוח חושב לפי ה-31.12 של כל שנה.</w:t>
      </w:r>
    </w:p>
  </w:footnote>
  <w:footnote w:id="103">
    <w:p w:rsidR="00AC3D62" w:rsidP="00681586">
      <w:pPr>
        <w:pStyle w:val="FootnoteText"/>
      </w:pPr>
      <w:r>
        <w:rPr>
          <w:rStyle w:val="FootnoteReference1"/>
        </w:rPr>
        <w:footnoteRef/>
      </w:r>
      <w:r>
        <w:rPr>
          <w:rtl/>
        </w:rPr>
        <w:t xml:space="preserve"> </w:t>
      </w:r>
      <w:r>
        <w:rPr>
          <w:rtl/>
        </w:rPr>
        <w:tab/>
      </w:r>
      <w:r>
        <w:rPr>
          <w:rFonts w:hint="cs"/>
          <w:rtl/>
        </w:rPr>
        <w:t>פרק ב', סימן ה', סע' 25 (א).</w:t>
      </w:r>
    </w:p>
  </w:footnote>
  <w:footnote w:id="104">
    <w:p w:rsidR="00AC3D62" w:rsidP="00681586">
      <w:pPr>
        <w:pStyle w:val="FootnoteText"/>
      </w:pPr>
      <w:r>
        <w:rPr>
          <w:rStyle w:val="FootnoteReference1"/>
        </w:rPr>
        <w:footnoteRef/>
      </w:r>
      <w:r>
        <w:rPr>
          <w:rtl/>
        </w:rPr>
        <w:t xml:space="preserve"> </w:t>
      </w:r>
      <w:r>
        <w:rPr>
          <w:rtl/>
        </w:rPr>
        <w:tab/>
      </w:r>
      <w:r>
        <w:rPr>
          <w:rFonts w:hint="cs"/>
          <w:rtl/>
        </w:rPr>
        <w:t>חוק הביטוח הלאומי [נוסח משולב], התשנ"ה-1995, פרק ב', סימן ה'.</w:t>
      </w:r>
    </w:p>
  </w:footnote>
  <w:footnote w:id="105">
    <w:p w:rsidR="00AC3D62" w:rsidP="00681586">
      <w:pPr>
        <w:pStyle w:val="FootnoteText"/>
      </w:pPr>
      <w:r>
        <w:rPr>
          <w:rStyle w:val="FootnoteReference1"/>
        </w:rPr>
        <w:footnoteRef/>
      </w:r>
      <w:r>
        <w:rPr>
          <w:rtl/>
        </w:rPr>
        <w:t xml:space="preserve"> </w:t>
      </w:r>
      <w:r>
        <w:rPr>
          <w:rtl/>
        </w:rPr>
        <w:tab/>
      </w:r>
      <w:r w:rsidRPr="007A014D">
        <w:rPr>
          <w:rtl/>
        </w:rPr>
        <w:t>החלט</w:t>
      </w:r>
      <w:r>
        <w:rPr>
          <w:rFonts w:hint="cs"/>
          <w:rtl/>
        </w:rPr>
        <w:t xml:space="preserve">ת הממשלה </w:t>
      </w:r>
      <w:r w:rsidRPr="007A014D">
        <w:rPr>
          <w:rtl/>
        </w:rPr>
        <w:t xml:space="preserve">371 </w:t>
      </w:r>
      <w:r>
        <w:rPr>
          <w:rFonts w:hint="cs"/>
          <w:rtl/>
        </w:rPr>
        <w:t>(</w:t>
      </w:r>
      <w:r w:rsidRPr="007A014D">
        <w:rPr>
          <w:rtl/>
        </w:rPr>
        <w:t>05.08.</w:t>
      </w:r>
      <w:r>
        <w:rPr>
          <w:rFonts w:hint="cs"/>
          <w:rtl/>
        </w:rPr>
        <w:t>15).</w:t>
      </w:r>
    </w:p>
  </w:footnote>
  <w:footnote w:id="106">
    <w:p w:rsidR="00AC3D62" w:rsidP="00681586">
      <w:pPr>
        <w:pStyle w:val="FootnoteText"/>
      </w:pPr>
      <w:r>
        <w:rPr>
          <w:rStyle w:val="FootnoteReference1"/>
        </w:rPr>
        <w:footnoteRef/>
      </w:r>
      <w:r>
        <w:rPr>
          <w:rtl/>
        </w:rPr>
        <w:t xml:space="preserve"> </w:t>
      </w:r>
      <w:r>
        <w:rPr>
          <w:rtl/>
        </w:rPr>
        <w:tab/>
      </w:r>
      <w:r>
        <w:rPr>
          <w:rFonts w:hint="cs"/>
          <w:rtl/>
        </w:rPr>
        <w:t>הקבינט החברתי-כלכלי מכונה גם "ועדת השרים לענייני חברה וכלכלה". יושב הראש של הועדה הוא ראש הממשלה, וחברים בה בין היתר שר האוצר, שר הפנים, שר העבודה ושר הרווחה והביטחון החברתי. תפקידי הועדה, בין היתר,</w:t>
      </w:r>
      <w:r w:rsidRPr="0035786B">
        <w:rPr>
          <w:rFonts w:ascii="Rubik" w:hAnsi="Rubik"/>
          <w:color w:val="272727"/>
          <w:shd w:val="clear" w:color="auto" w:fill="FFFFFF"/>
          <w:rtl/>
        </w:rPr>
        <w:t xml:space="preserve"> </w:t>
      </w:r>
      <w:r>
        <w:rPr>
          <w:rFonts w:ascii="Rubik" w:hAnsi="Rubik"/>
          <w:color w:val="272727"/>
          <w:shd w:val="clear" w:color="auto" w:fill="FFFFFF"/>
          <w:rtl/>
        </w:rPr>
        <w:t>טיפול בנושאים חברתיים-כלכליים</w:t>
      </w:r>
      <w:r>
        <w:rPr>
          <w:rFonts w:ascii="Rubik" w:hAnsi="Rubik" w:hint="cs"/>
          <w:color w:val="272727"/>
          <w:shd w:val="clear" w:color="auto" w:fill="FFFFFF"/>
          <w:rtl/>
        </w:rPr>
        <w:t xml:space="preserve"> ו</w:t>
      </w:r>
      <w:r>
        <w:rPr>
          <w:rFonts w:ascii="Rubik" w:hAnsi="Rubik"/>
          <w:color w:val="272727"/>
          <w:shd w:val="clear" w:color="auto" w:fill="FFFFFF"/>
          <w:rtl/>
        </w:rPr>
        <w:t>טיפול בסוגיות הנוגעות לתקציב המדינה</w:t>
      </w:r>
      <w:r>
        <w:rPr>
          <w:rFonts w:ascii="Rubik" w:hAnsi="Rubik" w:hint="cs"/>
          <w:color w:val="272727"/>
          <w:shd w:val="clear" w:color="auto" w:fill="FFFFFF"/>
          <w:rtl/>
        </w:rPr>
        <w:t>.</w:t>
      </w:r>
    </w:p>
  </w:footnote>
  <w:footnote w:id="107">
    <w:p w:rsidR="00AC3D62" w:rsidP="00681586">
      <w:pPr>
        <w:pStyle w:val="FootnoteText"/>
      </w:pPr>
      <w:r>
        <w:rPr>
          <w:rStyle w:val="FootnoteReference1"/>
        </w:rPr>
        <w:footnoteRef/>
      </w:r>
      <w:r>
        <w:rPr>
          <w:rtl/>
        </w:rPr>
        <w:t xml:space="preserve"> </w:t>
      </w:r>
      <w:r>
        <w:rPr>
          <w:rtl/>
        </w:rPr>
        <w:tab/>
      </w:r>
      <w:r>
        <w:rPr>
          <w:rFonts w:hint="cs"/>
          <w:rtl/>
        </w:rPr>
        <w:t>החלטת הממשלה נקבעה בעת שבה שר הרווחה היה אחראי על המוסד לביטוח לאומי. משנת 2023 הועבר התפקיד לשר העבודה.</w:t>
      </w:r>
    </w:p>
  </w:footnote>
  <w:footnote w:id="108">
    <w:p w:rsidR="00AC3D62" w:rsidP="00681586">
      <w:pPr>
        <w:pStyle w:val="FootnoteText"/>
      </w:pPr>
      <w:r>
        <w:rPr>
          <w:rStyle w:val="FootnoteReference1"/>
        </w:rPr>
        <w:footnoteRef/>
      </w:r>
      <w:r>
        <w:rPr>
          <w:rtl/>
        </w:rPr>
        <w:t xml:space="preserve"> </w:t>
      </w:r>
      <w:r>
        <w:rPr>
          <w:rtl/>
        </w:rPr>
        <w:tab/>
        <w:t>התקציב הביטוחי כולל מבחינת התשלומים את הקצבאות הביטוחיות ומבחינת התקבולים את דמי הביטוח, את השתתפות הממשלה, את תקבולי הריבית על יתרת האג"ח ואת ההכנסות משיבוב</w:t>
      </w:r>
      <w:r>
        <w:rPr>
          <w:rFonts w:hint="cs"/>
          <w:rtl/>
        </w:rPr>
        <w:t>.</w:t>
      </w:r>
      <w:r>
        <w:t xml:space="preserve"> </w:t>
      </w:r>
      <w:r>
        <w:rPr>
          <w:rtl/>
        </w:rPr>
        <w:t xml:space="preserve">התקציב הביטוחי משפיע על עודפיו של </w:t>
      </w:r>
      <w:r>
        <w:rPr>
          <w:rFonts w:hint="cs"/>
          <w:rtl/>
        </w:rPr>
        <w:t xml:space="preserve">בט"ל </w:t>
      </w:r>
      <w:r>
        <w:rPr>
          <w:rtl/>
        </w:rPr>
        <w:t>ועל איתנותו הפיננסית</w:t>
      </w:r>
      <w:r>
        <w:rPr>
          <w:rFonts w:hint="cs"/>
          <w:rtl/>
        </w:rPr>
        <w:t>, עמ' 4</w:t>
      </w:r>
      <w:r>
        <w:t>.</w:t>
      </w:r>
    </w:p>
  </w:footnote>
  <w:footnote w:id="109">
    <w:p w:rsidR="00AC3D62" w:rsidP="00681586">
      <w:pPr>
        <w:pStyle w:val="FootnoteText"/>
      </w:pPr>
      <w:r>
        <w:rPr>
          <w:rStyle w:val="FootnoteReference1"/>
        </w:rPr>
        <w:footnoteRef/>
      </w:r>
      <w:r>
        <w:rPr>
          <w:rtl/>
        </w:rPr>
        <w:t xml:space="preserve"> </w:t>
      </w:r>
      <w:r>
        <w:rPr>
          <w:rtl/>
        </w:rPr>
        <w:tab/>
      </w:r>
      <w:r>
        <w:rPr>
          <w:rFonts w:hint="cs"/>
          <w:rtl/>
        </w:rPr>
        <w:t xml:space="preserve">ביטוח לאומי, </w:t>
      </w:r>
      <w:r w:rsidRPr="00E430D9">
        <w:rPr>
          <w:b/>
          <w:bCs/>
          <w:rtl/>
        </w:rPr>
        <w:t>התקציב הביטוחי והלא ביטוחי תחזית לשנת 2024 ואומדן ביצוע לשנת 2023</w:t>
      </w:r>
      <w:r>
        <w:rPr>
          <w:rFonts w:hint="cs"/>
          <w:rtl/>
        </w:rPr>
        <w:t>, עמ' 17.</w:t>
      </w:r>
    </w:p>
  </w:footnote>
  <w:footnote w:id="110">
    <w:p w:rsidR="00AC3D62" w:rsidP="00681586">
      <w:pPr>
        <w:pStyle w:val="FootnoteText"/>
      </w:pPr>
      <w:r>
        <w:rPr>
          <w:rStyle w:val="FootnoteReference1"/>
        </w:rPr>
        <w:footnoteRef/>
      </w:r>
      <w:r>
        <w:rPr>
          <w:rtl/>
        </w:rPr>
        <w:t xml:space="preserve"> </w:t>
      </w:r>
      <w:r>
        <w:rPr>
          <w:rtl/>
        </w:rPr>
        <w:tab/>
      </w:r>
      <w:r>
        <w:rPr>
          <w:rFonts w:hint="cs"/>
          <w:rtl/>
        </w:rPr>
        <w:t>חוק הביטוח הלאומי [נוסח משולב], התשנ"ה-1995, פרק ט"ו.</w:t>
      </w:r>
    </w:p>
  </w:footnote>
  <w:footnote w:id="111">
    <w:p w:rsidR="00AC3D62" w:rsidP="00681586">
      <w:pPr>
        <w:pStyle w:val="FootnoteText"/>
      </w:pPr>
      <w:r>
        <w:rPr>
          <w:rStyle w:val="FootnoteReference1"/>
        </w:rPr>
        <w:footnoteRef/>
      </w:r>
      <w:r>
        <w:rPr>
          <w:rtl/>
        </w:rPr>
        <w:t xml:space="preserve"> </w:t>
      </w:r>
      <w:r>
        <w:rPr>
          <w:rtl/>
        </w:rPr>
        <w:tab/>
      </w:r>
      <w:r>
        <w:rPr>
          <w:rFonts w:hint="cs"/>
          <w:rtl/>
        </w:rPr>
        <w:t>חוק הביטוח הלאומי [נוסח משולב], התשנ"ה-1995, פרקים ג' - י"ג.</w:t>
      </w:r>
    </w:p>
  </w:footnote>
  <w:footnote w:id="112">
    <w:p w:rsidR="00AC3D62" w:rsidP="00681586">
      <w:pPr>
        <w:pStyle w:val="FootnoteText"/>
      </w:pPr>
      <w:r>
        <w:rPr>
          <w:rStyle w:val="FootnoteReference1"/>
        </w:rPr>
        <w:footnoteRef/>
      </w:r>
      <w:r>
        <w:rPr>
          <w:rtl/>
        </w:rPr>
        <w:t xml:space="preserve"> </w:t>
      </w:r>
      <w:r>
        <w:rPr>
          <w:rtl/>
        </w:rPr>
        <w:tab/>
      </w:r>
      <w:r>
        <w:rPr>
          <w:rFonts w:hint="cs"/>
          <w:rtl/>
        </w:rPr>
        <w:t>חוק הביטוח הלאומי [נוסח משולב], התשנ"ה-1995, פרקים ט', י'.</w:t>
      </w:r>
    </w:p>
  </w:footnote>
  <w:footnote w:id="113">
    <w:p w:rsidR="00AC3D62" w:rsidP="00681586">
      <w:pPr>
        <w:pStyle w:val="FootnoteText"/>
      </w:pPr>
      <w:r>
        <w:rPr>
          <w:rStyle w:val="FootnoteReference1"/>
        </w:rPr>
        <w:footnoteRef/>
      </w:r>
      <w:r>
        <w:rPr>
          <w:rtl/>
        </w:rPr>
        <w:t xml:space="preserve"> </w:t>
      </w:r>
      <w:r>
        <w:rPr>
          <w:rtl/>
        </w:rPr>
        <w:tab/>
      </w:r>
      <w:r>
        <w:t xml:space="preserve">OECD, </w:t>
      </w:r>
      <w:r w:rsidRPr="00865CD5">
        <w:rPr>
          <w:b/>
          <w:bCs/>
        </w:rPr>
        <w:t>Policies to ensure the sustainability of long</w:t>
      </w:r>
      <w:r>
        <w:rPr>
          <w:b/>
          <w:bCs/>
        </w:rPr>
        <w:t>-</w:t>
      </w:r>
      <w:r w:rsidRPr="00865CD5">
        <w:rPr>
          <w:b/>
          <w:bCs/>
        </w:rPr>
        <w:t xml:space="preserve">term care funding. </w:t>
      </w:r>
      <w:r w:rsidRPr="00865CD5">
        <w:t>(2026)</w:t>
      </w:r>
    </w:p>
  </w:footnote>
  <w:footnote w:id="114">
    <w:p w:rsidR="00AC3D62" w:rsidP="00681586">
      <w:pPr>
        <w:pStyle w:val="FootnoteText"/>
      </w:pPr>
      <w:r>
        <w:rPr>
          <w:rStyle w:val="FootnoteReference1"/>
        </w:rPr>
        <w:footnoteRef/>
      </w:r>
      <w:r>
        <w:rPr>
          <w:rtl/>
        </w:rPr>
        <w:t xml:space="preserve"> </w:t>
      </w:r>
      <w:r>
        <w:rPr>
          <w:rtl/>
        </w:rPr>
        <w:tab/>
      </w:r>
      <w:r>
        <w:rPr>
          <w:rFonts w:hint="cs"/>
          <w:rtl/>
        </w:rPr>
        <w:t>המדינות שבהן יש מגבלת תקציב רב-שנתית: ארגנטינה, ברזיל, צ'כיה, אסטוניה, פינלנד, יוון, איסלנד, לטביה, מקסיקו, ניו זילנד, פולין, סלובקיה, סלובניה וטורקייה.</w:t>
      </w:r>
    </w:p>
  </w:footnote>
  <w:footnote w:id="115">
    <w:p w:rsidR="00AC3D62" w:rsidP="00681586">
      <w:pPr>
        <w:pStyle w:val="FootnoteText"/>
      </w:pPr>
      <w:r>
        <w:rPr>
          <w:rStyle w:val="FootnoteReference1"/>
        </w:rPr>
        <w:footnoteRef/>
      </w:r>
      <w:r>
        <w:rPr>
          <w:rtl/>
        </w:rPr>
        <w:t xml:space="preserve"> </w:t>
      </w:r>
      <w:r>
        <w:rPr>
          <w:rtl/>
        </w:rPr>
        <w:tab/>
      </w:r>
      <w:r>
        <w:t xml:space="preserve">OECD, </w:t>
      </w:r>
      <w:r w:rsidRPr="00865CD5">
        <w:rPr>
          <w:b/>
          <w:bCs/>
        </w:rPr>
        <w:t>Policies to ensure the sustainability of long</w:t>
      </w:r>
      <w:r>
        <w:rPr>
          <w:b/>
          <w:bCs/>
        </w:rPr>
        <w:t>-</w:t>
      </w:r>
      <w:r w:rsidRPr="00865CD5">
        <w:rPr>
          <w:b/>
          <w:bCs/>
        </w:rPr>
        <w:t xml:space="preserve">term care funding. </w:t>
      </w:r>
      <w:r w:rsidRPr="00865CD5">
        <w:t>(2026)</w:t>
      </w:r>
    </w:p>
  </w:footnote>
  <w:footnote w:id="116">
    <w:p w:rsidR="00AC3D62" w:rsidP="00681586">
      <w:pPr>
        <w:pStyle w:val="FootnoteText"/>
        <w:rPr>
          <w:rtl/>
        </w:rPr>
      </w:pPr>
      <w:r>
        <w:rPr>
          <w:rStyle w:val="FootnoteReference1"/>
        </w:rPr>
        <w:footnoteRef/>
      </w:r>
      <w:r>
        <w:rPr>
          <w:rtl/>
        </w:rPr>
        <w:t xml:space="preserve"> </w:t>
      </w:r>
      <w:r>
        <w:rPr>
          <w:rtl/>
        </w:rPr>
        <w:tab/>
      </w:r>
      <w:r>
        <w:rPr>
          <w:rFonts w:hint="cs"/>
          <w:rtl/>
        </w:rPr>
        <w:t>קיימים מספר ביטוחים קבוצתיים נוספים, אך הם אינם פתוחים להצטרפות של הקהל הרחב אלא דרך השתייכות לארגונים ספציפיים.</w:t>
      </w:r>
    </w:p>
  </w:footnote>
  <w:footnote w:id="117">
    <w:p w:rsidR="00AC3D62" w:rsidP="00681586">
      <w:pPr>
        <w:pStyle w:val="FootnoteText"/>
      </w:pPr>
      <w:r>
        <w:rPr>
          <w:rStyle w:val="FootnoteReference1"/>
        </w:rPr>
        <w:footnoteRef/>
      </w:r>
      <w:r>
        <w:rPr>
          <w:rtl/>
        </w:rPr>
        <w:t xml:space="preserve"> </w:t>
      </w:r>
      <w:r>
        <w:rPr>
          <w:rtl/>
        </w:rPr>
        <w:tab/>
      </w:r>
      <w:bookmarkStart w:id="13" w:name="_Hlk200382367"/>
      <w:r w:rsidRPr="00A23572">
        <w:rPr>
          <w:rFonts w:ascii="David" w:hAnsi="David" w:hint="cs"/>
          <w:rtl/>
        </w:rPr>
        <w:t>תקנ</w:t>
      </w:r>
      <w:r w:rsidRPr="00A23572">
        <w:rPr>
          <w:rFonts w:ascii="David" w:hAnsi="David"/>
          <w:rtl/>
        </w:rPr>
        <w:t>ות הפיקוח על שירותים פיננסיים (ביטוח) (ביטוח סיעודי קבוצתי לחברי קופת חולים),</w:t>
      </w:r>
      <w:bookmarkEnd w:id="13"/>
      <w:r w:rsidRPr="00A23572">
        <w:rPr>
          <w:rFonts w:ascii="David" w:hAnsi="David"/>
          <w:rtl/>
        </w:rPr>
        <w:t xml:space="preserve"> התשע"ו-2015</w:t>
      </w:r>
      <w:r w:rsidRPr="00A22DA7">
        <w:rPr>
          <w:rFonts w:ascii="David" w:hAnsi="David"/>
          <w:rtl/>
        </w:rPr>
        <w:t xml:space="preserve">, </w:t>
      </w:r>
      <w:r w:rsidRPr="00A23572">
        <w:rPr>
          <w:rFonts w:ascii="David" w:hAnsi="David"/>
          <w:rtl/>
        </w:rPr>
        <w:t>חוזר ביטוח 2016-1-3, "ביטוח סיעודי קבוצתי לחברי קופת חולי</w:t>
      </w:r>
      <w:r w:rsidRPr="00A23572">
        <w:rPr>
          <w:rFonts w:ascii="David" w:hAnsi="David" w:hint="eastAsia"/>
          <w:rtl/>
        </w:rPr>
        <w:t>ם</w:t>
      </w:r>
      <w:r w:rsidRPr="00A23572">
        <w:rPr>
          <w:rFonts w:ascii="David" w:hAnsi="David"/>
          <w:rtl/>
        </w:rPr>
        <w:t>"</w:t>
      </w:r>
      <w:r w:rsidRPr="00A22DA7">
        <w:rPr>
          <w:rStyle w:val="Hyperlink"/>
          <w:rFonts w:ascii="David" w:hAnsi="David"/>
          <w:rtl/>
        </w:rPr>
        <w:t>.</w:t>
      </w:r>
    </w:p>
  </w:footnote>
  <w:footnote w:id="118">
    <w:p w:rsidR="00AC3D62" w:rsidP="00681586">
      <w:pPr>
        <w:pStyle w:val="FootnoteText"/>
      </w:pPr>
      <w:r>
        <w:rPr>
          <w:rStyle w:val="FootnoteReference1"/>
        </w:rPr>
        <w:footnoteRef/>
      </w:r>
      <w:r>
        <w:rPr>
          <w:rtl/>
        </w:rPr>
        <w:t xml:space="preserve"> </w:t>
      </w:r>
      <w:r>
        <w:rPr>
          <w:rtl/>
        </w:rPr>
        <w:tab/>
      </w:r>
      <w:r>
        <w:rPr>
          <w:rFonts w:hint="cs"/>
          <w:rtl/>
        </w:rPr>
        <w:t xml:space="preserve">רשות שוק ההון ביטוח וחיסכון, </w:t>
      </w:r>
      <w:r w:rsidRPr="00A23572">
        <w:rPr>
          <w:rFonts w:ascii="David" w:hAnsi="David" w:hint="eastAsia"/>
          <w:rtl/>
        </w:rPr>
        <w:t>חוזר</w:t>
      </w:r>
      <w:r w:rsidRPr="00A23572">
        <w:rPr>
          <w:rFonts w:ascii="David" w:hAnsi="David"/>
          <w:rtl/>
        </w:rPr>
        <w:t xml:space="preserve"> ביטוח 2018-1-12</w:t>
      </w:r>
      <w:r w:rsidRPr="00A23572">
        <w:rPr>
          <w:rFonts w:ascii="David" w:hAnsi="David" w:hint="cs"/>
          <w:rtl/>
        </w:rPr>
        <w:t>,</w:t>
      </w:r>
      <w:r w:rsidRPr="00A23572">
        <w:rPr>
          <w:rFonts w:ascii="David" w:hAnsi="David"/>
          <w:rtl/>
        </w:rPr>
        <w:t xml:space="preserve"> </w:t>
      </w:r>
      <w:r w:rsidRPr="008253BD">
        <w:rPr>
          <w:rFonts w:ascii="David" w:hAnsi="David"/>
          <w:b/>
          <w:bCs/>
          <w:rtl/>
        </w:rPr>
        <w:t xml:space="preserve">תיקון </w:t>
      </w:r>
      <w:r w:rsidRPr="008253BD">
        <w:rPr>
          <w:rFonts w:ascii="David" w:hAnsi="David" w:hint="eastAsia"/>
          <w:b/>
          <w:bCs/>
          <w:rtl/>
        </w:rPr>
        <w:t>הוראות</w:t>
      </w:r>
      <w:r w:rsidRPr="008253BD">
        <w:rPr>
          <w:rFonts w:ascii="David" w:hAnsi="David"/>
          <w:b/>
          <w:bCs/>
          <w:rtl/>
        </w:rPr>
        <w:t xml:space="preserve"> </w:t>
      </w:r>
      <w:r w:rsidRPr="008253BD">
        <w:rPr>
          <w:rFonts w:ascii="David" w:hAnsi="David" w:hint="eastAsia"/>
          <w:b/>
          <w:bCs/>
          <w:rtl/>
        </w:rPr>
        <w:t>החוזר</w:t>
      </w:r>
      <w:r w:rsidRPr="008253BD">
        <w:rPr>
          <w:rFonts w:ascii="David" w:hAnsi="David"/>
          <w:b/>
          <w:bCs/>
          <w:rtl/>
        </w:rPr>
        <w:t xml:space="preserve"> </w:t>
      </w:r>
      <w:r w:rsidRPr="008253BD">
        <w:rPr>
          <w:rFonts w:ascii="David" w:hAnsi="David" w:hint="eastAsia"/>
          <w:b/>
          <w:bCs/>
          <w:rtl/>
        </w:rPr>
        <w:t>המאוחד</w:t>
      </w:r>
      <w:r w:rsidRPr="008253BD">
        <w:rPr>
          <w:rFonts w:ascii="David" w:hAnsi="David"/>
          <w:b/>
          <w:bCs/>
          <w:rtl/>
        </w:rPr>
        <w:t xml:space="preserve"> - </w:t>
      </w:r>
      <w:r w:rsidRPr="008253BD">
        <w:rPr>
          <w:rFonts w:ascii="David" w:hAnsi="David" w:hint="eastAsia"/>
          <w:b/>
          <w:bCs/>
          <w:rtl/>
        </w:rPr>
        <w:t>שער</w:t>
      </w:r>
      <w:r w:rsidRPr="008253BD">
        <w:rPr>
          <w:rFonts w:ascii="David" w:hAnsi="David"/>
          <w:b/>
          <w:bCs/>
          <w:rtl/>
        </w:rPr>
        <w:t xml:space="preserve"> 6 </w:t>
      </w:r>
      <w:r w:rsidRPr="008253BD">
        <w:rPr>
          <w:rFonts w:ascii="David" w:hAnsi="David" w:hint="eastAsia"/>
          <w:b/>
          <w:bCs/>
          <w:rtl/>
        </w:rPr>
        <w:t>חלק</w:t>
      </w:r>
      <w:r w:rsidRPr="008253BD">
        <w:rPr>
          <w:rFonts w:ascii="David" w:hAnsi="David"/>
          <w:b/>
          <w:bCs/>
          <w:rtl/>
        </w:rPr>
        <w:t xml:space="preserve"> 3 - </w:t>
      </w:r>
      <w:r w:rsidRPr="008253BD">
        <w:rPr>
          <w:rFonts w:ascii="David" w:hAnsi="David" w:hint="eastAsia"/>
          <w:b/>
          <w:bCs/>
          <w:rtl/>
        </w:rPr>
        <w:t>ביטוח</w:t>
      </w:r>
      <w:r w:rsidRPr="008253BD">
        <w:rPr>
          <w:rFonts w:ascii="David" w:hAnsi="David"/>
          <w:b/>
          <w:bCs/>
          <w:rtl/>
        </w:rPr>
        <w:t xml:space="preserve"> </w:t>
      </w:r>
      <w:r w:rsidRPr="008253BD">
        <w:rPr>
          <w:rFonts w:ascii="David" w:hAnsi="David" w:hint="eastAsia"/>
          <w:b/>
          <w:bCs/>
          <w:rtl/>
        </w:rPr>
        <w:t>סיעודי</w:t>
      </w:r>
      <w:r w:rsidRPr="0044278D">
        <w:rPr>
          <w:rStyle w:val="Hyperlink"/>
          <w:rFonts w:ascii="David" w:hAnsi="David"/>
          <w:rtl/>
        </w:rPr>
        <w:t>.</w:t>
      </w:r>
    </w:p>
  </w:footnote>
  <w:footnote w:id="119">
    <w:p w:rsidR="00AC3D62" w:rsidP="00681586">
      <w:pPr>
        <w:pStyle w:val="FootnoteText"/>
      </w:pPr>
      <w:r>
        <w:rPr>
          <w:rStyle w:val="FootnoteReference1"/>
        </w:rPr>
        <w:footnoteRef/>
      </w:r>
      <w:r>
        <w:rPr>
          <w:rtl/>
        </w:rPr>
        <w:t xml:space="preserve"> </w:t>
      </w:r>
      <w:r>
        <w:rPr>
          <w:rtl/>
        </w:rPr>
        <w:tab/>
        <w:t xml:space="preserve">הנתונים לשנים </w:t>
      </w:r>
      <w:r>
        <w:rPr>
          <w:rFonts w:hint="cs"/>
          <w:rtl/>
        </w:rPr>
        <w:t>2022 - 2024</w:t>
      </w:r>
      <w:r>
        <w:rPr>
          <w:rtl/>
        </w:rPr>
        <w:t xml:space="preserve"> כוללים אומדני</w:t>
      </w:r>
      <w:r>
        <w:t xml:space="preserve"> IBNR </w:t>
      </w:r>
      <w:r>
        <w:rPr>
          <w:rFonts w:hint="cs"/>
          <w:rtl/>
        </w:rPr>
        <w:t>(</w:t>
      </w:r>
      <w:r>
        <w:rPr>
          <w:rtl/>
        </w:rPr>
        <w:t>תביעות שקרו אך טרם דווחו</w:t>
      </w:r>
      <w:r>
        <w:rPr>
          <w:rFonts w:hint="cs"/>
          <w:rtl/>
        </w:rPr>
        <w:t>)</w:t>
      </w:r>
      <w:r>
        <w:rPr>
          <w:rtl/>
        </w:rPr>
        <w:t xml:space="preserve"> ואינם נתונים סופיים. יש להתייחס אליהם בזהירות, שכן הם מבוססים על הנחות אקטואריות שעשויות להשתנות</w:t>
      </w:r>
      <w:r>
        <w:t>.</w:t>
      </w:r>
    </w:p>
  </w:footnote>
  <w:footnote w:id="120">
    <w:p w:rsidR="00AC3D62" w:rsidP="00681586">
      <w:pPr>
        <w:pStyle w:val="FootnoteText"/>
      </w:pPr>
      <w:r>
        <w:rPr>
          <w:rStyle w:val="FootnoteReference1"/>
        </w:rPr>
        <w:footnoteRef/>
      </w:r>
      <w:r>
        <w:rPr>
          <w:rtl/>
        </w:rPr>
        <w:t xml:space="preserve"> </w:t>
      </w:r>
      <w:r>
        <w:rPr>
          <w:rtl/>
        </w:rPr>
        <w:tab/>
      </w:r>
      <w:r>
        <w:rPr>
          <w:rFonts w:hint="cs"/>
          <w:rtl/>
        </w:rPr>
        <w:t>הירידה בתגמולי הביטוח חלה על מבוטחים סיעודיים השוהים בביתם אשר מקרה הביטוח ארע לאחר כניסת ההוראות לתוקף.</w:t>
      </w:r>
    </w:p>
  </w:footnote>
  <w:footnote w:id="121">
    <w:p w:rsidR="00AC3D62" w:rsidRPr="00E97F16" w:rsidP="00681586">
      <w:pPr>
        <w:pStyle w:val="FootnoteText"/>
        <w:rPr>
          <w:rtl/>
        </w:rPr>
      </w:pPr>
      <w:r>
        <w:rPr>
          <w:rStyle w:val="FootnoteReference1"/>
        </w:rPr>
        <w:footnoteRef/>
      </w:r>
      <w:r>
        <w:rPr>
          <w:rtl/>
        </w:rPr>
        <w:t xml:space="preserve"> </w:t>
      </w:r>
      <w:r>
        <w:rPr>
          <w:rtl/>
        </w:rPr>
        <w:tab/>
      </w:r>
      <w:bookmarkStart w:id="15" w:name="_Hlk213347598"/>
      <w:r w:rsidRPr="00A23572">
        <w:rPr>
          <w:rFonts w:ascii="David" w:eastAsia="Aptos" w:hAnsi="David"/>
          <w:kern w:val="2"/>
          <w:rtl/>
          <w14:ligatures w14:val="standardContextual"/>
        </w:rPr>
        <w:t>הוראות הפיקוח על שירותים פיננסיים (ביטוח) (ביטוח סיעודי קבוצתי לחברי קופת חולים) (תיקון), התשפ"ד-2023</w:t>
      </w:r>
      <w:bookmarkEnd w:id="15"/>
      <w:r w:rsidRPr="000672DA">
        <w:rPr>
          <w:rFonts w:hint="cs"/>
          <w:rtl/>
        </w:rPr>
        <w:t>.</w:t>
      </w:r>
      <w:r>
        <w:rPr>
          <w:rFonts w:hint="cs"/>
          <w:rtl/>
        </w:rPr>
        <w:t xml:space="preserve"> הסכומים צמודים למדד. </w:t>
      </w:r>
    </w:p>
  </w:footnote>
  <w:footnote w:id="122">
    <w:p w:rsidR="00AC3D62" w:rsidP="00681586">
      <w:pPr>
        <w:pStyle w:val="FootnoteText"/>
      </w:pPr>
      <w:r w:rsidRPr="009D29B7">
        <w:rPr>
          <w:rStyle w:val="FootnoteReference1"/>
        </w:rPr>
        <w:footnoteRef/>
      </w:r>
      <w:r w:rsidRPr="009D29B7">
        <w:rPr>
          <w:rtl/>
        </w:rPr>
        <w:t xml:space="preserve"> </w:t>
      </w:r>
      <w:r w:rsidRPr="009D29B7">
        <w:rPr>
          <w:rtl/>
        </w:rPr>
        <w:tab/>
      </w:r>
      <w:bookmarkStart w:id="16" w:name="_Hlk213347981"/>
      <w:r>
        <w:rPr>
          <w:rFonts w:hint="cs"/>
          <w:rtl/>
        </w:rPr>
        <w:t xml:space="preserve">רשות שוק ההון, ביטוח וחיסכון, </w:t>
      </w:r>
      <w:r w:rsidRPr="008253BD">
        <w:rPr>
          <w:rFonts w:ascii="David" w:eastAsia="Aptos" w:hAnsi="David" w:hint="cs"/>
          <w:b/>
          <w:bCs/>
          <w:kern w:val="2"/>
          <w:rtl/>
          <w14:ligatures w14:val="standardContextual"/>
        </w:rPr>
        <w:t>חוזר</w:t>
      </w:r>
      <w:r w:rsidRPr="008253BD">
        <w:rPr>
          <w:rFonts w:ascii="David" w:eastAsia="Aptos" w:hAnsi="David"/>
          <w:b/>
          <w:bCs/>
          <w:kern w:val="2"/>
          <w:rtl/>
          <w14:ligatures w14:val="standardContextual"/>
        </w:rPr>
        <w:t xml:space="preserve"> ביטוח 2023-1-11 החוזר המאוחד - פרק 6 חלק 3 - ביטוח סיעודי</w:t>
      </w:r>
      <w:bookmarkEnd w:id="16"/>
      <w:r>
        <w:rPr>
          <w:rFonts w:ascii="David" w:eastAsia="Aptos" w:hAnsi="David" w:hint="cs"/>
          <w:kern w:val="2"/>
          <w:rtl/>
          <w14:ligatures w14:val="standardContextual"/>
        </w:rPr>
        <w:t>.</w:t>
      </w:r>
    </w:p>
  </w:footnote>
  <w:footnote w:id="123">
    <w:p w:rsidR="00AC3D62" w:rsidP="00681586">
      <w:pPr>
        <w:pStyle w:val="FootnoteText"/>
      </w:pPr>
      <w:r>
        <w:rPr>
          <w:rStyle w:val="FootnoteReference1"/>
        </w:rPr>
        <w:footnoteRef/>
      </w:r>
      <w:r>
        <w:rPr>
          <w:rtl/>
        </w:rPr>
        <w:t xml:space="preserve"> </w:t>
      </w:r>
      <w:r>
        <w:rPr>
          <w:rtl/>
        </w:rPr>
        <w:tab/>
      </w:r>
      <w:r>
        <w:rPr>
          <w:rFonts w:hint="cs"/>
          <w:rtl/>
        </w:rPr>
        <w:t>בהתאם, חברות הביטוח לא זכאיות יותר לקבל 20% מפרמיות הסיכון.</w:t>
      </w:r>
    </w:p>
  </w:footnote>
  <w:footnote w:id="124">
    <w:p w:rsidR="00AC3D62" w:rsidP="00681586">
      <w:pPr>
        <w:pStyle w:val="FootnoteText"/>
      </w:pPr>
      <w:r>
        <w:rPr>
          <w:rStyle w:val="FootnoteReference1"/>
        </w:rPr>
        <w:footnoteRef/>
      </w:r>
      <w:r>
        <w:rPr>
          <w:rtl/>
        </w:rPr>
        <w:t xml:space="preserve"> </w:t>
      </w:r>
      <w:r>
        <w:rPr>
          <w:rtl/>
        </w:rPr>
        <w:tab/>
      </w:r>
      <w:r w:rsidRPr="00A23572">
        <w:rPr>
          <w:rFonts w:ascii="David" w:eastAsia="Aptos" w:hAnsi="David"/>
          <w:kern w:val="2"/>
          <w:sz w:val="24"/>
          <w:rtl/>
          <w14:ligatures w14:val="standardContextual"/>
        </w:rPr>
        <w:t>הוראות הפיקוח על שירותים פיננסיים (ביטוח) (ביטוח סיעודי קבוצתי לחברי קופת חולים) (תיקון), התשפ"ה-2024</w:t>
      </w:r>
      <w:r w:rsidRPr="008814A5">
        <w:rPr>
          <w:rFonts w:ascii="David" w:eastAsia="Aptos" w:hAnsi="David"/>
          <w:kern w:val="2"/>
          <w:sz w:val="24"/>
          <w:rtl/>
          <w14:ligatures w14:val="standardContextual"/>
        </w:rPr>
        <w:t>.</w:t>
      </w:r>
    </w:p>
  </w:footnote>
  <w:footnote w:id="125">
    <w:p w:rsidR="00AC3D62" w:rsidP="00681586">
      <w:pPr>
        <w:pStyle w:val="FootnoteText"/>
        <w:rPr>
          <w:rtl/>
        </w:rPr>
      </w:pPr>
      <w:r>
        <w:rPr>
          <w:rStyle w:val="FootnoteReference1"/>
        </w:rPr>
        <w:footnoteRef/>
      </w:r>
      <w:r>
        <w:rPr>
          <w:rtl/>
        </w:rPr>
        <w:t xml:space="preserve"> </w:t>
      </w:r>
      <w:r>
        <w:rPr>
          <w:rtl/>
        </w:rPr>
        <w:tab/>
        <w:t xml:space="preserve">או לחלופין </w:t>
      </w:r>
      <w:r>
        <w:rPr>
          <w:rFonts w:hint="cs"/>
          <w:rtl/>
        </w:rPr>
        <w:t>שלוש</w:t>
      </w:r>
      <w:r>
        <w:rPr>
          <w:rtl/>
        </w:rPr>
        <w:t xml:space="preserve"> פעולות כאשר אחת מהן היא שליטה בסוגרים</w:t>
      </w:r>
      <w:r>
        <w:rPr>
          <w:rFonts w:hint="cs"/>
          <w:rtl/>
        </w:rPr>
        <w:t>.</w:t>
      </w:r>
    </w:p>
  </w:footnote>
  <w:footnote w:id="126">
    <w:p w:rsidR="00AC3D62" w:rsidP="00681586">
      <w:pPr>
        <w:pStyle w:val="FootnoteText"/>
        <w:rPr>
          <w:rtl/>
        </w:rPr>
      </w:pPr>
      <w:r>
        <w:rPr>
          <w:rStyle w:val="FootnoteReference1"/>
        </w:rPr>
        <w:footnoteRef/>
      </w:r>
      <w:r>
        <w:rPr>
          <w:rtl/>
        </w:rPr>
        <w:t xml:space="preserve"> </w:t>
      </w:r>
      <w:r>
        <w:tab/>
      </w:r>
      <w:r>
        <w:rPr>
          <w:rFonts w:hint="cs"/>
          <w:rtl/>
        </w:rPr>
        <w:t>הפוליסה הקבוצתית ההדדית משמעותה סגירת הקבוצה הקיימת בפני מצטרפים חדשים, כאשר המשך הביטוח מתקיים על בסיס יתרת הכספית שנצברה בקרן המבוטחים, ככל שישנה.</w:t>
      </w:r>
    </w:p>
  </w:footnote>
  <w:footnote w:id="127">
    <w:p w:rsidR="00AC3D62" w:rsidP="00681586">
      <w:pPr>
        <w:pStyle w:val="FootnoteText"/>
      </w:pPr>
      <w:r>
        <w:rPr>
          <w:rStyle w:val="FootnoteReference1"/>
        </w:rPr>
        <w:footnoteRef/>
      </w:r>
      <w:r>
        <w:rPr>
          <w:rtl/>
        </w:rPr>
        <w:t xml:space="preserve"> </w:t>
      </w:r>
      <w:r>
        <w:rPr>
          <w:rtl/>
        </w:rPr>
        <w:tab/>
      </w:r>
      <w:r>
        <w:rPr>
          <w:rFonts w:hint="cs"/>
          <w:rtl/>
        </w:rPr>
        <w:t xml:space="preserve">רשות שוק ההון, ביטוח וחסכון, </w:t>
      </w:r>
      <w:r>
        <w:rPr>
          <w:rtl/>
        </w:rPr>
        <w:t>השפעות אסדר</w:t>
      </w:r>
      <w:r>
        <w:rPr>
          <w:rFonts w:hint="cs"/>
          <w:rtl/>
        </w:rPr>
        <w:t>ה (</w:t>
      </w:r>
      <w:r>
        <w:rPr>
          <w:rFonts w:hint="cs"/>
        </w:rPr>
        <w:t>RIA</w:t>
      </w:r>
      <w:r>
        <w:rPr>
          <w:rFonts w:hint="cs"/>
          <w:rtl/>
        </w:rPr>
        <w:t>):</w:t>
      </w:r>
      <w:r>
        <w:t xml:space="preserve"> </w:t>
      </w:r>
      <w:r>
        <w:rPr>
          <w:rtl/>
        </w:rPr>
        <w:t xml:space="preserve">הוראות הפיקוח על שירותים פיננסיים </w:t>
      </w:r>
      <w:r>
        <w:rPr>
          <w:rFonts w:hint="cs"/>
          <w:rtl/>
        </w:rPr>
        <w:t>(</w:t>
      </w:r>
      <w:r>
        <w:rPr>
          <w:rtl/>
        </w:rPr>
        <w:t>ביטוח</w:t>
      </w:r>
      <w:r>
        <w:rPr>
          <w:rFonts w:hint="cs"/>
          <w:rtl/>
        </w:rPr>
        <w:t>)</w:t>
      </w:r>
      <w:r>
        <w:rPr>
          <w:rtl/>
        </w:rPr>
        <w:t xml:space="preserve"> </w:t>
      </w:r>
      <w:r>
        <w:rPr>
          <w:rFonts w:hint="cs"/>
          <w:rtl/>
        </w:rPr>
        <w:t>(</w:t>
      </w:r>
      <w:r>
        <w:rPr>
          <w:rtl/>
        </w:rPr>
        <w:t>ביטוח סיעודי קבוצתי לחברי קופת חולים</w:t>
      </w:r>
      <w:r>
        <w:rPr>
          <w:rFonts w:hint="cs"/>
          <w:rtl/>
        </w:rPr>
        <w:t>)</w:t>
      </w:r>
      <w:r>
        <w:rPr>
          <w:rtl/>
        </w:rPr>
        <w:t xml:space="preserve"> </w:t>
      </w:r>
      <w:r>
        <w:rPr>
          <w:rFonts w:hint="cs"/>
          <w:rtl/>
        </w:rPr>
        <w:t>(</w:t>
      </w:r>
      <w:r>
        <w:rPr>
          <w:rtl/>
        </w:rPr>
        <w:t>תיקון</w:t>
      </w:r>
      <w:r>
        <w:rPr>
          <w:rFonts w:hint="cs"/>
          <w:rtl/>
        </w:rPr>
        <w:t>)</w:t>
      </w:r>
      <w:r>
        <w:rPr>
          <w:rtl/>
        </w:rPr>
        <w:t>, התשפ"ה</w:t>
      </w:r>
      <w:r>
        <w:rPr>
          <w:rFonts w:hint="cs"/>
          <w:rtl/>
        </w:rPr>
        <w:t>-2024, 22.12.</w:t>
      </w:r>
      <w:r>
        <w:rPr>
          <w:rtl/>
        </w:rPr>
        <w:t>24</w:t>
      </w:r>
      <w:r>
        <w:rPr>
          <w:rFonts w:hint="cs"/>
          <w:rtl/>
        </w:rPr>
        <w:t>. יצוין כי עוד לפי השינוי, חברות הביטוח היו פטורות מהחובה לביטוח המשכי במקרה שבו לכל הקופות הופסק הביטוח הסיעודי.</w:t>
      </w:r>
    </w:p>
  </w:footnote>
  <w:footnote w:id="128">
    <w:p w:rsidR="00AC3D62" w:rsidP="00681586">
      <w:pPr>
        <w:pStyle w:val="FootnoteText"/>
      </w:pPr>
      <w:r>
        <w:rPr>
          <w:rStyle w:val="FootnoteReference1"/>
        </w:rPr>
        <w:footnoteRef/>
      </w:r>
      <w:r>
        <w:rPr>
          <w:rtl/>
        </w:rPr>
        <w:t xml:space="preserve"> </w:t>
      </w:r>
      <w:r>
        <w:rPr>
          <w:rtl/>
        </w:rPr>
        <w:tab/>
      </w:r>
      <w:r>
        <w:rPr>
          <w:rFonts w:hint="cs"/>
          <w:rtl/>
        </w:rPr>
        <w:t>בגיל 49 החישוב שונה, כיוון שכניסה לביטוח סעודי לאחר גיל זה מקטינה משמעותית את התשלום המתקבל בקרות מקרה ביטוחי. לכן לאחר גיל 49, החישוב הוא לא רק עבור שנה, אלא נלקחים בחשבון שיקולים רב-שנתיים שיש להוון אותם כדי לחשב את תוחלת הרווח.</w:t>
      </w:r>
    </w:p>
  </w:footnote>
  <w:footnote w:id="129">
    <w:p w:rsidR="00AC3D62" w:rsidP="00681586">
      <w:pPr>
        <w:pStyle w:val="FootnoteText"/>
      </w:pPr>
      <w:r>
        <w:rPr>
          <w:rStyle w:val="FootnoteReference1"/>
        </w:rPr>
        <w:footnoteRef/>
      </w:r>
      <w:r>
        <w:rPr>
          <w:rtl/>
        </w:rPr>
        <w:t xml:space="preserve"> </w:t>
      </w:r>
      <w:r>
        <w:rPr>
          <w:rtl/>
        </w:rPr>
        <w:tab/>
      </w:r>
      <w:r>
        <w:rPr>
          <w:rFonts w:hint="cs"/>
          <w:rtl/>
        </w:rPr>
        <w:t>הובאו בחשבון התשלומים עבור מקרה סיעודי המקבל טיפול בביתו, שהם 5,000 ש"ח לחודש, כאשר בכל שנה חושבה ההסתברות המותאמת לגיל להמשיך ולקבל את התגמולים (בניכוי נפטרים ומבריאים) עד מקסימום חמש שנים.</w:t>
      </w:r>
    </w:p>
  </w:footnote>
  <w:footnote w:id="130">
    <w:p w:rsidR="00AC3D62" w:rsidP="00681586">
      <w:pPr>
        <w:pStyle w:val="FootnoteText"/>
      </w:pPr>
      <w:r>
        <w:rPr>
          <w:rStyle w:val="FootnoteReference1"/>
        </w:rPr>
        <w:footnoteRef/>
      </w:r>
      <w:r>
        <w:rPr>
          <w:rtl/>
        </w:rPr>
        <w:t xml:space="preserve"> </w:t>
      </w:r>
      <w:r>
        <w:rPr>
          <w:rtl/>
        </w:rPr>
        <w:tab/>
      </w:r>
      <w:r>
        <w:rPr>
          <w:rFonts w:hint="cs"/>
          <w:rtl/>
        </w:rPr>
        <w:t>עבור כללית חושבה הפרמיה נכון לדצמבר 2025.</w:t>
      </w:r>
    </w:p>
  </w:footnote>
  <w:footnote w:id="131">
    <w:p w:rsidR="00AC3D62" w:rsidP="00681586">
      <w:pPr>
        <w:pStyle w:val="FootnoteText"/>
      </w:pPr>
      <w:r>
        <w:rPr>
          <w:rStyle w:val="FootnoteReference1"/>
        </w:rPr>
        <w:footnoteRef/>
      </w:r>
      <w:r>
        <w:rPr>
          <w:rtl/>
        </w:rPr>
        <w:t xml:space="preserve"> </w:t>
      </w:r>
      <w:r>
        <w:rPr>
          <w:rtl/>
        </w:rPr>
        <w:tab/>
      </w:r>
      <w:r>
        <w:rPr>
          <w:rFonts w:hint="cs"/>
          <w:rtl/>
        </w:rPr>
        <w:t>שמות הקופות הם: כללית, מכבי שירותי בריאות (להלן - מכבי), מאוחדת, לאומית שירותי בריאות (להלן - לאומית)</w:t>
      </w:r>
    </w:p>
  </w:footnote>
  <w:footnote w:id="132">
    <w:p w:rsidR="00AC3D62" w:rsidP="00681586">
      <w:pPr>
        <w:pStyle w:val="FootnoteText"/>
      </w:pPr>
      <w:r>
        <w:rPr>
          <w:rStyle w:val="FootnoteReference1"/>
        </w:rPr>
        <w:footnoteRef/>
      </w:r>
      <w:r>
        <w:rPr>
          <w:rtl/>
        </w:rPr>
        <w:t xml:space="preserve"> </w:t>
      </w:r>
      <w:r>
        <w:rPr>
          <w:rtl/>
        </w:rPr>
        <w:tab/>
      </w:r>
      <w:r>
        <w:rPr>
          <w:rFonts w:hint="cs"/>
          <w:rtl/>
        </w:rPr>
        <w:t>יצוין כי בפוליסות אלו קיים חיתום, דבר שיכול להוות שיקול בפני צעירים העומדים בפני ההחלטה אם לעזוב או לרכוש את הביטוח. עוד יצוין כי פעולה זאת כדאית לצעירים עד גיל 49, היות והמצטרפים לביטוח מעל גיל זה מקבלים תקבולים נמוכים יותר בקרות מקרה ביטוחי.</w:t>
      </w:r>
    </w:p>
  </w:footnote>
  <w:footnote w:id="133">
    <w:p w:rsidR="00AC3D62" w:rsidP="00681586">
      <w:pPr>
        <w:pStyle w:val="FootnoteText"/>
      </w:pPr>
      <w:r>
        <w:rPr>
          <w:rStyle w:val="FootnoteReference1"/>
        </w:rPr>
        <w:footnoteRef/>
      </w:r>
      <w:r>
        <w:rPr>
          <w:rtl/>
        </w:rPr>
        <w:t xml:space="preserve"> </w:t>
      </w:r>
      <w:r>
        <w:rPr>
          <w:rtl/>
        </w:rPr>
        <w:tab/>
      </w:r>
      <w:r>
        <w:rPr>
          <w:rFonts w:hint="cs"/>
          <w:rtl/>
        </w:rPr>
        <w:t xml:space="preserve">הלמ"ס, </w:t>
      </w:r>
      <w:r w:rsidRPr="00A25200">
        <w:rPr>
          <w:rFonts w:hint="eastAsia"/>
          <w:b/>
          <w:bCs/>
          <w:rtl/>
        </w:rPr>
        <w:t>שיעור</w:t>
      </w:r>
      <w:r w:rsidRPr="00A25200">
        <w:rPr>
          <w:b/>
          <w:bCs/>
          <w:rtl/>
        </w:rPr>
        <w:t xml:space="preserve"> </w:t>
      </w:r>
      <w:r w:rsidRPr="00A25200">
        <w:rPr>
          <w:rFonts w:hint="eastAsia"/>
          <w:b/>
          <w:bCs/>
          <w:rtl/>
        </w:rPr>
        <w:t>האוכלוסייה</w:t>
      </w:r>
      <w:r w:rsidRPr="00A25200">
        <w:rPr>
          <w:b/>
          <w:bCs/>
          <w:rtl/>
        </w:rPr>
        <w:t xml:space="preserve"> </w:t>
      </w:r>
      <w:r w:rsidRPr="00A25200">
        <w:rPr>
          <w:rFonts w:hint="eastAsia"/>
          <w:b/>
          <w:bCs/>
          <w:rtl/>
        </w:rPr>
        <w:t>בישראל</w:t>
      </w:r>
      <w:r w:rsidRPr="00A25200">
        <w:rPr>
          <w:b/>
          <w:bCs/>
          <w:rtl/>
        </w:rPr>
        <w:t xml:space="preserve"> על פי גיל, </w:t>
      </w:r>
      <w:r w:rsidRPr="008253BD">
        <w:rPr>
          <w:rFonts w:hint="cs"/>
          <w:rtl/>
        </w:rPr>
        <w:t>(</w:t>
      </w:r>
      <w:r w:rsidRPr="008253BD">
        <w:rPr>
          <w:rtl/>
        </w:rPr>
        <w:t>2020</w:t>
      </w:r>
      <w:r w:rsidRPr="008253BD">
        <w:rPr>
          <w:rFonts w:hint="cs"/>
          <w:rtl/>
        </w:rPr>
        <w:t>).</w:t>
      </w:r>
    </w:p>
  </w:footnote>
  <w:footnote w:id="134">
    <w:p w:rsidR="00AC3D62" w:rsidP="00681586">
      <w:pPr>
        <w:pStyle w:val="FootnoteText"/>
      </w:pPr>
      <w:r>
        <w:rPr>
          <w:rStyle w:val="FootnoteReference1"/>
        </w:rPr>
        <w:footnoteRef/>
      </w:r>
      <w:r>
        <w:rPr>
          <w:rtl/>
        </w:rPr>
        <w:t xml:space="preserve"> </w:t>
      </w:r>
      <w:r>
        <w:rPr>
          <w:rtl/>
        </w:rPr>
        <w:tab/>
      </w:r>
      <w:r>
        <w:rPr>
          <w:rFonts w:hint="cs"/>
          <w:rtl/>
        </w:rPr>
        <w:t xml:space="preserve">מרכז טאוב, </w:t>
      </w:r>
      <w:r w:rsidRPr="000E341F">
        <w:rPr>
          <w:rFonts w:hint="eastAsia"/>
          <w:b/>
          <w:bCs/>
          <w:rtl/>
        </w:rPr>
        <w:t>ביטוח</w:t>
      </w:r>
      <w:r w:rsidRPr="000E341F">
        <w:rPr>
          <w:b/>
          <w:bCs/>
          <w:rtl/>
        </w:rPr>
        <w:t xml:space="preserve"> </w:t>
      </w:r>
      <w:r w:rsidRPr="000E341F">
        <w:rPr>
          <w:rFonts w:hint="eastAsia"/>
          <w:b/>
          <w:bCs/>
          <w:rtl/>
        </w:rPr>
        <w:t>סיעודי</w:t>
      </w:r>
      <w:r w:rsidRPr="000E341F">
        <w:rPr>
          <w:b/>
          <w:bCs/>
          <w:rtl/>
        </w:rPr>
        <w:t xml:space="preserve"> </w:t>
      </w:r>
      <w:r w:rsidRPr="000E341F">
        <w:rPr>
          <w:rFonts w:hint="eastAsia"/>
          <w:b/>
          <w:bCs/>
          <w:rtl/>
        </w:rPr>
        <w:t>בישראל</w:t>
      </w:r>
      <w:r w:rsidRPr="000E341F">
        <w:rPr>
          <w:rFonts w:hint="cs"/>
          <w:b/>
          <w:bCs/>
          <w:rtl/>
        </w:rPr>
        <w:t>,</w:t>
      </w:r>
      <w:r>
        <w:rPr>
          <w:rFonts w:hint="cs"/>
          <w:rtl/>
        </w:rPr>
        <w:t xml:space="preserve"> עמ' 18.</w:t>
      </w:r>
    </w:p>
  </w:footnote>
  <w:footnote w:id="135">
    <w:p w:rsidR="00AC3D62" w:rsidP="00681586">
      <w:pPr>
        <w:pStyle w:val="FootnoteText"/>
      </w:pPr>
      <w:r>
        <w:rPr>
          <w:rStyle w:val="FootnoteReference1"/>
        </w:rPr>
        <w:footnoteRef/>
      </w:r>
      <w:r>
        <w:rPr>
          <w:rtl/>
        </w:rPr>
        <w:t xml:space="preserve"> </w:t>
      </w:r>
      <w:r>
        <w:rPr>
          <w:rtl/>
        </w:rPr>
        <w:tab/>
        <w:t>שער 5</w:t>
      </w:r>
      <w:r>
        <w:rPr>
          <w:rFonts w:hint="cs"/>
          <w:rtl/>
        </w:rPr>
        <w:t>,</w:t>
      </w:r>
      <w:r>
        <w:rPr>
          <w:rtl/>
        </w:rPr>
        <w:t xml:space="preserve"> חלק 4 - גילוי ודיווח</w:t>
      </w:r>
      <w:r>
        <w:rPr>
          <w:rFonts w:hint="cs"/>
          <w:rtl/>
        </w:rPr>
        <w:t xml:space="preserve">, </w:t>
      </w:r>
      <w:r>
        <w:rPr>
          <w:rtl/>
        </w:rPr>
        <w:t>פרק 1 - דין וחשבון לציבור</w:t>
      </w:r>
      <w:r>
        <w:rPr>
          <w:rFonts w:hint="cs"/>
          <w:rtl/>
        </w:rPr>
        <w:t>, סע' 6, עמ' 13.</w:t>
      </w:r>
    </w:p>
  </w:footnote>
  <w:footnote w:id="136">
    <w:p w:rsidR="00AC3D62" w:rsidP="00681586">
      <w:pPr>
        <w:pStyle w:val="FootnoteText"/>
      </w:pPr>
      <w:r>
        <w:rPr>
          <w:rStyle w:val="FootnoteReference1"/>
        </w:rPr>
        <w:footnoteRef/>
      </w:r>
      <w:r>
        <w:rPr>
          <w:rtl/>
        </w:rPr>
        <w:t xml:space="preserve"> </w:t>
      </w:r>
      <w:r>
        <w:rPr>
          <w:rtl/>
        </w:rPr>
        <w:tab/>
      </w:r>
      <w:r w:rsidRPr="00D8272C">
        <w:rPr>
          <w:rFonts w:hint="cs"/>
          <w:rtl/>
        </w:rPr>
        <w:t xml:space="preserve">ראו את השינויים שבוצעו בדוח הכספי של חברת הראל בעקבות שינוי המתווה </w:t>
      </w:r>
      <w:r>
        <w:rPr>
          <w:rFonts w:hint="cs"/>
          <w:rtl/>
        </w:rPr>
        <w:t>ו</w:t>
      </w:r>
      <w:r w:rsidRPr="00D8272C">
        <w:rPr>
          <w:rFonts w:hint="cs"/>
          <w:rtl/>
        </w:rPr>
        <w:t>לפיו קרן העתודה נושאת במלוא הסיכון הביטוחי, עמ' 58 ביאור (4)</w:t>
      </w:r>
      <w:r>
        <w:rPr>
          <w:rFonts w:hint="cs"/>
          <w:rtl/>
        </w:rPr>
        <w:t xml:space="preserve">. </w:t>
      </w:r>
    </w:p>
  </w:footnote>
  <w:footnote w:id="137">
    <w:p w:rsidR="00AC3D62" w:rsidP="00681586">
      <w:pPr>
        <w:pStyle w:val="FootnoteText"/>
        <w:rPr>
          <w:rtl/>
        </w:rPr>
      </w:pPr>
      <w:r>
        <w:rPr>
          <w:rStyle w:val="FootnoteReference1"/>
        </w:rPr>
        <w:footnoteRef/>
      </w:r>
      <w:r>
        <w:rPr>
          <w:rtl/>
        </w:rPr>
        <w:t xml:space="preserve"> </w:t>
      </w:r>
      <w:r>
        <w:rPr>
          <w:rtl/>
        </w:rPr>
        <w:tab/>
      </w:r>
      <w:r>
        <w:rPr>
          <w:rFonts w:hint="cs"/>
          <w:rtl/>
        </w:rPr>
        <w:t xml:space="preserve">מבקר המדינה, </w:t>
      </w:r>
      <w:r>
        <w:rPr>
          <w:rFonts w:hint="cs"/>
          <w:b/>
          <w:bCs/>
          <w:rtl/>
        </w:rPr>
        <w:t>דוח שנתי 61ב</w:t>
      </w:r>
      <w:r>
        <w:rPr>
          <w:rFonts w:hint="cs"/>
          <w:rtl/>
        </w:rPr>
        <w:t xml:space="preserve"> (2011), "הטיפול במחלוקות בין-משרדיות מתמשכות".</w:t>
      </w:r>
    </w:p>
  </w:footnote>
  <w:footnote w:id="138">
    <w:p w:rsidR="00AC3D62" w:rsidP="00681586">
      <w:pPr>
        <w:pStyle w:val="FootnoteText"/>
        <w:rPr>
          <w:rtl/>
        </w:rPr>
      </w:pPr>
      <w:r>
        <w:rPr>
          <w:rStyle w:val="FootnoteReference1"/>
        </w:rPr>
        <w:footnoteRef/>
      </w:r>
      <w:r>
        <w:rPr>
          <w:rtl/>
        </w:rPr>
        <w:t xml:space="preserve"> </w:t>
      </w:r>
      <w:r>
        <w:rPr>
          <w:rtl/>
        </w:rPr>
        <w:tab/>
      </w:r>
      <w:r>
        <w:rPr>
          <w:rFonts w:hint="cs"/>
          <w:rtl/>
        </w:rPr>
        <w:t xml:space="preserve">מחלוקות משפטיות אלו מוסדרות על ידי היועץ המשפטי לממשלה, אשר מכריע בדבר עמדת המדינה. ראו: מבקר המדינה, </w:t>
      </w:r>
      <w:r>
        <w:rPr>
          <w:rFonts w:hint="cs"/>
          <w:b/>
          <w:bCs/>
          <w:rtl/>
        </w:rPr>
        <w:t>דוח שנתי 61ב</w:t>
      </w:r>
      <w:r>
        <w:rPr>
          <w:rFonts w:hint="cs"/>
          <w:rtl/>
        </w:rPr>
        <w:t xml:space="preserve"> (2011), "הטיפול במחלוקות בין-משרדיות מתמשכות"</w:t>
      </w:r>
      <w:r w:rsidRPr="00DE4421">
        <w:rPr>
          <w:rtl/>
        </w:rPr>
        <w:t>.</w:t>
      </w:r>
    </w:p>
  </w:footnote>
  <w:footnote w:id="139">
    <w:p w:rsidR="00AC3D62" w:rsidP="00681586">
      <w:pPr>
        <w:pStyle w:val="FootnoteText"/>
      </w:pPr>
      <w:r>
        <w:rPr>
          <w:rStyle w:val="FootnoteReference1"/>
        </w:rPr>
        <w:footnoteRef/>
      </w:r>
      <w:r>
        <w:rPr>
          <w:rtl/>
        </w:rPr>
        <w:t xml:space="preserve"> </w:t>
      </w:r>
      <w:r>
        <w:rPr>
          <w:rtl/>
        </w:rPr>
        <w:tab/>
      </w:r>
      <w:r>
        <w:rPr>
          <w:rFonts w:hint="cs"/>
          <w:rtl/>
        </w:rPr>
        <w:t xml:space="preserve">ראו מבקר המדינה, </w:t>
      </w:r>
      <w:r>
        <w:rPr>
          <w:rFonts w:hint="cs"/>
          <w:b/>
          <w:bCs/>
          <w:rtl/>
        </w:rPr>
        <w:t>דוח שנתי 61ב</w:t>
      </w:r>
      <w:r>
        <w:rPr>
          <w:rFonts w:hint="cs"/>
          <w:rtl/>
        </w:rPr>
        <w:t xml:space="preserve"> (2011), "הטיפול במחלוקות בין-משרדיות מתמשכות".</w:t>
      </w:r>
    </w:p>
  </w:footnote>
  <w:footnote w:id="140">
    <w:p w:rsidR="00AC3D62" w:rsidP="00681586">
      <w:pPr>
        <w:pStyle w:val="FootnoteText"/>
        <w:rPr>
          <w:rtl/>
        </w:rPr>
      </w:pPr>
      <w:r>
        <w:rPr>
          <w:rStyle w:val="FootnoteReference1"/>
        </w:rPr>
        <w:footnoteRef/>
      </w:r>
      <w:r>
        <w:rPr>
          <w:rtl/>
        </w:rPr>
        <w:t xml:space="preserve"> </w:t>
      </w:r>
      <w:r>
        <w:rPr>
          <w:rtl/>
        </w:rPr>
        <w:tab/>
      </w:r>
      <w:r>
        <w:rPr>
          <w:rFonts w:hint="cs"/>
          <w:rtl/>
        </w:rPr>
        <w:t>מבטח</w:t>
      </w:r>
      <w:r>
        <w:rPr>
          <w:rtl/>
        </w:rPr>
        <w:t xml:space="preserve"> משנה (</w:t>
      </w:r>
      <w:r>
        <w:t>Reinsurer</w:t>
      </w:r>
      <w:r>
        <w:rPr>
          <w:rtl/>
        </w:rPr>
        <w:t>) הוא גוף ביטוחי המפקח על סיכון שנלקח על ידי חברת ביטוח ראשית</w:t>
      </w:r>
      <w:r>
        <w:rPr>
          <w:rFonts w:hint="cs"/>
          <w:rtl/>
        </w:rPr>
        <w:t>, קרי</w:t>
      </w:r>
      <w:r>
        <w:rPr>
          <w:rtl/>
        </w:rPr>
        <w:t xml:space="preserve"> מדובר בחברת ביטוח שמבצעת ביטוח של חברות ביטוח אחרות.</w:t>
      </w:r>
      <w:r>
        <w:rPr>
          <w:rFonts w:hint="cs"/>
          <w:rtl/>
        </w:rPr>
        <w:t xml:space="preserve"> </w:t>
      </w:r>
      <w:r>
        <w:rPr>
          <w:rtl/>
        </w:rPr>
        <w:t>ביטוח משנה מאפשר לחברת ביטוח להפחית את הסיכון שלה על ידי העברת חלק מהסיכון שלה לחברת ביטוח אחרת (המבטח המשני). לדוגמה, אם חברת ביטוח מוכרת פוליסת ביטוח שכוללת כיסוי סיכונים גבוהים, היא יכולה להעביר חלק מהסיכון למבטח משנה, כך שבמקרה של תביעה גדולה, המבטח המשני יישא בחלק מההפסדים.</w:t>
      </w:r>
    </w:p>
  </w:footnote>
  <w:footnote w:id="141">
    <w:p w:rsidR="00AC3D62" w:rsidP="00681586">
      <w:pPr>
        <w:pStyle w:val="FootnoteText"/>
      </w:pPr>
      <w:r>
        <w:rPr>
          <w:rStyle w:val="FootnoteReference1"/>
        </w:rPr>
        <w:footnoteRef/>
      </w:r>
      <w:r>
        <w:rPr>
          <w:rtl/>
        </w:rPr>
        <w:t xml:space="preserve"> </w:t>
      </w:r>
      <w:r>
        <w:rPr>
          <w:rtl/>
        </w:rPr>
        <w:tab/>
      </w:r>
      <w:r>
        <w:rPr>
          <w:rFonts w:hint="cs"/>
          <w:rtl/>
        </w:rPr>
        <w:t xml:space="preserve">מבקר המדינה, </w:t>
      </w:r>
      <w:r w:rsidRPr="00803694">
        <w:rPr>
          <w:rFonts w:hint="eastAsia"/>
          <w:b/>
          <w:bCs/>
          <w:rtl/>
        </w:rPr>
        <w:t>טיפול</w:t>
      </w:r>
      <w:r w:rsidRPr="00803694">
        <w:rPr>
          <w:b/>
          <w:bCs/>
          <w:rtl/>
        </w:rPr>
        <w:t xml:space="preserve"> </w:t>
      </w:r>
      <w:r w:rsidRPr="00803694">
        <w:rPr>
          <w:rFonts w:hint="eastAsia"/>
          <w:b/>
          <w:bCs/>
          <w:rtl/>
        </w:rPr>
        <w:t>המדינה</w:t>
      </w:r>
      <w:r w:rsidRPr="00803694">
        <w:rPr>
          <w:b/>
          <w:bCs/>
          <w:rtl/>
        </w:rPr>
        <w:t xml:space="preserve"> </w:t>
      </w:r>
      <w:r w:rsidRPr="00803694">
        <w:rPr>
          <w:rFonts w:hint="eastAsia"/>
          <w:b/>
          <w:bCs/>
          <w:rtl/>
        </w:rPr>
        <w:t>בקשישים</w:t>
      </w:r>
      <w:r w:rsidRPr="00803694">
        <w:rPr>
          <w:b/>
          <w:bCs/>
          <w:rtl/>
        </w:rPr>
        <w:t xml:space="preserve"> </w:t>
      </w:r>
      <w:r w:rsidRPr="00803694">
        <w:rPr>
          <w:rFonts w:hint="eastAsia"/>
          <w:b/>
          <w:bCs/>
          <w:rtl/>
        </w:rPr>
        <w:t>סיעודיים</w:t>
      </w:r>
      <w:r w:rsidRPr="00803694">
        <w:rPr>
          <w:b/>
          <w:bCs/>
          <w:rtl/>
        </w:rPr>
        <w:t xml:space="preserve"> </w:t>
      </w:r>
      <w:r w:rsidRPr="00803694">
        <w:rPr>
          <w:rFonts w:hint="eastAsia"/>
          <w:b/>
          <w:bCs/>
          <w:rtl/>
        </w:rPr>
        <w:t>השוהים</w:t>
      </w:r>
      <w:r w:rsidRPr="00803694">
        <w:rPr>
          <w:b/>
          <w:bCs/>
          <w:rtl/>
        </w:rPr>
        <w:t xml:space="preserve"> </w:t>
      </w:r>
      <w:r w:rsidRPr="00803694">
        <w:rPr>
          <w:rFonts w:hint="eastAsia"/>
          <w:b/>
          <w:bCs/>
          <w:rtl/>
        </w:rPr>
        <w:t>בביתם</w:t>
      </w:r>
      <w:r w:rsidRPr="00803694">
        <w:rPr>
          <w:b/>
          <w:bCs/>
          <w:rtl/>
        </w:rPr>
        <w:t xml:space="preserve">, </w:t>
      </w:r>
      <w:r w:rsidRPr="00803694">
        <w:rPr>
          <w:rFonts w:hint="eastAsia"/>
          <w:b/>
          <w:bCs/>
          <w:rtl/>
        </w:rPr>
        <w:t>דוח</w:t>
      </w:r>
      <w:r w:rsidRPr="00803694">
        <w:rPr>
          <w:b/>
          <w:bCs/>
          <w:rtl/>
        </w:rPr>
        <w:t xml:space="preserve"> </w:t>
      </w:r>
      <w:r w:rsidRPr="00803694">
        <w:rPr>
          <w:rFonts w:hint="eastAsia"/>
          <w:b/>
          <w:bCs/>
          <w:rtl/>
        </w:rPr>
        <w:t>ביקורת</w:t>
      </w:r>
      <w:r w:rsidRPr="00803694">
        <w:rPr>
          <w:b/>
          <w:bCs/>
          <w:rtl/>
        </w:rPr>
        <w:t xml:space="preserve"> </w:t>
      </w:r>
      <w:r w:rsidRPr="00803694">
        <w:rPr>
          <w:rFonts w:hint="eastAsia"/>
          <w:b/>
          <w:bCs/>
          <w:rtl/>
        </w:rPr>
        <w:t>מיוחד</w:t>
      </w:r>
      <w:r>
        <w:rPr>
          <w:rFonts w:hint="cs"/>
          <w:rtl/>
        </w:rPr>
        <w:t xml:space="preserve"> (2017). מבקר המדינה, </w:t>
      </w:r>
      <w:r w:rsidRPr="00781E1D">
        <w:rPr>
          <w:b/>
          <w:bCs/>
          <w:rtl/>
        </w:rPr>
        <w:t>טיפול המדינה בקשישים סיעודיים השוהים בביתם</w:t>
      </w:r>
      <w:r w:rsidRPr="00781E1D">
        <w:rPr>
          <w:rFonts w:hint="cs"/>
          <w:b/>
          <w:bCs/>
          <w:rtl/>
        </w:rPr>
        <w:t>, דוח מעקב</w:t>
      </w:r>
      <w:r>
        <w:rPr>
          <w:rFonts w:hint="cs"/>
          <w:rtl/>
        </w:rPr>
        <w:t xml:space="preserve">, (2022). </w:t>
      </w:r>
    </w:p>
  </w:footnote>
  <w:footnote w:id="142">
    <w:p w:rsidR="00AC3D62" w:rsidP="00681586">
      <w:pPr>
        <w:pStyle w:val="FootnoteText"/>
      </w:pPr>
      <w:r>
        <w:rPr>
          <w:rStyle w:val="FootnoteReference1"/>
        </w:rPr>
        <w:footnoteRef/>
      </w:r>
      <w:r>
        <w:rPr>
          <w:rtl/>
        </w:rPr>
        <w:t xml:space="preserve"> </w:t>
      </w:r>
      <w:r>
        <w:rPr>
          <w:rtl/>
        </w:rPr>
        <w:tab/>
      </w:r>
      <w:r>
        <w:rPr>
          <w:rFonts w:hint="cs"/>
          <w:rtl/>
        </w:rPr>
        <w:t>חוק הביטוח הלאומי [נוסח משולב] התשנ"ה-1995, פרק י', סעיף 230(ב).</w:t>
      </w:r>
    </w:p>
  </w:footnote>
  <w:footnote w:id="143">
    <w:p w:rsidR="00AC3D62" w:rsidP="00681586">
      <w:pPr>
        <w:pStyle w:val="FootnoteText"/>
      </w:pPr>
      <w:r>
        <w:rPr>
          <w:rStyle w:val="FootnoteReference1"/>
        </w:rPr>
        <w:footnoteRef/>
      </w:r>
      <w:r>
        <w:rPr>
          <w:rtl/>
        </w:rPr>
        <w:t xml:space="preserve"> </w:t>
      </w:r>
      <w:r>
        <w:rPr>
          <w:rtl/>
        </w:rPr>
        <w:tab/>
      </w:r>
      <w:r>
        <w:rPr>
          <w:rFonts w:hint="cs"/>
          <w:rtl/>
        </w:rPr>
        <w:t xml:space="preserve">בהתאם לפרק י' בחוק בט"ל, בט"ל מעביר את התשלום בגין מתן שירותי סיעוד בין היתר ישירות לנותן השירותים. נותן השירותים הוא חברה אשר זכתה במכרז להתקשרות עם בט"ל וחתמה עימו הסכם בנידון. </w:t>
      </w:r>
    </w:p>
  </w:footnote>
  <w:footnote w:id="144">
    <w:p w:rsidR="00AC3D62" w:rsidP="00681586">
      <w:pPr>
        <w:pStyle w:val="FootnoteText"/>
      </w:pPr>
      <w:r>
        <w:rPr>
          <w:rStyle w:val="FootnoteReference1"/>
        </w:rPr>
        <w:footnoteRef/>
      </w:r>
      <w:r>
        <w:rPr>
          <w:rtl/>
        </w:rPr>
        <w:t xml:space="preserve"> </w:t>
      </w:r>
      <w:r>
        <w:rPr>
          <w:rtl/>
        </w:rPr>
        <w:tab/>
      </w:r>
      <w:r>
        <w:rPr>
          <w:rFonts w:hint="cs"/>
          <w:rtl/>
        </w:rPr>
        <w:t>במידה והזכאי</w:t>
      </w:r>
      <w:r w:rsidRPr="006B19A1">
        <w:rPr>
          <w:rtl/>
        </w:rPr>
        <w:t xml:space="preserve"> אינו מעסיק מטפל זר. </w:t>
      </w:r>
      <w:r>
        <w:rPr>
          <w:rFonts w:hint="cs"/>
          <w:rtl/>
        </w:rPr>
        <w:t>זכאים שמעסיקים מטפל זר</w:t>
      </w:r>
      <w:r w:rsidRPr="006B19A1">
        <w:rPr>
          <w:rtl/>
        </w:rPr>
        <w:t xml:space="preserve"> זכאים ל-26 שעות שבועיות.</w:t>
      </w:r>
    </w:p>
  </w:footnote>
  <w:footnote w:id="145">
    <w:p w:rsidR="00AC3D62" w:rsidP="00681586">
      <w:pPr>
        <w:pStyle w:val="FootnoteText"/>
      </w:pPr>
      <w:r>
        <w:rPr>
          <w:rStyle w:val="FootnoteReference1"/>
        </w:rPr>
        <w:footnoteRef/>
      </w:r>
      <w:r>
        <w:rPr>
          <w:rtl/>
        </w:rPr>
        <w:t xml:space="preserve"> </w:t>
      </w:r>
      <w:r>
        <w:rPr>
          <w:rtl/>
        </w:rPr>
        <w:tab/>
      </w:r>
      <w:r>
        <w:rPr>
          <w:rFonts w:hint="cs"/>
          <w:rtl/>
        </w:rPr>
        <w:t xml:space="preserve">ביטוח לאומי, </w:t>
      </w:r>
      <w:r w:rsidRPr="00781E1D">
        <w:rPr>
          <w:rFonts w:hint="cs"/>
          <w:b/>
          <w:bCs/>
          <w:rtl/>
        </w:rPr>
        <w:t>אגרת 422ב</w:t>
      </w:r>
      <w:r>
        <w:rPr>
          <w:rFonts w:hint="cs"/>
          <w:b/>
          <w:bCs/>
          <w:rtl/>
        </w:rPr>
        <w:t xml:space="preserve">, מערכת דיווח נוכחות - הסכם גישור, </w:t>
      </w:r>
      <w:r>
        <w:rPr>
          <w:rFonts w:hint="cs"/>
          <w:rtl/>
        </w:rPr>
        <w:t>(2020)</w:t>
      </w:r>
      <w:r w:rsidRPr="00781E1D">
        <w:rPr>
          <w:rFonts w:hint="cs"/>
          <w:b/>
          <w:bCs/>
          <w:rtl/>
        </w:rPr>
        <w:t>.</w:t>
      </w:r>
    </w:p>
  </w:footnote>
  <w:footnote w:id="146">
    <w:p w:rsidR="00AC3D62" w:rsidP="00681586">
      <w:pPr>
        <w:pStyle w:val="FootnoteText"/>
      </w:pPr>
      <w:r>
        <w:rPr>
          <w:rStyle w:val="FootnoteReference1"/>
        </w:rPr>
        <w:footnoteRef/>
      </w:r>
      <w:r>
        <w:rPr>
          <w:rtl/>
        </w:rPr>
        <w:t xml:space="preserve"> </w:t>
      </w:r>
      <w:r>
        <w:rPr>
          <w:rtl/>
        </w:rPr>
        <w:tab/>
      </w:r>
      <w:r>
        <w:rPr>
          <w:rFonts w:hint="cs"/>
          <w:rtl/>
        </w:rPr>
        <w:t>לגמלת שירותים מיוחדים ז</w:t>
      </w:r>
      <w:r w:rsidRPr="00C92676">
        <w:rPr>
          <w:rtl/>
        </w:rPr>
        <w:t xml:space="preserve">כאים גברים ונשים עד גיל פרישה </w:t>
      </w:r>
      <w:r>
        <w:rPr>
          <w:rFonts w:hint="cs"/>
          <w:rtl/>
        </w:rPr>
        <w:t>ש</w:t>
      </w:r>
      <w:r w:rsidRPr="00C92676">
        <w:rPr>
          <w:rtl/>
        </w:rPr>
        <w:t>זקוקים לעזרה רבה של אדם אחר בפעולות היום-יום (לבישה, אכילה, רחצה, ניידות בבית ושליטה על הפרשות), או שהם זקוקים להשגחה מתמדת למניעת סכנת חיים לעצמם או לאחרים.</w:t>
      </w:r>
    </w:p>
  </w:footnote>
  <w:footnote w:id="147">
    <w:p w:rsidR="00AC3D62" w:rsidP="00681586">
      <w:pPr>
        <w:pStyle w:val="FootnoteText"/>
      </w:pPr>
      <w:r>
        <w:rPr>
          <w:rStyle w:val="FootnoteReference1"/>
        </w:rPr>
        <w:footnoteRef/>
      </w:r>
      <w:r>
        <w:rPr>
          <w:rtl/>
        </w:rPr>
        <w:t xml:space="preserve"> </w:t>
      </w:r>
      <w:r>
        <w:rPr>
          <w:rtl/>
        </w:rPr>
        <w:tab/>
      </w:r>
      <w:r>
        <w:rPr>
          <w:rFonts w:hint="cs"/>
          <w:rtl/>
        </w:rPr>
        <w:t xml:space="preserve">כאשר שעות הטיפול של אותו קשיש נחלקות בין בן משפחה למטפל שאינו בן משפחה, מובא בחשבון רק בן המשפחה. </w:t>
      </w:r>
    </w:p>
  </w:footnote>
  <w:footnote w:id="148">
    <w:p w:rsidR="00AC3D62" w:rsidP="00681586">
      <w:pPr>
        <w:pStyle w:val="FootnoteText"/>
      </w:pPr>
      <w:r>
        <w:rPr>
          <w:rStyle w:val="FootnoteReference1"/>
        </w:rPr>
        <w:footnoteRef/>
      </w:r>
      <w:r>
        <w:rPr>
          <w:rtl/>
        </w:rPr>
        <w:t xml:space="preserve"> </w:t>
      </w:r>
      <w:r>
        <w:rPr>
          <w:rtl/>
        </w:rPr>
        <w:tab/>
      </w:r>
      <w:r>
        <w:rPr>
          <w:rFonts w:hint="cs"/>
          <w:rtl/>
        </w:rPr>
        <w:t>בקטגוריה של בן מצויים גם בת, בן זוג של הבן, בן זוג של הבת ובת זוג של הבן של בן הזוג. בקטגוריה של נכד מצויים גם נכדה, בן/בת זוג של הנכד/ה.</w:t>
      </w:r>
    </w:p>
  </w:footnote>
  <w:footnote w:id="149">
    <w:p w:rsidR="00AC3D62" w:rsidP="00681586">
      <w:pPr>
        <w:pStyle w:val="FootnoteText"/>
      </w:pPr>
      <w:r>
        <w:rPr>
          <w:rStyle w:val="FootnoteReference1"/>
        </w:rPr>
        <w:footnoteRef/>
      </w:r>
      <w:r>
        <w:rPr>
          <w:rtl/>
        </w:rPr>
        <w:t xml:space="preserve"> </w:t>
      </w:r>
      <w:r>
        <w:rPr>
          <w:rtl/>
        </w:rPr>
        <w:tab/>
      </w:r>
      <w:r>
        <w:rPr>
          <w:rFonts w:hint="cs"/>
          <w:rtl/>
        </w:rPr>
        <w:t xml:space="preserve">מטפל שמתגורר בבית הקשיש הסיעודי בכל שעות היממה ואינו בעל אזרחות ישראלית. </w:t>
      </w:r>
    </w:p>
  </w:footnote>
  <w:footnote w:id="150">
    <w:p w:rsidR="00AC3D62" w:rsidP="00681586">
      <w:pPr>
        <w:pStyle w:val="FootnoteText"/>
      </w:pPr>
      <w:r>
        <w:rPr>
          <w:rStyle w:val="FootnoteReference1"/>
        </w:rPr>
        <w:footnoteRef/>
      </w:r>
      <w:r>
        <w:rPr>
          <w:rtl/>
        </w:rPr>
        <w:t xml:space="preserve"> </w:t>
      </w:r>
      <w:r>
        <w:rPr>
          <w:rtl/>
        </w:rPr>
        <w:tab/>
      </w:r>
      <w:r w:rsidRPr="005221ED">
        <w:rPr>
          <w:rtl/>
        </w:rPr>
        <w:t xml:space="preserve">בג"ץ 8877/15 </w:t>
      </w:r>
      <w:r w:rsidRPr="00811C56">
        <w:rPr>
          <w:b/>
          <w:bCs/>
          <w:rtl/>
        </w:rPr>
        <w:t>אוסמה ג'אזי ח'טיב נ' שר הרווחה והשירותים החברתיים</w:t>
      </w:r>
      <w:r w:rsidRPr="005221ED">
        <w:rPr>
          <w:rtl/>
        </w:rPr>
        <w:t xml:space="preserve"> (2016, דצמבר 21). בית המשפט העליון</w:t>
      </w:r>
      <w:r>
        <w:rPr>
          <w:rFonts w:hint="cs"/>
          <w:rtl/>
        </w:rPr>
        <w:t>.</w:t>
      </w:r>
    </w:p>
  </w:footnote>
  <w:footnote w:id="151">
    <w:p w:rsidR="00AC3D62" w:rsidP="00681586">
      <w:pPr>
        <w:pStyle w:val="FootnoteText"/>
      </w:pPr>
      <w:r>
        <w:rPr>
          <w:rStyle w:val="FootnoteReference1"/>
        </w:rPr>
        <w:footnoteRef/>
      </w:r>
      <w:r>
        <w:rPr>
          <w:rtl/>
        </w:rPr>
        <w:t xml:space="preserve"> </w:t>
      </w:r>
      <w:r>
        <w:rPr>
          <w:rtl/>
        </w:rPr>
        <w:tab/>
      </w:r>
      <w:r>
        <w:rPr>
          <w:rFonts w:hint="cs"/>
          <w:rtl/>
        </w:rPr>
        <w:t>הורה, בן זוג, אח או אחות, בן, בת, וכן בני זוגם וילדו של כל אחד מאלה.</w:t>
      </w:r>
    </w:p>
  </w:footnote>
  <w:footnote w:id="152">
    <w:p w:rsidR="00AC3D62" w:rsidP="00681586">
      <w:pPr>
        <w:pStyle w:val="FootnoteText"/>
      </w:pPr>
      <w:r>
        <w:rPr>
          <w:rStyle w:val="FootnoteReference1"/>
        </w:rPr>
        <w:footnoteRef/>
      </w:r>
      <w:r>
        <w:rPr>
          <w:rtl/>
        </w:rPr>
        <w:t xml:space="preserve"> </w:t>
      </w:r>
      <w:r>
        <w:rPr>
          <w:rtl/>
        </w:rPr>
        <w:tab/>
      </w:r>
      <w:r w:rsidRPr="005221ED">
        <w:rPr>
          <w:rtl/>
        </w:rPr>
        <w:t xml:space="preserve">בג"ץ 8877/15 </w:t>
      </w:r>
      <w:r w:rsidRPr="00811C56">
        <w:rPr>
          <w:b/>
          <w:bCs/>
          <w:rtl/>
        </w:rPr>
        <w:t>אוסמה ג'אזי ח'טיב נ' שר הרווחה והשירותים החברתיים</w:t>
      </w:r>
      <w:r w:rsidRPr="005221ED">
        <w:rPr>
          <w:rtl/>
        </w:rPr>
        <w:t xml:space="preserve"> (2016, דצמבר 21). בית המשפט העליון</w:t>
      </w:r>
      <w:r>
        <w:rPr>
          <w:rFonts w:hint="cs"/>
          <w:rtl/>
        </w:rPr>
        <w:t>.</w:t>
      </w:r>
    </w:p>
  </w:footnote>
  <w:footnote w:id="153">
    <w:p w:rsidR="00AC3D62" w:rsidP="00681586">
      <w:pPr>
        <w:pStyle w:val="FootnoteText"/>
      </w:pPr>
      <w:r>
        <w:rPr>
          <w:rStyle w:val="FootnoteReference1"/>
        </w:rPr>
        <w:footnoteRef/>
      </w:r>
      <w:r>
        <w:rPr>
          <w:rtl/>
        </w:rPr>
        <w:t xml:space="preserve"> </w:t>
      </w:r>
      <w:r>
        <w:rPr>
          <w:rtl/>
        </w:rPr>
        <w:tab/>
      </w:r>
      <w:r>
        <w:rPr>
          <w:rFonts w:hint="cs"/>
          <w:rtl/>
        </w:rPr>
        <w:t>ביטוח לאומי, "</w:t>
      </w:r>
      <w:r w:rsidRPr="00781E1D">
        <w:rPr>
          <w:rFonts w:hint="cs"/>
          <w:b/>
          <w:bCs/>
          <w:rtl/>
        </w:rPr>
        <w:t>איגרת 364 אישורים להעסקת בן משפחה מטפל</w:t>
      </w:r>
      <w:r>
        <w:rPr>
          <w:rFonts w:hint="cs"/>
          <w:rtl/>
        </w:rPr>
        <w:t xml:space="preserve">" (22.4.18). כמו כן ההסכם שנחתם עם חברות הסיעוד כלל את האפשרות של בט"ל להכניס מערכת נוכחות ממוכנת. למידע נוסף ראו </w:t>
      </w:r>
      <w:r w:rsidRPr="005221ED">
        <w:rPr>
          <w:rtl/>
        </w:rPr>
        <w:t xml:space="preserve">בג"ץ 8877/15 </w:t>
      </w:r>
      <w:r w:rsidRPr="00803694">
        <w:rPr>
          <w:b/>
          <w:bCs/>
          <w:rtl/>
        </w:rPr>
        <w:t>אוסמה ג'אזי ח'טיב נ' שר הרווחה והשירותים החברתיים</w:t>
      </w:r>
      <w:r w:rsidRPr="005221ED">
        <w:rPr>
          <w:rtl/>
        </w:rPr>
        <w:t xml:space="preserve"> (2016, דצמבר 21). בית המשפט העליון</w:t>
      </w:r>
      <w:r>
        <w:rPr>
          <w:rFonts w:hint="cs"/>
          <w:rtl/>
        </w:rPr>
        <w:t xml:space="preserve">. </w:t>
      </w:r>
    </w:p>
  </w:footnote>
  <w:footnote w:id="154">
    <w:p w:rsidR="00AC3D62" w:rsidP="00681586">
      <w:pPr>
        <w:pStyle w:val="FootnoteText"/>
      </w:pPr>
      <w:r>
        <w:rPr>
          <w:rStyle w:val="FootnoteReference1"/>
        </w:rPr>
        <w:footnoteRef/>
      </w:r>
      <w:r>
        <w:rPr>
          <w:rtl/>
        </w:rPr>
        <w:t xml:space="preserve"> </w:t>
      </w:r>
      <w:r>
        <w:rPr>
          <w:rtl/>
        </w:rPr>
        <w:tab/>
      </w:r>
      <w:r>
        <w:rPr>
          <w:rFonts w:hint="cs"/>
          <w:rtl/>
        </w:rPr>
        <w:t>ביטוח לאומי, "</w:t>
      </w:r>
      <w:r w:rsidRPr="00546FE2">
        <w:rPr>
          <w:rFonts w:hint="cs"/>
          <w:b/>
          <w:bCs/>
          <w:rtl/>
        </w:rPr>
        <w:t>איגרת 413 - בני משפחה מטפלים</w:t>
      </w:r>
      <w:r>
        <w:rPr>
          <w:rFonts w:hint="cs"/>
          <w:rtl/>
        </w:rPr>
        <w:t xml:space="preserve">" (25.2.20). הנוהל המדובר </w:t>
      </w:r>
      <w:r w:rsidRPr="00803694">
        <w:rPr>
          <w:rFonts w:hint="eastAsia"/>
          <w:rtl/>
        </w:rPr>
        <w:t>באגר</w:t>
      </w:r>
      <w:r w:rsidRPr="00803694">
        <w:rPr>
          <w:rFonts w:hint="cs"/>
          <w:rtl/>
        </w:rPr>
        <w:t>ת</w:t>
      </w:r>
      <w:r>
        <w:rPr>
          <w:rFonts w:hint="cs"/>
          <w:rtl/>
        </w:rPr>
        <w:t xml:space="preserve"> היה הנוהל הקודם המאפשר העסקת בני משפחה מטפלים במקומות שבהם חל הפיילוט על דיווח נוכחות ממוכן. ראו ביטוח לאומי, "</w:t>
      </w:r>
      <w:r w:rsidRPr="00546FE2">
        <w:rPr>
          <w:rFonts w:hint="cs"/>
          <w:b/>
          <w:bCs/>
          <w:rtl/>
        </w:rPr>
        <w:t>אישור להעסיק בני משפחה בטיפול בזכאים לגמלת סיעוד</w:t>
      </w:r>
      <w:r>
        <w:rPr>
          <w:rFonts w:hint="cs"/>
          <w:rtl/>
        </w:rPr>
        <w:t>" (1.8.18).</w:t>
      </w:r>
    </w:p>
  </w:footnote>
  <w:footnote w:id="155">
    <w:p w:rsidR="00AC3D62" w:rsidP="00681586">
      <w:pPr>
        <w:pStyle w:val="FootnoteText"/>
      </w:pPr>
      <w:r>
        <w:rPr>
          <w:rStyle w:val="FootnoteReference1"/>
        </w:rPr>
        <w:footnoteRef/>
      </w:r>
      <w:r>
        <w:rPr>
          <w:rtl/>
        </w:rPr>
        <w:t xml:space="preserve"> </w:t>
      </w:r>
      <w:r>
        <w:rPr>
          <w:rtl/>
        </w:rPr>
        <w:tab/>
      </w:r>
      <w:r>
        <w:rPr>
          <w:rFonts w:hint="cs"/>
          <w:rtl/>
        </w:rPr>
        <w:t>ביטוח לאומי, "</w:t>
      </w:r>
      <w:r w:rsidRPr="00546FE2">
        <w:rPr>
          <w:rFonts w:hint="cs"/>
          <w:b/>
          <w:bCs/>
          <w:rtl/>
        </w:rPr>
        <w:t>אגרת 413</w:t>
      </w:r>
      <w:r>
        <w:rPr>
          <w:rFonts w:hint="cs"/>
          <w:b/>
          <w:bCs/>
          <w:rtl/>
        </w:rPr>
        <w:t xml:space="preserve"> </w:t>
      </w:r>
      <w:r w:rsidRPr="00546FE2">
        <w:rPr>
          <w:rFonts w:hint="cs"/>
          <w:b/>
          <w:bCs/>
          <w:rtl/>
        </w:rPr>
        <w:t>-</w:t>
      </w:r>
      <w:r>
        <w:rPr>
          <w:rFonts w:hint="cs"/>
          <w:b/>
          <w:bCs/>
          <w:rtl/>
        </w:rPr>
        <w:t xml:space="preserve"> </w:t>
      </w:r>
      <w:r w:rsidRPr="00546FE2">
        <w:rPr>
          <w:rFonts w:hint="cs"/>
          <w:b/>
          <w:bCs/>
          <w:rtl/>
        </w:rPr>
        <w:t>בני משפחה מטפלים</w:t>
      </w:r>
      <w:r>
        <w:rPr>
          <w:rFonts w:hint="cs"/>
          <w:b/>
          <w:bCs/>
          <w:rtl/>
        </w:rPr>
        <w:t>"</w:t>
      </w:r>
      <w:r>
        <w:rPr>
          <w:rFonts w:hint="cs"/>
          <w:rtl/>
        </w:rPr>
        <w:t xml:space="preserve"> (25.2.20).</w:t>
      </w:r>
    </w:p>
  </w:footnote>
  <w:footnote w:id="156">
    <w:p w:rsidR="00AC3D62" w:rsidP="00681586">
      <w:pPr>
        <w:pStyle w:val="FootnoteText"/>
      </w:pPr>
      <w:r>
        <w:rPr>
          <w:rStyle w:val="FootnoteReference1"/>
        </w:rPr>
        <w:footnoteRef/>
      </w:r>
      <w:r>
        <w:rPr>
          <w:rtl/>
        </w:rPr>
        <w:t xml:space="preserve"> </w:t>
      </w:r>
      <w:r>
        <w:rPr>
          <w:rtl/>
        </w:rPr>
        <w:tab/>
      </w:r>
      <w:r>
        <w:rPr>
          <w:rFonts w:hint="cs"/>
          <w:rtl/>
        </w:rPr>
        <w:t>ביטוח לאומי, "</w:t>
      </w:r>
      <w:r w:rsidRPr="00546FE2">
        <w:rPr>
          <w:rFonts w:hint="cs"/>
          <w:b/>
          <w:bCs/>
          <w:rtl/>
        </w:rPr>
        <w:t>איגרת 364 - אישורים להעסקת בן משפחה מטפל</w:t>
      </w:r>
      <w:r>
        <w:rPr>
          <w:rFonts w:hint="cs"/>
          <w:rtl/>
        </w:rPr>
        <w:t>" (22.4.18).</w:t>
      </w:r>
    </w:p>
  </w:footnote>
  <w:footnote w:id="157">
    <w:p w:rsidR="00AC3D62" w:rsidP="00681586">
      <w:pPr>
        <w:pStyle w:val="FootnoteText"/>
      </w:pPr>
      <w:r>
        <w:rPr>
          <w:rStyle w:val="FootnoteReference1"/>
        </w:rPr>
        <w:footnoteRef/>
      </w:r>
      <w:r>
        <w:rPr>
          <w:rtl/>
        </w:rPr>
        <w:t xml:space="preserve"> </w:t>
      </w:r>
      <w:r>
        <w:rPr>
          <w:rtl/>
        </w:rPr>
        <w:tab/>
      </w:r>
      <w:r w:rsidRPr="004109E8">
        <w:rPr>
          <w:rtl/>
        </w:rPr>
        <w:t>במסגרת הליך גישור משפטי בין חברות הסיעוד לבט"ל</w:t>
      </w:r>
      <w:r>
        <w:rPr>
          <w:rFonts w:hint="cs"/>
          <w:rtl/>
        </w:rPr>
        <w:t xml:space="preserve">, ביטוח לאומי, </w:t>
      </w:r>
      <w:r w:rsidRPr="00781E1D">
        <w:rPr>
          <w:rFonts w:hint="cs"/>
          <w:b/>
          <w:bCs/>
          <w:rtl/>
        </w:rPr>
        <w:t>אגרת 422</w:t>
      </w:r>
      <w:r>
        <w:rPr>
          <w:rFonts w:hint="cs"/>
          <w:b/>
          <w:bCs/>
          <w:rtl/>
        </w:rPr>
        <w:t xml:space="preserve">, מערכת דיווח נוכחות - הסכם גישור, </w:t>
      </w:r>
      <w:r>
        <w:rPr>
          <w:rFonts w:hint="cs"/>
          <w:rtl/>
        </w:rPr>
        <w:t>(2020)</w:t>
      </w:r>
      <w:r w:rsidRPr="00781E1D">
        <w:rPr>
          <w:rFonts w:hint="cs"/>
          <w:b/>
          <w:bCs/>
          <w:rtl/>
        </w:rPr>
        <w:t>.</w:t>
      </w:r>
    </w:p>
  </w:footnote>
  <w:footnote w:id="158">
    <w:p w:rsidR="00AC3D62" w:rsidP="00681586">
      <w:pPr>
        <w:pStyle w:val="FootnoteText"/>
      </w:pPr>
      <w:r>
        <w:rPr>
          <w:rStyle w:val="FootnoteReference1"/>
        </w:rPr>
        <w:footnoteRef/>
      </w:r>
      <w:r>
        <w:rPr>
          <w:rtl/>
        </w:rPr>
        <w:t xml:space="preserve"> </w:t>
      </w:r>
      <w:r>
        <w:rPr>
          <w:rtl/>
        </w:rPr>
        <w:tab/>
      </w:r>
      <w:r>
        <w:rPr>
          <w:rFonts w:hint="cs"/>
          <w:rtl/>
        </w:rPr>
        <w:t xml:space="preserve">ראו עוד בעניין זה מבקר המדינה, </w:t>
      </w:r>
      <w:r w:rsidRPr="00803694">
        <w:rPr>
          <w:rFonts w:hint="eastAsia"/>
          <w:b/>
          <w:bCs/>
          <w:rtl/>
        </w:rPr>
        <w:t>טיפול</w:t>
      </w:r>
      <w:r w:rsidRPr="00803694">
        <w:rPr>
          <w:b/>
          <w:bCs/>
          <w:rtl/>
        </w:rPr>
        <w:t xml:space="preserve"> </w:t>
      </w:r>
      <w:r w:rsidRPr="00803694">
        <w:rPr>
          <w:rFonts w:hint="eastAsia"/>
          <w:b/>
          <w:bCs/>
          <w:rtl/>
        </w:rPr>
        <w:t>המדינה</w:t>
      </w:r>
      <w:r w:rsidRPr="00803694">
        <w:rPr>
          <w:b/>
          <w:bCs/>
          <w:rtl/>
        </w:rPr>
        <w:t xml:space="preserve"> </w:t>
      </w:r>
      <w:r w:rsidRPr="00803694">
        <w:rPr>
          <w:rFonts w:hint="eastAsia"/>
          <w:b/>
          <w:bCs/>
          <w:rtl/>
        </w:rPr>
        <w:t>בקשישים</w:t>
      </w:r>
      <w:r w:rsidRPr="00803694">
        <w:rPr>
          <w:b/>
          <w:bCs/>
          <w:rtl/>
        </w:rPr>
        <w:t xml:space="preserve"> </w:t>
      </w:r>
      <w:r w:rsidRPr="00803694">
        <w:rPr>
          <w:rFonts w:hint="eastAsia"/>
          <w:b/>
          <w:bCs/>
          <w:rtl/>
        </w:rPr>
        <w:t>סיעודיים</w:t>
      </w:r>
      <w:r w:rsidRPr="00803694">
        <w:rPr>
          <w:b/>
          <w:bCs/>
          <w:rtl/>
        </w:rPr>
        <w:t xml:space="preserve"> </w:t>
      </w:r>
      <w:r w:rsidRPr="00803694">
        <w:rPr>
          <w:rFonts w:hint="eastAsia"/>
          <w:b/>
          <w:bCs/>
          <w:rtl/>
        </w:rPr>
        <w:t>השוהים</w:t>
      </w:r>
      <w:r w:rsidRPr="00803694">
        <w:rPr>
          <w:b/>
          <w:bCs/>
          <w:rtl/>
        </w:rPr>
        <w:t xml:space="preserve"> </w:t>
      </w:r>
      <w:r w:rsidRPr="00803694">
        <w:rPr>
          <w:rFonts w:hint="eastAsia"/>
          <w:b/>
          <w:bCs/>
          <w:rtl/>
        </w:rPr>
        <w:t>בביתם</w:t>
      </w:r>
      <w:r w:rsidRPr="00803694">
        <w:rPr>
          <w:b/>
          <w:bCs/>
          <w:rtl/>
        </w:rPr>
        <w:t xml:space="preserve">, </w:t>
      </w:r>
      <w:r w:rsidRPr="00803694">
        <w:rPr>
          <w:rFonts w:hint="eastAsia"/>
          <w:b/>
          <w:bCs/>
          <w:rtl/>
        </w:rPr>
        <w:t>דוח</w:t>
      </w:r>
      <w:r w:rsidRPr="00803694">
        <w:rPr>
          <w:b/>
          <w:bCs/>
          <w:rtl/>
        </w:rPr>
        <w:t xml:space="preserve"> </w:t>
      </w:r>
      <w:r w:rsidRPr="00803694">
        <w:rPr>
          <w:rFonts w:hint="eastAsia"/>
          <w:b/>
          <w:bCs/>
          <w:rtl/>
        </w:rPr>
        <w:t>ביקורת</w:t>
      </w:r>
      <w:r w:rsidRPr="00803694">
        <w:rPr>
          <w:b/>
          <w:bCs/>
          <w:rtl/>
        </w:rPr>
        <w:t xml:space="preserve"> </w:t>
      </w:r>
      <w:r w:rsidRPr="00803694">
        <w:rPr>
          <w:rFonts w:hint="eastAsia"/>
          <w:b/>
          <w:bCs/>
          <w:rtl/>
        </w:rPr>
        <w:t>מיוחד</w:t>
      </w:r>
      <w:r>
        <w:rPr>
          <w:rFonts w:hint="cs"/>
          <w:rtl/>
        </w:rPr>
        <w:t xml:space="preserve"> (2017).</w:t>
      </w:r>
    </w:p>
  </w:footnote>
  <w:footnote w:id="159">
    <w:p w:rsidR="00AC3D62" w:rsidP="00681586">
      <w:pPr>
        <w:pStyle w:val="FootnoteText"/>
      </w:pPr>
      <w:r>
        <w:rPr>
          <w:rStyle w:val="FootnoteReference1"/>
        </w:rPr>
        <w:footnoteRef/>
      </w:r>
      <w:r>
        <w:rPr>
          <w:rtl/>
        </w:rPr>
        <w:t xml:space="preserve"> </w:t>
      </w:r>
      <w:r>
        <w:rPr>
          <w:rtl/>
        </w:rPr>
        <w:tab/>
      </w:r>
      <w:r>
        <w:rPr>
          <w:rFonts w:hint="cs"/>
          <w:rtl/>
        </w:rPr>
        <w:t xml:space="preserve">להרחבה בנושא תופעת הבדידות בקרב קשישים ראו הפרק העוסק בשלום אוכלוסיית הקשישים ורווחתם בדוח זה. </w:t>
      </w:r>
    </w:p>
  </w:footnote>
  <w:footnote w:id="160">
    <w:p w:rsidR="00AC3D62" w:rsidP="00681586">
      <w:pPr>
        <w:pStyle w:val="FootnoteText"/>
      </w:pPr>
      <w:r>
        <w:rPr>
          <w:rStyle w:val="FootnoteReference1"/>
        </w:rPr>
        <w:footnoteRef/>
      </w:r>
      <w:r>
        <w:rPr>
          <w:rtl/>
        </w:rPr>
        <w:t xml:space="preserve"> </w:t>
      </w:r>
      <w:r>
        <w:rPr>
          <w:rtl/>
        </w:rPr>
        <w:tab/>
      </w:r>
      <w:r>
        <w:rPr>
          <w:rFonts w:hint="cs"/>
          <w:rtl/>
        </w:rPr>
        <w:t xml:space="preserve">ברוקדייל, המרכז לחקר הזקנה, </w:t>
      </w:r>
      <w:r w:rsidRPr="00803694">
        <w:rPr>
          <w:b/>
          <w:bCs/>
          <w:rtl/>
        </w:rPr>
        <w:t>מאפייני מרכזי היום לזקן</w:t>
      </w:r>
      <w:r w:rsidRPr="00803694">
        <w:rPr>
          <w:b/>
          <w:bCs/>
        </w:rPr>
        <w:t xml:space="preserve"> </w:t>
      </w:r>
      <w:r w:rsidRPr="00803694">
        <w:rPr>
          <w:b/>
          <w:bCs/>
          <w:rtl/>
        </w:rPr>
        <w:t>-</w:t>
      </w:r>
      <w:r w:rsidRPr="00803694">
        <w:rPr>
          <w:b/>
          <w:bCs/>
        </w:rPr>
        <w:t xml:space="preserve"> </w:t>
      </w:r>
      <w:r w:rsidRPr="00803694">
        <w:rPr>
          <w:b/>
          <w:bCs/>
          <w:rtl/>
        </w:rPr>
        <w:t>דפוסי שימוש, תרומות וכיוונים לעתיד</w:t>
      </w:r>
      <w:r>
        <w:rPr>
          <w:rFonts w:hint="cs"/>
          <w:rtl/>
        </w:rPr>
        <w:t xml:space="preserve"> (2012).</w:t>
      </w:r>
    </w:p>
  </w:footnote>
  <w:footnote w:id="161">
    <w:p w:rsidR="00AC3D62" w:rsidP="00681586">
      <w:pPr>
        <w:pStyle w:val="FootnoteText"/>
      </w:pPr>
      <w:r>
        <w:rPr>
          <w:rStyle w:val="FootnoteReference1"/>
        </w:rPr>
        <w:footnoteRef/>
      </w:r>
      <w:r>
        <w:rPr>
          <w:rtl/>
        </w:rPr>
        <w:t xml:space="preserve"> </w:t>
      </w:r>
      <w:r>
        <w:rPr>
          <w:rtl/>
        </w:rPr>
        <w:tab/>
      </w:r>
      <w:r>
        <w:rPr>
          <w:rFonts w:hint="cs"/>
          <w:rtl/>
        </w:rPr>
        <w:t xml:space="preserve">ברוקדייל, </w:t>
      </w:r>
      <w:r w:rsidRPr="00803694">
        <w:rPr>
          <w:rFonts w:hint="eastAsia"/>
          <w:b/>
          <w:bCs/>
          <w:rtl/>
        </w:rPr>
        <w:t>קהילה</w:t>
      </w:r>
      <w:r w:rsidRPr="00803694">
        <w:rPr>
          <w:b/>
          <w:bCs/>
          <w:rtl/>
        </w:rPr>
        <w:t xml:space="preserve"> </w:t>
      </w:r>
      <w:r w:rsidRPr="00803694">
        <w:rPr>
          <w:rFonts w:hint="eastAsia"/>
          <w:b/>
          <w:bCs/>
          <w:rtl/>
        </w:rPr>
        <w:t>תומכת</w:t>
      </w:r>
      <w:r w:rsidRPr="00803694">
        <w:rPr>
          <w:b/>
          <w:bCs/>
          <w:rtl/>
        </w:rPr>
        <w:t xml:space="preserve"> </w:t>
      </w:r>
      <w:r w:rsidRPr="00803694">
        <w:rPr>
          <w:rFonts w:hint="eastAsia"/>
          <w:b/>
          <w:bCs/>
          <w:rtl/>
        </w:rPr>
        <w:t>משודרגת</w:t>
      </w:r>
      <w:r w:rsidRPr="00803694">
        <w:rPr>
          <w:b/>
          <w:bCs/>
          <w:rtl/>
        </w:rPr>
        <w:t xml:space="preserve">: </w:t>
      </w:r>
      <w:r w:rsidRPr="00803694">
        <w:rPr>
          <w:rFonts w:hint="eastAsia"/>
          <w:b/>
          <w:bCs/>
          <w:rtl/>
        </w:rPr>
        <w:t>מחקר</w:t>
      </w:r>
      <w:r w:rsidRPr="00803694">
        <w:rPr>
          <w:b/>
          <w:bCs/>
          <w:rtl/>
        </w:rPr>
        <w:t xml:space="preserve"> </w:t>
      </w:r>
      <w:r w:rsidRPr="00803694">
        <w:rPr>
          <w:rFonts w:hint="eastAsia"/>
          <w:b/>
          <w:bCs/>
          <w:rtl/>
        </w:rPr>
        <w:t>הערכה</w:t>
      </w:r>
      <w:r>
        <w:rPr>
          <w:rFonts w:hint="cs"/>
          <w:rtl/>
        </w:rPr>
        <w:t xml:space="preserve"> (2020).</w:t>
      </w:r>
    </w:p>
  </w:footnote>
  <w:footnote w:id="162">
    <w:p w:rsidR="00AC3D62" w:rsidP="00681586">
      <w:pPr>
        <w:pStyle w:val="FootnoteText"/>
      </w:pPr>
      <w:r>
        <w:rPr>
          <w:rStyle w:val="FootnoteReference1"/>
        </w:rPr>
        <w:footnoteRef/>
      </w:r>
      <w:r>
        <w:rPr>
          <w:rtl/>
        </w:rPr>
        <w:t xml:space="preserve"> </w:t>
      </w:r>
      <w:r>
        <w:rPr>
          <w:rtl/>
        </w:rPr>
        <w:tab/>
      </w:r>
      <w:r>
        <w:rPr>
          <w:rFonts w:hint="cs"/>
          <w:rtl/>
        </w:rPr>
        <w:t>בקהילות שבהן נהוג סל שירותים גמיש. בקהילות עם סל שירותים בסיסי נמצא שיעור שביעות רצון של 77%.</w:t>
      </w:r>
    </w:p>
  </w:footnote>
  <w:footnote w:id="163">
    <w:p w:rsidR="00AC3D62" w:rsidP="00681586">
      <w:pPr>
        <w:pStyle w:val="FootnoteText"/>
      </w:pPr>
      <w:r>
        <w:rPr>
          <w:rStyle w:val="FootnoteReference1"/>
        </w:rPr>
        <w:footnoteRef/>
      </w:r>
      <w:r>
        <w:rPr>
          <w:rtl/>
        </w:rPr>
        <w:t xml:space="preserve"> </w:t>
      </w:r>
      <w:r>
        <w:rPr>
          <w:rtl/>
        </w:rPr>
        <w:tab/>
      </w:r>
      <w:r>
        <w:rPr>
          <w:rFonts w:hint="cs"/>
          <w:rtl/>
        </w:rPr>
        <w:t>בקהילות שבהן נהוג סל שירותים גמיש. בקהילות עם סל שירותים בסיסי נמצא שיעור השתתפות בפעילות חברתית של 30%.</w:t>
      </w:r>
    </w:p>
  </w:footnote>
  <w:footnote w:id="164">
    <w:p w:rsidR="00AC3D62" w:rsidP="00681586">
      <w:pPr>
        <w:pStyle w:val="FootnoteText"/>
        <w:rPr>
          <w:rtl/>
        </w:rPr>
      </w:pPr>
      <w:r>
        <w:rPr>
          <w:rStyle w:val="FootnoteReference1"/>
        </w:rPr>
        <w:footnoteRef/>
      </w:r>
      <w:r>
        <w:rPr>
          <w:rtl/>
        </w:rPr>
        <w:t xml:space="preserve"> </w:t>
      </w:r>
      <w:r>
        <w:rPr>
          <w:rtl/>
        </w:rPr>
        <w:tab/>
      </w:r>
      <w:r>
        <w:rPr>
          <w:rFonts w:hint="cs"/>
          <w:rtl/>
        </w:rPr>
        <w:t xml:space="preserve">במבחן </w:t>
      </w:r>
      <w:r>
        <w:t>t</w:t>
      </w:r>
      <w:r>
        <w:rPr>
          <w:rFonts w:hint="cs"/>
          <w:rtl/>
        </w:rPr>
        <w:t xml:space="preserve"> ברמת מובהקות 1%.</w:t>
      </w:r>
    </w:p>
  </w:footnote>
  <w:footnote w:id="165">
    <w:p w:rsidR="00AC3D62" w:rsidP="00681586">
      <w:pPr>
        <w:pStyle w:val="FootnoteText"/>
        <w:rPr>
          <w:rtl/>
        </w:rPr>
      </w:pPr>
      <w:r>
        <w:rPr>
          <w:rStyle w:val="FootnoteReference1"/>
        </w:rPr>
        <w:footnoteRef/>
      </w:r>
      <w:r>
        <w:rPr>
          <w:rtl/>
        </w:rPr>
        <w:t xml:space="preserve"> </w:t>
      </w:r>
      <w:r>
        <w:rPr>
          <w:rtl/>
        </w:rPr>
        <w:tab/>
      </w:r>
      <w:r>
        <w:rPr>
          <w:rFonts w:hint="cs"/>
          <w:rtl/>
        </w:rPr>
        <w:t xml:space="preserve">במבחן </w:t>
      </w:r>
      <w:r>
        <w:t>t</w:t>
      </w:r>
      <w:r>
        <w:rPr>
          <w:rFonts w:hint="cs"/>
          <w:rtl/>
        </w:rPr>
        <w:t xml:space="preserve"> ברמת מובהקות 1%.</w:t>
      </w:r>
    </w:p>
  </w:footnote>
  <w:footnote w:id="166">
    <w:p w:rsidR="00AC3D62" w:rsidP="00681586">
      <w:pPr>
        <w:pStyle w:val="FootnoteText"/>
      </w:pPr>
      <w:r w:rsidRPr="00000C24">
        <w:rPr>
          <w:rStyle w:val="FootnoteReference1"/>
        </w:rPr>
        <w:footnoteRef/>
      </w:r>
      <w:r w:rsidRPr="00000C24">
        <w:rPr>
          <w:rtl/>
        </w:rPr>
        <w:t xml:space="preserve"> </w:t>
      </w:r>
      <w:r w:rsidRPr="00000C24">
        <w:rPr>
          <w:rtl/>
        </w:rPr>
        <w:tab/>
      </w:r>
      <w:r w:rsidRPr="00000C24">
        <w:rPr>
          <w:rFonts w:hint="cs"/>
          <w:rtl/>
        </w:rPr>
        <w:t xml:space="preserve">יצוין כי החוק גם קובע כי מבוטח ברמת סיעוד </w:t>
      </w:r>
      <w:r>
        <w:rPr>
          <w:rFonts w:hint="cs"/>
          <w:rtl/>
        </w:rPr>
        <w:t xml:space="preserve">1 </w:t>
      </w:r>
      <w:r w:rsidRPr="00000C24">
        <w:rPr>
          <w:rFonts w:hint="cs"/>
          <w:rtl/>
        </w:rPr>
        <w:t xml:space="preserve">(הנמוכה ביותר) יכול לממש את מלוא שווי יחידות השירות </w:t>
      </w:r>
      <w:r>
        <w:rPr>
          <w:rFonts w:hint="cs"/>
          <w:rtl/>
        </w:rPr>
        <w:t>ש</w:t>
      </w:r>
      <w:r w:rsidRPr="00000C24">
        <w:rPr>
          <w:rFonts w:hint="cs"/>
          <w:rtl/>
        </w:rPr>
        <w:t xml:space="preserve">להן הוא זכאי בכסף, וכן </w:t>
      </w:r>
      <w:r w:rsidRPr="00000C24">
        <w:rPr>
          <w:rtl/>
        </w:rPr>
        <w:t xml:space="preserve">כל עוד לא ביקר גורם מקצועי בביתו של </w:t>
      </w:r>
      <w:r>
        <w:rPr>
          <w:rFonts w:hint="cs"/>
          <w:rtl/>
        </w:rPr>
        <w:t>ה</w:t>
      </w:r>
      <w:r w:rsidRPr="00000C24">
        <w:rPr>
          <w:rtl/>
        </w:rPr>
        <w:t>מבוטח</w:t>
      </w:r>
      <w:r>
        <w:rPr>
          <w:rFonts w:hint="cs"/>
          <w:rtl/>
        </w:rPr>
        <w:t>,</w:t>
      </w:r>
      <w:r w:rsidRPr="00000C24">
        <w:rPr>
          <w:rtl/>
        </w:rPr>
        <w:t xml:space="preserve"> רשאי המבוטח לבחור לקבל לידיו כגמלה בכסף את שוו</w:t>
      </w:r>
      <w:r>
        <w:rPr>
          <w:rFonts w:hint="cs"/>
          <w:rtl/>
        </w:rPr>
        <w:t>י</w:t>
      </w:r>
      <w:r w:rsidRPr="00000C24">
        <w:rPr>
          <w:rtl/>
        </w:rPr>
        <w:t>ין בכסף של</w:t>
      </w:r>
      <w:r w:rsidRPr="00000C24">
        <w:rPr>
          <w:rFonts w:hint="cs"/>
          <w:rtl/>
        </w:rPr>
        <w:t xml:space="preserve"> </w:t>
      </w:r>
      <w:r w:rsidRPr="00000C24">
        <w:rPr>
          <w:rtl/>
        </w:rPr>
        <w:t>עד ארבע יחידות</w:t>
      </w:r>
      <w:r>
        <w:rPr>
          <w:rFonts w:hint="cs"/>
          <w:rtl/>
        </w:rPr>
        <w:t xml:space="preserve"> </w:t>
      </w:r>
      <w:r w:rsidRPr="00000C24">
        <w:rPr>
          <w:rtl/>
        </w:rPr>
        <w:t>שירות מכלל יחידות השירות שהוא זכאי להן</w:t>
      </w:r>
      <w:r>
        <w:rPr>
          <w:rFonts w:hint="cs"/>
          <w:rtl/>
        </w:rPr>
        <w:t xml:space="preserve"> </w:t>
      </w:r>
      <w:r w:rsidRPr="00000C24">
        <w:rPr>
          <w:rtl/>
        </w:rPr>
        <w:t>(</w:t>
      </w:r>
      <w:r w:rsidRPr="00000C24">
        <w:rPr>
          <w:rFonts w:hint="cs"/>
          <w:rtl/>
        </w:rPr>
        <w:t>בין 13% ל-40% מסך יחידות השירות</w:t>
      </w:r>
      <w:r w:rsidRPr="00000C24">
        <w:rPr>
          <w:rtl/>
        </w:rPr>
        <w:t>)</w:t>
      </w:r>
      <w:r>
        <w:rPr>
          <w:rFonts w:hint="cs"/>
          <w:rtl/>
        </w:rPr>
        <w:t>.</w:t>
      </w:r>
    </w:p>
  </w:footnote>
  <w:footnote w:id="167">
    <w:p w:rsidR="00AC3D62" w:rsidP="00681586">
      <w:pPr>
        <w:pStyle w:val="FootnoteText"/>
      </w:pPr>
      <w:r>
        <w:rPr>
          <w:rStyle w:val="FootnoteReference1"/>
        </w:rPr>
        <w:footnoteRef/>
      </w:r>
      <w:r>
        <w:rPr>
          <w:rtl/>
        </w:rPr>
        <w:t xml:space="preserve"> </w:t>
      </w:r>
      <w:r>
        <w:rPr>
          <w:rtl/>
        </w:rPr>
        <w:tab/>
      </w:r>
      <w:r>
        <w:rPr>
          <w:rFonts w:hint="cs"/>
          <w:rtl/>
        </w:rPr>
        <w:t>חוק הביטוח הלאומי [נוסח משולב], התשנ"ה-1995, פרק י', סעיף 225(ה).</w:t>
      </w:r>
    </w:p>
  </w:footnote>
  <w:footnote w:id="168">
    <w:p w:rsidR="00AC3D62" w:rsidP="00681586">
      <w:pPr>
        <w:pStyle w:val="FootnoteText"/>
      </w:pPr>
      <w:r>
        <w:rPr>
          <w:rStyle w:val="FootnoteReference1"/>
        </w:rPr>
        <w:footnoteRef/>
      </w:r>
      <w:r>
        <w:rPr>
          <w:rtl/>
        </w:rPr>
        <w:t xml:space="preserve"> </w:t>
      </w:r>
      <w:r>
        <w:rPr>
          <w:rtl/>
        </w:rPr>
        <w:tab/>
      </w:r>
      <w:r>
        <w:rPr>
          <w:rFonts w:hint="cs"/>
          <w:rtl/>
        </w:rPr>
        <w:t>ביטוח לאומי, "</w:t>
      </w:r>
      <w:r w:rsidRPr="00546FE2">
        <w:rPr>
          <w:rFonts w:hint="cs"/>
          <w:b/>
          <w:bCs/>
          <w:rtl/>
        </w:rPr>
        <w:t>חוזר 1496 בנושא הרפורמה בסיעוד</w:t>
      </w:r>
      <w:r>
        <w:rPr>
          <w:rFonts w:hint="cs"/>
          <w:rtl/>
        </w:rPr>
        <w:t>" (6.11.18).</w:t>
      </w:r>
    </w:p>
  </w:footnote>
  <w:footnote w:id="169">
    <w:p w:rsidR="00AC3D62" w:rsidP="00681586">
      <w:pPr>
        <w:pStyle w:val="FootnoteText"/>
        <w:rPr>
          <w:rtl/>
        </w:rPr>
      </w:pPr>
      <w:r>
        <w:rPr>
          <w:rStyle w:val="FootnoteReference1"/>
        </w:rPr>
        <w:footnoteRef/>
      </w:r>
      <w:r>
        <w:rPr>
          <w:rtl/>
        </w:rPr>
        <w:t xml:space="preserve"> </w:t>
      </w:r>
      <w:r>
        <w:rPr>
          <w:rtl/>
        </w:rPr>
        <w:tab/>
      </w:r>
      <w:r>
        <w:rPr>
          <w:rFonts w:hint="cs"/>
          <w:rtl/>
        </w:rPr>
        <w:t>הנתונים נכונים לינואר בכל שנה. ביטוח לאומי, "</w:t>
      </w:r>
      <w:r w:rsidRPr="00546FE2">
        <w:rPr>
          <w:rFonts w:hint="cs"/>
          <w:b/>
          <w:bCs/>
          <w:rtl/>
        </w:rPr>
        <w:t>הרפורמה בביטוח סיעוד: תמונות מצב ומגמות</w:t>
      </w:r>
      <w:r>
        <w:rPr>
          <w:rFonts w:hint="cs"/>
          <w:rtl/>
        </w:rPr>
        <w:t>" (16.2.25).</w:t>
      </w:r>
    </w:p>
  </w:footnote>
  <w:footnote w:id="170">
    <w:p w:rsidR="00AC3D62" w:rsidP="00681586">
      <w:pPr>
        <w:pStyle w:val="FootnoteText"/>
        <w:rPr>
          <w:rtl/>
        </w:rPr>
      </w:pPr>
    </w:p>
    <w:p w:rsidR="00AC3D62" w:rsidP="00681586">
      <w:pPr>
        <w:pStyle w:val="FootnoteText"/>
      </w:pPr>
      <w:r>
        <w:rPr>
          <w:rStyle w:val="FootnoteReference1"/>
        </w:rPr>
        <w:footnoteRef/>
      </w:r>
      <w:r>
        <w:rPr>
          <w:rtl/>
        </w:rPr>
        <w:t xml:space="preserve"> </w:t>
      </w:r>
      <w:r>
        <w:rPr>
          <w:rtl/>
        </w:rPr>
        <w:tab/>
      </w:r>
      <w:r>
        <w:rPr>
          <w:rFonts w:hint="cs"/>
          <w:rtl/>
        </w:rPr>
        <w:t>ביטוח לאומי, "</w:t>
      </w:r>
      <w:r w:rsidRPr="00546FE2">
        <w:rPr>
          <w:rFonts w:hint="cs"/>
          <w:b/>
          <w:bCs/>
          <w:rtl/>
        </w:rPr>
        <w:t>איגרת 422ב</w:t>
      </w:r>
      <w:r>
        <w:rPr>
          <w:rFonts w:hint="cs"/>
          <w:b/>
          <w:bCs/>
          <w:rtl/>
        </w:rPr>
        <w:t>, מערכת דיווח נוכחות -</w:t>
      </w:r>
      <w:r w:rsidRPr="00546FE2">
        <w:rPr>
          <w:rFonts w:hint="cs"/>
          <w:b/>
          <w:bCs/>
          <w:rtl/>
        </w:rPr>
        <w:t xml:space="preserve"> הסכם הגישור</w:t>
      </w:r>
      <w:r>
        <w:rPr>
          <w:rFonts w:hint="cs"/>
          <w:rtl/>
        </w:rPr>
        <w:t>" (22.7.20).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C3D62" w:rsidRPr="0062451B" w:rsidP="001F4412">
    <w:pPr>
      <w:pStyle w:val="Header"/>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1678940</wp:posOffset>
              </wp:positionH>
              <wp:positionV relativeFrom="paragraph">
                <wp:posOffset>-100965</wp:posOffset>
              </wp:positionV>
              <wp:extent cx="4340860"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340860" cy="285750"/>
                      </a:xfrm>
                      <a:prstGeom prst="rect">
                        <a:avLst/>
                      </a:prstGeom>
                      <a:noFill/>
                      <a:ln w="9525">
                        <a:noFill/>
                        <a:miter lim="800000"/>
                        <a:headEnd/>
                        <a:tailEnd/>
                      </a:ln>
                    </wps:spPr>
                    <wps:txbx>
                      <w:txbxContent>
                        <w:p w:rsidR="00AC3D62"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706CBC">
                            <w:rPr>
                              <w:rFonts w:ascii="Calibri" w:hAnsi="Calibri" w:cs="Calibri"/>
                              <w:color w:val="002060"/>
                              <w:sz w:val="22"/>
                              <w:szCs w:val="22"/>
                              <w:rtl/>
                            </w:rPr>
                            <w:t>דוח מיוחד - היערכות מדינת ישראל להזדקנות האוכלוסייה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341.8pt;height:22.5pt;margin-top:-7.95pt;margin-left:132.2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AC3D62"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706CBC">
                      <w:rPr>
                        <w:rFonts w:ascii="Calibri" w:hAnsi="Calibri" w:cs="Calibri"/>
                        <w:color w:val="002060"/>
                        <w:sz w:val="22"/>
                        <w:szCs w:val="22"/>
                        <w:rtl/>
                      </w:rPr>
                      <w:t>דוח מיוחד - היערכות מדינת ישראל להזדקנות האוכלוסייה</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50" style="flip:y;mso-height-percent:0;mso-height-relative:margin;mso-width-percent:0;mso-width-relative:margin;mso-wrap-distance-bottom:0;mso-wrap-distance-left:9pt;mso-wrap-distance-right:9pt;mso-wrap-distance-top:0;mso-wrap-style:square;position:absolute;visibility:visible;z-index:251661312" from="-38.2pt,17.45pt" to="468.45pt,17.45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3693795</wp:posOffset>
              </wp:positionH>
              <wp:positionV relativeFrom="paragraph">
                <wp:posOffset>217170</wp:posOffset>
              </wp:positionV>
              <wp:extent cx="2329180"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329180" cy="285750"/>
                      </a:xfrm>
                      <a:prstGeom prst="rect">
                        <a:avLst/>
                      </a:prstGeom>
                      <a:noFill/>
                      <a:ln w="9525">
                        <a:noFill/>
                        <a:miter lim="800000"/>
                        <a:headEnd/>
                        <a:tailEnd/>
                      </a:ln>
                    </wps:spPr>
                    <wps:txbx>
                      <w:txbxContent>
                        <w:p w:rsidR="00AC3D62" w:rsidRPr="001E204F" w:rsidP="00354F9A">
                          <w:pPr>
                            <w:rPr>
                              <w:rFonts w:ascii="Calibri" w:hAnsi="Calibri" w:cs="Calibri"/>
                              <w:color w:val="002060"/>
                              <w:szCs w:val="20"/>
                              <w:rtl/>
                            </w:rPr>
                          </w:pPr>
                          <w:r w:rsidRPr="00681586">
                            <w:rPr>
                              <w:rtl/>
                            </w:rPr>
                            <w:t xml:space="preserve"> </w:t>
                          </w:r>
                          <w:r w:rsidRPr="00681586">
                            <w:rPr>
                              <w:rFonts w:ascii="Calibri" w:hAnsi="Calibri" w:cs="Calibri"/>
                              <w:color w:val="002060"/>
                              <w:szCs w:val="20"/>
                              <w:rtl/>
                            </w:rPr>
                            <w:t>מערך הביטוח</w:t>
                          </w:r>
                          <w:r>
                            <w:rPr>
                              <w:rFonts w:ascii="Calibri" w:hAnsi="Calibri" w:cs="Calibri" w:hint="cs"/>
                              <w:color w:val="002060"/>
                              <w:szCs w:val="20"/>
                              <w:rtl/>
                            </w:rPr>
                            <w:t xml:space="preserve"> </w:t>
                          </w:r>
                          <w:r w:rsidRPr="00681586">
                            <w:rPr>
                              <w:rFonts w:ascii="Calibri" w:hAnsi="Calibri" w:cs="Calibri"/>
                              <w:color w:val="002060"/>
                              <w:szCs w:val="20"/>
                              <w:rtl/>
                            </w:rPr>
                            <w:t>הסיעודי בישראל</w:t>
                          </w:r>
                          <w:r w:rsidRPr="00681586">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183.4pt;height:22.5pt;margin-top:17.1pt;margin-left:290.8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AC3D62" w:rsidRPr="001E204F" w:rsidP="00354F9A">
                    <w:pPr>
                      <w:rPr>
                        <w:rFonts w:ascii="Calibri" w:hAnsi="Calibri" w:cs="Calibri"/>
                        <w:color w:val="002060"/>
                        <w:szCs w:val="20"/>
                        <w:rtl/>
                      </w:rPr>
                    </w:pPr>
                    <w:r w:rsidRPr="00681586">
                      <w:rPr>
                        <w:rtl/>
                      </w:rPr>
                      <w:t xml:space="preserve"> </w:t>
                    </w:r>
                    <w:r w:rsidRPr="00681586">
                      <w:rPr>
                        <w:rFonts w:ascii="Calibri" w:hAnsi="Calibri" w:cs="Calibri"/>
                        <w:color w:val="002060"/>
                        <w:szCs w:val="20"/>
                        <w:rtl/>
                      </w:rPr>
                      <w:t>מערך הביטוח</w:t>
                    </w:r>
                    <w:r>
                      <w:rPr>
                        <w:rFonts w:ascii="Calibri" w:hAnsi="Calibri" w:cs="Calibri" w:hint="cs"/>
                        <w:color w:val="002060"/>
                        <w:szCs w:val="20"/>
                        <w:rtl/>
                      </w:rPr>
                      <w:t xml:space="preserve"> </w:t>
                    </w:r>
                    <w:r w:rsidRPr="00681586">
                      <w:rPr>
                        <w:rFonts w:ascii="Calibri" w:hAnsi="Calibri" w:cs="Calibri"/>
                        <w:color w:val="002060"/>
                        <w:szCs w:val="20"/>
                        <w:rtl/>
                      </w:rPr>
                      <w:t>הסיעודי בישראל</w:t>
                    </w:r>
                    <w:r w:rsidRPr="00681586">
                      <w:rPr>
                        <w:rFonts w:ascii="Calibri" w:hAnsi="Calibri" w:cs="Calibri" w:hint="cs"/>
                        <w:color w:val="002060"/>
                        <w:szCs w:val="20"/>
                        <w:rtl/>
                      </w:rPr>
                      <w:t xml:space="preserve"> </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AC3D62"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AC3D62"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C3D62">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posOffset>1079500</wp:posOffset>
              </wp:positionH>
              <wp:positionV relativeFrom="paragraph">
                <wp:posOffset>-459740</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0690225"/>
                        <a:chOff x="-50165" y="0"/>
                        <a:chExt cx="2959100" cy="10690225"/>
                      </a:xfrm>
                    </wpg:grpSpPr>
                    <wpg:grpSp>
                      <wpg:cNvPr id="53" name="קבוצה 53"/>
                      <wpg:cNvGrpSpPr/>
                      <wpg:grpSpPr>
                        <a:xfrm>
                          <a:off x="-50165" y="0"/>
                          <a:ext cx="2959100" cy="3009900"/>
                          <a:chOff x="-50165" y="0"/>
                          <a:chExt cx="295910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50165" y="2575560"/>
                            <a:ext cx="2959100" cy="273050"/>
                          </a:xfrm>
                          <a:prstGeom prst="rect">
                            <a:avLst/>
                          </a:prstGeom>
                          <a:noFill/>
                          <a:ln w="6350">
                            <a:noFill/>
                          </a:ln>
                        </wps:spPr>
                        <wps:txbx>
                          <w:txbxContent>
                            <w:p w:rsidR="00AC3D62"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AC3D62"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anchor>
          </w:drawing>
        </mc:Choice>
        <mc:Fallback>
          <w:pict>
            <v:group id="קבוצה 52" o:spid="_x0000_s2053" style="width:233pt;height:841.75pt;margin-top:-36.2pt;margin-left:85pt;mso-position-horizontal-relative:margin;position:absolute;z-index:251659264" coordorigin="-501,0" coordsize="29591,106902">
              <v:group id="קבוצה 53" o:spid="_x0000_s2054" style="width:29590;height:30099;left:-501;position:absolute" coordorigin="-501,0" coordsize="29591,30099">
                <v:rect id="מלבן 54" o:spid="_x0000_s2055" style="width:16910;height:24638;left:6286;mso-wrap-style:square;position:absolute;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9;left:10382;mso-wrap-style:square;position:absolute;top:14382;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0;height:2731;left:-501;mso-wrap-style:square;position:absolute;top:25755;visibility:visible;v-text-anchor:top" filled="f" stroked="f" strokeweight="0.5pt">
                  <v:textbox>
                    <w:txbxContent>
                      <w:p w:rsidR="00AC3D62"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AC3D62"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C3D62" w:rsidRPr="00681586" w:rsidP="00EF4539">
    <w:pPr>
      <w:pStyle w:val="Header"/>
      <w:tabs>
        <w:tab w:val="clear" w:pos="8306"/>
        <w:tab w:val="right" w:pos="8504"/>
      </w:tabs>
      <w:ind w:right="-709"/>
      <w:jc w:val="right"/>
      <w:rPr>
        <w:rFonts w:ascii="Calibri" w:hAnsi="Calibri" w:cs="Calibri"/>
        <w:color w:val="002060"/>
        <w:szCs w:val="20"/>
      </w:rPr>
    </w:pPr>
    <w:r w:rsidRPr="00681586">
      <w:rPr>
        <w:rFonts w:ascii="Calibri" w:hAnsi="Calibr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1296670</wp:posOffset>
              </wp:positionH>
              <wp:positionV relativeFrom="paragraph">
                <wp:posOffset>-100965</wp:posOffset>
              </wp:positionV>
              <wp:extent cx="4722495" cy="285750"/>
              <wp:effectExtent l="0" t="0" r="0" b="0"/>
              <wp:wrapSquare wrapText="bothSides"/>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722495" cy="285750"/>
                      </a:xfrm>
                      <a:prstGeom prst="rect">
                        <a:avLst/>
                      </a:prstGeom>
                      <a:noFill/>
                      <a:ln w="9525">
                        <a:noFill/>
                        <a:miter lim="800000"/>
                        <a:headEnd/>
                        <a:tailEnd/>
                      </a:ln>
                    </wps:spPr>
                    <wps:txbx>
                      <w:txbxContent>
                        <w:p w:rsidR="00AC3D62" w:rsidRPr="0062451B" w:rsidP="00EF4539">
                          <w:pPr>
                            <w:rPr>
                              <w:rFonts w:ascii="Calibri" w:hAnsi="Calibri" w:cs="Calibri"/>
                              <w:color w:val="002060"/>
                              <w:sz w:val="22"/>
                              <w:szCs w:val="22"/>
                              <w:rtl/>
                            </w:rPr>
                          </w:pPr>
                          <w:r w:rsidRPr="001B7364">
                            <w:rPr>
                              <w:rFonts w:ascii="Calibri" w:hAnsi="Calibri" w:cs="Calibri"/>
                              <w:color w:val="002060"/>
                              <w:sz w:val="22"/>
                              <w:szCs w:val="22"/>
                              <w:rtl/>
                            </w:rPr>
                            <w:t>מבקר המדינה</w:t>
                          </w:r>
                          <w:r w:rsidRPr="001B7364">
                            <w:rPr>
                              <w:rFonts w:ascii="Calibri" w:hAnsi="Calibri" w:cs="Calibri" w:hint="cs"/>
                              <w:color w:val="002060"/>
                              <w:sz w:val="22"/>
                              <w:szCs w:val="22"/>
                              <w:rtl/>
                            </w:rPr>
                            <w:t xml:space="preserve"> | דוח </w:t>
                          </w:r>
                          <w:r>
                            <w:rPr>
                              <w:rFonts w:ascii="Calibri" w:hAnsi="Calibri" w:cs="Calibri" w:hint="cs"/>
                              <w:color w:val="002060"/>
                              <w:sz w:val="22"/>
                              <w:szCs w:val="22"/>
                              <w:rtl/>
                            </w:rPr>
                            <w:t>מיוחד - היערכות מדינת ישראל להזדקנות האוכלוסייה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4" type="#_x0000_t202" style="width:371.85pt;height:22.5pt;margin-top:-7.95pt;margin-left:102.1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EF4539" w:rsidRPr="0062451B" w:rsidP="00EF4539">
                    <w:pPr>
                      <w:rPr>
                        <w:rFonts w:ascii="Calibri" w:hAnsi="Calibri" w:cs="Calibri"/>
                        <w:color w:val="002060"/>
                        <w:sz w:val="22"/>
                        <w:szCs w:val="22"/>
                        <w:rtl/>
                      </w:rPr>
                    </w:pPr>
                    <w:r w:rsidRPr="001B7364">
                      <w:rPr>
                        <w:rFonts w:ascii="Calibri" w:hAnsi="Calibri" w:cs="Calibri"/>
                        <w:color w:val="002060"/>
                        <w:sz w:val="22"/>
                        <w:szCs w:val="22"/>
                        <w:rtl/>
                      </w:rPr>
                      <w:t xml:space="preserve">מבקר </w:t>
                    </w:r>
                    <w:r w:rsidRPr="001B7364" w:rsidR="008131AD">
                      <w:rPr>
                        <w:rFonts w:ascii="Calibri" w:hAnsi="Calibri" w:cs="Calibri"/>
                        <w:color w:val="002060"/>
                        <w:sz w:val="22"/>
                        <w:szCs w:val="22"/>
                        <w:rtl/>
                      </w:rPr>
                      <w:t>המדינה</w:t>
                    </w:r>
                    <w:r w:rsidRPr="001B7364" w:rsidR="008131AD">
                      <w:rPr>
                        <w:rFonts w:ascii="Calibri" w:hAnsi="Calibri" w:cs="Calibri" w:hint="cs"/>
                        <w:color w:val="002060"/>
                        <w:sz w:val="22"/>
                        <w:szCs w:val="22"/>
                        <w:rtl/>
                      </w:rPr>
                      <w:t xml:space="preserve"> | </w:t>
                    </w:r>
                    <w:r w:rsidRPr="001B7364" w:rsidR="001B7364">
                      <w:rPr>
                        <w:rFonts w:ascii="Calibri" w:hAnsi="Calibri" w:cs="Calibri" w:hint="cs"/>
                        <w:color w:val="002060"/>
                        <w:sz w:val="22"/>
                        <w:szCs w:val="22"/>
                        <w:rtl/>
                      </w:rPr>
                      <w:t xml:space="preserve">דוח </w:t>
                    </w:r>
                    <w:r w:rsidR="008B28EE">
                      <w:rPr>
                        <w:rFonts w:ascii="Calibri" w:hAnsi="Calibri" w:cs="Calibri" w:hint="cs"/>
                        <w:color w:val="002060"/>
                        <w:sz w:val="22"/>
                        <w:szCs w:val="22"/>
                        <w:rtl/>
                      </w:rPr>
                      <w:t xml:space="preserve">מיוחד </w:t>
                    </w:r>
                    <w:r w:rsidR="00706CBC">
                      <w:rPr>
                        <w:rFonts w:ascii="Calibri" w:hAnsi="Calibri" w:cs="Calibri" w:hint="cs"/>
                        <w:color w:val="002060"/>
                        <w:sz w:val="22"/>
                        <w:szCs w:val="22"/>
                        <w:rtl/>
                      </w:rPr>
                      <w:t>- היערכות מדינת ישראל להזדקנות האוכלוסייה</w:t>
                    </w:r>
                  </w:p>
                </w:txbxContent>
              </v:textbox>
              <w10:wrap type="square"/>
            </v:shape>
          </w:pict>
        </mc:Fallback>
      </mc:AlternateContent>
    </w:r>
    <w:r w:rsidRPr="00681586">
      <w:rPr>
        <w:rFonts w:ascii="Calibri" w:hAnsi="Calibri" w:cs="Calibri"/>
        <w:noProof/>
        <w:color w:val="002060"/>
        <w:szCs w:val="20"/>
        <w:rtl/>
        <w:lang w:val="he-IL"/>
      </w:rPr>
      <mc:AlternateContent>
        <mc:Choice Requires="wps">
          <w:drawing>
            <wp:anchor distT="0" distB="0" distL="114300" distR="114300" simplePos="0" relativeHeight="25166848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9" o:spid="_x0000_s2065" style="flip:y;mso-height-percent:0;mso-height-relative:margin;mso-width-percent:0;mso-width-relative:margin;mso-wrap-distance-bottom:0;mso-wrap-distance-left:9pt;mso-wrap-distance-right:9pt;mso-wrap-distance-top:0;mso-wrap-style:square;position:absolute;visibility:visible;z-index:251669504" from="-38.2pt,17.45pt" to="468.45pt,17.45pt" strokecolor="#4579b8"/>
          </w:pict>
        </mc:Fallback>
      </mc:AlternateContent>
    </w:r>
    <w:r w:rsidRPr="00681586">
      <w:rPr>
        <w:rFonts w:ascii="Calibri" w:hAnsi="Calibri" w:cs="Times New Roman"/>
        <w:noProof/>
        <w:color w:val="002060"/>
        <w:szCs w:val="20"/>
        <w:rtl/>
      </w:rPr>
      <mc:AlternateContent>
        <mc:Choice Requires="wps">
          <w:drawing>
            <wp:anchor distT="45720" distB="45720" distL="114300" distR="114300" simplePos="0" relativeHeight="251672576"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AC3D62"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681586">
                            <w:rPr>
                              <w:rFonts w:ascii="Calibri" w:hAnsi="Calibri" w:cs="Calibri"/>
                              <w:color w:val="002060"/>
                              <w:spacing w:val="20"/>
                              <w:sz w:val="22"/>
                              <w:szCs w:val="22"/>
                            </w:rPr>
                            <w:t xml:space="preserve"> </w:t>
                          </w:r>
                          <w:r w:rsidRPr="00681586">
                            <w:rPr>
                              <w:rFonts w:ascii="Wingdings" w:hAnsi="Wingdings" w:cs="Calibr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42880" filled="f" stroked="f">
              <v:textbox>
                <w:txbxContent>
                  <w:p w:rsidR="00EF4539"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w:t>
                    </w:r>
                    <w:r w:rsidRPr="00E0338A" w:rsidR="00D05C85">
                      <w:rPr>
                        <w:rFonts w:ascii="Calibri" w:hAnsi="Calibri" w:cs="Calibri" w:hint="cs"/>
                        <w:color w:val="002060"/>
                        <w:szCs w:val="20"/>
                        <w:rtl/>
                      </w:rPr>
                      <w:t>ו</w:t>
                    </w:r>
                    <w:r w:rsidRPr="00E0338A">
                      <w:rPr>
                        <w:rFonts w:ascii="Calibri" w:hAnsi="Calibri" w:cs="Calibri" w:hint="cs"/>
                        <w:color w:val="002060"/>
                        <w:szCs w:val="20"/>
                        <w:rtl/>
                      </w:rPr>
                      <w:t xml:space="preserve"> </w:t>
                    </w:r>
                    <w:r w:rsidRPr="00681586">
                      <w:rPr>
                        <w:rFonts w:ascii="Calibri" w:hAnsi="Calibri" w:cs="Calibri"/>
                        <w:color w:val="002060"/>
                        <w:spacing w:val="20"/>
                        <w:sz w:val="22"/>
                        <w:szCs w:val="22"/>
                      </w:rPr>
                      <w:t xml:space="preserve"> </w:t>
                    </w:r>
                    <w:r w:rsidRPr="00681586">
                      <w:rPr>
                        <w:rFonts w:ascii="Wingdings" w:hAnsi="Wingdings" w:cs="Calibri"/>
                        <w:color w:val="002060"/>
                        <w:spacing w:val="20"/>
                        <w:sz w:val="22"/>
                        <w:szCs w:val="22"/>
                      </w:rPr>
                      <w:sym w:font="Wingdings" w:char="F0A7"/>
                    </w:r>
                    <w:r w:rsidRPr="00E0338A" w:rsidR="00E0338A">
                      <w:rPr>
                        <w:rFonts w:ascii="Calibri" w:hAnsi="Calibri" w:cs="Calibri" w:hint="cs"/>
                        <w:color w:val="002060"/>
                        <w:szCs w:val="20"/>
                        <w:rtl/>
                      </w:rPr>
                      <w:t>יוני</w:t>
                    </w:r>
                    <w:r w:rsidRPr="00E0338A">
                      <w:rPr>
                        <w:rFonts w:ascii="Calibri" w:hAnsi="Calibri" w:cs="Calibri" w:hint="cs"/>
                        <w:color w:val="002060"/>
                        <w:szCs w:val="20"/>
                        <w:rtl/>
                      </w:rPr>
                      <w:t xml:space="preserve"> 202</w:t>
                    </w:r>
                    <w:r w:rsidRPr="00E0338A" w:rsidR="00E0338A">
                      <w:rPr>
                        <w:rFonts w:ascii="Calibri" w:hAnsi="Calibri" w:cs="Calibri" w:hint="cs"/>
                        <w:color w:val="002060"/>
                        <w:szCs w:val="20"/>
                        <w:rtl/>
                      </w:rPr>
                      <w:t>6</w:t>
                    </w:r>
                    <w:r w:rsidRPr="0062451B">
                      <w:rPr>
                        <w:rFonts w:ascii="Calibri" w:hAnsi="Calibri" w:cs="Calibri" w:hint="cs"/>
                        <w:color w:val="002060"/>
                        <w:szCs w:val="20"/>
                        <w:rtl/>
                      </w:rPr>
                      <w:t xml:space="preserve"> </w:t>
                    </w:r>
                  </w:p>
                </w:txbxContent>
              </v:textbox>
              <w10:wrap type="tight"/>
            </v:shape>
          </w:pict>
        </mc:Fallback>
      </mc:AlternateContent>
    </w:r>
    <w:r w:rsidRPr="00681586">
      <w:rPr>
        <w:rFonts w:ascii="Calibri" w:hAnsi="Calibri" w:cs="Calibri"/>
        <w:color w:val="002060"/>
        <w:szCs w:val="20"/>
        <w:rtl/>
      </w:rPr>
      <w:fldChar w:fldCharType="begin"/>
    </w:r>
    <w:r w:rsidRPr="00681586">
      <w:rPr>
        <w:rFonts w:ascii="Calibri" w:hAnsi="Calibri" w:cs="Calibri"/>
        <w:color w:val="002060"/>
        <w:szCs w:val="20"/>
        <w:rtl/>
      </w:rPr>
      <w:instrText xml:space="preserve"> </w:instrText>
    </w:r>
    <w:r w:rsidRPr="00681586">
      <w:rPr>
        <w:rFonts w:ascii="Calibri" w:hAnsi="Calibri" w:cs="Calibri"/>
        <w:color w:val="002060"/>
        <w:szCs w:val="20"/>
      </w:rPr>
      <w:instrText>PAGE</w:instrText>
    </w:r>
    <w:r w:rsidRPr="00681586">
      <w:rPr>
        <w:rFonts w:ascii="Calibri" w:hAnsi="Calibri" w:cs="Calibri"/>
        <w:color w:val="002060"/>
        <w:szCs w:val="20"/>
        <w:rtl/>
      </w:rPr>
      <w:instrText xml:space="preserve">  \* </w:instrText>
    </w:r>
    <w:r w:rsidRPr="00681586">
      <w:rPr>
        <w:rFonts w:ascii="Calibri" w:hAnsi="Calibri" w:cs="Calibri"/>
        <w:color w:val="002060"/>
        <w:szCs w:val="20"/>
      </w:rPr>
      <w:instrText>MERGEFORMAT</w:instrText>
    </w:r>
    <w:r w:rsidRPr="00681586">
      <w:rPr>
        <w:rFonts w:ascii="Calibri" w:hAnsi="Calibri" w:cs="Calibri"/>
        <w:color w:val="002060"/>
        <w:szCs w:val="20"/>
        <w:rtl/>
      </w:rPr>
      <w:instrText xml:space="preserve"> </w:instrText>
    </w:r>
    <w:r w:rsidRPr="00681586">
      <w:rPr>
        <w:rFonts w:ascii="Calibri" w:hAnsi="Calibri" w:cs="Calibri"/>
        <w:color w:val="002060"/>
        <w:szCs w:val="20"/>
        <w:rtl/>
      </w:rPr>
      <w:fldChar w:fldCharType="separate"/>
    </w:r>
    <w:r w:rsidRPr="00681586">
      <w:rPr>
        <w:rFonts w:ascii="Calibri" w:hAnsi="Calibri" w:cs="Calibri"/>
        <w:color w:val="002060"/>
        <w:szCs w:val="20"/>
        <w:rtl/>
      </w:rPr>
      <w:t>3</w:t>
    </w:r>
    <w:r w:rsidRPr="00681586">
      <w:rPr>
        <w:rFonts w:ascii="Calibri" w:hAnsi="Calibri" w:cs="Calibri"/>
        <w:color w:val="002060"/>
        <w:szCs w:val="20"/>
        <w:rtl/>
      </w:rPr>
      <w:fldChar w:fldCharType="end"/>
    </w:r>
    <w:r w:rsidRPr="00681586">
      <w:rPr>
        <w:rFonts w:ascii="Calibri" w:hAnsi="Calibri" w:cs="Calibri"/>
        <w:color w:val="002060"/>
        <w:szCs w:val="20"/>
        <w:rtl/>
      </w:rPr>
      <w:t xml:space="preserve"> </w:t>
    </w:r>
  </w:p>
  <w:p w:rsidR="00AC3D62" w:rsidRPr="00EF4539" w:rsidP="00EF4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1901F5B"/>
    <w:multiLevelType w:val="hybridMultilevel"/>
    <w:tmpl w:val="9EA80BD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1FE1FB9"/>
    <w:multiLevelType w:val="hybridMultilevel"/>
    <w:tmpl w:val="77F8D3A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6DC4758"/>
    <w:multiLevelType w:val="hybridMultilevel"/>
    <w:tmpl w:val="89945D14"/>
    <w:lvl w:ilvl="0">
      <w:start w:val="1"/>
      <w:numFmt w:val="decimal"/>
      <w:lvlText w:val="%1."/>
      <w:lvlJc w:val="left"/>
      <w:pPr>
        <w:ind w:left="360" w:hanging="360"/>
      </w:pPr>
      <w:rPr>
        <w:rFonts w:hint="default"/>
        <w:b/>
        <w:bCs w:val="0"/>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15:restartNumberingAfterBreak="0">
    <w:nsid w:val="06EA5F43"/>
    <w:multiLevelType w:val="hybridMultilevel"/>
    <w:tmpl w:val="250C9E26"/>
    <w:lvl w:ilvl="0">
      <w:start w:val="1"/>
      <w:numFmt w:val="decimal"/>
      <w:lvlText w:val="%1."/>
      <w:lvlJc w:val="left"/>
      <w:pPr>
        <w:ind w:left="1080" w:hanging="360"/>
      </w:pPr>
      <w:rPr>
        <w:rFonts w:hint="default"/>
        <w:b/>
        <w:bCs/>
        <w:sz w:val="26"/>
        <w:lang w:bidi="he-IL"/>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15:restartNumberingAfterBreak="0">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5" w15:restartNumberingAfterBreak="0">
    <w:nsid w:val="0E0930DB"/>
    <w:multiLevelType w:val="hybridMultilevel"/>
    <w:tmpl w:val="05EA1D6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B826FB3"/>
    <w:multiLevelType w:val="hybridMultilevel"/>
    <w:tmpl w:val="FF1EE6A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1C78575A"/>
    <w:multiLevelType w:val="hybridMultilevel"/>
    <w:tmpl w:val="B9C2BA7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25491846"/>
    <w:multiLevelType w:val="hybridMultilevel"/>
    <w:tmpl w:val="A530B4D8"/>
    <w:lvl w:ilvl="0">
      <w:start w:val="1"/>
      <w:numFmt w:val="decimal"/>
      <w:lvlText w:val="%1."/>
      <w:lvlJc w:val="left"/>
      <w:pPr>
        <w:ind w:left="360" w:hanging="360"/>
      </w:pPr>
      <w:rPr>
        <w:rFonts w:hint="default"/>
        <w:b/>
        <w:bCs/>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15:restartNumberingAfterBreak="0">
    <w:nsid w:val="26E4320A"/>
    <w:multiLevelType w:val="hybridMultilevel"/>
    <w:tmpl w:val="1BFAB26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1" w15:restartNumberingAfterBreak="0">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2" w15:restartNumberingAfterBreak="0">
    <w:nsid w:val="3312763A"/>
    <w:multiLevelType w:val="hybridMultilevel"/>
    <w:tmpl w:val="F75AFE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4" w15:restartNumberingAfterBreak="0">
    <w:nsid w:val="37C94DBB"/>
    <w:multiLevelType w:val="hybridMultilevel"/>
    <w:tmpl w:val="C10A0F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6" w15:restartNumberingAfterBreak="0">
    <w:nsid w:val="3E20247E"/>
    <w:multiLevelType w:val="hybridMultilevel"/>
    <w:tmpl w:val="22706A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EDB0DCA"/>
    <w:multiLevelType w:val="hybridMultilevel"/>
    <w:tmpl w:val="656417D8"/>
    <w:lvl w:ilvl="0">
      <w:start w:val="0"/>
      <w:numFmt w:val="bullet"/>
      <w:lvlText w:val="-"/>
      <w:lvlJc w:val="left"/>
      <w:pPr>
        <w:ind w:left="720" w:hanging="360"/>
      </w:pPr>
      <w:rPr>
        <w:rFonts w:ascii="David" w:hAnsi="David"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9" w15:restartNumberingAfterBreak="0">
    <w:nsid w:val="40F006B3"/>
    <w:multiLevelType w:val="hybridMultilevel"/>
    <w:tmpl w:val="6922D6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42E46C54"/>
    <w:multiLevelType w:val="hybridMultilevel"/>
    <w:tmpl w:val="EFFEA9FC"/>
    <w:lvl w:ilvl="0">
      <w:start w:val="1"/>
      <w:numFmt w:val="decimal"/>
      <w:lvlText w:val="%1."/>
      <w:lvlJc w:val="left"/>
      <w:pPr>
        <w:ind w:left="480" w:hanging="360"/>
      </w:pPr>
      <w:rPr>
        <w:rFonts w:hint="default"/>
      </w:rPr>
    </w:lvl>
    <w:lvl w:ilvl="1" w:tentative="1">
      <w:start w:val="1"/>
      <w:numFmt w:val="lowerLetter"/>
      <w:lvlText w:val="%2."/>
      <w:lvlJc w:val="left"/>
      <w:pPr>
        <w:ind w:left="1200" w:hanging="360"/>
      </w:pPr>
    </w:lvl>
    <w:lvl w:ilvl="2" w:tentative="1">
      <w:start w:val="1"/>
      <w:numFmt w:val="lowerRoman"/>
      <w:lvlText w:val="%3."/>
      <w:lvlJc w:val="right"/>
      <w:pPr>
        <w:ind w:left="1920" w:hanging="180"/>
      </w:pPr>
    </w:lvl>
    <w:lvl w:ilvl="3" w:tentative="1">
      <w:start w:val="1"/>
      <w:numFmt w:val="decimal"/>
      <w:lvlText w:val="%4."/>
      <w:lvlJc w:val="left"/>
      <w:pPr>
        <w:ind w:left="2640" w:hanging="360"/>
      </w:pPr>
    </w:lvl>
    <w:lvl w:ilvl="4" w:tentative="1">
      <w:start w:val="1"/>
      <w:numFmt w:val="lowerLetter"/>
      <w:lvlText w:val="%5."/>
      <w:lvlJc w:val="left"/>
      <w:pPr>
        <w:ind w:left="3360" w:hanging="360"/>
      </w:pPr>
    </w:lvl>
    <w:lvl w:ilvl="5" w:tentative="1">
      <w:start w:val="1"/>
      <w:numFmt w:val="lowerRoman"/>
      <w:lvlText w:val="%6."/>
      <w:lvlJc w:val="right"/>
      <w:pPr>
        <w:ind w:left="4080" w:hanging="180"/>
      </w:pPr>
    </w:lvl>
    <w:lvl w:ilvl="6" w:tentative="1">
      <w:start w:val="1"/>
      <w:numFmt w:val="decimal"/>
      <w:lvlText w:val="%7."/>
      <w:lvlJc w:val="left"/>
      <w:pPr>
        <w:ind w:left="4800" w:hanging="360"/>
      </w:pPr>
    </w:lvl>
    <w:lvl w:ilvl="7" w:tentative="1">
      <w:start w:val="1"/>
      <w:numFmt w:val="lowerLetter"/>
      <w:lvlText w:val="%8."/>
      <w:lvlJc w:val="left"/>
      <w:pPr>
        <w:ind w:left="5520" w:hanging="360"/>
      </w:pPr>
    </w:lvl>
    <w:lvl w:ilvl="8" w:tentative="1">
      <w:start w:val="1"/>
      <w:numFmt w:val="lowerRoman"/>
      <w:lvlText w:val="%9."/>
      <w:lvlJc w:val="right"/>
      <w:pPr>
        <w:ind w:left="6240" w:hanging="180"/>
      </w:pPr>
    </w:lvl>
  </w:abstractNum>
  <w:abstractNum w:abstractNumId="21" w15:restartNumberingAfterBreak="0">
    <w:nsid w:val="43D44BCE"/>
    <w:multiLevelType w:val="hybridMultilevel"/>
    <w:tmpl w:val="93303E0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3" w15:restartNumberingAfterBreak="0">
    <w:nsid w:val="49E92BE7"/>
    <w:multiLevelType w:val="hybridMultilevel"/>
    <w:tmpl w:val="730023C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4A875E37"/>
    <w:multiLevelType w:val="hybridMultilevel"/>
    <w:tmpl w:val="E38E79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4B27544D"/>
    <w:multiLevelType w:val="hybridMultilevel"/>
    <w:tmpl w:val="3F8EA6C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4C0E7924"/>
    <w:multiLevelType w:val="hybridMultilevel"/>
    <w:tmpl w:val="9CD87E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8" w15:restartNumberingAfterBreak="0">
    <w:nsid w:val="4E58453A"/>
    <w:multiLevelType w:val="hybridMultilevel"/>
    <w:tmpl w:val="DA9A068C"/>
    <w:lvl w:ilvl="0">
      <w:start w:val="2"/>
      <w:numFmt w:val="bullet"/>
      <w:lvlText w:val="-"/>
      <w:lvlJc w:val="left"/>
      <w:pPr>
        <w:ind w:left="720" w:hanging="360"/>
      </w:pPr>
      <w:rPr>
        <w:rFonts w:ascii="David" w:hAnsi="David"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15:restartNumberingAfterBreak="0">
    <w:nsid w:val="55416F90"/>
    <w:multiLevelType w:val="hybridMultilevel"/>
    <w:tmpl w:val="1272FEF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55486ADA"/>
    <w:multiLevelType w:val="hybridMultilevel"/>
    <w:tmpl w:val="352427A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577161A0"/>
    <w:multiLevelType w:val="hybridMultilevel"/>
    <w:tmpl w:val="C5749C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60723668"/>
    <w:multiLevelType w:val="hybridMultilevel"/>
    <w:tmpl w:val="0338F37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4" w15:restartNumberingAfterBreak="0">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5" w15:restartNumberingAfterBreak="0">
    <w:nsid w:val="6699458C"/>
    <w:multiLevelType w:val="hybridMultilevel"/>
    <w:tmpl w:val="577826D4"/>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6" w15:restartNumberingAfterBreak="0">
    <w:nsid w:val="69CA4901"/>
    <w:multiLevelType w:val="hybridMultilevel"/>
    <w:tmpl w:val="11A42AE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6B9C19EF"/>
    <w:multiLevelType w:val="hybridMultilevel"/>
    <w:tmpl w:val="D4B0DCF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70732B5A"/>
    <w:multiLevelType w:val="hybridMultilevel"/>
    <w:tmpl w:val="9A6A73DE"/>
    <w:lvl w:ilvl="0">
      <w:start w:val="1"/>
      <w:numFmt w:val="decimal"/>
      <w:lvlText w:val="%1."/>
      <w:lvlJc w:val="left"/>
      <w:pPr>
        <w:ind w:left="360" w:hanging="360"/>
      </w:pPr>
      <w:rPr>
        <w:rFonts w:hint="default"/>
        <w:b/>
        <w:bCs/>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 w15:restartNumberingAfterBreak="0">
    <w:nsid w:val="726F4B3C"/>
    <w:multiLevelType w:val="hybridMultilevel"/>
    <w:tmpl w:val="11BCA13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72A441E7"/>
    <w:multiLevelType w:val="hybridMultilevel"/>
    <w:tmpl w:val="65E68CB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15:restartNumberingAfterBreak="0">
    <w:nsid w:val="787E4B6C"/>
    <w:multiLevelType w:val="hybridMultilevel"/>
    <w:tmpl w:val="90162C2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7E042A88"/>
    <w:multiLevelType w:val="hybridMultilevel"/>
    <w:tmpl w:val="F75AFE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15:restartNumberingAfterBreak="0">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44" w15:restartNumberingAfterBreak="0">
    <w:nsid w:val="7EA43191"/>
    <w:multiLevelType w:val="hybridMultilevel"/>
    <w:tmpl w:val="B73891C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7EAC6525"/>
    <w:multiLevelType w:val="hybridMultilevel"/>
    <w:tmpl w:val="2E443F5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43"/>
  </w:num>
  <w:num w:numId="2">
    <w:abstractNumId w:val="27"/>
  </w:num>
  <w:num w:numId="3">
    <w:abstractNumId w:val="18"/>
  </w:num>
  <w:num w:numId="4">
    <w:abstractNumId w:val="4"/>
  </w:num>
  <w:num w:numId="5">
    <w:abstractNumId w:val="22"/>
  </w:num>
  <w:num w:numId="6">
    <w:abstractNumId w:val="34"/>
  </w:num>
  <w:num w:numId="7">
    <w:abstractNumId w:val="15"/>
  </w:num>
  <w:num w:numId="8">
    <w:abstractNumId w:val="11"/>
  </w:num>
  <w:num w:numId="9">
    <w:abstractNumId w:val="10"/>
  </w:num>
  <w:num w:numId="10">
    <w:abstractNumId w:val="13"/>
  </w:num>
  <w:num w:numId="11">
    <w:abstractNumId w:val="45"/>
  </w:num>
  <w:num w:numId="12">
    <w:abstractNumId w:val="2"/>
  </w:num>
  <w:num w:numId="13">
    <w:abstractNumId w:val="3"/>
  </w:num>
  <w:num w:numId="14">
    <w:abstractNumId w:val="19"/>
  </w:num>
  <w:num w:numId="15">
    <w:abstractNumId w:val="23"/>
  </w:num>
  <w:num w:numId="16">
    <w:abstractNumId w:val="39"/>
  </w:num>
  <w:num w:numId="17">
    <w:abstractNumId w:val="30"/>
  </w:num>
  <w:num w:numId="18">
    <w:abstractNumId w:val="9"/>
  </w:num>
  <w:num w:numId="19">
    <w:abstractNumId w:val="8"/>
  </w:num>
  <w:num w:numId="20">
    <w:abstractNumId w:val="38"/>
  </w:num>
  <w:num w:numId="21">
    <w:abstractNumId w:val="41"/>
  </w:num>
  <w:num w:numId="22">
    <w:abstractNumId w:val="42"/>
  </w:num>
  <w:num w:numId="23">
    <w:abstractNumId w:val="28"/>
  </w:num>
  <w:num w:numId="24">
    <w:abstractNumId w:val="12"/>
  </w:num>
  <w:num w:numId="25">
    <w:abstractNumId w:val="20"/>
  </w:num>
  <w:num w:numId="26">
    <w:abstractNumId w:val="24"/>
  </w:num>
  <w:num w:numId="27">
    <w:abstractNumId w:val="36"/>
  </w:num>
  <w:num w:numId="28">
    <w:abstractNumId w:val="25"/>
  </w:num>
  <w:num w:numId="29">
    <w:abstractNumId w:val="21"/>
  </w:num>
  <w:num w:numId="30">
    <w:abstractNumId w:val="16"/>
  </w:num>
  <w:num w:numId="31">
    <w:abstractNumId w:val="32"/>
  </w:num>
  <w:num w:numId="32">
    <w:abstractNumId w:val="5"/>
  </w:num>
  <w:num w:numId="33">
    <w:abstractNumId w:val="0"/>
  </w:num>
  <w:num w:numId="34">
    <w:abstractNumId w:val="35"/>
  </w:num>
  <w:num w:numId="35">
    <w:abstractNumId w:val="33"/>
  </w:num>
  <w:num w:numId="36">
    <w:abstractNumId w:val="37"/>
  </w:num>
  <w:num w:numId="37">
    <w:abstractNumId w:val="7"/>
  </w:num>
  <w:num w:numId="38">
    <w:abstractNumId w:val="1"/>
  </w:num>
  <w:num w:numId="39">
    <w:abstractNumId w:val="40"/>
  </w:num>
  <w:num w:numId="40">
    <w:abstractNumId w:val="26"/>
  </w:num>
  <w:num w:numId="41">
    <w:abstractNumId w:val="44"/>
  </w:num>
  <w:num w:numId="42">
    <w:abstractNumId w:val="14"/>
  </w:num>
  <w:num w:numId="43">
    <w:abstractNumId w:val="6"/>
  </w:num>
  <w:num w:numId="44">
    <w:abstractNumId w:val="29"/>
  </w:num>
  <w:num w:numId="45">
    <w:abstractNumId w:val="17"/>
  </w:num>
  <w:num w:numId="46">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0C24"/>
    <w:rsid w:val="00001181"/>
    <w:rsid w:val="00003B77"/>
    <w:rsid w:val="00013880"/>
    <w:rsid w:val="0001735B"/>
    <w:rsid w:val="00042837"/>
    <w:rsid w:val="000501A4"/>
    <w:rsid w:val="000532AA"/>
    <w:rsid w:val="0006362B"/>
    <w:rsid w:val="000672DA"/>
    <w:rsid w:val="00085CF0"/>
    <w:rsid w:val="000A2A47"/>
    <w:rsid w:val="000B0A0C"/>
    <w:rsid w:val="000B1102"/>
    <w:rsid w:val="000C7459"/>
    <w:rsid w:val="000E013E"/>
    <w:rsid w:val="000E341F"/>
    <w:rsid w:val="000F7725"/>
    <w:rsid w:val="00101D0F"/>
    <w:rsid w:val="00113E28"/>
    <w:rsid w:val="00114325"/>
    <w:rsid w:val="00127512"/>
    <w:rsid w:val="0013088B"/>
    <w:rsid w:val="00166477"/>
    <w:rsid w:val="001730B0"/>
    <w:rsid w:val="001960B4"/>
    <w:rsid w:val="001A613C"/>
    <w:rsid w:val="001B2821"/>
    <w:rsid w:val="001B7364"/>
    <w:rsid w:val="001C057E"/>
    <w:rsid w:val="001C6185"/>
    <w:rsid w:val="001E1B12"/>
    <w:rsid w:val="001E204F"/>
    <w:rsid w:val="001F2D33"/>
    <w:rsid w:val="001F4412"/>
    <w:rsid w:val="00203604"/>
    <w:rsid w:val="0020586C"/>
    <w:rsid w:val="002064F7"/>
    <w:rsid w:val="00240887"/>
    <w:rsid w:val="00257305"/>
    <w:rsid w:val="00257AD4"/>
    <w:rsid w:val="00263521"/>
    <w:rsid w:val="002A401B"/>
    <w:rsid w:val="002A7D21"/>
    <w:rsid w:val="002B3248"/>
    <w:rsid w:val="002C0FD0"/>
    <w:rsid w:val="002C1EE0"/>
    <w:rsid w:val="002C4139"/>
    <w:rsid w:val="002F0D96"/>
    <w:rsid w:val="00301153"/>
    <w:rsid w:val="003079D5"/>
    <w:rsid w:val="00315B1D"/>
    <w:rsid w:val="00323027"/>
    <w:rsid w:val="00332890"/>
    <w:rsid w:val="00354F9A"/>
    <w:rsid w:val="0035786B"/>
    <w:rsid w:val="0037370B"/>
    <w:rsid w:val="0037752E"/>
    <w:rsid w:val="00380052"/>
    <w:rsid w:val="0039415D"/>
    <w:rsid w:val="00396044"/>
    <w:rsid w:val="003A0726"/>
    <w:rsid w:val="003B31F8"/>
    <w:rsid w:val="003D18F4"/>
    <w:rsid w:val="003D61C6"/>
    <w:rsid w:val="003E444D"/>
    <w:rsid w:val="003E58C2"/>
    <w:rsid w:val="004109E8"/>
    <w:rsid w:val="0044278D"/>
    <w:rsid w:val="004779AA"/>
    <w:rsid w:val="00496F3E"/>
    <w:rsid w:val="004A0385"/>
    <w:rsid w:val="004A2D92"/>
    <w:rsid w:val="004B6266"/>
    <w:rsid w:val="004C7D9F"/>
    <w:rsid w:val="005006C5"/>
    <w:rsid w:val="005221ED"/>
    <w:rsid w:val="00546FE2"/>
    <w:rsid w:val="00551B42"/>
    <w:rsid w:val="00551FF7"/>
    <w:rsid w:val="00574579"/>
    <w:rsid w:val="00580C5C"/>
    <w:rsid w:val="005A021D"/>
    <w:rsid w:val="005A2354"/>
    <w:rsid w:val="005C395F"/>
    <w:rsid w:val="0062451B"/>
    <w:rsid w:val="00634DAD"/>
    <w:rsid w:val="00640B60"/>
    <w:rsid w:val="00643063"/>
    <w:rsid w:val="006457EB"/>
    <w:rsid w:val="006531CB"/>
    <w:rsid w:val="00681586"/>
    <w:rsid w:val="006B19A1"/>
    <w:rsid w:val="006C2C6D"/>
    <w:rsid w:val="006D4161"/>
    <w:rsid w:val="006D786C"/>
    <w:rsid w:val="006E1414"/>
    <w:rsid w:val="006F285F"/>
    <w:rsid w:val="00706CBC"/>
    <w:rsid w:val="0072219B"/>
    <w:rsid w:val="00737B46"/>
    <w:rsid w:val="007474F0"/>
    <w:rsid w:val="00753ADE"/>
    <w:rsid w:val="007727E9"/>
    <w:rsid w:val="00773F61"/>
    <w:rsid w:val="00781E1D"/>
    <w:rsid w:val="007929B3"/>
    <w:rsid w:val="007A014D"/>
    <w:rsid w:val="007A4EBD"/>
    <w:rsid w:val="007B00A5"/>
    <w:rsid w:val="007B106F"/>
    <w:rsid w:val="007B112B"/>
    <w:rsid w:val="007B5B26"/>
    <w:rsid w:val="007B691A"/>
    <w:rsid w:val="007C1FF6"/>
    <w:rsid w:val="007D61B8"/>
    <w:rsid w:val="007F6055"/>
    <w:rsid w:val="007F7FF2"/>
    <w:rsid w:val="00803694"/>
    <w:rsid w:val="00805B42"/>
    <w:rsid w:val="008102AD"/>
    <w:rsid w:val="00811C56"/>
    <w:rsid w:val="008131AD"/>
    <w:rsid w:val="00822621"/>
    <w:rsid w:val="008253BD"/>
    <w:rsid w:val="00837997"/>
    <w:rsid w:val="00865CD5"/>
    <w:rsid w:val="00867FC5"/>
    <w:rsid w:val="008814A5"/>
    <w:rsid w:val="00892F80"/>
    <w:rsid w:val="008B28EE"/>
    <w:rsid w:val="008B4F41"/>
    <w:rsid w:val="008C6F75"/>
    <w:rsid w:val="008E06D6"/>
    <w:rsid w:val="008E3D8A"/>
    <w:rsid w:val="009015B2"/>
    <w:rsid w:val="00906E90"/>
    <w:rsid w:val="00906FB1"/>
    <w:rsid w:val="0091051D"/>
    <w:rsid w:val="00933E1C"/>
    <w:rsid w:val="00936F84"/>
    <w:rsid w:val="00940851"/>
    <w:rsid w:val="009679D9"/>
    <w:rsid w:val="0097479D"/>
    <w:rsid w:val="0098295C"/>
    <w:rsid w:val="009947D3"/>
    <w:rsid w:val="009B757F"/>
    <w:rsid w:val="009C6066"/>
    <w:rsid w:val="009D0A4C"/>
    <w:rsid w:val="009D29B7"/>
    <w:rsid w:val="009D73F5"/>
    <w:rsid w:val="009E1A3F"/>
    <w:rsid w:val="009E53CF"/>
    <w:rsid w:val="009F0BD3"/>
    <w:rsid w:val="009F31E0"/>
    <w:rsid w:val="00A222E2"/>
    <w:rsid w:val="00A22DA7"/>
    <w:rsid w:val="00A23572"/>
    <w:rsid w:val="00A25200"/>
    <w:rsid w:val="00A61AD5"/>
    <w:rsid w:val="00A73038"/>
    <w:rsid w:val="00A73A61"/>
    <w:rsid w:val="00A76C99"/>
    <w:rsid w:val="00A81EBE"/>
    <w:rsid w:val="00A960C8"/>
    <w:rsid w:val="00AC3D62"/>
    <w:rsid w:val="00AC6B95"/>
    <w:rsid w:val="00AE60E6"/>
    <w:rsid w:val="00B00E5C"/>
    <w:rsid w:val="00B02741"/>
    <w:rsid w:val="00B20C96"/>
    <w:rsid w:val="00B25179"/>
    <w:rsid w:val="00B4321D"/>
    <w:rsid w:val="00B666B9"/>
    <w:rsid w:val="00B76DC1"/>
    <w:rsid w:val="00B862C0"/>
    <w:rsid w:val="00BA015C"/>
    <w:rsid w:val="00BC26CD"/>
    <w:rsid w:val="00BE2DD8"/>
    <w:rsid w:val="00C1227E"/>
    <w:rsid w:val="00C2305A"/>
    <w:rsid w:val="00C23CC9"/>
    <w:rsid w:val="00C30B3D"/>
    <w:rsid w:val="00C33AE2"/>
    <w:rsid w:val="00C8096C"/>
    <w:rsid w:val="00C8100B"/>
    <w:rsid w:val="00C839DB"/>
    <w:rsid w:val="00C85B62"/>
    <w:rsid w:val="00C92676"/>
    <w:rsid w:val="00CA41D2"/>
    <w:rsid w:val="00CA4F20"/>
    <w:rsid w:val="00CC712C"/>
    <w:rsid w:val="00CD28D9"/>
    <w:rsid w:val="00D05C85"/>
    <w:rsid w:val="00D06437"/>
    <w:rsid w:val="00D10503"/>
    <w:rsid w:val="00D22748"/>
    <w:rsid w:val="00D26918"/>
    <w:rsid w:val="00D37121"/>
    <w:rsid w:val="00D779F7"/>
    <w:rsid w:val="00D8272C"/>
    <w:rsid w:val="00D87542"/>
    <w:rsid w:val="00D95C20"/>
    <w:rsid w:val="00D96040"/>
    <w:rsid w:val="00D97C16"/>
    <w:rsid w:val="00DA56CB"/>
    <w:rsid w:val="00DE1DAB"/>
    <w:rsid w:val="00DE20A2"/>
    <w:rsid w:val="00DE4421"/>
    <w:rsid w:val="00DF0B89"/>
    <w:rsid w:val="00E0338A"/>
    <w:rsid w:val="00E122EE"/>
    <w:rsid w:val="00E35682"/>
    <w:rsid w:val="00E430D9"/>
    <w:rsid w:val="00E46EA3"/>
    <w:rsid w:val="00E51C1B"/>
    <w:rsid w:val="00E53DA7"/>
    <w:rsid w:val="00E97F16"/>
    <w:rsid w:val="00EC6B44"/>
    <w:rsid w:val="00EE37A3"/>
    <w:rsid w:val="00EE57E1"/>
    <w:rsid w:val="00EF4539"/>
    <w:rsid w:val="00F14F6D"/>
    <w:rsid w:val="00F248E4"/>
    <w:rsid w:val="00F36CB4"/>
    <w:rsid w:val="00F4385E"/>
    <w:rsid w:val="00F44380"/>
    <w:rsid w:val="00F627EB"/>
    <w:rsid w:val="00F75A10"/>
    <w:rsid w:val="00F77276"/>
    <w:rsid w:val="00F954E4"/>
    <w:rsid w:val="00F95853"/>
    <w:rsid w:val="00FB3F26"/>
    <w:rsid w:val="00FC3213"/>
    <w:rsid w:val="00FC48C6"/>
    <w:rsid w:val="00FF1862"/>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F1"/>
    <w:basedOn w:val="Normal"/>
    <w:link w:val="a4"/>
    <w:uiPriority w:val="99"/>
    <w:qFormat/>
    <w:rsid w:val="00574579"/>
    <w:pPr>
      <w:spacing w:line="240" w:lineRule="auto"/>
      <w:ind w:left="720" w:hanging="720"/>
    </w:pPr>
    <w:rPr>
      <w:szCs w:val="20"/>
    </w:rPr>
  </w:style>
  <w:style w:type="character" w:customStyle="1" w:styleId="a4">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semiHidden/>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table" w:styleId="GridTable4Accent1">
    <w:name w:val="Grid Table 4 Accent 1"/>
    <w:basedOn w:val="TableNormal"/>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9">
    <w:name w:val="אזכור לא מזוהה1"/>
    <w:basedOn w:val="DefaultParagraphFont"/>
    <w:uiPriority w:val="99"/>
    <w:semiHidden/>
    <w:unhideWhenUsed/>
    <w:rsid w:val="00354F9A"/>
    <w:rPr>
      <w:color w:val="605E5C"/>
      <w:shd w:val="clear" w:color="auto" w:fill="E1DFDD"/>
    </w:rPr>
  </w:style>
  <w:style w:type="table" w:styleId="GridTable5DarkAccent1">
    <w:name w:val="Grid Table 5 Dark Accent 1"/>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Strong">
    <w:name w:val="Strong"/>
    <w:basedOn w:val="DefaultParagraphFont"/>
    <w:uiPriority w:val="22"/>
    <w:qFormat/>
    <w:rsid w:val="00681586"/>
    <w:rPr>
      <w:b/>
      <w:bCs/>
    </w:rPr>
  </w:style>
  <w:style w:type="table" w:customStyle="1" w:styleId="110">
    <w:name w:val="טבלת רשת 1 בהירה1"/>
    <w:basedOn w:val="TableNormal"/>
    <w:next w:val="GridTable1Light"/>
    <w:uiPriority w:val="46"/>
    <w:rsid w:val="00681586"/>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6815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image" Target="media/image11.png"/><Relationship Id="rId2" Type="http://schemas.openxmlformats.org/officeDocument/2006/relationships/settings" Target="settings.xml"/><Relationship Id="rId29" Type="http://schemas.openxmlformats.org/officeDocument/2006/relationships/image" Target="media/image24.png"/><Relationship Id="rId1"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eader" Target="header3.xml"/><Relationship Id="rId6" Type="http://schemas.openxmlformats.org/officeDocument/2006/relationships/header" Target="header1.xml"/><Relationship Id="rId45" Type="http://schemas.openxmlformats.org/officeDocument/2006/relationships/customXml" Target="../customXml/item3.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5" Type="http://schemas.openxmlformats.org/officeDocument/2006/relationships/customXml" Target="../customXml/item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customXml" Target="../customXml/item2.xm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 Type="http://schemas.openxmlformats.org/officeDocument/2006/relationships/fontTable" Target="fontTable.xml"/><Relationship Id="rId43" Type="http://schemas.openxmlformats.org/officeDocument/2006/relationships/styles" Target="styles.xml"/><Relationship Id="rId9" Type="http://schemas.openxmlformats.org/officeDocument/2006/relationships/image" Target="media/image4.png"/><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customXml" Target="../customXml/item4.xml"/><Relationship Id="rId20" Type="http://schemas.openxmlformats.org/officeDocument/2006/relationships/image" Target="media/image15.png"/><Relationship Id="rId41" Type="http://schemas.openxmlformats.org/officeDocument/2006/relationships/theme" Target="theme/theme1.xml"/></Relationships>
</file>

<file path=word/_rels/footnotes.xml.rels><?xml version="1.0" encoding="utf-8" standalone="yes"?><Relationships xmlns="http://schemas.openxmlformats.org/package/2006/relationships"><Relationship Id="rId1" Type="http://schemas.openxmlformats.org/officeDocument/2006/relationships/hyperlink" Target="https://www.oecd.org/en/publications/serials/oecd-health-working-papers_g17270e9.html" TargetMode="External" /><Relationship Id="rId2" Type="http://schemas.openxmlformats.org/officeDocument/2006/relationships/hyperlink" Target="https://hign.org/sites/default/files/2020-06/Try_This_General_Assessment_2.pdf"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 Id="rId3"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F046614-4682-4862-943B-1BE3DA6405AE}">
  <ds:schemaRefs>
    <ds:schemaRef ds:uri="http://schemas.openxmlformats.org/officeDocument/2006/bibliography"/>
  </ds:schemaRefs>
</ds:datastoreItem>
</file>

<file path=customXml/itemProps2.xml><?xml version="1.0" encoding="utf-8"?>
<ds:datastoreItem xmlns:ds="http://schemas.openxmlformats.org/officeDocument/2006/customXml" ds:itemID="{569FD377-1099-4995-8620-8C549A98DDBD}"/>
</file>

<file path=customXml/itemProps3.xml><?xml version="1.0" encoding="utf-8"?>
<ds:datastoreItem xmlns:ds="http://schemas.openxmlformats.org/officeDocument/2006/customXml" ds:itemID="{940FCB34-A9D9-43EA-A1E8-4C94DEDB9B2C}"/>
</file>

<file path=customXml/itemProps4.xml><?xml version="1.0" encoding="utf-8"?>
<ds:datastoreItem xmlns:ds="http://schemas.openxmlformats.org/officeDocument/2006/customXml" ds:itemID="{1EBA1B77-6628-49B5-B183-2E7DE4CA7C3F}"/>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