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6E1414" w:rsidP="00A65E62">
      <w:pPr>
        <w:spacing w:line="269" w:lineRule="auto"/>
        <w:ind w:left="-285"/>
        <w:jc w:val="center"/>
        <w:rPr>
          <w:rFonts w:ascii="Calibri" w:hAnsi="Calibri" w:cs="Calibri"/>
          <w:b/>
          <w:bCs/>
          <w:color w:val="002060"/>
          <w:sz w:val="80"/>
          <w:szCs w:val="80"/>
          <w:rtl/>
        </w:rPr>
      </w:pPr>
      <w:r w:rsidRPr="00590C3B">
        <w:rPr>
          <w:rFonts w:ascii="Calibri" w:hAnsi="Calibri" w:cs="Calibri"/>
          <w:b/>
          <w:bCs/>
          <w:color w:val="002060"/>
          <w:sz w:val="80"/>
          <w:szCs w:val="80"/>
          <w:rtl/>
        </w:rPr>
        <w:t>היערכות מערכת הבריאות בישראל להזדקנות האוכלוסייה</w:t>
      </w:r>
    </w:p>
    <w:p w:rsidR="00D125D2" w:rsidRPr="00A65E62" w:rsidP="00A65E62">
      <w:pPr>
        <w:spacing w:line="269" w:lineRule="auto"/>
        <w:ind w:left="-285"/>
        <w:jc w:val="center"/>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first" r:id="rId9"/>
          <w:pgSz w:w="11906" w:h="16838"/>
          <w:pgMar w:top="1701" w:right="1985" w:bottom="1588" w:left="1701" w:header="709" w:footer="709" w:gutter="0"/>
          <w:cols w:space="708"/>
          <w:titlePg/>
          <w:bidi/>
          <w:rtlGutter/>
          <w:docGrid w:linePitch="360"/>
        </w:sectPr>
      </w:pPr>
    </w:p>
    <w:tbl>
      <w:tblPr>
        <w:tblStyle w:val="TableGrid"/>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3358C0">
        <w:tblPrEx>
          <w:tblW w:w="9783" w:type="dxa"/>
          <w:tblLook w:val="04A0"/>
        </w:tblPrEx>
        <w:tc>
          <w:tcPr>
            <w:tcW w:w="9783" w:type="dxa"/>
          </w:tcPr>
          <w:p w:rsidR="00590C3B" w:rsidRPr="00590C3B" w:rsidP="00590C3B">
            <w:pPr>
              <w:spacing w:after="120" w:line="240" w:lineRule="auto"/>
              <w:jc w:val="left"/>
              <w:rPr>
                <w:rFonts w:ascii="Tahoma" w:eastAsia="Calibri" w:hAnsi="Tahoma" w:cs="Tahoma"/>
                <w:b/>
                <w:bCs/>
                <w:sz w:val="40"/>
                <w:szCs w:val="40"/>
                <w:rtl/>
              </w:rPr>
            </w:pPr>
            <w:bookmarkStart w:id="0" w:name="_Hlk212385763"/>
            <w:bookmarkStart w:id="1" w:name="_Hlk213668100"/>
            <w:bookmarkStart w:id="2" w:name="_Hlk222837305"/>
            <w:r w:rsidRPr="00590C3B">
              <w:rPr>
                <w:rFonts w:ascii="Tahoma" w:eastAsia="Calibri" w:hAnsi="Tahoma" w:cs="Tahoma"/>
                <w:b/>
                <w:bCs/>
                <w:sz w:val="40"/>
                <w:szCs w:val="40"/>
                <w:rtl/>
              </w:rPr>
              <w:t>היערכות מערכת הבריאות בישראל להזדקנות האוכלוסייה</w:t>
            </w:r>
          </w:p>
          <w:p w:rsidR="00590C3B" w:rsidRPr="00590C3B" w:rsidP="00590C3B">
            <w:pPr>
              <w:spacing w:line="288" w:lineRule="auto"/>
              <w:jc w:val="left"/>
              <w:rPr>
                <w:rFonts w:ascii="Tahoma" w:eastAsia="Calibri" w:hAnsi="Tahoma" w:cs="Tahoma"/>
                <w:rtl/>
              </w:rPr>
            </w:pPr>
            <w:r w:rsidRPr="00590C3B">
              <w:rPr>
                <w:rFonts w:ascii="Tahoma" w:eastAsia="Calibri" w:hAnsi="Tahoma" w:cs="Tahoma"/>
                <w:sz w:val="36"/>
                <w:szCs w:val="36"/>
                <w:rtl/>
              </w:rPr>
              <w:t>תקציר</w:t>
            </w:r>
          </w:p>
          <w:p w:rsidR="00590C3B" w:rsidRPr="00590C3B" w:rsidP="00590C3B">
            <w:pPr>
              <w:spacing w:line="288" w:lineRule="auto"/>
              <w:ind w:left="-851"/>
              <w:jc w:val="left"/>
              <w:rPr>
                <w:rFonts w:eastAsia="Calibri"/>
                <w:rtl/>
              </w:rPr>
            </w:pPr>
          </w:p>
        </w:tc>
      </w:tr>
    </w:tbl>
    <w:p w:rsidR="00590C3B" w:rsidRPr="00590C3B" w:rsidP="00590C3B">
      <w:pPr>
        <w:spacing w:line="288" w:lineRule="auto"/>
        <w:ind w:left="-851"/>
        <w:rPr>
          <w:rFonts w:eastAsia="Calibri"/>
          <w:rtl/>
        </w:rPr>
      </w:pPr>
    </w:p>
    <w:p w:rsidR="00590C3B" w:rsidRPr="00590C3B" w:rsidP="00590C3B">
      <w:pPr>
        <w:spacing w:line="288" w:lineRule="auto"/>
        <w:ind w:left="-851"/>
        <w:rPr>
          <w:rFonts w:eastAsia="Calibri"/>
          <w:rtl/>
        </w:rPr>
      </w:pPr>
      <w:r w:rsidRPr="00590C3B">
        <w:rPr>
          <w:rFonts w:ascii="Tahoma" w:eastAsia="Calibri" w:hAnsi="Tahoma" w:cs="Tahoma"/>
          <w:noProof/>
          <w:rtl/>
        </w:rPr>
        <w:drawing>
          <wp:inline distT="0" distB="0" distL="0" distR="0">
            <wp:extent cx="1638300" cy="4114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590C3B" w:rsidRPr="00590C3B" w:rsidP="00590C3B">
      <w:pPr>
        <w:spacing w:after="60" w:line="288" w:lineRule="auto"/>
        <w:ind w:left="-709" w:right="-567"/>
        <w:rPr>
          <w:rFonts w:ascii="Tahoma" w:eastAsia="Calibri" w:hAnsi="Tahoma" w:cs="Tahoma"/>
          <w:sz w:val="19"/>
          <w:szCs w:val="19"/>
          <w:rtl/>
        </w:rPr>
      </w:pPr>
      <w:r w:rsidRPr="00590C3B">
        <w:rPr>
          <w:rFonts w:ascii="Tahoma" w:eastAsia="Calibri" w:hAnsi="Tahoma" w:cs="Tahoma"/>
          <w:sz w:val="19"/>
          <w:szCs w:val="19"/>
          <w:rtl/>
        </w:rPr>
        <w:t xml:space="preserve">העלייה בתוחלת החיים בישראל והזדקנות האוכלוסייה מציבות אתגר משמעותי </w:t>
      </w:r>
      <w:r w:rsidRPr="00590C3B">
        <w:rPr>
          <w:rFonts w:ascii="Tahoma" w:eastAsia="Calibri" w:hAnsi="Tahoma" w:cs="Tahoma" w:hint="cs"/>
          <w:sz w:val="19"/>
          <w:szCs w:val="19"/>
          <w:rtl/>
        </w:rPr>
        <w:t>ב</w:t>
      </w:r>
      <w:r w:rsidRPr="00590C3B">
        <w:rPr>
          <w:rFonts w:ascii="Tahoma" w:eastAsia="Calibri" w:hAnsi="Tahoma" w:cs="Tahoma"/>
          <w:sz w:val="19"/>
          <w:szCs w:val="19"/>
          <w:rtl/>
        </w:rPr>
        <w:t xml:space="preserve">פני מערכת הבריאות, שכן הגידול הצפוי במספר הזקנים מעל גיל 65 ובשיעורם באוכלוסייה משמעותו צריכה מרובה יותר של שירותי בריאות בקופות החולים ובבתי </w:t>
      </w:r>
      <w:r w:rsidRPr="00590C3B">
        <w:rPr>
          <w:rFonts w:ascii="Tahoma" w:eastAsia="Calibri" w:hAnsi="Tahoma" w:cs="Tahoma" w:hint="cs"/>
          <w:sz w:val="19"/>
          <w:szCs w:val="19"/>
          <w:rtl/>
        </w:rPr>
        <w:t>ה</w:t>
      </w:r>
      <w:r w:rsidRPr="00590C3B">
        <w:rPr>
          <w:rFonts w:ascii="Tahoma" w:eastAsia="Calibri" w:hAnsi="Tahoma" w:cs="Tahoma"/>
          <w:sz w:val="19"/>
          <w:szCs w:val="19"/>
          <w:rtl/>
        </w:rPr>
        <w:t xml:space="preserve">חולים. אנשים זקנים חשופים למחלות בשל שינויים החלים בגוף עם חלוף הזמן, כדוגמת היחלשות מערכת החיסון </w:t>
      </w:r>
      <w:r w:rsidRPr="00590C3B">
        <w:rPr>
          <w:rFonts w:ascii="Tahoma" w:eastAsia="Calibri" w:hAnsi="Tahoma" w:cs="Tahoma" w:hint="cs"/>
          <w:sz w:val="19"/>
          <w:szCs w:val="19"/>
          <w:rtl/>
        </w:rPr>
        <w:t>וירידה ברזרבה הפיזיולוגית</w:t>
      </w:r>
      <w:r w:rsidRPr="00590C3B">
        <w:rPr>
          <w:rFonts w:ascii="Tahoma" w:eastAsia="Calibri" w:hAnsi="Tahoma" w:cs="Tahoma"/>
          <w:sz w:val="19"/>
          <w:szCs w:val="19"/>
          <w:rtl/>
        </w:rPr>
        <w:t>, ונוטים לפתח מחלות כרוניות כ</w:t>
      </w:r>
      <w:r w:rsidRPr="00590C3B">
        <w:rPr>
          <w:rFonts w:ascii="Tahoma" w:eastAsia="Calibri" w:hAnsi="Tahoma" w:cs="Tahoma" w:hint="cs"/>
          <w:sz w:val="19"/>
          <w:szCs w:val="19"/>
          <w:rtl/>
        </w:rPr>
        <w:t>גון</w:t>
      </w:r>
      <w:r w:rsidRPr="00590C3B">
        <w:rPr>
          <w:rFonts w:ascii="Tahoma" w:eastAsia="Calibri" w:hAnsi="Tahoma" w:cs="Tahoma"/>
          <w:sz w:val="19"/>
          <w:szCs w:val="19"/>
          <w:rtl/>
        </w:rPr>
        <w:t xml:space="preserve"> סוכרת ומחלות לב, מצבים המגבירים את הסיכון לסיבוכים רפואיים ולתחלואה נוספת.</w:t>
      </w:r>
    </w:p>
    <w:p w:rsidR="00590C3B" w:rsidRPr="00590C3B" w:rsidP="00590C3B">
      <w:pPr>
        <w:spacing w:after="60" w:line="288" w:lineRule="auto"/>
        <w:ind w:left="-709" w:right="-567"/>
        <w:rPr>
          <w:rFonts w:ascii="Tahoma" w:eastAsia="Calibri" w:hAnsi="Tahoma" w:cs="Tahoma"/>
          <w:sz w:val="19"/>
          <w:szCs w:val="19"/>
          <w:rtl/>
        </w:rPr>
      </w:pPr>
      <w:r w:rsidRPr="00590C3B">
        <w:rPr>
          <w:rFonts w:ascii="Tahoma" w:eastAsia="Calibri" w:hAnsi="Tahoma" w:cs="Tahoma"/>
          <w:sz w:val="19"/>
          <w:szCs w:val="19"/>
          <w:rtl/>
        </w:rPr>
        <w:t xml:space="preserve">הערכת המצב האסטרטגית כלכלית-חברתית של המועצה הלאומית לכלכלה משנת 2015 (הערכת המצב האסטרטגית) </w:t>
      </w:r>
      <w:r w:rsidRPr="00590C3B">
        <w:rPr>
          <w:rFonts w:ascii="Tahoma" w:eastAsia="Calibri" w:hAnsi="Tahoma" w:cs="Tahoma" w:hint="cs"/>
          <w:sz w:val="19"/>
          <w:szCs w:val="19"/>
          <w:rtl/>
        </w:rPr>
        <w:t>ראתה ב</w:t>
      </w:r>
      <w:r w:rsidRPr="00590C3B">
        <w:rPr>
          <w:rFonts w:ascii="Tahoma" w:eastAsia="Calibri" w:hAnsi="Tahoma" w:cs="Tahoma"/>
          <w:sz w:val="19"/>
          <w:szCs w:val="19"/>
          <w:rtl/>
        </w:rPr>
        <w:t xml:space="preserve">הזדקנות האוכלוסייה </w:t>
      </w:r>
      <w:r w:rsidRPr="00590C3B">
        <w:rPr>
          <w:rFonts w:ascii="Tahoma" w:eastAsia="Calibri" w:hAnsi="Tahoma" w:cs="Tahoma" w:hint="cs"/>
          <w:sz w:val="19"/>
          <w:szCs w:val="19"/>
          <w:rtl/>
        </w:rPr>
        <w:t xml:space="preserve">את </w:t>
      </w:r>
      <w:r w:rsidRPr="00590C3B">
        <w:rPr>
          <w:rFonts w:ascii="Tahoma" w:eastAsia="Calibri" w:hAnsi="Tahoma" w:cs="Tahoma"/>
          <w:sz w:val="19"/>
          <w:szCs w:val="19"/>
          <w:rtl/>
        </w:rPr>
        <w:t xml:space="preserve">אחד מהאתגרים הניצבים בפני המדינה וקבעה, בין היתר, כי על מערכת הבריאות להיערך להזדקנות האוכלוסייה </w:t>
      </w:r>
      <w:r w:rsidRPr="00590C3B">
        <w:rPr>
          <w:rFonts w:ascii="Tahoma" w:eastAsia="Calibri" w:hAnsi="Tahoma" w:cs="Tahoma" w:hint="cs"/>
          <w:sz w:val="19"/>
          <w:szCs w:val="19"/>
          <w:rtl/>
        </w:rPr>
        <w:t xml:space="preserve">בייחוד </w:t>
      </w:r>
      <w:r w:rsidRPr="00590C3B">
        <w:rPr>
          <w:rFonts w:ascii="Tahoma" w:eastAsia="Calibri" w:hAnsi="Tahoma" w:cs="Tahoma"/>
          <w:sz w:val="19"/>
          <w:szCs w:val="19"/>
          <w:rtl/>
        </w:rPr>
        <w:t>בהיבטי</w:t>
      </w:r>
      <w:r w:rsidRPr="00590C3B">
        <w:rPr>
          <w:rFonts w:ascii="Tahoma" w:eastAsia="Calibri" w:hAnsi="Tahoma" w:cs="Tahoma" w:hint="cs"/>
          <w:sz w:val="19"/>
          <w:szCs w:val="19"/>
          <w:rtl/>
        </w:rPr>
        <w:t>ם של</w:t>
      </w:r>
      <w:r w:rsidRPr="00590C3B">
        <w:rPr>
          <w:rFonts w:ascii="Tahoma" w:eastAsia="Calibri" w:hAnsi="Tahoma" w:cs="Tahoma"/>
          <w:sz w:val="19"/>
          <w:szCs w:val="19"/>
          <w:rtl/>
        </w:rPr>
        <w:t xml:space="preserve"> כוח אדם ותשתיות, שכן הצפי הוא שמספר הזקנים ילך ויעלה, ואיתו גם </w:t>
      </w:r>
      <w:r w:rsidRPr="00590C3B">
        <w:rPr>
          <w:rFonts w:ascii="Tahoma" w:eastAsia="Calibri" w:hAnsi="Tahoma" w:cs="Tahoma" w:hint="cs"/>
          <w:sz w:val="19"/>
          <w:szCs w:val="19"/>
          <w:rtl/>
        </w:rPr>
        <w:t xml:space="preserve">יגבר </w:t>
      </w:r>
      <w:r w:rsidRPr="00590C3B">
        <w:rPr>
          <w:rFonts w:ascii="Tahoma" w:eastAsia="Calibri" w:hAnsi="Tahoma" w:cs="Tahoma"/>
          <w:sz w:val="19"/>
          <w:szCs w:val="19"/>
          <w:rtl/>
        </w:rPr>
        <w:t>העומס על שירותי הבריאות. הממשלה אימצה ב-2015 את הערכת המצב האסטרטגית בהחלטת הממשלה 150 בנושא "קידום הסוגיה האסטרטגית 'היערכות להזדקנות האוכלוסייה' כנגזרת מהערכת המצב האסטרטגית כלכלית-חברתית לממשלה" (החלטה 150)</w:t>
      </w:r>
      <w:r w:rsidRPr="00590C3B">
        <w:rPr>
          <w:rFonts w:ascii="Tahoma" w:eastAsia="Calibri" w:hAnsi="Tahoma" w:cs="Tahoma" w:hint="cs"/>
          <w:sz w:val="19"/>
          <w:szCs w:val="19"/>
          <w:rtl/>
        </w:rPr>
        <w:t>.</w:t>
      </w:r>
    </w:p>
    <w:p w:rsidR="00590C3B" w:rsidRPr="00590C3B" w:rsidP="00590C3B">
      <w:pPr>
        <w:spacing w:after="60" w:line="288" w:lineRule="auto"/>
        <w:ind w:left="-709" w:right="-567"/>
        <w:rPr>
          <w:rFonts w:ascii="Tahoma" w:eastAsia="Calibri" w:hAnsi="Tahoma" w:cs="Tahoma"/>
          <w:sz w:val="19"/>
          <w:szCs w:val="19"/>
          <w:rtl/>
        </w:rPr>
      </w:pPr>
      <w:r w:rsidRPr="00590C3B">
        <w:rPr>
          <w:rFonts w:ascii="Tahoma" w:eastAsia="Calibri" w:hAnsi="Tahoma" w:cs="Tahoma"/>
          <w:sz w:val="19"/>
          <w:szCs w:val="19"/>
          <w:rtl/>
        </w:rPr>
        <w:t xml:space="preserve">בהמשך להחלטות הממשלה שהתקבלו בעשור האחרון, ובהן החלטה 150, המגדירות כיווני פעולה ומדדים מרכזיים לשם התמודדות אפקטיבית של מערכת הבריאות עם אתגר ההזדקנות, וכדי להיערך להזדקנות האוכלוסייה באופן שיצמצם את העומס הצפוי על מערכת הבריאות וישפר את רווחתם של הזקנים, </w:t>
      </w:r>
      <w:r w:rsidRPr="00590C3B">
        <w:rPr>
          <w:rFonts w:ascii="Tahoma" w:eastAsia="Calibri" w:hAnsi="Tahoma" w:cs="Tahoma" w:hint="cs"/>
          <w:sz w:val="19"/>
          <w:szCs w:val="19"/>
          <w:rtl/>
        </w:rPr>
        <w:t xml:space="preserve">גיבש </w:t>
      </w:r>
      <w:r w:rsidRPr="00590C3B">
        <w:rPr>
          <w:rFonts w:ascii="Tahoma" w:eastAsia="Calibri" w:hAnsi="Tahoma" w:cs="Tahoma"/>
          <w:sz w:val="19"/>
          <w:szCs w:val="19"/>
          <w:rtl/>
        </w:rPr>
        <w:t xml:space="preserve">משרד הבריאות תוכנית להזדקנות מיטבית - קידום בריאות ומניעת מחלות (התוכנית להזדקנות מיטבית) ותוכנית לאומית להיערכות מערכת הבריאות להזדקנות האוכלוסייה. תוכניות אלה </w:t>
      </w:r>
      <w:r w:rsidRPr="00590C3B">
        <w:rPr>
          <w:rFonts w:ascii="Tahoma" w:eastAsia="Calibri" w:hAnsi="Tahoma" w:cs="Tahoma" w:hint="cs"/>
          <w:sz w:val="19"/>
          <w:szCs w:val="19"/>
          <w:rtl/>
        </w:rPr>
        <w:t>הן ביטוי</w:t>
      </w:r>
      <w:r w:rsidRPr="00590C3B">
        <w:rPr>
          <w:rFonts w:ascii="Tahoma" w:eastAsia="Calibri" w:hAnsi="Tahoma" w:cs="Tahoma"/>
          <w:sz w:val="19"/>
          <w:szCs w:val="19"/>
          <w:rtl/>
        </w:rPr>
        <w:t xml:space="preserve"> </w:t>
      </w:r>
      <w:r w:rsidRPr="00590C3B">
        <w:rPr>
          <w:rFonts w:ascii="Tahoma" w:eastAsia="Calibri" w:hAnsi="Tahoma" w:cs="Tahoma" w:hint="cs"/>
          <w:sz w:val="19"/>
          <w:szCs w:val="19"/>
          <w:rtl/>
        </w:rPr>
        <w:t>ל</w:t>
      </w:r>
      <w:r w:rsidRPr="00590C3B">
        <w:rPr>
          <w:rFonts w:ascii="Tahoma" w:eastAsia="Calibri" w:hAnsi="Tahoma" w:cs="Tahoma"/>
          <w:sz w:val="19"/>
          <w:szCs w:val="19"/>
          <w:rtl/>
        </w:rPr>
        <w:t>מדיניות המשרדית הנוגעת להיערכות מערכת הבריאות להזדקנות האוכלוסייה, ובמוקדן הזדקנות בריאה, קידום בריאות, איתור מוקדם של מחלות ומניעתן ומניע</w:t>
      </w:r>
      <w:r w:rsidRPr="00590C3B">
        <w:rPr>
          <w:rFonts w:ascii="Tahoma" w:eastAsia="Calibri" w:hAnsi="Tahoma" w:cs="Tahoma" w:hint="cs"/>
          <w:sz w:val="19"/>
          <w:szCs w:val="19"/>
          <w:rtl/>
        </w:rPr>
        <w:t>ה של</w:t>
      </w:r>
      <w:r w:rsidRPr="00590C3B">
        <w:rPr>
          <w:rFonts w:ascii="Tahoma" w:eastAsia="Calibri" w:hAnsi="Tahoma" w:cs="Tahoma"/>
          <w:sz w:val="19"/>
          <w:szCs w:val="19"/>
          <w:rtl/>
        </w:rPr>
        <w:t xml:space="preserve"> הידרדרות בריאותית. </w:t>
      </w:r>
    </w:p>
    <w:p w:rsidR="00590C3B" w:rsidRPr="00590C3B" w:rsidP="00590C3B">
      <w:pPr>
        <w:spacing w:after="60" w:line="288" w:lineRule="auto"/>
        <w:ind w:left="-709" w:right="-567"/>
        <w:rPr>
          <w:rFonts w:ascii="Tahoma" w:eastAsia="Calibri" w:hAnsi="Tahoma" w:cs="Tahoma"/>
          <w:sz w:val="19"/>
          <w:szCs w:val="19"/>
          <w:rtl/>
        </w:rPr>
      </w:pPr>
      <w:r w:rsidRPr="00590C3B">
        <w:rPr>
          <w:rFonts w:ascii="Tahoma" w:eastAsia="Calibri" w:hAnsi="Tahoma" w:cs="Tahoma" w:hint="cs"/>
          <w:sz w:val="19"/>
          <w:szCs w:val="19"/>
          <w:rtl/>
        </w:rPr>
        <w:t>"</w:t>
      </w:r>
      <w:r w:rsidRPr="00590C3B">
        <w:rPr>
          <w:rFonts w:ascii="Tahoma" w:eastAsia="Calibri" w:hAnsi="Tahoma" w:cs="Tahoma"/>
          <w:sz w:val="19"/>
          <w:szCs w:val="19"/>
          <w:rtl/>
        </w:rPr>
        <w:t>שבריריות</w:t>
      </w:r>
      <w:r w:rsidRPr="00590C3B">
        <w:rPr>
          <w:rFonts w:ascii="Tahoma" w:eastAsia="Calibri" w:hAnsi="Tahoma" w:cs="Tahoma" w:hint="cs"/>
          <w:sz w:val="19"/>
          <w:szCs w:val="19"/>
          <w:rtl/>
        </w:rPr>
        <w:t>"</w:t>
      </w:r>
      <w:r w:rsidRPr="00590C3B">
        <w:rPr>
          <w:rFonts w:ascii="Tahoma" w:eastAsia="Calibri" w:hAnsi="Tahoma" w:cs="Tahoma"/>
          <w:sz w:val="19"/>
          <w:szCs w:val="19"/>
          <w:rtl/>
        </w:rPr>
        <w:t xml:space="preserve"> </w:t>
      </w:r>
      <w:r w:rsidRPr="00590C3B">
        <w:rPr>
          <w:rFonts w:ascii="Tahoma" w:eastAsia="Calibri" w:hAnsi="Tahoma" w:cs="Tahoma" w:hint="cs"/>
          <w:sz w:val="19"/>
          <w:szCs w:val="19"/>
          <w:rtl/>
        </w:rPr>
        <w:t>(</w:t>
      </w:r>
      <w:r w:rsidRPr="00590C3B">
        <w:rPr>
          <w:rFonts w:ascii="Tahoma" w:eastAsia="Calibri" w:hAnsi="Tahoma" w:cs="Tahoma"/>
          <w:sz w:val="19"/>
          <w:szCs w:val="19"/>
        </w:rPr>
        <w:t>frailty</w:t>
      </w:r>
      <w:r w:rsidRPr="00590C3B">
        <w:rPr>
          <w:rFonts w:ascii="Tahoma" w:eastAsia="Calibri" w:hAnsi="Tahoma" w:cs="Tahoma" w:hint="cs"/>
          <w:sz w:val="19"/>
          <w:szCs w:val="19"/>
          <w:rtl/>
        </w:rPr>
        <w:t xml:space="preserve">) </w:t>
      </w:r>
      <w:r w:rsidRPr="00590C3B">
        <w:rPr>
          <w:rFonts w:ascii="Tahoma" w:eastAsia="Calibri" w:hAnsi="Tahoma" w:cs="Tahoma"/>
          <w:sz w:val="19"/>
          <w:szCs w:val="19"/>
          <w:rtl/>
        </w:rPr>
        <w:t xml:space="preserve">היא מצב הקשור לגיל, </w:t>
      </w:r>
      <w:r w:rsidRPr="00590C3B">
        <w:rPr>
          <w:rFonts w:ascii="Tahoma" w:eastAsia="Calibri" w:hAnsi="Tahoma" w:cs="Tahoma" w:hint="cs"/>
          <w:sz w:val="19"/>
          <w:szCs w:val="19"/>
          <w:rtl/>
        </w:rPr>
        <w:t>והיא מתבטאת בהידרדרו</w:t>
      </w:r>
      <w:r w:rsidRPr="00590C3B">
        <w:rPr>
          <w:rFonts w:ascii="Tahoma" w:eastAsia="Calibri" w:hAnsi="Tahoma" w:cs="Tahoma" w:hint="eastAsia"/>
          <w:sz w:val="19"/>
          <w:szCs w:val="19"/>
          <w:rtl/>
        </w:rPr>
        <w:t>ת</w:t>
      </w:r>
      <w:r w:rsidRPr="00590C3B">
        <w:rPr>
          <w:rFonts w:ascii="Tahoma" w:eastAsia="Calibri" w:hAnsi="Tahoma" w:cs="Tahoma" w:hint="cs"/>
          <w:sz w:val="19"/>
          <w:szCs w:val="19"/>
          <w:rtl/>
        </w:rPr>
        <w:t xml:space="preserve"> תפקודית עקב ירידה רב-מערכתית במאגרים הפיזיולוגיים של האדם. </w:t>
      </w:r>
      <w:r w:rsidRPr="00590C3B">
        <w:rPr>
          <w:rFonts w:ascii="Tahoma" w:eastAsia="Calibri" w:hAnsi="Tahoma" w:cs="Tahoma" w:hint="eastAsia"/>
          <w:sz w:val="19"/>
          <w:szCs w:val="19"/>
          <w:rtl/>
        </w:rPr>
        <w:t>מחקרים</w:t>
      </w:r>
      <w:r w:rsidRPr="00590C3B">
        <w:rPr>
          <w:rFonts w:ascii="Tahoma" w:eastAsia="Calibri" w:hAnsi="Tahoma" w:cs="Tahoma"/>
          <w:sz w:val="19"/>
          <w:szCs w:val="19"/>
          <w:rtl/>
        </w:rPr>
        <w:t xml:space="preserve"> בארץ ובעולם מצאו כי כ-45% - 50% מבני 65 ומעלה</w:t>
      </w:r>
      <w:r w:rsidRPr="00590C3B">
        <w:rPr>
          <w:rFonts w:ascii="Tahoma" w:eastAsia="Calibri" w:hAnsi="Tahoma" w:cs="Tahoma" w:hint="cs"/>
          <w:sz w:val="19"/>
          <w:szCs w:val="19"/>
          <w:rtl/>
        </w:rPr>
        <w:t xml:space="preserve"> נמצאים במצב של</w:t>
      </w:r>
      <w:r w:rsidRPr="00590C3B">
        <w:rPr>
          <w:rFonts w:ascii="Tahoma" w:eastAsia="Calibri" w:hAnsi="Tahoma" w:cs="Tahoma"/>
          <w:sz w:val="19"/>
          <w:szCs w:val="19"/>
          <w:rtl/>
        </w:rPr>
        <w:t xml:space="preserve"> שבריריות ברמה בינונית או חמורה.</w:t>
      </w:r>
      <w:r w:rsidRPr="00590C3B">
        <w:rPr>
          <w:rFonts w:ascii="Tahoma" w:eastAsia="Calibri" w:hAnsi="Tahoma" w:cs="Tahoma" w:hint="cs"/>
          <w:sz w:val="19"/>
          <w:szCs w:val="19"/>
          <w:rtl/>
        </w:rPr>
        <w:t xml:space="preserve"> השבריריות מזוהה עם שימוש מוגבר בשירותי בריאות ועם תוצאות בריאותיות שליליות, כדוגמת נפילות, ביקורים בחדרי מיון, אשפוזים, השלכות</w:t>
      </w:r>
      <w:r w:rsidRPr="00590C3B">
        <w:rPr>
          <w:rFonts w:ascii="Tahoma" w:eastAsia="Calibri" w:hAnsi="Tahoma" w:cs="Tahoma"/>
          <w:sz w:val="19"/>
          <w:szCs w:val="19"/>
          <w:rtl/>
        </w:rPr>
        <w:t xml:space="preserve"> שליליות לאחר ניתוח</w:t>
      </w:r>
      <w:r w:rsidRPr="00590C3B">
        <w:rPr>
          <w:rFonts w:ascii="Tahoma" w:eastAsia="Calibri" w:hAnsi="Tahoma" w:cs="Tahoma" w:hint="cs"/>
          <w:sz w:val="19"/>
          <w:szCs w:val="19"/>
          <w:rtl/>
        </w:rPr>
        <w:t xml:space="preserve">, מחלות כרוניות של זקנה וסיכוי מוגבר לתמותה. </w:t>
      </w:r>
    </w:p>
    <w:p w:rsidR="00590C3B" w:rsidRPr="00590C3B" w:rsidP="00590C3B">
      <w:pPr>
        <w:spacing w:after="60" w:line="288" w:lineRule="auto"/>
        <w:ind w:left="-709" w:right="-567"/>
        <w:rPr>
          <w:rFonts w:ascii="Tahoma" w:eastAsia="Calibri" w:hAnsi="Tahoma" w:cs="Tahoma"/>
          <w:sz w:val="19"/>
          <w:szCs w:val="19"/>
          <w:rtl/>
        </w:rPr>
      </w:pPr>
      <w:r w:rsidRPr="00590C3B">
        <w:rPr>
          <w:rFonts w:ascii="Tahoma" w:eastAsia="Calibri" w:hAnsi="Tahoma" w:cs="Tahoma"/>
          <w:sz w:val="19"/>
          <w:szCs w:val="19"/>
          <w:rtl/>
        </w:rPr>
        <w:t>תוחלת חיים בריא</w:t>
      </w:r>
      <w:r w:rsidRPr="00590C3B">
        <w:rPr>
          <w:rFonts w:ascii="Tahoma" w:eastAsia="Calibri" w:hAnsi="Tahoma" w:cs="Tahoma" w:hint="cs"/>
          <w:sz w:val="19"/>
          <w:szCs w:val="19"/>
          <w:rtl/>
        </w:rPr>
        <w:t>ים</w:t>
      </w:r>
      <w:r w:rsidRPr="00590C3B">
        <w:rPr>
          <w:rFonts w:ascii="Tahoma" w:eastAsia="Calibri" w:hAnsi="Tahoma" w:cs="Tahoma"/>
          <w:sz w:val="19"/>
          <w:szCs w:val="19"/>
          <w:rtl/>
        </w:rPr>
        <w:t xml:space="preserve"> </w:t>
      </w:r>
      <w:r w:rsidRPr="00590C3B">
        <w:rPr>
          <w:rFonts w:ascii="Tahoma" w:eastAsia="Calibri" w:hAnsi="Tahoma" w:cs="Tahoma" w:hint="cs"/>
          <w:sz w:val="19"/>
          <w:szCs w:val="19"/>
          <w:rtl/>
        </w:rPr>
        <w:t>(</w:t>
      </w:r>
      <w:r w:rsidRPr="00590C3B">
        <w:rPr>
          <w:rFonts w:ascii="Tahoma" w:eastAsia="Calibri" w:hAnsi="Tahoma" w:cs="Tahoma"/>
          <w:sz w:val="19"/>
          <w:szCs w:val="19"/>
        </w:rPr>
        <w:t>health span</w:t>
      </w:r>
      <w:r w:rsidRPr="00590C3B">
        <w:rPr>
          <w:rFonts w:ascii="Tahoma" w:eastAsia="Calibri" w:hAnsi="Tahoma" w:cs="Tahoma" w:hint="cs"/>
          <w:sz w:val="19"/>
          <w:szCs w:val="19"/>
          <w:rtl/>
        </w:rPr>
        <w:t>) היא תקופת החיים בבריאות טובה, ללא מחלות כרוניות ומוגבלויות של זקנה, כלומר, שנות החיים הצפויות בבריאות טובה מתוך סך כל שנות החיים הצפויות לאדם. התוכנית הלאומית להיערכות מערכת הבריאות להזדקנות האוכלוסייה סימנה כעיקרון אסטרטגי את העלאת תוחלת החיים הבריאים לשם צמצום התחלואה והמוגבלות והקטנת הביקוש לשירותי בריאות.</w:t>
      </w:r>
    </w:p>
    <w:p w:rsidR="00590C3B" w:rsidRPr="00590C3B" w:rsidP="00590C3B">
      <w:pPr>
        <w:spacing w:after="60" w:line="288" w:lineRule="auto"/>
        <w:ind w:left="-709" w:right="-567"/>
        <w:rPr>
          <w:rFonts w:ascii="Tahoma" w:eastAsia="Calibri" w:hAnsi="Tahoma" w:cs="Tahoma"/>
          <w:sz w:val="19"/>
          <w:szCs w:val="19"/>
          <w:rtl/>
        </w:rPr>
      </w:pPr>
    </w:p>
    <w:p w:rsidR="00590C3B" w:rsidRPr="00590C3B" w:rsidP="00590C3B">
      <w:pPr>
        <w:bidi w:val="0"/>
        <w:spacing w:after="200" w:line="276" w:lineRule="auto"/>
        <w:rPr>
          <w:rFonts w:ascii="Tahoma" w:eastAsia="Calibri" w:hAnsi="Tahoma" w:cs="Tahoma"/>
          <w:sz w:val="19"/>
          <w:szCs w:val="19"/>
          <w:rtl/>
        </w:rPr>
      </w:pPr>
      <w:bookmarkStart w:id="3" w:name="tempMark"/>
      <w:bookmarkEnd w:id="3"/>
      <w:r w:rsidRPr="00590C3B">
        <w:rPr>
          <w:rFonts w:ascii="Tahoma" w:eastAsia="Calibri" w:hAnsi="Tahoma" w:cs="Tahoma"/>
          <w:sz w:val="19"/>
          <w:szCs w:val="19"/>
          <w:rtl/>
        </w:rPr>
        <w:br w:type="page"/>
      </w:r>
    </w:p>
    <w:p w:rsidR="00590C3B" w:rsidRPr="00590C3B" w:rsidP="00590C3B">
      <w:pPr>
        <w:spacing w:line="288" w:lineRule="auto"/>
        <w:ind w:left="-851"/>
        <w:rPr>
          <w:rFonts w:eastAsia="Calibri"/>
          <w:rtl/>
        </w:rPr>
      </w:pPr>
      <w:r w:rsidRPr="00590C3B">
        <w:rPr>
          <w:rFonts w:ascii="Tahoma" w:eastAsia="Calibri" w:hAnsi="Tahoma" w:cs="Tahoma"/>
          <w:noProof/>
          <w:rtl/>
        </w:rPr>
        <w:drawing>
          <wp:inline distT="0" distB="0" distL="0" distR="0">
            <wp:extent cx="1674111" cy="381000"/>
            <wp:effectExtent l="0" t="0" r="254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קציר-04.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TableGrid"/>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4"/>
        <w:gridCol w:w="274"/>
        <w:gridCol w:w="2135"/>
        <w:gridCol w:w="284"/>
        <w:gridCol w:w="2268"/>
        <w:gridCol w:w="283"/>
        <w:gridCol w:w="2124"/>
      </w:tblGrid>
      <w:tr w:rsidTr="003358C0">
        <w:tblPrEx>
          <w:tblW w:w="9642" w:type="dxa"/>
          <w:tblLook w:val="04A0"/>
        </w:tblPrEx>
        <w:trPr>
          <w:trHeight w:val="283"/>
        </w:trPr>
        <w:tc>
          <w:tcPr>
            <w:tcW w:w="2274" w:type="dxa"/>
            <w:tcBorders>
              <w:bottom w:val="single" w:sz="12" w:space="0" w:color="auto"/>
            </w:tcBorders>
            <w:shd w:val="clear" w:color="auto" w:fill="auto"/>
            <w:vAlign w:val="bottom"/>
          </w:tcPr>
          <w:p w:rsidR="00590C3B" w:rsidRPr="00590C3B" w:rsidP="00590C3B">
            <w:pPr>
              <w:spacing w:after="60" w:line="240" w:lineRule="auto"/>
              <w:rPr>
                <w:rFonts w:ascii="Tahoma" w:eastAsia="Calibri" w:hAnsi="Tahoma" w:cs="Tahoma"/>
                <w:spacing w:val="-10"/>
                <w:sz w:val="36"/>
                <w:szCs w:val="36"/>
                <w:rtl/>
              </w:rPr>
            </w:pPr>
            <w:r w:rsidRPr="00590C3B">
              <w:rPr>
                <w:rFonts w:ascii="Tahoma" w:eastAsia="Calibri" w:hAnsi="Tahoma" w:cs="Tahoma"/>
                <w:spacing w:val="-10"/>
                <w:sz w:val="36"/>
                <w:szCs w:val="36"/>
                <w:rtl/>
              </w:rPr>
              <w:t xml:space="preserve">85 </w:t>
            </w:r>
            <w:r w:rsidRPr="00E40C6F">
              <w:rPr>
                <w:rFonts w:ascii="Tahoma" w:eastAsia="Calibri" w:hAnsi="Tahoma" w:cs="Tahoma"/>
                <w:spacing w:val="20"/>
                <w:sz w:val="26"/>
                <w:szCs w:val="26"/>
                <w:rtl/>
              </w:rPr>
              <w:t>ו-</w:t>
            </w:r>
            <w:r w:rsidRPr="00590C3B">
              <w:rPr>
                <w:rFonts w:ascii="Tahoma" w:eastAsia="Calibri" w:hAnsi="Tahoma" w:cs="Tahoma"/>
                <w:spacing w:val="-10"/>
                <w:sz w:val="36"/>
                <w:szCs w:val="36"/>
                <w:rtl/>
              </w:rPr>
              <w:t>87.6</w:t>
            </w:r>
          </w:p>
        </w:tc>
        <w:tc>
          <w:tcPr>
            <w:tcW w:w="274" w:type="dxa"/>
          </w:tcPr>
          <w:p w:rsidR="00590C3B" w:rsidRPr="00590C3B" w:rsidP="00590C3B">
            <w:pPr>
              <w:spacing w:line="240" w:lineRule="auto"/>
              <w:rPr>
                <w:rFonts w:ascii="Tahoma" w:eastAsia="Calibri" w:hAnsi="Tahoma" w:cs="Tahoma"/>
                <w:spacing w:val="-10"/>
                <w:sz w:val="36"/>
                <w:szCs w:val="36"/>
              </w:rPr>
            </w:pPr>
          </w:p>
        </w:tc>
        <w:tc>
          <w:tcPr>
            <w:tcW w:w="2135" w:type="dxa"/>
            <w:tcBorders>
              <w:bottom w:val="single" w:sz="12" w:space="0" w:color="auto"/>
            </w:tcBorders>
            <w:vAlign w:val="bottom"/>
          </w:tcPr>
          <w:p w:rsidR="00590C3B" w:rsidRPr="00590C3B" w:rsidP="00590C3B">
            <w:pPr>
              <w:spacing w:after="60" w:line="240" w:lineRule="auto"/>
              <w:rPr>
                <w:rFonts w:ascii="Tahoma" w:eastAsia="Calibri" w:hAnsi="Tahoma" w:cs="Tahoma"/>
                <w:spacing w:val="-10"/>
                <w:sz w:val="36"/>
                <w:szCs w:val="36"/>
                <w:rtl/>
              </w:rPr>
            </w:pPr>
            <w:r w:rsidRPr="00590C3B">
              <w:rPr>
                <w:rFonts w:ascii="Tahoma" w:eastAsia="Calibri" w:hAnsi="Tahoma" w:cs="Tahoma"/>
                <w:spacing w:val="-10"/>
                <w:sz w:val="36"/>
                <w:szCs w:val="36"/>
                <w:rtl/>
              </w:rPr>
              <w:t xml:space="preserve">10 </w:t>
            </w:r>
            <w:r w:rsidRPr="00E40C6F">
              <w:rPr>
                <w:rFonts w:ascii="Tahoma" w:eastAsia="Calibri" w:hAnsi="Tahoma" w:cs="Tahoma"/>
                <w:spacing w:val="20"/>
                <w:sz w:val="26"/>
                <w:szCs w:val="26"/>
                <w:rtl/>
              </w:rPr>
              <w:t>ו-</w:t>
            </w:r>
            <w:r w:rsidRPr="00590C3B">
              <w:rPr>
                <w:rFonts w:ascii="Tahoma" w:eastAsia="Calibri" w:hAnsi="Tahoma" w:cs="Tahoma"/>
                <w:spacing w:val="-10"/>
                <w:sz w:val="36"/>
                <w:szCs w:val="36"/>
                <w:rtl/>
              </w:rPr>
              <w:t>7 שנים</w:t>
            </w:r>
          </w:p>
        </w:tc>
        <w:tc>
          <w:tcPr>
            <w:tcW w:w="284" w:type="dxa"/>
          </w:tcPr>
          <w:p w:rsidR="00590C3B" w:rsidRPr="00590C3B" w:rsidP="00590C3B">
            <w:pPr>
              <w:spacing w:line="240" w:lineRule="auto"/>
              <w:rPr>
                <w:rFonts w:ascii="Tahoma" w:eastAsia="Calibri" w:hAnsi="Tahoma" w:cs="Tahoma"/>
                <w:spacing w:val="-10"/>
              </w:rPr>
            </w:pPr>
          </w:p>
        </w:tc>
        <w:tc>
          <w:tcPr>
            <w:tcW w:w="2268" w:type="dxa"/>
            <w:tcBorders>
              <w:bottom w:val="single" w:sz="12" w:space="0" w:color="auto"/>
            </w:tcBorders>
            <w:vAlign w:val="bottom"/>
          </w:tcPr>
          <w:p w:rsidR="00590C3B" w:rsidRPr="00590C3B" w:rsidP="00590C3B">
            <w:pPr>
              <w:spacing w:after="60" w:line="240" w:lineRule="auto"/>
              <w:rPr>
                <w:rFonts w:ascii="Tahoma" w:eastAsia="Calibri" w:hAnsi="Tahoma" w:cs="Tahoma"/>
                <w:spacing w:val="-10"/>
                <w:sz w:val="36"/>
                <w:szCs w:val="36"/>
              </w:rPr>
            </w:pPr>
            <w:r w:rsidRPr="00590C3B">
              <w:rPr>
                <w:rFonts w:ascii="Tahoma" w:eastAsia="Calibri" w:hAnsi="Tahoma" w:cs="Tahoma"/>
                <w:spacing w:val="-10"/>
                <w:sz w:val="36"/>
                <w:szCs w:val="36"/>
                <w:rtl/>
              </w:rPr>
              <w:t xml:space="preserve">58% </w:t>
            </w:r>
            <w:r w:rsidRPr="00590C3B">
              <w:rPr>
                <w:rFonts w:ascii="Tahoma" w:eastAsia="Calibri" w:hAnsi="Tahoma" w:cs="Tahoma"/>
                <w:spacing w:val="-10"/>
                <w:sz w:val="26"/>
                <w:szCs w:val="26"/>
                <w:rtl/>
              </w:rPr>
              <w:t>מהרופאים</w:t>
            </w:r>
          </w:p>
        </w:tc>
        <w:tc>
          <w:tcPr>
            <w:tcW w:w="283" w:type="dxa"/>
          </w:tcPr>
          <w:p w:rsidR="00590C3B" w:rsidRPr="00590C3B" w:rsidP="00590C3B">
            <w:pPr>
              <w:spacing w:line="240" w:lineRule="auto"/>
              <w:rPr>
                <w:rFonts w:ascii="Tahoma" w:eastAsia="Calibri" w:hAnsi="Tahoma" w:cs="Tahoma"/>
                <w:spacing w:val="-10"/>
              </w:rPr>
            </w:pPr>
          </w:p>
        </w:tc>
        <w:tc>
          <w:tcPr>
            <w:tcW w:w="2124" w:type="dxa"/>
            <w:tcBorders>
              <w:bottom w:val="single" w:sz="12" w:space="0" w:color="auto"/>
            </w:tcBorders>
            <w:vAlign w:val="center"/>
          </w:tcPr>
          <w:p w:rsidR="00590C3B" w:rsidRPr="00590C3B" w:rsidP="00590C3B">
            <w:pPr>
              <w:spacing w:after="60" w:line="240" w:lineRule="auto"/>
              <w:rPr>
                <w:rFonts w:ascii="Tahoma" w:eastAsia="Calibri" w:hAnsi="Tahoma" w:cs="Tahoma"/>
                <w:spacing w:val="-10"/>
                <w:sz w:val="36"/>
                <w:szCs w:val="36"/>
                <w:rtl/>
              </w:rPr>
            </w:pPr>
            <w:r w:rsidRPr="00590C3B">
              <w:rPr>
                <w:rFonts w:ascii="Tahoma" w:eastAsia="Calibri" w:hAnsi="Tahoma" w:cs="Tahoma"/>
                <w:spacing w:val="-10"/>
                <w:sz w:val="26"/>
                <w:szCs w:val="26"/>
                <w:rtl/>
              </w:rPr>
              <w:t>כ</w:t>
            </w:r>
            <w:r w:rsidRPr="00E40C6F">
              <w:rPr>
                <w:rFonts w:ascii="Tahoma" w:eastAsia="Calibri" w:hAnsi="Tahoma" w:cs="Tahoma"/>
                <w:spacing w:val="20"/>
                <w:sz w:val="26"/>
                <w:szCs w:val="26"/>
                <w:rtl/>
              </w:rPr>
              <w:t>-</w:t>
            </w:r>
            <w:r w:rsidRPr="00590C3B">
              <w:rPr>
                <w:rFonts w:ascii="Tahoma" w:eastAsia="Calibri" w:hAnsi="Tahoma" w:cs="Tahoma"/>
                <w:spacing w:val="-10"/>
                <w:sz w:val="36"/>
                <w:szCs w:val="36"/>
                <w:rtl/>
              </w:rPr>
              <w:t xml:space="preserve">1.5% </w:t>
            </w:r>
            <w:r w:rsidRPr="00590C3B">
              <w:rPr>
                <w:rFonts w:ascii="Tahoma" w:eastAsia="Calibri" w:hAnsi="Tahoma" w:cs="Tahoma"/>
                <w:spacing w:val="-10"/>
                <w:sz w:val="26"/>
                <w:szCs w:val="26"/>
                <w:rtl/>
              </w:rPr>
              <w:t>בלבד</w:t>
            </w:r>
          </w:p>
        </w:tc>
      </w:tr>
      <w:tr w:rsidTr="003358C0">
        <w:tblPrEx>
          <w:tblW w:w="9642" w:type="dxa"/>
          <w:tblLook w:val="04A0"/>
        </w:tblPrEx>
        <w:trPr>
          <w:trHeight w:val="85"/>
        </w:trPr>
        <w:tc>
          <w:tcPr>
            <w:tcW w:w="9642" w:type="dxa"/>
            <w:gridSpan w:val="7"/>
            <w:shd w:val="clear" w:color="auto" w:fill="auto"/>
            <w:vAlign w:val="center"/>
          </w:tcPr>
          <w:p w:rsidR="00590C3B" w:rsidRPr="00590C3B" w:rsidP="00590C3B">
            <w:pPr>
              <w:spacing w:line="288" w:lineRule="auto"/>
              <w:rPr>
                <w:rFonts w:ascii="Tahoma" w:eastAsia="Calibri" w:hAnsi="Tahoma" w:cs="Tahoma"/>
                <w:spacing w:val="-10"/>
                <w:sz w:val="6"/>
                <w:szCs w:val="6"/>
                <w:rtl/>
              </w:rPr>
            </w:pPr>
          </w:p>
        </w:tc>
      </w:tr>
      <w:tr w:rsidTr="003358C0">
        <w:tblPrEx>
          <w:tblW w:w="9642" w:type="dxa"/>
          <w:tblLook w:val="04A0"/>
        </w:tblPrEx>
        <w:trPr>
          <w:trHeight w:val="1155"/>
        </w:trPr>
        <w:tc>
          <w:tcPr>
            <w:tcW w:w="2274" w:type="dxa"/>
          </w:tcPr>
          <w:p w:rsidR="00590C3B" w:rsidRPr="00590C3B" w:rsidP="00590C3B">
            <w:pPr>
              <w:spacing w:line="240" w:lineRule="auto"/>
              <w:ind w:right="23"/>
              <w:jc w:val="left"/>
              <w:rPr>
                <w:rFonts w:ascii="Tahoma" w:eastAsia="Calibri" w:hAnsi="Tahoma" w:cs="Tahoma"/>
                <w:sz w:val="19"/>
                <w:szCs w:val="19"/>
                <w:rtl/>
              </w:rPr>
            </w:pPr>
            <w:r w:rsidRPr="00590C3B">
              <w:rPr>
                <w:rFonts w:ascii="Tahoma" w:eastAsia="Calibri" w:hAnsi="Tahoma" w:cs="Tahoma"/>
                <w:sz w:val="19"/>
                <w:szCs w:val="19"/>
                <w:rtl/>
              </w:rPr>
              <w:t xml:space="preserve">גילים ממוצעים צפויים לגברים ולנשים (בהתאמה) בהגיעם לגיל 65, הכוללים תוחלת חיים של 20 </w:t>
            </w:r>
            <w:r w:rsidRPr="00590C3B">
              <w:rPr>
                <w:rFonts w:ascii="Tahoma" w:eastAsia="Calibri" w:hAnsi="Tahoma" w:cs="Tahoma"/>
                <w:sz w:val="19"/>
                <w:szCs w:val="19"/>
                <w:rtl/>
              </w:rPr>
              <w:br/>
              <w:t>ו-22.6 שנים לגברים ולנשים (בהתאמה), בהגיעם לגיל 65. תוחלת חיים זו היא במקום הרביעי מבין מדינות ה-</w:t>
            </w:r>
            <w:r w:rsidRPr="00590C3B">
              <w:rPr>
                <w:rFonts w:ascii="Tahoma" w:eastAsia="Calibri" w:hAnsi="Tahoma" w:cs="Tahoma"/>
                <w:sz w:val="19"/>
                <w:szCs w:val="19"/>
              </w:rPr>
              <w:t>OECD</w:t>
            </w:r>
          </w:p>
        </w:tc>
        <w:tc>
          <w:tcPr>
            <w:tcW w:w="274" w:type="dxa"/>
          </w:tcPr>
          <w:p w:rsidR="00590C3B" w:rsidRPr="00590C3B" w:rsidP="00590C3B">
            <w:pPr>
              <w:spacing w:line="240" w:lineRule="auto"/>
              <w:jc w:val="left"/>
              <w:rPr>
                <w:rFonts w:ascii="Tahoma" w:eastAsia="Calibri" w:hAnsi="Tahoma" w:cs="Tahoma"/>
                <w:rtl/>
              </w:rPr>
            </w:pPr>
          </w:p>
        </w:tc>
        <w:tc>
          <w:tcPr>
            <w:tcW w:w="2135" w:type="dxa"/>
          </w:tcPr>
          <w:p w:rsidR="00590C3B" w:rsidRPr="00590C3B" w:rsidP="00590C3B">
            <w:pPr>
              <w:spacing w:line="240" w:lineRule="auto"/>
              <w:ind w:right="23"/>
              <w:jc w:val="left"/>
              <w:rPr>
                <w:rFonts w:ascii="Tahoma" w:eastAsia="Calibri" w:hAnsi="Tahoma" w:cs="Tahoma"/>
                <w:sz w:val="19"/>
                <w:szCs w:val="19"/>
                <w:rtl/>
              </w:rPr>
            </w:pPr>
            <w:r w:rsidRPr="00590C3B">
              <w:rPr>
                <w:rFonts w:ascii="Tahoma" w:eastAsia="Calibri" w:hAnsi="Tahoma" w:cs="Tahoma"/>
                <w:sz w:val="19"/>
                <w:szCs w:val="19"/>
                <w:rtl/>
              </w:rPr>
              <w:t xml:space="preserve">מחייהם של נשים וגברים זקנים (בהתאמה), עם הגיעם לגיל 65, צפויים להיות חיים בחולי </w:t>
            </w:r>
          </w:p>
        </w:tc>
        <w:tc>
          <w:tcPr>
            <w:tcW w:w="284" w:type="dxa"/>
          </w:tcPr>
          <w:p w:rsidR="00590C3B" w:rsidRPr="00590C3B" w:rsidP="00590C3B">
            <w:pPr>
              <w:spacing w:line="240" w:lineRule="auto"/>
              <w:jc w:val="left"/>
              <w:rPr>
                <w:rFonts w:ascii="Tahoma" w:eastAsia="Calibri" w:hAnsi="Tahoma" w:cs="Tahoma"/>
                <w:sz w:val="19"/>
                <w:szCs w:val="19"/>
                <w:rtl/>
              </w:rPr>
            </w:pPr>
          </w:p>
        </w:tc>
        <w:tc>
          <w:tcPr>
            <w:tcW w:w="2268" w:type="dxa"/>
          </w:tcPr>
          <w:p w:rsidR="00590C3B" w:rsidRPr="00590C3B" w:rsidP="00590C3B">
            <w:pPr>
              <w:spacing w:line="240" w:lineRule="auto"/>
              <w:ind w:right="23"/>
              <w:jc w:val="left"/>
              <w:rPr>
                <w:rFonts w:ascii="Tahoma" w:eastAsia="Calibri" w:hAnsi="Tahoma" w:cs="Tahoma"/>
                <w:sz w:val="19"/>
                <w:szCs w:val="19"/>
                <w:rtl/>
              </w:rPr>
            </w:pPr>
            <w:r w:rsidRPr="00590C3B">
              <w:rPr>
                <w:rFonts w:ascii="Tahoma" w:eastAsia="Calibri" w:hAnsi="Tahoma" w:cs="Tahoma"/>
                <w:sz w:val="19"/>
                <w:szCs w:val="19"/>
                <w:rtl/>
              </w:rPr>
              <w:t>סבורים שמדד שבריריות המציג את מצב בריאותו הכולל של הזקן יכול לסייע להם בייזום של פעולות מניעה במידה רבה או במידה רבה מאוד, אך משרד הבריאות לא קבע מדד שבריריות לאומי</w:t>
            </w:r>
          </w:p>
        </w:tc>
        <w:tc>
          <w:tcPr>
            <w:tcW w:w="283" w:type="dxa"/>
          </w:tcPr>
          <w:p w:rsidR="00590C3B" w:rsidRPr="00590C3B" w:rsidP="00590C3B">
            <w:pPr>
              <w:spacing w:line="240" w:lineRule="auto"/>
              <w:jc w:val="left"/>
              <w:rPr>
                <w:rFonts w:ascii="Tahoma" w:eastAsia="Calibri" w:hAnsi="Tahoma" w:cs="Tahoma"/>
                <w:sz w:val="19"/>
                <w:szCs w:val="19"/>
                <w:rtl/>
              </w:rPr>
            </w:pPr>
          </w:p>
        </w:tc>
        <w:tc>
          <w:tcPr>
            <w:tcW w:w="2124" w:type="dxa"/>
          </w:tcPr>
          <w:p w:rsidR="00590C3B" w:rsidRPr="00590C3B" w:rsidP="00590C3B">
            <w:pPr>
              <w:spacing w:line="240" w:lineRule="auto"/>
              <w:ind w:right="23"/>
              <w:jc w:val="left"/>
              <w:rPr>
                <w:rFonts w:ascii="Tahoma" w:eastAsia="Calibri" w:hAnsi="Tahoma" w:cs="Tahoma"/>
                <w:sz w:val="19"/>
                <w:szCs w:val="19"/>
                <w:rtl/>
              </w:rPr>
            </w:pPr>
            <w:r w:rsidRPr="00590C3B">
              <w:rPr>
                <w:rFonts w:ascii="Tahoma" w:eastAsia="Calibri" w:hAnsi="Tahoma" w:cs="Tahoma"/>
                <w:sz w:val="19"/>
                <w:szCs w:val="19"/>
                <w:rtl/>
              </w:rPr>
              <w:t>מתקציב משרד הבריאות בשנת 2025 (כ-930 מיליון ש"ח מתוך כ-62 מיליארד ש"ח) מושקעים ברפואה מונעת</w:t>
            </w:r>
          </w:p>
        </w:tc>
      </w:tr>
      <w:tr w:rsidTr="003358C0">
        <w:tblPrEx>
          <w:tblW w:w="9642" w:type="dxa"/>
          <w:tblLook w:val="04A0"/>
        </w:tblPrEx>
        <w:trPr>
          <w:trHeight w:val="363"/>
        </w:trPr>
        <w:tc>
          <w:tcPr>
            <w:tcW w:w="9642" w:type="dxa"/>
            <w:gridSpan w:val="7"/>
          </w:tcPr>
          <w:p w:rsidR="00590C3B" w:rsidRPr="00590C3B" w:rsidP="00590C3B">
            <w:pPr>
              <w:spacing w:line="288" w:lineRule="auto"/>
              <w:jc w:val="center"/>
              <w:rPr>
                <w:rFonts w:ascii="Tahoma" w:eastAsia="Calibri" w:hAnsi="Tahoma" w:cs="Tahoma"/>
                <w:sz w:val="6"/>
                <w:szCs w:val="6"/>
                <w:rtl/>
              </w:rPr>
            </w:pPr>
          </w:p>
        </w:tc>
      </w:tr>
      <w:tr w:rsidTr="003358C0">
        <w:tblPrEx>
          <w:tblW w:w="9642" w:type="dxa"/>
          <w:tblLook w:val="04A0"/>
        </w:tblPrEx>
        <w:trPr>
          <w:trHeight w:val="227"/>
        </w:trPr>
        <w:tc>
          <w:tcPr>
            <w:tcW w:w="2274" w:type="dxa"/>
            <w:tcBorders>
              <w:bottom w:val="single" w:sz="12" w:space="0" w:color="auto"/>
            </w:tcBorders>
            <w:vAlign w:val="bottom"/>
          </w:tcPr>
          <w:p w:rsidR="00590C3B" w:rsidRPr="00590C3B" w:rsidP="00590C3B">
            <w:pPr>
              <w:spacing w:after="60" w:line="240" w:lineRule="auto"/>
              <w:rPr>
                <w:rFonts w:ascii="Tahoma" w:eastAsia="Calibri" w:hAnsi="Tahoma" w:cs="Tahoma"/>
                <w:spacing w:val="-10"/>
                <w:sz w:val="36"/>
                <w:szCs w:val="36"/>
              </w:rPr>
            </w:pPr>
            <w:r w:rsidRPr="00590C3B">
              <w:rPr>
                <w:rFonts w:ascii="Tahoma" w:eastAsia="Calibri" w:hAnsi="Tahoma" w:cs="Tahoma"/>
                <w:spacing w:val="-10"/>
                <w:sz w:val="36"/>
                <w:szCs w:val="36"/>
                <w:rtl/>
              </w:rPr>
              <w:t>54%</w:t>
            </w:r>
          </w:p>
        </w:tc>
        <w:tc>
          <w:tcPr>
            <w:tcW w:w="274" w:type="dxa"/>
          </w:tcPr>
          <w:p w:rsidR="00590C3B" w:rsidRPr="00590C3B" w:rsidP="00590C3B">
            <w:pPr>
              <w:spacing w:line="240" w:lineRule="auto"/>
              <w:jc w:val="left"/>
              <w:rPr>
                <w:rFonts w:ascii="Tahoma" w:eastAsia="Calibri" w:hAnsi="Tahoma" w:cs="Tahoma"/>
                <w:spacing w:val="-10"/>
                <w:sz w:val="36"/>
                <w:szCs w:val="36"/>
              </w:rPr>
            </w:pPr>
          </w:p>
        </w:tc>
        <w:tc>
          <w:tcPr>
            <w:tcW w:w="2135" w:type="dxa"/>
            <w:tcBorders>
              <w:bottom w:val="single" w:sz="12" w:space="0" w:color="auto"/>
            </w:tcBorders>
            <w:vAlign w:val="center"/>
          </w:tcPr>
          <w:p w:rsidR="00590C3B" w:rsidRPr="00590C3B" w:rsidP="00590C3B">
            <w:pPr>
              <w:spacing w:after="60" w:line="240" w:lineRule="auto"/>
              <w:jc w:val="left"/>
              <w:rPr>
                <w:rFonts w:ascii="Tahoma" w:eastAsia="Calibri" w:hAnsi="Tahoma" w:cs="Tahoma"/>
                <w:spacing w:val="-10"/>
                <w:sz w:val="36"/>
                <w:szCs w:val="36"/>
              </w:rPr>
            </w:pPr>
            <w:r w:rsidRPr="00590C3B">
              <w:rPr>
                <w:rFonts w:ascii="Tahoma" w:eastAsia="Calibri" w:hAnsi="Tahoma" w:cs="Tahoma"/>
                <w:spacing w:val="-10"/>
                <w:sz w:val="36"/>
                <w:szCs w:val="36"/>
                <w:rtl/>
              </w:rPr>
              <w:t xml:space="preserve">4% </w:t>
            </w:r>
            <w:r w:rsidRPr="00590C3B">
              <w:rPr>
                <w:rFonts w:ascii="Tahoma" w:eastAsia="Calibri" w:hAnsi="Tahoma" w:cs="Tahoma"/>
                <w:spacing w:val="-10"/>
                <w:sz w:val="26"/>
                <w:szCs w:val="26"/>
                <w:rtl/>
              </w:rPr>
              <w:t>בלבד</w:t>
            </w:r>
            <w:r w:rsidRPr="00590C3B">
              <w:rPr>
                <w:rFonts w:ascii="Tahoma" w:eastAsia="Calibri" w:hAnsi="Tahoma" w:cs="Tahoma"/>
                <w:spacing w:val="-10"/>
                <w:sz w:val="36"/>
                <w:szCs w:val="36"/>
                <w:rtl/>
              </w:rPr>
              <w:t xml:space="preserve"> </w:t>
            </w:r>
            <w:r w:rsidRPr="00590C3B">
              <w:rPr>
                <w:rFonts w:ascii="Tahoma" w:eastAsia="Calibri" w:hAnsi="Tahoma" w:cs="Tahoma"/>
                <w:spacing w:val="-10"/>
                <w:sz w:val="26"/>
                <w:szCs w:val="26"/>
                <w:rtl/>
              </w:rPr>
              <w:t xml:space="preserve">לעומת </w:t>
            </w:r>
            <w:r w:rsidRPr="00590C3B">
              <w:rPr>
                <w:rFonts w:ascii="Tahoma" w:eastAsia="Calibri" w:hAnsi="Tahoma" w:cs="Tahoma"/>
                <w:spacing w:val="-10"/>
                <w:sz w:val="36"/>
                <w:szCs w:val="36"/>
                <w:rtl/>
              </w:rPr>
              <w:t>27%</w:t>
            </w:r>
          </w:p>
        </w:tc>
        <w:tc>
          <w:tcPr>
            <w:tcW w:w="284" w:type="dxa"/>
          </w:tcPr>
          <w:p w:rsidR="00590C3B" w:rsidRPr="00590C3B" w:rsidP="00590C3B">
            <w:pPr>
              <w:spacing w:line="240" w:lineRule="auto"/>
              <w:jc w:val="left"/>
              <w:rPr>
                <w:rFonts w:ascii="Tahoma" w:eastAsia="Calibri" w:hAnsi="Tahoma" w:cs="Tahoma"/>
                <w:spacing w:val="-10"/>
                <w:sz w:val="36"/>
                <w:szCs w:val="36"/>
              </w:rPr>
            </w:pPr>
          </w:p>
        </w:tc>
        <w:tc>
          <w:tcPr>
            <w:tcW w:w="2268" w:type="dxa"/>
            <w:tcBorders>
              <w:bottom w:val="single" w:sz="12" w:space="0" w:color="auto"/>
            </w:tcBorders>
            <w:vAlign w:val="bottom"/>
          </w:tcPr>
          <w:p w:rsidR="00590C3B" w:rsidRPr="00590C3B" w:rsidP="00590C3B">
            <w:pPr>
              <w:spacing w:after="60" w:line="240" w:lineRule="auto"/>
              <w:jc w:val="left"/>
              <w:rPr>
                <w:rFonts w:ascii="Tahoma" w:eastAsia="Calibri" w:hAnsi="Tahoma" w:cs="Tahoma"/>
                <w:spacing w:val="-10"/>
                <w:sz w:val="36"/>
                <w:szCs w:val="36"/>
              </w:rPr>
            </w:pPr>
            <w:r w:rsidRPr="00590C3B">
              <w:rPr>
                <w:rFonts w:ascii="Tahoma" w:eastAsia="Calibri" w:hAnsi="Tahoma" w:cs="Tahoma"/>
                <w:spacing w:val="-10"/>
                <w:sz w:val="36"/>
                <w:szCs w:val="36"/>
                <w:rtl/>
              </w:rPr>
              <w:t xml:space="preserve">1.05 </w:t>
            </w:r>
            <w:r w:rsidRPr="00590C3B">
              <w:rPr>
                <w:rFonts w:ascii="Tahoma" w:eastAsia="Calibri" w:hAnsi="Tahoma" w:cs="Tahoma"/>
                <w:spacing w:val="-10"/>
                <w:sz w:val="26"/>
                <w:szCs w:val="26"/>
                <w:rtl/>
              </w:rPr>
              <w:t>בלבד</w:t>
            </w:r>
          </w:p>
        </w:tc>
        <w:tc>
          <w:tcPr>
            <w:tcW w:w="283" w:type="dxa"/>
          </w:tcPr>
          <w:p w:rsidR="00590C3B" w:rsidRPr="00590C3B" w:rsidP="00590C3B">
            <w:pPr>
              <w:spacing w:line="240" w:lineRule="auto"/>
              <w:jc w:val="left"/>
              <w:rPr>
                <w:rFonts w:ascii="Tahoma" w:eastAsia="Calibri" w:hAnsi="Tahoma" w:cs="Tahoma"/>
                <w:spacing w:val="-10"/>
                <w:sz w:val="36"/>
                <w:szCs w:val="36"/>
              </w:rPr>
            </w:pPr>
          </w:p>
        </w:tc>
        <w:tc>
          <w:tcPr>
            <w:tcW w:w="2124" w:type="dxa"/>
            <w:tcBorders>
              <w:bottom w:val="single" w:sz="12" w:space="0" w:color="auto"/>
            </w:tcBorders>
            <w:vAlign w:val="bottom"/>
          </w:tcPr>
          <w:p w:rsidR="00590C3B" w:rsidRPr="00590C3B" w:rsidP="00590C3B">
            <w:pPr>
              <w:spacing w:after="60" w:line="240" w:lineRule="auto"/>
              <w:jc w:val="left"/>
              <w:rPr>
                <w:rFonts w:ascii="Tahoma" w:eastAsia="Calibri" w:hAnsi="Tahoma" w:cs="Tahoma"/>
                <w:spacing w:val="-10"/>
                <w:sz w:val="36"/>
                <w:szCs w:val="36"/>
              </w:rPr>
            </w:pPr>
            <w:r w:rsidRPr="00590C3B">
              <w:rPr>
                <w:rFonts w:ascii="Tahoma" w:eastAsia="Calibri" w:hAnsi="Tahoma" w:cs="Tahoma"/>
                <w:spacing w:val="-10"/>
                <w:sz w:val="36"/>
                <w:szCs w:val="36"/>
                <w:rtl/>
              </w:rPr>
              <w:t>16%</w:t>
            </w:r>
          </w:p>
        </w:tc>
      </w:tr>
      <w:tr w:rsidTr="003358C0">
        <w:tblPrEx>
          <w:tblW w:w="9642" w:type="dxa"/>
          <w:tblLook w:val="04A0"/>
        </w:tblPrEx>
        <w:trPr>
          <w:trHeight w:val="70"/>
        </w:trPr>
        <w:tc>
          <w:tcPr>
            <w:tcW w:w="9642" w:type="dxa"/>
            <w:gridSpan w:val="7"/>
            <w:vAlign w:val="center"/>
          </w:tcPr>
          <w:p w:rsidR="00590C3B" w:rsidRPr="00590C3B" w:rsidP="00590C3B">
            <w:pPr>
              <w:spacing w:line="288" w:lineRule="auto"/>
              <w:rPr>
                <w:rFonts w:ascii="Tahoma" w:eastAsia="Calibri" w:hAnsi="Tahoma" w:cs="Tahoma"/>
                <w:spacing w:val="-10"/>
                <w:sz w:val="6"/>
                <w:szCs w:val="6"/>
                <w:rtl/>
              </w:rPr>
            </w:pPr>
          </w:p>
        </w:tc>
      </w:tr>
      <w:tr w:rsidTr="003358C0">
        <w:tblPrEx>
          <w:tblW w:w="9642" w:type="dxa"/>
          <w:tblLook w:val="04A0"/>
        </w:tblPrEx>
        <w:trPr>
          <w:trHeight w:val="1153"/>
        </w:trPr>
        <w:tc>
          <w:tcPr>
            <w:tcW w:w="2274" w:type="dxa"/>
          </w:tcPr>
          <w:p w:rsidR="00590C3B" w:rsidRPr="00590C3B" w:rsidP="00590C3B">
            <w:pPr>
              <w:spacing w:line="240" w:lineRule="auto"/>
              <w:ind w:right="23"/>
              <w:jc w:val="left"/>
              <w:rPr>
                <w:rFonts w:ascii="Tahoma" w:eastAsia="Calibri" w:hAnsi="Tahoma" w:cs="Tahoma"/>
                <w:sz w:val="19"/>
                <w:szCs w:val="19"/>
                <w:rtl/>
              </w:rPr>
            </w:pPr>
            <w:r w:rsidRPr="00590C3B">
              <w:rPr>
                <w:rFonts w:ascii="Tahoma" w:eastAsia="Calibri" w:hAnsi="Tahoma" w:cs="Tahoma"/>
                <w:sz w:val="19"/>
                <w:szCs w:val="19"/>
                <w:rtl/>
              </w:rPr>
              <w:t>מהזקנים, חברי אחת מקופות החולים, לא ביצעו כל פעולת מניעה מתועדת במערכות ממוחשבות באף אחת מהשנים 2019 - 2024</w:t>
            </w:r>
          </w:p>
        </w:tc>
        <w:tc>
          <w:tcPr>
            <w:tcW w:w="274" w:type="dxa"/>
          </w:tcPr>
          <w:p w:rsidR="00590C3B" w:rsidRPr="00590C3B" w:rsidP="00590C3B">
            <w:pPr>
              <w:spacing w:line="240" w:lineRule="auto"/>
              <w:jc w:val="left"/>
              <w:rPr>
                <w:rFonts w:ascii="Tahoma" w:eastAsia="Calibri" w:hAnsi="Tahoma" w:cs="Tahoma"/>
                <w:sz w:val="19"/>
                <w:szCs w:val="19"/>
                <w:rtl/>
              </w:rPr>
            </w:pPr>
          </w:p>
        </w:tc>
        <w:tc>
          <w:tcPr>
            <w:tcW w:w="2135" w:type="dxa"/>
          </w:tcPr>
          <w:p w:rsidR="00590C3B" w:rsidP="00590C3B">
            <w:pPr>
              <w:spacing w:line="240" w:lineRule="auto"/>
              <w:ind w:right="23"/>
              <w:jc w:val="left"/>
              <w:rPr>
                <w:rFonts w:ascii="Tahoma" w:eastAsia="Calibri" w:hAnsi="Tahoma" w:cs="Tahoma"/>
                <w:sz w:val="19"/>
                <w:szCs w:val="19"/>
                <w:rtl/>
              </w:rPr>
            </w:pPr>
            <w:r w:rsidRPr="00590C3B">
              <w:rPr>
                <w:rFonts w:ascii="Tahoma" w:eastAsia="Calibri" w:hAnsi="Tahoma" w:cs="Tahoma"/>
                <w:sz w:val="19"/>
                <w:szCs w:val="19"/>
                <w:rtl/>
              </w:rPr>
              <w:t xml:space="preserve">4% - שיעור הזקנים בשנת 2024 שעבורם ביצעו קופות החולים בדיקות לאיתור של ריבוי תרופות והתאמתן; בשנה זו </w:t>
            </w:r>
            <w:r w:rsidRPr="00590C3B">
              <w:rPr>
                <w:rFonts w:ascii="Tahoma" w:eastAsia="Calibri" w:hAnsi="Tahoma" w:cs="Tahoma"/>
                <w:sz w:val="19"/>
                <w:szCs w:val="19"/>
                <w:rtl/>
              </w:rPr>
              <w:br/>
              <w:t>ל-27% מהזקנים רשומות יותר משבע תרופות</w:t>
            </w:r>
          </w:p>
          <w:p w:rsidR="00E40C6F" w:rsidP="00590C3B">
            <w:pPr>
              <w:spacing w:line="240" w:lineRule="auto"/>
              <w:ind w:right="23"/>
              <w:jc w:val="left"/>
              <w:rPr>
                <w:rFonts w:ascii="Tahoma" w:eastAsia="Calibri" w:hAnsi="Tahoma" w:cs="Tahoma"/>
                <w:sz w:val="19"/>
                <w:szCs w:val="19"/>
                <w:rtl/>
              </w:rPr>
            </w:pPr>
          </w:p>
          <w:p w:rsidR="00581E1A" w:rsidRPr="00590C3B" w:rsidP="00590C3B">
            <w:pPr>
              <w:spacing w:line="240" w:lineRule="auto"/>
              <w:ind w:right="23"/>
              <w:jc w:val="left"/>
              <w:rPr>
                <w:rFonts w:ascii="Tahoma" w:eastAsia="Calibri" w:hAnsi="Tahoma" w:cs="Tahoma"/>
                <w:sz w:val="19"/>
                <w:szCs w:val="19"/>
                <w:rtl/>
              </w:rPr>
            </w:pPr>
          </w:p>
        </w:tc>
        <w:tc>
          <w:tcPr>
            <w:tcW w:w="284" w:type="dxa"/>
          </w:tcPr>
          <w:p w:rsidR="00590C3B" w:rsidRPr="00590C3B" w:rsidP="00590C3B">
            <w:pPr>
              <w:spacing w:line="240" w:lineRule="auto"/>
              <w:jc w:val="left"/>
              <w:rPr>
                <w:rFonts w:ascii="Tahoma" w:eastAsia="Calibri" w:hAnsi="Tahoma" w:cs="Tahoma"/>
                <w:sz w:val="19"/>
                <w:szCs w:val="19"/>
                <w:rtl/>
              </w:rPr>
            </w:pPr>
          </w:p>
        </w:tc>
        <w:tc>
          <w:tcPr>
            <w:tcW w:w="2268" w:type="dxa"/>
          </w:tcPr>
          <w:p w:rsidR="00590C3B" w:rsidRPr="00590C3B" w:rsidP="00590C3B">
            <w:pPr>
              <w:spacing w:line="240" w:lineRule="auto"/>
              <w:ind w:right="23"/>
              <w:jc w:val="left"/>
              <w:rPr>
                <w:rFonts w:ascii="Tahoma" w:eastAsia="Calibri" w:hAnsi="Tahoma" w:cs="Tahoma"/>
                <w:sz w:val="19"/>
                <w:szCs w:val="19"/>
                <w:rtl/>
              </w:rPr>
            </w:pPr>
            <w:r w:rsidRPr="00590C3B">
              <w:rPr>
                <w:rFonts w:ascii="Tahoma" w:eastAsia="Calibri" w:hAnsi="Tahoma" w:cs="Tahoma"/>
                <w:sz w:val="19"/>
                <w:szCs w:val="19"/>
                <w:rtl/>
              </w:rPr>
              <w:t xml:space="preserve">חלה ירידה במספר הרופאים הגריאטרים </w:t>
            </w:r>
            <w:r w:rsidRPr="00590C3B">
              <w:rPr>
                <w:rFonts w:ascii="Tahoma" w:eastAsia="Calibri" w:hAnsi="Tahoma" w:cs="Tahoma"/>
                <w:sz w:val="19"/>
                <w:szCs w:val="19"/>
                <w:rtl/>
              </w:rPr>
              <w:br/>
              <w:t xml:space="preserve">ל-1,000 איש בני 75 ומעלה - 1.05 בשנת 2024 לעומת 1.07 רופאים גריאטרים </w:t>
            </w:r>
            <w:r w:rsidRPr="00590C3B">
              <w:rPr>
                <w:rFonts w:ascii="Tahoma" w:eastAsia="Calibri" w:hAnsi="Tahoma" w:cs="Tahoma"/>
                <w:sz w:val="19"/>
                <w:szCs w:val="19"/>
                <w:rtl/>
              </w:rPr>
              <w:br/>
              <w:t>ל-1,000 איש בשנת 2020</w:t>
            </w:r>
          </w:p>
          <w:p w:rsidR="00590C3B" w:rsidRPr="00590C3B" w:rsidP="00590C3B">
            <w:pPr>
              <w:spacing w:line="240" w:lineRule="auto"/>
              <w:ind w:right="23"/>
              <w:jc w:val="left"/>
              <w:rPr>
                <w:rFonts w:ascii="Tahoma" w:eastAsia="Calibri" w:hAnsi="Tahoma" w:cs="Tahoma"/>
                <w:sz w:val="19"/>
                <w:szCs w:val="19"/>
                <w:rtl/>
              </w:rPr>
            </w:pPr>
          </w:p>
        </w:tc>
        <w:tc>
          <w:tcPr>
            <w:tcW w:w="283" w:type="dxa"/>
          </w:tcPr>
          <w:p w:rsidR="00590C3B" w:rsidRPr="00590C3B" w:rsidP="00590C3B">
            <w:pPr>
              <w:spacing w:line="240" w:lineRule="auto"/>
              <w:jc w:val="left"/>
              <w:rPr>
                <w:rFonts w:ascii="Tahoma" w:eastAsia="Calibri" w:hAnsi="Tahoma" w:cs="Tahoma"/>
                <w:sz w:val="19"/>
                <w:szCs w:val="19"/>
                <w:rtl/>
              </w:rPr>
            </w:pPr>
          </w:p>
        </w:tc>
        <w:tc>
          <w:tcPr>
            <w:tcW w:w="2124" w:type="dxa"/>
          </w:tcPr>
          <w:p w:rsidR="00590C3B" w:rsidRPr="00590C3B" w:rsidP="00590C3B">
            <w:pPr>
              <w:spacing w:line="240" w:lineRule="auto"/>
              <w:jc w:val="left"/>
              <w:rPr>
                <w:rFonts w:ascii="Tahoma" w:eastAsia="Calibri" w:hAnsi="Tahoma" w:cs="Tahoma"/>
                <w:sz w:val="19"/>
                <w:szCs w:val="19"/>
                <w:rtl/>
              </w:rPr>
            </w:pPr>
            <w:r w:rsidRPr="00590C3B">
              <w:rPr>
                <w:rFonts w:ascii="Tahoma" w:eastAsia="Calibri" w:hAnsi="Tahoma" w:cs="Tahoma"/>
                <w:sz w:val="19"/>
                <w:szCs w:val="19"/>
                <w:rtl/>
              </w:rPr>
              <w:t>ירידה במספר מיטות האשפוז הגריאטרי ל-1,000 איש בני 75 ומעלה בשנים 2020 - 2023 (מכ-65 מיטות לכ-55)</w:t>
            </w:r>
          </w:p>
        </w:tc>
      </w:tr>
    </w:tbl>
    <w:p w:rsidR="00590C3B" w:rsidP="00590C3B">
      <w:pPr>
        <w:spacing w:line="288" w:lineRule="auto"/>
        <w:rPr>
          <w:rFonts w:eastAsia="Calibri"/>
          <w:rtl/>
        </w:rPr>
      </w:pPr>
    </w:p>
    <w:p w:rsidR="005F2EAB" w:rsidRPr="00590C3B" w:rsidP="00590C3B">
      <w:pPr>
        <w:spacing w:line="288" w:lineRule="auto"/>
        <w:rPr>
          <w:rFonts w:eastAsia="Calibri"/>
          <w:rtl/>
        </w:rPr>
      </w:pPr>
    </w:p>
    <w:tbl>
      <w:tblPr>
        <w:tblStyle w:val="TableGrid"/>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gridCol w:w="25"/>
      </w:tblGrid>
      <w:tr w:rsidTr="003358C0">
        <w:tblPrEx>
          <w:tblW w:w="9642" w:type="dxa"/>
          <w:tblLook w:val="04A0"/>
        </w:tblPrEx>
        <w:trPr>
          <w:trHeight w:val="70"/>
        </w:trPr>
        <w:tc>
          <w:tcPr>
            <w:tcW w:w="9642" w:type="dxa"/>
            <w:gridSpan w:val="3"/>
            <w:vAlign w:val="center"/>
          </w:tcPr>
          <w:p w:rsidR="00590C3B" w:rsidRPr="00590C3B" w:rsidP="00590C3B">
            <w:pPr>
              <w:spacing w:line="288" w:lineRule="auto"/>
              <w:rPr>
                <w:rFonts w:eastAsia="Calibri"/>
                <w:spacing w:val="-10"/>
                <w:sz w:val="6"/>
                <w:szCs w:val="6"/>
                <w:rtl/>
              </w:rPr>
            </w:pPr>
          </w:p>
        </w:tc>
      </w:tr>
      <w:tr w:rsidTr="003358C0">
        <w:tblPrEx>
          <w:tblW w:w="9642" w:type="dxa"/>
          <w:tblLook w:val="04A0"/>
        </w:tblPrEx>
        <w:trPr>
          <w:gridAfter w:val="1"/>
          <w:wAfter w:w="25" w:type="dxa"/>
          <w:trHeight w:val="495"/>
        </w:trPr>
        <w:tc>
          <w:tcPr>
            <w:tcW w:w="9617" w:type="dxa"/>
            <w:gridSpan w:val="2"/>
            <w:vAlign w:val="center"/>
          </w:tcPr>
          <w:p w:rsidR="00590C3B" w:rsidRPr="00590C3B" w:rsidP="00E40C6F">
            <w:pPr>
              <w:spacing w:line="480" w:lineRule="auto"/>
              <w:rPr>
                <w:rFonts w:eastAsia="Calibri"/>
                <w:sz w:val="17"/>
                <w:szCs w:val="17"/>
                <w:rtl/>
              </w:rPr>
            </w:pPr>
            <w:r w:rsidRPr="00590C3B">
              <w:rPr>
                <w:rFonts w:eastAsia="Calibri"/>
                <w:noProof/>
              </w:rPr>
              <w:drawing>
                <wp:inline distT="0" distB="0" distL="0" distR="0">
                  <wp:extent cx="5969635" cy="498472"/>
                  <wp:effectExtent l="0" t="0" r="0" b="0"/>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תקציר תמונה 3.3.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3358C0">
        <w:tblPrEx>
          <w:tblW w:w="9642" w:type="dxa"/>
          <w:tblLook w:val="04A0"/>
        </w:tblPrEx>
        <w:trPr>
          <w:gridAfter w:val="1"/>
          <w:wAfter w:w="25" w:type="dxa"/>
          <w:trHeight w:val="1019"/>
        </w:trPr>
        <w:tc>
          <w:tcPr>
            <w:tcW w:w="1237" w:type="dxa"/>
            <w:vAlign w:val="center"/>
          </w:tcPr>
          <w:p w:rsidR="00590C3B" w:rsidRPr="00590C3B" w:rsidP="00590C3B">
            <w:pPr>
              <w:spacing w:line="288" w:lineRule="auto"/>
              <w:rPr>
                <w:rFonts w:eastAsia="Calibri"/>
                <w:sz w:val="17"/>
                <w:szCs w:val="17"/>
                <w:rtl/>
              </w:rPr>
            </w:pPr>
            <w:r w:rsidRPr="00590C3B">
              <w:rPr>
                <w:rFonts w:eastAsia="Calibri"/>
                <w:noProof/>
              </w:rPr>
              <w:drawing>
                <wp:anchor distT="0" distB="0" distL="114300" distR="114300" simplePos="0" relativeHeight="251659264" behindDoc="0" locked="0" layoutInCell="1" allowOverlap="1">
                  <wp:simplePos x="0" y="0"/>
                  <wp:positionH relativeFrom="column">
                    <wp:posOffset>111760</wp:posOffset>
                  </wp:positionH>
                  <wp:positionV relativeFrom="paragraph">
                    <wp:posOffset>-467995</wp:posOffset>
                  </wp:positionV>
                  <wp:extent cx="445135" cy="445135"/>
                  <wp:effectExtent l="0" t="0" r="0"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0C3B">
              <w:rPr>
                <w:rFonts w:eastAsia="Calibri"/>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590C3B" w:rsidRPr="00590C3B" w:rsidP="00590C3B">
            <w:pPr>
              <w:spacing w:line="288" w:lineRule="auto"/>
              <w:rPr>
                <w:rFonts w:ascii="Tahoma" w:eastAsia="Calibri" w:hAnsi="Tahoma" w:cs="Tahoma"/>
                <w:sz w:val="19"/>
                <w:szCs w:val="19"/>
                <w:rtl/>
              </w:rPr>
            </w:pPr>
            <w:r w:rsidRPr="00590C3B">
              <w:rPr>
                <w:rFonts w:ascii="Tahoma" w:eastAsia="Calibri" w:hAnsi="Tahoma" w:cs="Tahoma"/>
                <w:sz w:val="19"/>
                <w:szCs w:val="19"/>
                <w:rtl/>
              </w:rPr>
              <w:t>בחודשים ינואר - אוקטובר 2025 בדק משרד מבקר המדינה את היערכות משרד הבריאות וקופות החולים להזדקנות האוכלוסייה. בביקורת נבדקו התחומים האלו: תוחלת חיים בריאים ושבריריות; קידום בריאות ורפואה מונעת אצל זקנים; ויישום החלטות הממשלה להיערכותה של מערכת הבריאות להזדקנות האוכלוסייה. הביקורת נערכה במשרד הבריאות: באגף גריאטריה, במינהל תכנון אסטרטגי וכלכלי ובאגף בכיר תכנון, תקצוב ותמחור; וכן ביחידות הגריאטריה והטיפול בזקנים בארבע קופות החולים: כללית, מכבי, מאוחדת ולאומית. בדיקות השלמה נעשו במוסד לביטוח לאומי (בט"ל) ובהסתדרות הרפואית בישראל (הר"י).</w:t>
            </w:r>
          </w:p>
        </w:tc>
      </w:tr>
    </w:tbl>
    <w:p w:rsidR="005F2EAB" w:rsidP="00590C3B">
      <w:pPr>
        <w:spacing w:line="288" w:lineRule="auto"/>
        <w:ind w:left="-710"/>
        <w:rPr>
          <w:rFonts w:ascii="Tahoma" w:eastAsia="Calibri" w:hAnsi="Tahoma" w:cs="Tahoma"/>
          <w:noProof/>
          <w:rtl/>
        </w:rPr>
      </w:pPr>
    </w:p>
    <w:p w:rsidR="005F2EAB">
      <w:pPr>
        <w:bidi w:val="0"/>
        <w:spacing w:after="200" w:line="276" w:lineRule="auto"/>
        <w:rPr>
          <w:rFonts w:ascii="Tahoma" w:eastAsia="Calibri" w:hAnsi="Tahoma" w:cs="Tahoma"/>
          <w:noProof/>
          <w:rtl/>
        </w:rPr>
      </w:pPr>
      <w:r>
        <w:rPr>
          <w:rFonts w:ascii="Tahoma" w:eastAsia="Calibri" w:hAnsi="Tahoma" w:cs="Tahoma"/>
          <w:noProof/>
          <w:rtl/>
        </w:rPr>
        <w:br w:type="page"/>
      </w:r>
    </w:p>
    <w:p w:rsidR="00590C3B" w:rsidRPr="00590C3B" w:rsidP="00590C3B">
      <w:pPr>
        <w:spacing w:line="288" w:lineRule="auto"/>
        <w:ind w:left="-710"/>
        <w:rPr>
          <w:rFonts w:ascii="Tahoma" w:eastAsia="Calibri" w:hAnsi="Tahoma" w:cs="Tahoma"/>
          <w:noProof/>
          <w:rtl/>
        </w:rPr>
      </w:pPr>
      <w:r w:rsidRPr="00590C3B">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590C3B" w:rsidRPr="00590C3B" w:rsidP="00590C3B">
      <w:pPr>
        <w:spacing w:line="288" w:lineRule="auto"/>
        <w:ind w:left="-710"/>
        <w:rPr>
          <w:rFonts w:ascii="Tahoma" w:eastAsia="Calibri" w:hAnsi="Tahoma" w:cs="Tahoma"/>
          <w:b/>
          <w:bCs/>
          <w:sz w:val="19"/>
          <w:szCs w:val="19"/>
          <w:rtl/>
        </w:rPr>
      </w:pPr>
    </w:p>
    <w:p w:rsidR="00590C3B" w:rsidRPr="00590C3B" w:rsidP="00590C3B">
      <w:pPr>
        <w:spacing w:after="160" w:line="288" w:lineRule="auto"/>
        <w:ind w:left="-709"/>
        <w:rPr>
          <w:rFonts w:ascii="Tahoma" w:eastAsia="Calibri" w:hAnsi="Tahoma" w:cs="Tahoma"/>
          <w:noProof/>
          <w:rtl/>
        </w:rPr>
      </w:pPr>
      <w:r w:rsidRPr="00590C3B">
        <w:rPr>
          <w:rFonts w:ascii="Tahoma" w:eastAsia="Calibri" w:hAnsi="Tahoma" w:cs="Tahoma" w:hint="cs"/>
          <w:b/>
          <w:bCs/>
          <w:sz w:val="19"/>
          <w:szCs w:val="19"/>
          <w:rtl/>
        </w:rPr>
        <w:t xml:space="preserve">אינדיקטורים מרכזיים בתחום הבריאות הרלוונטיים להזדקנות האוכלוסייה </w:t>
      </w:r>
    </w:p>
    <w:p w:rsidR="00590C3B" w:rsidRPr="00590C3B" w:rsidP="005F2EAB">
      <w:pPr>
        <w:spacing w:line="288" w:lineRule="auto"/>
        <w:ind w:left="-710" w:right="-709"/>
        <w:rPr>
          <w:rFonts w:ascii="Tahoma" w:eastAsia="Calibri" w:hAnsi="Tahoma" w:cs="Tahoma"/>
          <w:noProof/>
          <w:sz w:val="19"/>
          <w:szCs w:val="19"/>
          <w:rtl/>
        </w:rPr>
      </w:pPr>
      <w:r w:rsidRPr="00590C3B">
        <w:rPr>
          <w:rFonts w:ascii="Tahoma" w:eastAsia="Calibri" w:hAnsi="Tahoma" w:cs="Tahoma"/>
          <w:noProof/>
          <w:sz w:val="19"/>
          <w:szCs w:val="19"/>
          <w:rtl/>
        </w:rPr>
        <w:t xml:space="preserve">בשנת 2025 </w:t>
      </w:r>
      <w:r w:rsidRPr="00590C3B">
        <w:rPr>
          <w:rFonts w:ascii="Tahoma" w:eastAsia="Calibri" w:hAnsi="Tahoma" w:cs="Tahoma" w:hint="cs"/>
          <w:noProof/>
          <w:sz w:val="19"/>
          <w:szCs w:val="19"/>
          <w:rtl/>
        </w:rPr>
        <w:t>ח</w:t>
      </w:r>
      <w:r w:rsidRPr="00590C3B">
        <w:rPr>
          <w:rFonts w:ascii="Tahoma" w:eastAsia="Calibri" w:hAnsi="Tahoma" w:cs="Tahoma"/>
          <w:noProof/>
          <w:sz w:val="19"/>
          <w:szCs w:val="19"/>
          <w:rtl/>
        </w:rPr>
        <w:t xml:space="preserve">יו </w:t>
      </w:r>
      <w:r w:rsidRPr="00590C3B">
        <w:rPr>
          <w:rFonts w:ascii="Tahoma" w:eastAsia="Calibri" w:hAnsi="Tahoma" w:cs="Tahoma" w:hint="cs"/>
          <w:noProof/>
          <w:sz w:val="19"/>
          <w:szCs w:val="19"/>
          <w:rtl/>
        </w:rPr>
        <w:t xml:space="preserve">בישראל </w:t>
      </w:r>
      <w:r w:rsidRPr="00590C3B">
        <w:rPr>
          <w:rFonts w:ascii="Tahoma" w:eastAsia="Calibri" w:hAnsi="Tahoma" w:cs="Tahoma"/>
          <w:noProof/>
          <w:sz w:val="19"/>
          <w:szCs w:val="19"/>
          <w:rtl/>
        </w:rPr>
        <w:t xml:space="preserve">כ-1.3 מיליון זקנים </w:t>
      </w:r>
      <w:r w:rsidRPr="00590C3B">
        <w:rPr>
          <w:rFonts w:ascii="Tahoma" w:eastAsia="Calibri" w:hAnsi="Tahoma" w:cs="Tahoma" w:hint="cs"/>
          <w:noProof/>
          <w:sz w:val="19"/>
          <w:szCs w:val="19"/>
          <w:rtl/>
        </w:rPr>
        <w:t>ה</w:t>
      </w:r>
      <w:r w:rsidRPr="00590C3B">
        <w:rPr>
          <w:rFonts w:ascii="Tahoma" w:eastAsia="Calibri" w:hAnsi="Tahoma" w:cs="Tahoma"/>
          <w:noProof/>
          <w:sz w:val="19"/>
          <w:szCs w:val="19"/>
          <w:rtl/>
        </w:rPr>
        <w:t>חברים בארבע קופות החולים, שהם כ-13% מכלל חברי הקופות</w:t>
      </w:r>
      <w:r w:rsidRPr="00590C3B">
        <w:rPr>
          <w:rFonts w:ascii="Tahoma" w:eastAsia="Calibri" w:hAnsi="Tahoma" w:cs="Tahoma" w:hint="cs"/>
          <w:noProof/>
          <w:sz w:val="19"/>
          <w:szCs w:val="19"/>
          <w:rtl/>
        </w:rPr>
        <w:t>. בשנת 2018 חלקם של הזקנים בהוצאה הכללית על הבריאות עמד על 36%, חלקם בתרופות עמד על 41%, וחלקם בשירותי בריאות בקהילה על 47%. בקרב בני 65 ומעלה שיעור ההימצאות</w:t>
      </w:r>
      <w:r>
        <w:rPr>
          <w:rFonts w:ascii="Tahoma" w:eastAsia="Calibri" w:hAnsi="Tahoma" w:cs="Tahoma"/>
          <w:noProof/>
          <w:sz w:val="19"/>
          <w:szCs w:val="19"/>
          <w:vertAlign w:val="superscript"/>
          <w:rtl/>
        </w:rPr>
        <w:footnoteReference w:id="2"/>
      </w:r>
      <w:r w:rsidRPr="00590C3B">
        <w:rPr>
          <w:rFonts w:ascii="Tahoma" w:eastAsia="Calibri" w:hAnsi="Tahoma" w:cs="Tahoma" w:hint="cs"/>
          <w:noProof/>
          <w:sz w:val="19"/>
          <w:szCs w:val="19"/>
          <w:rtl/>
        </w:rPr>
        <w:t xml:space="preserve"> של סוכרת עמד בשנת 2022 על 33.3%.</w:t>
      </w:r>
    </w:p>
    <w:p w:rsidR="00590C3B" w:rsidRPr="00590C3B" w:rsidP="00590C3B">
      <w:pPr>
        <w:spacing w:before="240" w:after="160" w:line="288" w:lineRule="auto"/>
        <w:ind w:left="-709" w:right="-567"/>
        <w:rPr>
          <w:rFonts w:eastAsia="Calibri"/>
          <w:rtl/>
        </w:rPr>
      </w:pPr>
      <w:r w:rsidRPr="00590C3B">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590C3B" w:rsidRPr="00590C3B" w:rsidP="00590C3B">
      <w:pPr>
        <w:numPr>
          <w:ilvl w:val="0"/>
          <w:numId w:val="14"/>
        </w:numPr>
        <w:spacing w:after="240" w:line="288" w:lineRule="auto"/>
        <w:ind w:left="-143" w:right="-567" w:hanging="595"/>
        <w:rPr>
          <w:rFonts w:ascii="Tahoma" w:eastAsia="Calibri" w:hAnsi="Tahoma" w:cs="Tahoma"/>
          <w:sz w:val="19"/>
          <w:szCs w:val="19"/>
        </w:rPr>
      </w:pPr>
      <w:r w:rsidRPr="00590C3B">
        <w:rPr>
          <w:rFonts w:ascii="Tahoma" w:eastAsia="Calibri" w:hAnsi="Tahoma" w:cs="Tahoma"/>
          <w:b/>
          <w:bCs/>
          <w:sz w:val="19"/>
          <w:szCs w:val="19"/>
          <w:rtl/>
        </w:rPr>
        <w:t>מדיניות משרד הבריאות להיערכות להזדקנות האוכלוסייה</w:t>
      </w:r>
      <w:r w:rsidRPr="00590C3B">
        <w:rPr>
          <w:rFonts w:ascii="Tahoma" w:eastAsia="Calibri" w:hAnsi="Tahoma" w:cs="Tahoma" w:hint="cs"/>
          <w:b/>
          <w:bCs/>
          <w:sz w:val="19"/>
          <w:szCs w:val="19"/>
          <w:rtl/>
        </w:rPr>
        <w:t xml:space="preserve"> - </w:t>
      </w:r>
      <w:r w:rsidRPr="00590C3B">
        <w:rPr>
          <w:rFonts w:ascii="Tahoma" w:eastAsia="Calibri" w:hAnsi="Tahoma" w:cs="Tahoma"/>
          <w:sz w:val="19"/>
          <w:szCs w:val="19"/>
          <w:rtl/>
        </w:rPr>
        <w:t xml:space="preserve">משרד הבריאות גיבש </w:t>
      </w:r>
      <w:r w:rsidRPr="00590C3B">
        <w:rPr>
          <w:rFonts w:ascii="Tahoma" w:eastAsia="Calibri" w:hAnsi="Tahoma" w:cs="Tahoma" w:hint="cs"/>
          <w:sz w:val="19"/>
          <w:szCs w:val="19"/>
          <w:rtl/>
        </w:rPr>
        <w:t xml:space="preserve">בשנת 2021 </w:t>
      </w:r>
      <w:r w:rsidRPr="00590C3B">
        <w:rPr>
          <w:rFonts w:ascii="Tahoma" w:eastAsia="Calibri" w:hAnsi="Tahoma" w:cs="Tahoma"/>
          <w:sz w:val="19"/>
          <w:szCs w:val="19"/>
          <w:rtl/>
        </w:rPr>
        <w:t xml:space="preserve">תוכנית להזדקנות מיטבית - קידום בריאות ומניעת מחלות ותוכנית לאומית להיערכות מערכת הבריאות להזדקנות האוכלוסייה. </w:t>
      </w:r>
      <w:r w:rsidRPr="00590C3B">
        <w:rPr>
          <w:rFonts w:ascii="Tahoma" w:eastAsia="Calibri" w:hAnsi="Tahoma" w:cs="Tahoma" w:hint="cs"/>
          <w:sz w:val="19"/>
          <w:szCs w:val="19"/>
          <w:rtl/>
        </w:rPr>
        <w:t>תוכניות אלה הן ביטוי</w:t>
      </w:r>
      <w:r w:rsidRPr="00590C3B">
        <w:rPr>
          <w:rFonts w:ascii="Tahoma" w:eastAsia="Calibri" w:hAnsi="Tahoma" w:cs="Tahoma"/>
          <w:sz w:val="19"/>
          <w:szCs w:val="19"/>
          <w:rtl/>
        </w:rPr>
        <w:t xml:space="preserve"> </w:t>
      </w:r>
      <w:r w:rsidRPr="00590C3B">
        <w:rPr>
          <w:rFonts w:ascii="Tahoma" w:eastAsia="Calibri" w:hAnsi="Tahoma" w:cs="Tahoma" w:hint="cs"/>
          <w:sz w:val="19"/>
          <w:szCs w:val="19"/>
          <w:rtl/>
        </w:rPr>
        <w:t>ל</w:t>
      </w:r>
      <w:r w:rsidRPr="00590C3B">
        <w:rPr>
          <w:rFonts w:ascii="Tahoma" w:eastAsia="Calibri" w:hAnsi="Tahoma" w:cs="Tahoma"/>
          <w:sz w:val="19"/>
          <w:szCs w:val="19"/>
          <w:rtl/>
        </w:rPr>
        <w:t>מדיניות המשרדית הנוגעת להיערכות מערכת הבריאות להזדקנות האוכלוסייה</w:t>
      </w:r>
      <w:r w:rsidRPr="00590C3B">
        <w:rPr>
          <w:rFonts w:ascii="Tahoma" w:eastAsia="Calibri" w:hAnsi="Tahoma" w:cs="Tahoma" w:hint="cs"/>
          <w:sz w:val="19"/>
          <w:szCs w:val="19"/>
          <w:rtl/>
        </w:rPr>
        <w:t>.</w:t>
      </w:r>
      <w:r w:rsidRPr="00590C3B">
        <w:rPr>
          <w:rFonts w:ascii="Tahoma" w:eastAsia="Calibri" w:hAnsi="Tahoma" w:cs="Tahoma"/>
          <w:sz w:val="19"/>
          <w:szCs w:val="19"/>
          <w:rtl/>
        </w:rPr>
        <w:t xml:space="preserve"> </w:t>
      </w:r>
      <w:r w:rsidRPr="00590C3B">
        <w:rPr>
          <w:rFonts w:ascii="Tahoma" w:eastAsia="Calibri" w:hAnsi="Tahoma" w:cs="Tahoma" w:hint="cs"/>
          <w:sz w:val="19"/>
          <w:szCs w:val="19"/>
          <w:rtl/>
        </w:rPr>
        <w:t xml:space="preserve">נמצא כי </w:t>
      </w:r>
      <w:r w:rsidRPr="00590C3B">
        <w:rPr>
          <w:rFonts w:ascii="Tahoma" w:eastAsia="Calibri" w:hAnsi="Tahoma" w:cs="Tahoma"/>
          <w:sz w:val="19"/>
          <w:szCs w:val="19"/>
          <w:rtl/>
        </w:rPr>
        <w:t>במדיניות משרד הבריאות חסרים מרכיבים משמעותיים - כך לדוגמה משרד הבריאות לא הכין תוכנית אופרטיבית רב-שנתית ליישום התוכניות להזדקנות מיטבית ולהיערכות מערכת הבריאות להזדקנות האוכלוסייה, לא הגדיר מטרות ארוכות טווח ליישומה ולא גיבש מדדי איכות חדשים שתכליתם שיפור במדדי ההזדקנו</w:t>
      </w:r>
      <w:r w:rsidRPr="00590C3B">
        <w:rPr>
          <w:rFonts w:ascii="Tahoma" w:eastAsia="Calibri" w:hAnsi="Tahoma" w:cs="Tahoma" w:hint="cs"/>
          <w:sz w:val="19"/>
          <w:szCs w:val="19"/>
          <w:rtl/>
        </w:rPr>
        <w:t>ת.</w:t>
      </w:r>
      <w:r w:rsidRPr="00590C3B">
        <w:rPr>
          <w:rFonts w:ascii="Tahoma" w:eastAsia="Calibri" w:hAnsi="Tahoma" w:cs="Tahoma" w:hint="cs"/>
          <w:b/>
          <w:bCs/>
          <w:sz w:val="19"/>
          <w:szCs w:val="19"/>
          <w:rtl/>
        </w:rPr>
        <w:t xml:space="preserve"> </w:t>
      </w:r>
      <w:r w:rsidRPr="00590C3B">
        <w:rPr>
          <w:rFonts w:ascii="Tahoma" w:eastAsia="Calibri" w:hAnsi="Tahoma" w:cs="Tahoma"/>
          <w:sz w:val="19"/>
          <w:szCs w:val="19"/>
          <w:rtl/>
        </w:rPr>
        <w:t>בהיעדר רכיבים בסיסים במדיניות המשרד, משרד הבריאות יתקשה להתאים כראוי את מערכת הבריאות להזדקנות האוכלוסייה</w:t>
      </w:r>
      <w:r w:rsidRPr="00590C3B">
        <w:rPr>
          <w:rFonts w:ascii="Tahoma" w:eastAsia="Calibri" w:hAnsi="Tahoma" w:cs="Tahoma" w:hint="cs"/>
          <w:sz w:val="19"/>
          <w:szCs w:val="19"/>
          <w:rtl/>
        </w:rPr>
        <w:t xml:space="preserve"> בכל הקשור</w:t>
      </w:r>
      <w:r w:rsidRPr="00590C3B">
        <w:rPr>
          <w:rFonts w:ascii="Tahoma" w:eastAsia="Calibri" w:hAnsi="Tahoma" w:cs="Tahoma"/>
          <w:sz w:val="19"/>
          <w:szCs w:val="19"/>
          <w:rtl/>
        </w:rPr>
        <w:t xml:space="preserve"> </w:t>
      </w:r>
      <w:r w:rsidRPr="00590C3B">
        <w:rPr>
          <w:rFonts w:ascii="Tahoma" w:eastAsia="Calibri" w:hAnsi="Tahoma" w:cs="Tahoma" w:hint="cs"/>
          <w:sz w:val="19"/>
          <w:szCs w:val="19"/>
          <w:rtl/>
        </w:rPr>
        <w:t>ל</w:t>
      </w:r>
      <w:r w:rsidRPr="00590C3B">
        <w:rPr>
          <w:rFonts w:ascii="Tahoma" w:eastAsia="Calibri" w:hAnsi="Tahoma" w:cs="Tahoma"/>
          <w:sz w:val="19"/>
          <w:szCs w:val="19"/>
          <w:rtl/>
        </w:rPr>
        <w:t>שיפור בריאות הזקנים ו</w:t>
      </w:r>
      <w:r w:rsidRPr="00590C3B">
        <w:rPr>
          <w:rFonts w:ascii="Tahoma" w:eastAsia="Calibri" w:hAnsi="Tahoma" w:cs="Tahoma" w:hint="cs"/>
          <w:sz w:val="19"/>
          <w:szCs w:val="19"/>
          <w:rtl/>
        </w:rPr>
        <w:t>ל</w:t>
      </w:r>
      <w:r w:rsidRPr="00590C3B">
        <w:rPr>
          <w:rFonts w:ascii="Tahoma" w:eastAsia="Calibri" w:hAnsi="Tahoma" w:cs="Tahoma"/>
          <w:sz w:val="19"/>
          <w:szCs w:val="19"/>
          <w:rtl/>
        </w:rPr>
        <w:t>התאמת השירותים לצורכיהם</w:t>
      </w:r>
      <w:r w:rsidRPr="00590C3B">
        <w:rPr>
          <w:rFonts w:ascii="Tahoma" w:eastAsia="Calibri" w:hAnsi="Tahoma" w:cs="Tahoma" w:hint="cs"/>
          <w:sz w:val="19"/>
          <w:szCs w:val="19"/>
          <w:rtl/>
        </w:rPr>
        <w:t>.</w:t>
      </w:r>
      <w:r w:rsidRPr="00590C3B">
        <w:rPr>
          <w:rFonts w:ascii="Tahoma" w:eastAsia="Calibri" w:hAnsi="Tahoma" w:cs="Tahoma" w:hint="cs"/>
          <w:b/>
          <w:bCs/>
          <w:sz w:val="19"/>
          <w:szCs w:val="19"/>
          <w:rtl/>
        </w:rPr>
        <w:t xml:space="preserve"> </w:t>
      </w:r>
      <w:r w:rsidRPr="00590C3B">
        <w:rPr>
          <w:rFonts w:ascii="Tahoma" w:eastAsia="Calibri" w:hAnsi="Tahoma" w:cs="Tahoma" w:hint="cs"/>
          <w:sz w:val="19"/>
          <w:szCs w:val="19"/>
          <w:rtl/>
        </w:rPr>
        <w:t xml:space="preserve">כך למשל בביקורת עלה כי משרד הבריאות </w:t>
      </w:r>
      <w:r w:rsidRPr="00590C3B">
        <w:rPr>
          <w:rFonts w:ascii="Tahoma" w:eastAsia="Calibri" w:hAnsi="Tahoma" w:cs="Tahoma"/>
          <w:sz w:val="19"/>
          <w:szCs w:val="19"/>
          <w:rtl/>
        </w:rPr>
        <w:t>לא קבע יעדים מדידים להארכת תוחלת חיים בריאים עבור זקנים</w:t>
      </w:r>
      <w:r w:rsidRPr="00590C3B">
        <w:rPr>
          <w:rFonts w:ascii="Tahoma" w:eastAsia="Calibri" w:hAnsi="Tahoma" w:cs="Tahoma" w:hint="cs"/>
          <w:sz w:val="19"/>
          <w:szCs w:val="19"/>
          <w:rtl/>
        </w:rPr>
        <w:t xml:space="preserve">; </w:t>
      </w:r>
      <w:r w:rsidRPr="00590C3B">
        <w:rPr>
          <w:rFonts w:ascii="Tahoma" w:eastAsia="Calibri" w:hAnsi="Tahoma" w:cs="Tahoma"/>
          <w:sz w:val="19"/>
          <w:szCs w:val="19"/>
          <w:rtl/>
        </w:rPr>
        <w:t>לא גזר מהם פעולות שתכליתן הארכת שנות חיים בריאים</w:t>
      </w:r>
      <w:r w:rsidRPr="00590C3B">
        <w:rPr>
          <w:rFonts w:ascii="Tahoma" w:eastAsia="Calibri" w:hAnsi="Tahoma" w:cs="Tahoma" w:hint="cs"/>
          <w:sz w:val="19"/>
          <w:szCs w:val="19"/>
          <w:rtl/>
        </w:rPr>
        <w:t>; ו</w:t>
      </w:r>
      <w:r w:rsidRPr="00590C3B">
        <w:rPr>
          <w:rFonts w:ascii="Tahoma" w:eastAsia="Calibri" w:hAnsi="Tahoma" w:cs="Tahoma"/>
          <w:sz w:val="19"/>
          <w:szCs w:val="19"/>
          <w:rtl/>
        </w:rPr>
        <w:t>לא גיבש תוכנית לשיפור במדד תוחלת חיים בריאים שבמפת המדדים להזדקנות מיטבית</w:t>
      </w:r>
      <w:r w:rsidRPr="00590C3B">
        <w:rPr>
          <w:rFonts w:ascii="Tahoma" w:eastAsia="Calibri" w:hAnsi="Tahoma" w:cs="Tahoma" w:hint="cs"/>
          <w:sz w:val="19"/>
          <w:szCs w:val="19"/>
          <w:rtl/>
        </w:rPr>
        <w:t xml:space="preserve">. </w:t>
      </w:r>
    </w:p>
    <w:p w:rsidR="00590C3B" w:rsidRPr="00590C3B" w:rsidP="00590C3B">
      <w:pPr>
        <w:numPr>
          <w:ilvl w:val="0"/>
          <w:numId w:val="14"/>
        </w:numPr>
        <w:spacing w:after="120" w:line="288" w:lineRule="auto"/>
        <w:ind w:left="-142" w:right="-567" w:hanging="595"/>
        <w:rPr>
          <w:rFonts w:ascii="Tahoma" w:eastAsia="Calibri" w:hAnsi="Tahoma" w:cs="Tahoma"/>
          <w:sz w:val="19"/>
          <w:szCs w:val="19"/>
        </w:rPr>
      </w:pPr>
      <w:r w:rsidRPr="00590C3B">
        <w:rPr>
          <w:rFonts w:ascii="Tahoma" w:eastAsia="Calibri" w:hAnsi="Tahoma" w:cs="Tahoma" w:hint="cs"/>
          <w:b/>
          <w:bCs/>
          <w:sz w:val="19"/>
          <w:szCs w:val="19"/>
          <w:rtl/>
        </w:rPr>
        <w:t xml:space="preserve">מדידת </w:t>
      </w:r>
      <w:r w:rsidR="00810C92">
        <w:rPr>
          <w:rFonts w:ascii="Tahoma" w:eastAsia="Calibri" w:hAnsi="Tahoma" w:cs="Tahoma" w:hint="cs"/>
          <w:b/>
          <w:bCs/>
          <w:sz w:val="19"/>
          <w:szCs w:val="19"/>
          <w:rtl/>
        </w:rPr>
        <w:t>ה</w:t>
      </w:r>
      <w:r w:rsidRPr="00590C3B">
        <w:rPr>
          <w:rFonts w:ascii="Tahoma" w:eastAsia="Calibri" w:hAnsi="Tahoma" w:cs="Tahoma" w:hint="cs"/>
          <w:b/>
          <w:bCs/>
          <w:sz w:val="19"/>
          <w:szCs w:val="19"/>
          <w:rtl/>
        </w:rPr>
        <w:t xml:space="preserve">שבריריות ברמה </w:t>
      </w:r>
      <w:r w:rsidR="00810C92">
        <w:rPr>
          <w:rFonts w:ascii="Tahoma" w:eastAsia="Calibri" w:hAnsi="Tahoma" w:cs="Tahoma" w:hint="cs"/>
          <w:b/>
          <w:bCs/>
          <w:sz w:val="19"/>
          <w:szCs w:val="19"/>
          <w:rtl/>
        </w:rPr>
        <w:t>ה</w:t>
      </w:r>
      <w:r w:rsidRPr="00590C3B">
        <w:rPr>
          <w:rFonts w:ascii="Tahoma" w:eastAsia="Calibri" w:hAnsi="Tahoma" w:cs="Tahoma" w:hint="cs"/>
          <w:b/>
          <w:bCs/>
          <w:sz w:val="19"/>
          <w:szCs w:val="19"/>
          <w:rtl/>
        </w:rPr>
        <w:t>לאומית ובאופן אחיד</w:t>
      </w:r>
      <w:r w:rsidRPr="00590C3B">
        <w:rPr>
          <w:rFonts w:ascii="Tahoma" w:eastAsia="Calibri" w:hAnsi="Tahoma" w:cs="Tahoma" w:hint="cs"/>
          <w:sz w:val="19"/>
          <w:szCs w:val="19"/>
          <w:rtl/>
        </w:rPr>
        <w:t xml:space="preserve"> - </w:t>
      </w:r>
      <w:r w:rsidRPr="00590C3B">
        <w:rPr>
          <w:rFonts w:ascii="Tahoma" w:eastAsia="Calibri" w:hAnsi="Tahoma" w:cs="Tahoma"/>
          <w:sz w:val="19"/>
          <w:szCs w:val="19"/>
          <w:rtl/>
        </w:rPr>
        <w:t>הוועדה הבין-משרדית לקידום בריאות ומניעת תחלואה כרונית</w:t>
      </w:r>
      <w:r>
        <w:rPr>
          <w:rFonts w:ascii="Tahoma" w:eastAsia="Calibri" w:hAnsi="Tahoma" w:cs="Tahoma"/>
          <w:sz w:val="19"/>
          <w:szCs w:val="19"/>
          <w:vertAlign w:val="superscript"/>
          <w:rtl/>
        </w:rPr>
        <w:footnoteReference w:id="3"/>
      </w:r>
      <w:r w:rsidRPr="00590C3B">
        <w:rPr>
          <w:rFonts w:ascii="Tahoma" w:eastAsia="Calibri" w:hAnsi="Tahoma" w:cs="Tahoma"/>
          <w:sz w:val="19"/>
          <w:szCs w:val="19"/>
          <w:rtl/>
        </w:rPr>
        <w:t xml:space="preserve"> המליצה</w:t>
      </w:r>
      <w:r w:rsidRPr="00590C3B">
        <w:rPr>
          <w:rFonts w:ascii="Tahoma" w:eastAsia="Calibri" w:hAnsi="Tahoma" w:cs="Tahoma" w:hint="cs"/>
          <w:sz w:val="19"/>
          <w:szCs w:val="19"/>
          <w:rtl/>
        </w:rPr>
        <w:t xml:space="preserve"> בשנת 2022 </w:t>
      </w:r>
      <w:r w:rsidRPr="00590C3B">
        <w:rPr>
          <w:rFonts w:ascii="Tahoma" w:eastAsia="Calibri" w:hAnsi="Tahoma" w:cs="Tahoma"/>
          <w:sz w:val="19"/>
          <w:szCs w:val="19"/>
          <w:rtl/>
        </w:rPr>
        <w:t>לקדם מדד איכות של שבריריות ברמה הלאומית</w:t>
      </w:r>
      <w:r w:rsidRPr="00590C3B">
        <w:rPr>
          <w:rFonts w:ascii="Tahoma" w:eastAsia="Calibri" w:hAnsi="Tahoma" w:cs="Tahoma" w:hint="cs"/>
          <w:sz w:val="19"/>
          <w:szCs w:val="19"/>
          <w:rtl/>
        </w:rPr>
        <w:t>. זאת</w:t>
      </w:r>
      <w:r w:rsidRPr="00590C3B">
        <w:rPr>
          <w:rFonts w:ascii="Tahoma" w:eastAsia="Calibri" w:hAnsi="Tahoma" w:cs="Tahoma"/>
          <w:sz w:val="19"/>
          <w:szCs w:val="19"/>
          <w:rtl/>
        </w:rPr>
        <w:t xml:space="preserve"> בשל החשיבות של מדד הכולל גורמי סיכון תפקודיים, תזונתיים, קוגניטיביים וחברתיים </w:t>
      </w:r>
      <w:r w:rsidRPr="00590C3B">
        <w:rPr>
          <w:rFonts w:ascii="Tahoma" w:eastAsia="Calibri" w:hAnsi="Tahoma" w:cs="Tahoma" w:hint="cs"/>
          <w:sz w:val="19"/>
          <w:szCs w:val="19"/>
          <w:rtl/>
        </w:rPr>
        <w:t>בכל הקשור</w:t>
      </w:r>
      <w:r w:rsidRPr="00590C3B">
        <w:rPr>
          <w:rFonts w:ascii="Tahoma" w:eastAsia="Calibri" w:hAnsi="Tahoma" w:cs="Tahoma"/>
          <w:sz w:val="19"/>
          <w:szCs w:val="19"/>
          <w:rtl/>
        </w:rPr>
        <w:t xml:space="preserve"> </w:t>
      </w:r>
      <w:r w:rsidRPr="00590C3B">
        <w:rPr>
          <w:rFonts w:ascii="Tahoma" w:eastAsia="Calibri" w:hAnsi="Tahoma" w:cs="Tahoma" w:hint="cs"/>
          <w:sz w:val="19"/>
          <w:szCs w:val="19"/>
          <w:rtl/>
        </w:rPr>
        <w:t>ל</w:t>
      </w:r>
      <w:r w:rsidRPr="00590C3B">
        <w:rPr>
          <w:rFonts w:ascii="Tahoma" w:eastAsia="Calibri" w:hAnsi="Tahoma" w:cs="Tahoma"/>
          <w:sz w:val="19"/>
          <w:szCs w:val="19"/>
          <w:rtl/>
        </w:rPr>
        <w:t>ניטור ו</w:t>
      </w:r>
      <w:r w:rsidRPr="00590C3B">
        <w:rPr>
          <w:rFonts w:ascii="Tahoma" w:eastAsia="Calibri" w:hAnsi="Tahoma" w:cs="Tahoma" w:hint="cs"/>
          <w:sz w:val="19"/>
          <w:szCs w:val="19"/>
          <w:rtl/>
        </w:rPr>
        <w:t>ל</w:t>
      </w:r>
      <w:r w:rsidRPr="00590C3B">
        <w:rPr>
          <w:rFonts w:ascii="Tahoma" w:eastAsia="Calibri" w:hAnsi="Tahoma" w:cs="Tahoma"/>
          <w:sz w:val="19"/>
          <w:szCs w:val="19"/>
          <w:rtl/>
        </w:rPr>
        <w:t>מעקב אחר האפקטיביות של אבחון מוקדם ורפואה מונעת בקרב זקנים.</w:t>
      </w:r>
      <w:r w:rsidRPr="00590C3B">
        <w:rPr>
          <w:rFonts w:ascii="Tahoma" w:eastAsia="Calibri" w:hAnsi="Tahoma" w:cs="Tahoma" w:hint="cs"/>
          <w:sz w:val="19"/>
          <w:szCs w:val="19"/>
          <w:rtl/>
        </w:rPr>
        <w:t xml:space="preserve"> עם זאת, </w:t>
      </w:r>
      <w:r w:rsidRPr="00590C3B">
        <w:rPr>
          <w:rFonts w:ascii="Tahoma" w:eastAsia="Calibri" w:hAnsi="Tahoma" w:cs="Tahoma"/>
          <w:sz w:val="19"/>
          <w:szCs w:val="19"/>
          <w:rtl/>
        </w:rPr>
        <w:t>בביקורת עלה כי למרות החשיבות של קביעת מדד איכות של שבריריות ברמה הלאומית ומדידתו ברמה הפרטנית, ו</w:t>
      </w:r>
      <w:r w:rsidRPr="00590C3B">
        <w:rPr>
          <w:rFonts w:ascii="Tahoma" w:eastAsia="Calibri" w:hAnsi="Tahoma" w:cs="Tahoma" w:hint="cs"/>
          <w:sz w:val="19"/>
          <w:szCs w:val="19"/>
          <w:rtl/>
        </w:rPr>
        <w:t xml:space="preserve">על אף </w:t>
      </w:r>
      <w:r w:rsidRPr="00590C3B">
        <w:rPr>
          <w:rFonts w:ascii="Tahoma" w:eastAsia="Calibri" w:hAnsi="Tahoma" w:cs="Tahoma"/>
          <w:sz w:val="19"/>
          <w:szCs w:val="19"/>
          <w:rtl/>
        </w:rPr>
        <w:t>המלצות הוועדה הבין-משרדית לקידום בריאות ומניעת תחלואה כרונית, משרד הבריאות לא הוביל מהלך לגיבוש מדד שבריריות לאומי.</w:t>
      </w:r>
      <w:r w:rsidRPr="00590C3B">
        <w:rPr>
          <w:rFonts w:ascii="Tahoma" w:eastAsia="Calibri" w:hAnsi="Tahoma" w:cs="Tahoma" w:hint="cs"/>
          <w:sz w:val="19"/>
          <w:szCs w:val="19"/>
          <w:rtl/>
        </w:rPr>
        <w:t xml:space="preserve"> </w:t>
      </w:r>
      <w:r w:rsidRPr="00590C3B">
        <w:rPr>
          <w:rFonts w:ascii="Tahoma" w:eastAsia="Calibri" w:hAnsi="Tahoma" w:cs="Tahoma"/>
          <w:sz w:val="19"/>
          <w:szCs w:val="19"/>
          <w:rtl/>
        </w:rPr>
        <w:t>בהיעדר מדד אחיד ובהיעדר איסוף של נתוני שבריריות על ידי כל הקופות, משרד הבריאות לא אוסף נתונים על שיעורי השבריריות בקרב זקנים. כמו כן הוא אינו עושה שימוש במדד השבריריות כדי להעריך את אפקטיביות המדיניות והתוכניות שהוא מקדם בתחום בריאות הזקנים, למשל באמצעות מבחני תמיכה בקופות, והשפעתן על דחיית גיל תחילת השבריריות של חברי הקופות הזקנים.</w:t>
      </w:r>
    </w:p>
    <w:p w:rsidR="00590C3B" w:rsidRPr="00590C3B" w:rsidP="00590C3B">
      <w:pPr>
        <w:spacing w:after="240" w:line="288" w:lineRule="auto"/>
        <w:ind w:left="-143" w:right="-567"/>
        <w:rPr>
          <w:rFonts w:ascii="Tahoma" w:eastAsia="Calibri" w:hAnsi="Tahoma" w:cs="Tahoma"/>
          <w:sz w:val="19"/>
          <w:szCs w:val="19"/>
        </w:rPr>
      </w:pPr>
      <w:r w:rsidRPr="00590C3B">
        <w:rPr>
          <w:rFonts w:ascii="Tahoma" w:eastAsia="Calibri" w:hAnsi="Tahoma" w:cs="Tahoma" w:hint="cs"/>
          <w:sz w:val="19"/>
          <w:szCs w:val="19"/>
          <w:rtl/>
        </w:rPr>
        <w:t xml:space="preserve">יצוין כי שתי קופות חולים, מכבי ומאוחדת, עושות שימוש במדדי שבריריות שגיבשו. עם זאת, הן אוספות ליקויים שונים, עושות שימוש בסולם שונה, משתמשות ברף ציון שונה למעבר בין קטגוריות השבריריות ואינן משמרות את ציוני המדד באופן היסטורי. למשל, </w:t>
      </w:r>
      <w:r w:rsidRPr="00590C3B">
        <w:rPr>
          <w:rFonts w:ascii="Tahoma" w:eastAsia="Calibri" w:hAnsi="Tahoma" w:cs="Tahoma"/>
          <w:sz w:val="19"/>
          <w:szCs w:val="19"/>
          <w:rtl/>
        </w:rPr>
        <w:t>מאוחדת ומכבי מגדירות רמות שונות של המדד כתנאי סף לכניסה לקטגוריית שבריריות</w:t>
      </w:r>
      <w:r>
        <w:rPr>
          <w:rFonts w:ascii="Tahoma" w:eastAsia="Calibri" w:hAnsi="Tahoma" w:cs="Tahoma"/>
          <w:sz w:val="19"/>
          <w:szCs w:val="19"/>
          <w:vertAlign w:val="superscript"/>
          <w:rtl/>
        </w:rPr>
        <w:footnoteReference w:id="4"/>
      </w:r>
      <w:r w:rsidRPr="00590C3B">
        <w:rPr>
          <w:rFonts w:ascii="Tahoma" w:eastAsia="Calibri" w:hAnsi="Tahoma" w:cs="Tahoma" w:hint="cs"/>
          <w:sz w:val="19"/>
          <w:szCs w:val="19"/>
          <w:rtl/>
        </w:rPr>
        <w:t>.</w:t>
      </w:r>
      <w:r w:rsidRPr="00590C3B">
        <w:rPr>
          <w:rFonts w:ascii="Tahoma" w:eastAsia="Calibri" w:hAnsi="Tahoma" w:cs="Tahoma"/>
          <w:sz w:val="19"/>
          <w:szCs w:val="19"/>
          <w:rtl/>
        </w:rPr>
        <w:t xml:space="preserve"> כדי לעבור בין קטגוריות השבריריות השונות נדרש סף ציון גבוה יותר במכבי </w:t>
      </w:r>
      <w:r w:rsidRPr="00590C3B">
        <w:rPr>
          <w:rFonts w:ascii="Tahoma" w:eastAsia="Calibri" w:hAnsi="Tahoma" w:cs="Tahoma" w:hint="cs"/>
          <w:sz w:val="19"/>
          <w:szCs w:val="19"/>
          <w:rtl/>
        </w:rPr>
        <w:t xml:space="preserve">(10) </w:t>
      </w:r>
      <w:r w:rsidRPr="00590C3B">
        <w:rPr>
          <w:rFonts w:ascii="Tahoma" w:eastAsia="Calibri" w:hAnsi="Tahoma" w:cs="Tahoma"/>
          <w:sz w:val="19"/>
          <w:szCs w:val="19"/>
          <w:rtl/>
        </w:rPr>
        <w:t>מאשר במאוחדת</w:t>
      </w:r>
      <w:r w:rsidRPr="00590C3B">
        <w:rPr>
          <w:rFonts w:ascii="Tahoma" w:eastAsia="Calibri" w:hAnsi="Tahoma" w:cs="Tahoma" w:hint="cs"/>
          <w:sz w:val="19"/>
          <w:szCs w:val="19"/>
          <w:rtl/>
        </w:rPr>
        <w:t xml:space="preserve"> (5)</w:t>
      </w:r>
      <w:r w:rsidRPr="00590C3B">
        <w:rPr>
          <w:rFonts w:ascii="Tahoma" w:eastAsia="Calibri" w:hAnsi="Tahoma" w:cs="Tahoma"/>
          <w:sz w:val="19"/>
          <w:szCs w:val="19"/>
          <w:rtl/>
        </w:rPr>
        <w:t>.</w:t>
      </w:r>
      <w:r w:rsidRPr="00590C3B">
        <w:rPr>
          <w:rFonts w:ascii="Tahoma" w:eastAsia="Calibri" w:hAnsi="Tahoma" w:cs="Tahoma" w:hint="cs"/>
          <w:sz w:val="19"/>
          <w:szCs w:val="19"/>
          <w:rtl/>
        </w:rPr>
        <w:t xml:space="preserve"> </w:t>
      </w:r>
      <w:r w:rsidRPr="00590C3B">
        <w:rPr>
          <w:rFonts w:ascii="Tahoma" w:eastAsia="Calibri" w:hAnsi="Tahoma" w:cs="Tahoma"/>
          <w:sz w:val="19"/>
          <w:szCs w:val="19"/>
          <w:rtl/>
        </w:rPr>
        <w:t>משמעות הדבר היא שלא ניתן להשוות בין ציוני השבריריות של חברי שתי הקופות ובין קטגוריות השבריריות המיוחסות להם כדי לזהות הבדלים ברמת השבריריות של חבריהן</w:t>
      </w:r>
      <w:r w:rsidRPr="00590C3B">
        <w:rPr>
          <w:rFonts w:ascii="Tahoma" w:eastAsia="Calibri" w:hAnsi="Tahoma" w:cs="Tahoma" w:hint="cs"/>
          <w:sz w:val="19"/>
          <w:szCs w:val="19"/>
          <w:rtl/>
        </w:rPr>
        <w:t>. כמו כן לא ניתן לעקוב אחר שינויים ברמת השבריריות אצל אדם ולזהות שיפור או הרעה במצבו.</w:t>
      </w:r>
      <w:r w:rsidRPr="00590C3B">
        <w:rPr>
          <w:rFonts w:eastAsia="Calibri"/>
          <w:rtl/>
        </w:rPr>
        <w:t xml:space="preserve"> </w:t>
      </w:r>
      <w:r w:rsidRPr="00590C3B">
        <w:rPr>
          <w:rFonts w:ascii="Tahoma" w:eastAsia="Calibri" w:hAnsi="Tahoma" w:cs="Tahoma"/>
          <w:sz w:val="19"/>
          <w:szCs w:val="19"/>
          <w:rtl/>
        </w:rPr>
        <w:t>בהיעדר אפשרות להשוות, משרד הבריאות אינו יכול ליצור תמונת מצב מלאה ואחידה של מצב השבריריות של הזקנים בישראל, לנטר שינויים בו לאורך זמן, להתוות מדיניות כוללת ולגבש תוכניות שייתנו מענה דיפרנציאלי בכל קופה.</w:t>
      </w:r>
      <w:r w:rsidRPr="00590C3B">
        <w:rPr>
          <w:rFonts w:ascii="Tahoma" w:eastAsia="Calibri" w:hAnsi="Tahoma" w:cs="Tahoma" w:hint="cs"/>
          <w:sz w:val="19"/>
          <w:szCs w:val="19"/>
          <w:rtl/>
        </w:rPr>
        <w:t xml:space="preserve"> </w:t>
      </w:r>
    </w:p>
    <w:p w:rsidR="00590C3B" w:rsidRPr="00590C3B" w:rsidP="00810C92">
      <w:pPr>
        <w:numPr>
          <w:ilvl w:val="0"/>
          <w:numId w:val="14"/>
        </w:numPr>
        <w:spacing w:after="120" w:line="288" w:lineRule="auto"/>
        <w:ind w:left="-143" w:right="-567" w:hanging="567"/>
        <w:rPr>
          <w:rFonts w:ascii="Tahoma" w:eastAsia="Calibri" w:hAnsi="Tahoma" w:cs="Tahoma"/>
          <w:sz w:val="19"/>
          <w:szCs w:val="19"/>
        </w:rPr>
      </w:pPr>
      <w:r w:rsidRPr="00590C3B">
        <w:rPr>
          <w:rFonts w:ascii="Tahoma" w:eastAsia="Calibri" w:hAnsi="Tahoma" w:cs="Tahoma"/>
          <w:b/>
          <w:bCs/>
          <w:sz w:val="19"/>
          <w:szCs w:val="19"/>
          <w:rtl/>
        </w:rPr>
        <w:t>ביצוע פעולות מניעה לצורך שימור בריאות ומניעת שבריריות</w:t>
      </w:r>
      <w:r w:rsidRPr="00590C3B">
        <w:rPr>
          <w:rFonts w:ascii="Tahoma" w:eastAsia="Calibri" w:hAnsi="Tahoma" w:cs="Tahoma" w:hint="cs"/>
          <w:sz w:val="19"/>
          <w:szCs w:val="19"/>
          <w:rtl/>
        </w:rPr>
        <w:t xml:space="preserve"> - </w:t>
      </w:r>
      <w:r w:rsidRPr="00590C3B">
        <w:rPr>
          <w:rFonts w:ascii="Tahoma" w:eastAsia="Calibri" w:hAnsi="Tahoma" w:cs="Tahoma"/>
          <w:sz w:val="19"/>
          <w:szCs w:val="19"/>
          <w:rtl/>
        </w:rPr>
        <w:t>תכליתן של פעולות המניעה וקידום הבריאות</w:t>
      </w:r>
      <w:r w:rsidRPr="00590C3B">
        <w:rPr>
          <w:rFonts w:ascii="Tahoma" w:eastAsia="Calibri" w:hAnsi="Tahoma" w:cs="Tahoma" w:hint="cs"/>
          <w:sz w:val="19"/>
          <w:szCs w:val="19"/>
          <w:rtl/>
        </w:rPr>
        <w:t xml:space="preserve"> שמבצעות קופות החולים</w:t>
      </w:r>
      <w:r w:rsidRPr="00590C3B">
        <w:rPr>
          <w:rFonts w:ascii="Tahoma" w:eastAsia="Calibri" w:hAnsi="Tahoma" w:cs="Tahoma"/>
          <w:sz w:val="19"/>
          <w:szCs w:val="19"/>
          <w:rtl/>
        </w:rPr>
        <w:t xml:space="preserve"> היא לשמר את בריאותם של זקנים ולדחוק ככל הניתן את הגיל שבו הם מתחילים לפתח מחלות ולהידרדר בריאותית. בכך יש כדי לסייע בהארכת תוחלת החיים הבריאים שלהם ולהקל את העומס הצפוי על מערכת הבריאות.</w:t>
      </w:r>
      <w:r w:rsidRPr="00590C3B">
        <w:rPr>
          <w:rFonts w:ascii="Tahoma" w:eastAsia="Calibri" w:hAnsi="Tahoma" w:cs="Tahoma" w:hint="cs"/>
          <w:sz w:val="19"/>
          <w:szCs w:val="19"/>
          <w:rtl/>
        </w:rPr>
        <w:t xml:space="preserve"> </w:t>
      </w:r>
      <w:r w:rsidRPr="00590C3B">
        <w:rPr>
          <w:rFonts w:ascii="Tahoma" w:eastAsia="Calibri" w:hAnsi="Tahoma" w:cs="Tahoma"/>
          <w:sz w:val="19"/>
          <w:szCs w:val="19"/>
          <w:rtl/>
        </w:rPr>
        <w:t xml:space="preserve">היה ניתן לצפות שככל שיש יותר פעולות מניעה מתועדות, כך ציון השבריריות יהיה נמוך יותר, </w:t>
      </w:r>
      <w:r w:rsidRPr="00590C3B">
        <w:rPr>
          <w:rFonts w:ascii="Tahoma" w:eastAsia="Calibri" w:hAnsi="Tahoma" w:cs="Tahoma" w:hint="cs"/>
          <w:sz w:val="19"/>
          <w:szCs w:val="19"/>
          <w:rtl/>
        </w:rPr>
        <w:t xml:space="preserve">ומצב בריאותו של הזקן יהיה טוב יותר, ביטוי לכך שקופת החולים הצליחה לשמר את בריאות הזקן. </w:t>
      </w:r>
      <w:r w:rsidRPr="00590C3B">
        <w:rPr>
          <w:rFonts w:ascii="Tahoma" w:eastAsia="Calibri" w:hAnsi="Tahoma" w:cs="Tahoma"/>
          <w:sz w:val="19"/>
          <w:szCs w:val="19"/>
          <w:rtl/>
        </w:rPr>
        <w:t xml:space="preserve">אולם </w:t>
      </w:r>
      <w:r w:rsidRPr="00590C3B">
        <w:rPr>
          <w:rFonts w:ascii="Tahoma" w:eastAsia="Calibri" w:hAnsi="Tahoma" w:cs="Tahoma" w:hint="cs"/>
          <w:sz w:val="19"/>
          <w:szCs w:val="19"/>
          <w:rtl/>
        </w:rPr>
        <w:t>בביקורת</w:t>
      </w:r>
      <w:r w:rsidRPr="00590C3B">
        <w:rPr>
          <w:rFonts w:ascii="Tahoma" w:eastAsia="Calibri" w:hAnsi="Tahoma" w:cs="Tahoma"/>
          <w:sz w:val="19"/>
          <w:szCs w:val="19"/>
          <w:rtl/>
        </w:rPr>
        <w:t xml:space="preserve"> </w:t>
      </w:r>
      <w:r w:rsidRPr="00590C3B">
        <w:rPr>
          <w:rFonts w:ascii="Tahoma" w:eastAsia="Calibri" w:hAnsi="Tahoma" w:cs="Tahoma" w:hint="cs"/>
          <w:sz w:val="19"/>
          <w:szCs w:val="19"/>
          <w:rtl/>
        </w:rPr>
        <w:t>הסתמנה דווקא מגמה הפוכה מהמצופה:</w:t>
      </w:r>
      <w:r w:rsidRPr="00590C3B">
        <w:rPr>
          <w:rFonts w:ascii="Tahoma" w:eastAsia="Calibri" w:hAnsi="Tahoma" w:cs="Tahoma"/>
          <w:sz w:val="19"/>
          <w:szCs w:val="19"/>
          <w:rtl/>
        </w:rPr>
        <w:t xml:space="preserve"> ככל שאדם ביצע פעולות מניעה רבות יותר ב-2019 - 2024, כך ציון השבריריות שלו ב-2025 היה גבוה יותר, כלומר מצבו הבריאותי היה גרוע יותר.</w:t>
      </w:r>
      <w:r w:rsidRPr="00590C3B">
        <w:rPr>
          <w:rFonts w:ascii="Tahoma" w:eastAsia="Calibri" w:hAnsi="Tahoma" w:cs="Tahoma" w:hint="cs"/>
          <w:sz w:val="19"/>
          <w:szCs w:val="19"/>
          <w:rtl/>
        </w:rPr>
        <w:t xml:space="preserve"> </w:t>
      </w:r>
      <w:r w:rsidRPr="00590C3B">
        <w:rPr>
          <w:rFonts w:ascii="Tahoma" w:eastAsia="Calibri" w:hAnsi="Tahoma" w:cs="Tahoma"/>
          <w:sz w:val="19"/>
          <w:szCs w:val="19"/>
          <w:rtl/>
        </w:rPr>
        <w:t>לדוגמה, ציון השבריריות של אנשים שביצעו עד עשר פעולות מניעה עומד</w:t>
      </w:r>
      <w:r w:rsidRPr="00590C3B">
        <w:rPr>
          <w:rFonts w:ascii="Tahoma" w:eastAsia="Calibri" w:hAnsi="Tahoma" w:cs="Tahoma" w:hint="cs"/>
          <w:sz w:val="19"/>
          <w:szCs w:val="19"/>
          <w:rtl/>
        </w:rPr>
        <w:t xml:space="preserve"> בממוצע</w:t>
      </w:r>
      <w:r w:rsidRPr="00590C3B">
        <w:rPr>
          <w:rFonts w:ascii="Tahoma" w:eastAsia="Calibri" w:hAnsi="Tahoma" w:cs="Tahoma"/>
          <w:sz w:val="19"/>
          <w:szCs w:val="19"/>
          <w:rtl/>
        </w:rPr>
        <w:t xml:space="preserve"> על 0 - 12, </w:t>
      </w:r>
      <w:r w:rsidRPr="00590C3B">
        <w:rPr>
          <w:rFonts w:ascii="Tahoma" w:eastAsia="Calibri" w:hAnsi="Tahoma" w:cs="Tahoma" w:hint="cs"/>
          <w:sz w:val="19"/>
          <w:szCs w:val="19"/>
          <w:rtl/>
        </w:rPr>
        <w:t xml:space="preserve">ואילו </w:t>
      </w:r>
      <w:r w:rsidRPr="00590C3B">
        <w:rPr>
          <w:rFonts w:ascii="Tahoma" w:eastAsia="Calibri" w:hAnsi="Tahoma" w:cs="Tahoma"/>
          <w:sz w:val="19"/>
          <w:szCs w:val="19"/>
          <w:rtl/>
        </w:rPr>
        <w:t xml:space="preserve">ציון השבריריות של מי שביצעו 20 פעולות מניעה ויותר עומד על </w:t>
      </w:r>
      <w:r w:rsidRPr="00590C3B">
        <w:rPr>
          <w:rFonts w:ascii="Tahoma" w:eastAsia="Calibri" w:hAnsi="Tahoma" w:cs="Tahoma" w:hint="cs"/>
          <w:sz w:val="19"/>
          <w:szCs w:val="19"/>
          <w:rtl/>
        </w:rPr>
        <w:t>יותר</w:t>
      </w:r>
      <w:r w:rsidRPr="00590C3B">
        <w:rPr>
          <w:rFonts w:ascii="Tahoma" w:eastAsia="Calibri" w:hAnsi="Tahoma" w:cs="Tahoma"/>
          <w:sz w:val="19"/>
          <w:szCs w:val="19"/>
          <w:rtl/>
        </w:rPr>
        <w:t xml:space="preserve"> מ-15.</w:t>
      </w:r>
      <w:r w:rsidRPr="00590C3B">
        <w:rPr>
          <w:rFonts w:ascii="Tahoma" w:eastAsia="Calibri" w:hAnsi="Tahoma" w:cs="Tahoma" w:hint="cs"/>
          <w:sz w:val="19"/>
          <w:szCs w:val="19"/>
          <w:rtl/>
        </w:rPr>
        <w:t xml:space="preserve"> </w:t>
      </w:r>
      <w:r w:rsidRPr="00590C3B">
        <w:rPr>
          <w:rFonts w:ascii="Tahoma" w:eastAsia="Calibri" w:hAnsi="Tahoma" w:cs="Tahoma"/>
          <w:sz w:val="19"/>
          <w:szCs w:val="19"/>
          <w:rtl/>
        </w:rPr>
        <w:t xml:space="preserve">קשר זה מלמד כי </w:t>
      </w:r>
      <w:r w:rsidRPr="00590C3B">
        <w:rPr>
          <w:rFonts w:ascii="Tahoma" w:eastAsia="Calibri" w:hAnsi="Tahoma" w:cs="Tahoma" w:hint="cs"/>
          <w:sz w:val="19"/>
          <w:szCs w:val="19"/>
          <w:rtl/>
        </w:rPr>
        <w:t xml:space="preserve">קופות החולים מבצעות את </w:t>
      </w:r>
      <w:r w:rsidRPr="00590C3B">
        <w:rPr>
          <w:rFonts w:ascii="Tahoma" w:eastAsia="Calibri" w:hAnsi="Tahoma" w:cs="Tahoma"/>
          <w:sz w:val="19"/>
          <w:szCs w:val="19"/>
          <w:rtl/>
        </w:rPr>
        <w:t xml:space="preserve">פעולות המניעה בתדירות גבוהה יותר בקרב זקנים חולים ושבריריים, ולעיתים </w:t>
      </w:r>
      <w:r w:rsidRPr="00590C3B">
        <w:rPr>
          <w:rFonts w:ascii="Tahoma" w:eastAsia="Calibri" w:hAnsi="Tahoma" w:cs="Tahoma" w:hint="cs"/>
          <w:sz w:val="19"/>
          <w:szCs w:val="19"/>
          <w:rtl/>
        </w:rPr>
        <w:t xml:space="preserve">הן </w:t>
      </w:r>
      <w:r w:rsidRPr="00590C3B">
        <w:rPr>
          <w:rFonts w:ascii="Tahoma" w:eastAsia="Calibri" w:hAnsi="Tahoma" w:cs="Tahoma"/>
          <w:sz w:val="19"/>
          <w:szCs w:val="19"/>
          <w:rtl/>
        </w:rPr>
        <w:t>מש</w:t>
      </w:r>
      <w:r w:rsidRPr="00590C3B">
        <w:rPr>
          <w:rFonts w:ascii="Tahoma" w:eastAsia="Calibri" w:hAnsi="Tahoma" w:cs="Tahoma" w:hint="cs"/>
          <w:sz w:val="19"/>
          <w:szCs w:val="19"/>
          <w:rtl/>
        </w:rPr>
        <w:t>ת</w:t>
      </w:r>
      <w:r w:rsidRPr="00590C3B">
        <w:rPr>
          <w:rFonts w:ascii="Tahoma" w:eastAsia="Calibri" w:hAnsi="Tahoma" w:cs="Tahoma"/>
          <w:sz w:val="19"/>
          <w:szCs w:val="19"/>
          <w:rtl/>
        </w:rPr>
        <w:t xml:space="preserve">משות </w:t>
      </w:r>
      <w:r w:rsidRPr="00590C3B">
        <w:rPr>
          <w:rFonts w:ascii="Tahoma" w:eastAsia="Calibri" w:hAnsi="Tahoma" w:cs="Tahoma" w:hint="cs"/>
          <w:sz w:val="19"/>
          <w:szCs w:val="19"/>
          <w:rtl/>
        </w:rPr>
        <w:t xml:space="preserve">בהן </w:t>
      </w:r>
      <w:r w:rsidRPr="00590C3B">
        <w:rPr>
          <w:rFonts w:ascii="Tahoma" w:eastAsia="Calibri" w:hAnsi="Tahoma" w:cs="Tahoma"/>
          <w:sz w:val="19"/>
          <w:szCs w:val="19"/>
          <w:rtl/>
        </w:rPr>
        <w:t>כחלק ממעקב אחר מחלה קיימת או סיכון גבוה, ולא כאמצעי רחב המופנה לזקנים בריאים לשם מניעת מחלות, הארכת תוחלת החיים הבריאים ושימור הבריאות שלהם.</w:t>
      </w:r>
    </w:p>
    <w:p w:rsidR="00590C3B" w:rsidRPr="00590C3B" w:rsidP="00590C3B">
      <w:pPr>
        <w:numPr>
          <w:ilvl w:val="0"/>
          <w:numId w:val="14"/>
        </w:numPr>
        <w:spacing w:after="120" w:line="288" w:lineRule="auto"/>
        <w:ind w:left="-142" w:right="-567" w:hanging="595"/>
        <w:rPr>
          <w:rFonts w:ascii="Tahoma" w:eastAsia="Calibri" w:hAnsi="Tahoma" w:cs="Tahoma"/>
          <w:sz w:val="19"/>
          <w:szCs w:val="19"/>
        </w:rPr>
      </w:pPr>
      <w:r w:rsidRPr="00590C3B">
        <w:rPr>
          <w:rFonts w:ascii="Tahoma" w:eastAsia="Calibri" w:hAnsi="Tahoma" w:cs="Tahoma"/>
          <w:b/>
          <w:bCs/>
          <w:sz w:val="19"/>
          <w:szCs w:val="19"/>
          <w:rtl/>
        </w:rPr>
        <w:t>היקף הביצוע של פעולות מניעה וקידום בריאות הנמדד</w:t>
      </w:r>
      <w:r w:rsidRPr="00590C3B">
        <w:rPr>
          <w:rFonts w:ascii="Tahoma" w:eastAsia="Calibri" w:hAnsi="Tahoma" w:cs="Tahoma" w:hint="cs"/>
          <w:b/>
          <w:bCs/>
          <w:sz w:val="19"/>
          <w:szCs w:val="19"/>
          <w:rtl/>
        </w:rPr>
        <w:t>ות</w:t>
      </w:r>
      <w:r w:rsidRPr="00590C3B">
        <w:rPr>
          <w:rFonts w:ascii="Tahoma" w:eastAsia="Calibri" w:hAnsi="Tahoma" w:cs="Tahoma"/>
          <w:b/>
          <w:bCs/>
          <w:sz w:val="19"/>
          <w:szCs w:val="19"/>
          <w:rtl/>
        </w:rPr>
        <w:t xml:space="preserve"> במסגרת התוכנית הלאומית</w:t>
      </w:r>
      <w:r w:rsidRPr="00590C3B">
        <w:rPr>
          <w:rFonts w:ascii="Tahoma" w:eastAsia="Calibri" w:hAnsi="Tahoma" w:cs="Tahoma" w:hint="cs"/>
          <w:b/>
          <w:bCs/>
          <w:sz w:val="19"/>
          <w:szCs w:val="19"/>
          <w:rtl/>
        </w:rPr>
        <w:t xml:space="preserve"> </w:t>
      </w:r>
      <w:r w:rsidRPr="00590C3B">
        <w:rPr>
          <w:rFonts w:ascii="Tahoma" w:eastAsia="Calibri" w:hAnsi="Tahoma" w:cs="Tahoma" w:hint="cs"/>
          <w:sz w:val="19"/>
          <w:szCs w:val="19"/>
          <w:rtl/>
        </w:rPr>
        <w:t xml:space="preserve">- </w:t>
      </w:r>
      <w:r w:rsidRPr="00590C3B">
        <w:rPr>
          <w:rFonts w:ascii="Tahoma" w:eastAsia="Calibri" w:hAnsi="Tahoma" w:cs="Tahoma"/>
          <w:sz w:val="19"/>
          <w:szCs w:val="19"/>
          <w:rtl/>
        </w:rPr>
        <w:t>חרף חשיבות הביצוע של בדיקות וטיפולים לשם מניעת מחלות וקידום בריאות, בכל המדדים שנבדקו</w:t>
      </w:r>
      <w:r w:rsidRPr="00590C3B">
        <w:rPr>
          <w:rFonts w:ascii="Tahoma" w:eastAsia="Calibri" w:hAnsi="Tahoma" w:cs="Tahoma" w:hint="cs"/>
          <w:sz w:val="19"/>
          <w:szCs w:val="19"/>
          <w:rtl/>
        </w:rPr>
        <w:t xml:space="preserve"> בביקורת</w:t>
      </w:r>
      <w:r w:rsidRPr="00590C3B">
        <w:rPr>
          <w:rFonts w:ascii="Tahoma" w:eastAsia="Calibri" w:hAnsi="Tahoma" w:cs="Tahoma"/>
          <w:sz w:val="19"/>
          <w:szCs w:val="19"/>
          <w:rtl/>
        </w:rPr>
        <w:t xml:space="preserve">, פרט לאחד (ביצוע בדיקת כולסטרול), </w:t>
      </w:r>
      <w:r w:rsidRPr="00590C3B">
        <w:rPr>
          <w:rFonts w:ascii="Tahoma" w:eastAsia="Calibri" w:hAnsi="Tahoma" w:cs="Tahoma" w:hint="cs"/>
          <w:sz w:val="19"/>
          <w:szCs w:val="19"/>
          <w:rtl/>
        </w:rPr>
        <w:t>נמצאה</w:t>
      </w:r>
      <w:r w:rsidRPr="00590C3B">
        <w:rPr>
          <w:rFonts w:ascii="Tahoma" w:eastAsia="Calibri" w:hAnsi="Tahoma" w:cs="Tahoma"/>
          <w:sz w:val="19"/>
          <w:szCs w:val="19"/>
          <w:rtl/>
        </w:rPr>
        <w:t xml:space="preserve"> ירידה בשיעור הביצוע</w:t>
      </w:r>
      <w:r w:rsidRPr="00590C3B">
        <w:rPr>
          <w:rFonts w:ascii="Tahoma" w:eastAsia="Calibri" w:hAnsi="Tahoma" w:cs="Tahoma" w:hint="cs"/>
          <w:sz w:val="19"/>
          <w:szCs w:val="19"/>
          <w:rtl/>
        </w:rPr>
        <w:t xml:space="preserve"> בקופות החולים</w:t>
      </w:r>
      <w:r w:rsidRPr="00590C3B">
        <w:rPr>
          <w:rFonts w:ascii="Tahoma" w:eastAsia="Calibri" w:hAnsi="Tahoma" w:cs="Tahoma"/>
          <w:sz w:val="19"/>
          <w:szCs w:val="19"/>
          <w:rtl/>
        </w:rPr>
        <w:t xml:space="preserve"> ב</w:t>
      </w:r>
      <w:r w:rsidRPr="00590C3B">
        <w:rPr>
          <w:rFonts w:ascii="Tahoma" w:eastAsia="Calibri" w:hAnsi="Tahoma" w:cs="Tahoma" w:hint="cs"/>
          <w:sz w:val="19"/>
          <w:szCs w:val="19"/>
          <w:rtl/>
        </w:rPr>
        <w:t xml:space="preserve">שנת </w:t>
      </w:r>
      <w:r w:rsidRPr="00590C3B">
        <w:rPr>
          <w:rFonts w:ascii="Tahoma" w:eastAsia="Calibri" w:hAnsi="Tahoma" w:cs="Tahoma"/>
          <w:sz w:val="19"/>
          <w:szCs w:val="19"/>
          <w:rtl/>
        </w:rPr>
        <w:t>2024 בהשוואה ל</w:t>
      </w:r>
      <w:r w:rsidRPr="00590C3B">
        <w:rPr>
          <w:rFonts w:ascii="Tahoma" w:eastAsia="Calibri" w:hAnsi="Tahoma" w:cs="Tahoma" w:hint="cs"/>
          <w:sz w:val="19"/>
          <w:szCs w:val="19"/>
          <w:rtl/>
        </w:rPr>
        <w:t xml:space="preserve">שנת </w:t>
      </w:r>
      <w:r w:rsidRPr="00590C3B">
        <w:rPr>
          <w:rFonts w:ascii="Tahoma" w:eastAsia="Calibri" w:hAnsi="Tahoma" w:cs="Tahoma"/>
          <w:sz w:val="19"/>
          <w:szCs w:val="19"/>
          <w:rtl/>
        </w:rPr>
        <w:t>2019, בשיעורים של 6 נקודות אחוז (חיסון נגד שפעת) עד עשירית נקודת אחוז (גילוי מוקדם של סרטן המעי הגס).</w:t>
      </w:r>
    </w:p>
    <w:p w:rsidR="00590C3B" w:rsidRPr="00590C3B" w:rsidP="00810C92">
      <w:pPr>
        <w:spacing w:after="120" w:line="288" w:lineRule="auto"/>
        <w:ind w:left="-143" w:right="-567"/>
        <w:rPr>
          <w:rFonts w:ascii="Tahoma" w:eastAsia="Calibri" w:hAnsi="Tahoma" w:cs="Tahoma"/>
          <w:sz w:val="19"/>
          <w:szCs w:val="19"/>
        </w:rPr>
      </w:pPr>
      <w:r w:rsidRPr="00590C3B">
        <w:rPr>
          <w:rFonts w:ascii="Tahoma" w:eastAsia="Calibri" w:hAnsi="Tahoma" w:cs="Tahoma" w:hint="cs"/>
          <w:sz w:val="19"/>
          <w:szCs w:val="19"/>
          <w:rtl/>
        </w:rPr>
        <w:t xml:space="preserve">על אף הירידה בשיעור ביצוע הבדיקות, משרד הבריאות לא הגדיר יעדים לקופות החולים במסגרת תוכנית מדדי האיכות בקהילה, </w:t>
      </w:r>
      <w:r w:rsidRPr="00590C3B">
        <w:rPr>
          <w:rFonts w:ascii="Tahoma" w:eastAsia="Calibri" w:hAnsi="Tahoma" w:cs="Tahoma"/>
          <w:sz w:val="19"/>
          <w:szCs w:val="19"/>
          <w:rtl/>
        </w:rPr>
        <w:t>לא קבע תוכנית פעולה שתכליתה שיפור במדדים, לא ביצע הכשרות לאנשי מקצוע בעקבות תוצאות המדדים ולא הניע תהליכי שיפור</w:t>
      </w:r>
      <w:r w:rsidRPr="00590C3B">
        <w:rPr>
          <w:rFonts w:ascii="Tahoma" w:eastAsia="Calibri" w:hAnsi="Tahoma" w:cs="Tahoma" w:hint="cs"/>
          <w:sz w:val="19"/>
          <w:szCs w:val="19"/>
          <w:rtl/>
        </w:rPr>
        <w:t xml:space="preserve">. </w:t>
      </w:r>
      <w:r w:rsidRPr="00590C3B">
        <w:rPr>
          <w:rFonts w:ascii="Tahoma" w:eastAsia="Calibri" w:hAnsi="Tahoma" w:cs="Tahoma"/>
          <w:sz w:val="19"/>
          <w:szCs w:val="19"/>
          <w:rtl/>
        </w:rPr>
        <w:t>בהיעדר יעדים לשיפור ותוכניות פעולה הנגזרות מהם, יתקשו משרד הבריאות וקופות החולים להביא לשיפור המדדים</w:t>
      </w:r>
      <w:r w:rsidRPr="00590C3B">
        <w:rPr>
          <w:rFonts w:ascii="Tahoma" w:eastAsia="Calibri" w:hAnsi="Tahoma" w:cs="Tahoma" w:hint="cs"/>
          <w:sz w:val="19"/>
          <w:szCs w:val="19"/>
          <w:rtl/>
        </w:rPr>
        <w:t>.</w:t>
      </w:r>
    </w:p>
    <w:p w:rsidR="00590C3B" w:rsidRPr="00590C3B" w:rsidP="00810C92">
      <w:pPr>
        <w:numPr>
          <w:ilvl w:val="0"/>
          <w:numId w:val="14"/>
        </w:numPr>
        <w:spacing w:after="120" w:line="288" w:lineRule="auto"/>
        <w:ind w:left="-143" w:right="-567" w:hanging="595"/>
        <w:rPr>
          <w:rFonts w:ascii="Tahoma" w:eastAsia="Calibri" w:hAnsi="Tahoma" w:cs="Tahoma"/>
          <w:sz w:val="19"/>
          <w:szCs w:val="19"/>
        </w:rPr>
      </w:pPr>
      <w:r w:rsidRPr="00590C3B">
        <w:rPr>
          <w:rFonts w:ascii="Tahoma" w:eastAsia="Calibri" w:hAnsi="Tahoma" w:cs="Tahoma" w:hint="cs"/>
          <w:b/>
          <w:bCs/>
          <w:sz w:val="19"/>
          <w:szCs w:val="19"/>
          <w:rtl/>
        </w:rPr>
        <w:t xml:space="preserve">ביצוע פעולות מניעה על ידי קופות החולים </w:t>
      </w:r>
      <w:r w:rsidRPr="00590C3B">
        <w:rPr>
          <w:rFonts w:ascii="Tahoma" w:eastAsia="Calibri" w:hAnsi="Tahoma" w:cs="Tahoma"/>
          <w:sz w:val="19"/>
          <w:szCs w:val="19"/>
          <w:rtl/>
        </w:rPr>
        <w:t xml:space="preserve">- פעולות המניעה וקידום הבריאות </w:t>
      </w:r>
      <w:r w:rsidRPr="00590C3B">
        <w:rPr>
          <w:rFonts w:ascii="Tahoma" w:eastAsia="Calibri" w:hAnsi="Tahoma" w:cs="Tahoma" w:hint="cs"/>
          <w:sz w:val="19"/>
          <w:szCs w:val="19"/>
          <w:rtl/>
        </w:rPr>
        <w:t>נועדו</w:t>
      </w:r>
      <w:r w:rsidRPr="00590C3B">
        <w:rPr>
          <w:rFonts w:ascii="Tahoma" w:eastAsia="Calibri" w:hAnsi="Tahoma" w:cs="Tahoma"/>
          <w:sz w:val="19"/>
          <w:szCs w:val="19"/>
          <w:rtl/>
        </w:rPr>
        <w:t xml:space="preserve"> לשמר את בריאותם של זקנים</w:t>
      </w:r>
      <w:r w:rsidRPr="00590C3B">
        <w:rPr>
          <w:rFonts w:ascii="Tahoma" w:eastAsia="Calibri" w:hAnsi="Tahoma" w:cs="Tahoma" w:hint="cs"/>
          <w:sz w:val="19"/>
          <w:szCs w:val="19"/>
          <w:rtl/>
        </w:rPr>
        <w:t>, אולם</w:t>
      </w:r>
      <w:r w:rsidRPr="00590C3B">
        <w:rPr>
          <w:rFonts w:ascii="Tahoma" w:eastAsia="Calibri" w:hAnsi="Tahoma" w:cs="Tahoma"/>
          <w:sz w:val="19"/>
          <w:szCs w:val="19"/>
          <w:rtl/>
        </w:rPr>
        <w:t xml:space="preserve"> </w:t>
      </w:r>
      <w:r w:rsidRPr="00590C3B">
        <w:rPr>
          <w:rFonts w:ascii="Tahoma" w:eastAsia="Calibri" w:hAnsi="Tahoma" w:cs="Tahoma" w:hint="cs"/>
          <w:sz w:val="19"/>
          <w:szCs w:val="19"/>
          <w:rtl/>
        </w:rPr>
        <w:t xml:space="preserve">בביקורת עלה כי </w:t>
      </w:r>
      <w:r w:rsidRPr="00590C3B">
        <w:rPr>
          <w:rFonts w:ascii="Tahoma" w:eastAsia="Calibri" w:hAnsi="Tahoma" w:cs="Tahoma"/>
          <w:sz w:val="19"/>
          <w:szCs w:val="19"/>
          <w:rtl/>
        </w:rPr>
        <w:t>כ-91% מפעולות המניעה וקידום הבריאות המתועד</w:t>
      </w:r>
      <w:r w:rsidRPr="00590C3B">
        <w:rPr>
          <w:rFonts w:ascii="Tahoma" w:eastAsia="Calibri" w:hAnsi="Tahoma" w:cs="Tahoma" w:hint="cs"/>
          <w:sz w:val="19"/>
          <w:szCs w:val="19"/>
          <w:rtl/>
        </w:rPr>
        <w:t>ות</w:t>
      </w:r>
      <w:r w:rsidRPr="00590C3B">
        <w:rPr>
          <w:rFonts w:ascii="Tahoma" w:eastAsia="Calibri" w:hAnsi="Tahoma" w:cs="Tahoma"/>
          <w:sz w:val="19"/>
          <w:szCs w:val="19"/>
          <w:rtl/>
        </w:rPr>
        <w:t xml:space="preserve"> בשדות הממוחשבים בקופות החולים לא בוצעו - שיעור פעולות המניעה בקרב בני 65 ומעלה שלא בוצעו נע בין 99% (אי-התאמת הבית למניעת נפילות) ל-75% (אי-נטילת תוספת סידן וויטמין </w:t>
      </w:r>
      <w:r w:rsidRPr="00590C3B">
        <w:rPr>
          <w:rFonts w:ascii="Tahoma" w:eastAsia="Calibri" w:hAnsi="Tahoma" w:cs="Tahoma"/>
          <w:sz w:val="19"/>
          <w:szCs w:val="19"/>
        </w:rPr>
        <w:t>D</w:t>
      </w:r>
      <w:r w:rsidRPr="00590C3B">
        <w:rPr>
          <w:rFonts w:ascii="Tahoma" w:eastAsia="Calibri" w:hAnsi="Tahoma" w:cs="Tahoma"/>
          <w:sz w:val="19"/>
          <w:szCs w:val="19"/>
          <w:rtl/>
        </w:rPr>
        <w:t xml:space="preserve">). מיעוט הפעולות עלול להצביע על כך שקופות החולים עושות שימוש חסר </w:t>
      </w:r>
      <w:r w:rsidRPr="00590C3B">
        <w:rPr>
          <w:rFonts w:ascii="Tahoma" w:eastAsia="Calibri" w:hAnsi="Tahoma" w:cs="Tahoma" w:hint="cs"/>
          <w:sz w:val="19"/>
          <w:szCs w:val="19"/>
          <w:rtl/>
        </w:rPr>
        <w:t>בפעולות מניעה</w:t>
      </w:r>
      <w:r w:rsidRPr="00590C3B">
        <w:rPr>
          <w:rFonts w:ascii="Tahoma" w:eastAsia="Calibri" w:hAnsi="Tahoma" w:cs="Tahoma"/>
          <w:sz w:val="19"/>
          <w:szCs w:val="19"/>
          <w:rtl/>
        </w:rPr>
        <w:t xml:space="preserve"> לשימור בריאות חבריהן הזקנים ולמניעת ההידרדרות משזו החלה</w:t>
      </w:r>
      <w:r w:rsidRPr="00590C3B">
        <w:rPr>
          <w:rFonts w:ascii="Tahoma" w:eastAsia="Calibri" w:hAnsi="Tahoma" w:cs="Tahoma" w:hint="cs"/>
          <w:sz w:val="19"/>
          <w:szCs w:val="19"/>
          <w:rtl/>
        </w:rPr>
        <w:t>.</w:t>
      </w:r>
    </w:p>
    <w:p w:rsidR="00590C3B" w:rsidRPr="00590C3B" w:rsidP="00810C92">
      <w:pPr>
        <w:numPr>
          <w:ilvl w:val="0"/>
          <w:numId w:val="14"/>
        </w:numPr>
        <w:spacing w:after="120" w:line="288" w:lineRule="auto"/>
        <w:ind w:left="-143" w:right="-567" w:hanging="595"/>
        <w:rPr>
          <w:rFonts w:ascii="Tahoma" w:eastAsia="Calibri" w:hAnsi="Tahoma" w:cs="Tahoma"/>
          <w:sz w:val="19"/>
          <w:szCs w:val="19"/>
        </w:rPr>
      </w:pPr>
      <w:r w:rsidRPr="00590C3B">
        <w:rPr>
          <w:rFonts w:ascii="Tahoma" w:eastAsia="Calibri" w:hAnsi="Tahoma" w:cs="Tahoma" w:hint="cs"/>
          <w:b/>
          <w:bCs/>
          <w:sz w:val="19"/>
          <w:szCs w:val="19"/>
          <w:rtl/>
        </w:rPr>
        <w:t xml:space="preserve">תיעדוף של פעולות מניעה המדווחות למשרד הבריאות </w:t>
      </w:r>
      <w:r w:rsidRPr="00590C3B">
        <w:rPr>
          <w:rFonts w:ascii="Tahoma" w:eastAsia="Calibri" w:hAnsi="Tahoma" w:cs="Tahoma" w:hint="cs"/>
          <w:sz w:val="19"/>
          <w:szCs w:val="19"/>
          <w:rtl/>
        </w:rPr>
        <w:t xml:space="preserve">- </w:t>
      </w:r>
      <w:r w:rsidRPr="00590C3B">
        <w:rPr>
          <w:rFonts w:ascii="Tahoma" w:eastAsia="Calibri" w:hAnsi="Tahoma" w:cs="Tahoma"/>
          <w:sz w:val="19"/>
          <w:szCs w:val="19"/>
          <w:rtl/>
        </w:rPr>
        <w:t>שיעור הביצוע הממוצע של פעולות מניעה וקידום בריאות שקופות החולים מדווחות עליה</w:t>
      </w:r>
      <w:r w:rsidRPr="00590C3B">
        <w:rPr>
          <w:rFonts w:ascii="Tahoma" w:eastAsia="Calibri" w:hAnsi="Tahoma" w:cs="Tahoma" w:hint="cs"/>
          <w:sz w:val="19"/>
          <w:szCs w:val="19"/>
          <w:rtl/>
        </w:rPr>
        <w:t>ן</w:t>
      </w:r>
      <w:r w:rsidRPr="00590C3B">
        <w:rPr>
          <w:rFonts w:ascii="Tahoma" w:eastAsia="Calibri" w:hAnsi="Tahoma" w:cs="Tahoma"/>
          <w:sz w:val="19"/>
          <w:szCs w:val="19"/>
          <w:rtl/>
        </w:rPr>
        <w:t xml:space="preserve"> לתוכנית מדדי האיכות </w:t>
      </w:r>
      <w:r w:rsidRPr="00590C3B">
        <w:rPr>
          <w:rFonts w:ascii="Tahoma" w:eastAsia="Calibri" w:hAnsi="Tahoma" w:cs="Tahoma" w:hint="cs"/>
          <w:sz w:val="19"/>
          <w:szCs w:val="19"/>
          <w:rtl/>
        </w:rPr>
        <w:t xml:space="preserve">של משרד הבריאות (71% בממוצע) </w:t>
      </w:r>
      <w:r w:rsidRPr="00590C3B">
        <w:rPr>
          <w:rFonts w:ascii="Tahoma" w:eastAsia="Calibri" w:hAnsi="Tahoma" w:cs="Tahoma"/>
          <w:sz w:val="19"/>
          <w:szCs w:val="19"/>
          <w:rtl/>
        </w:rPr>
        <w:t xml:space="preserve">גבוה באופן משמעותי משיעור הביצוע הממוצע של הבדיקות והטיפולים </w:t>
      </w:r>
      <w:r w:rsidRPr="00590C3B">
        <w:rPr>
          <w:rFonts w:ascii="Tahoma" w:eastAsia="Calibri" w:hAnsi="Tahoma" w:cs="Tahoma" w:hint="cs"/>
          <w:sz w:val="19"/>
          <w:szCs w:val="19"/>
          <w:rtl/>
        </w:rPr>
        <w:t>ש</w:t>
      </w:r>
      <w:r w:rsidRPr="00590C3B">
        <w:rPr>
          <w:rFonts w:ascii="Tahoma" w:eastAsia="Calibri" w:hAnsi="Tahoma" w:cs="Tahoma"/>
          <w:sz w:val="19"/>
          <w:szCs w:val="19"/>
          <w:rtl/>
        </w:rPr>
        <w:t xml:space="preserve">עליהם הן </w:t>
      </w:r>
      <w:r w:rsidRPr="00590C3B">
        <w:rPr>
          <w:rFonts w:ascii="Tahoma" w:eastAsia="Calibri" w:hAnsi="Tahoma" w:cs="Tahoma" w:hint="cs"/>
          <w:sz w:val="19"/>
          <w:szCs w:val="19"/>
          <w:rtl/>
        </w:rPr>
        <w:t xml:space="preserve">אינן </w:t>
      </w:r>
      <w:r w:rsidRPr="00590C3B">
        <w:rPr>
          <w:rFonts w:ascii="Tahoma" w:eastAsia="Calibri" w:hAnsi="Tahoma" w:cs="Tahoma"/>
          <w:sz w:val="19"/>
          <w:szCs w:val="19"/>
          <w:rtl/>
        </w:rPr>
        <w:t xml:space="preserve">מדווחות </w:t>
      </w:r>
      <w:r w:rsidRPr="00590C3B">
        <w:rPr>
          <w:rFonts w:ascii="Tahoma" w:eastAsia="Calibri" w:hAnsi="Tahoma" w:cs="Tahoma" w:hint="cs"/>
          <w:sz w:val="19"/>
          <w:szCs w:val="19"/>
          <w:rtl/>
        </w:rPr>
        <w:t>(</w:t>
      </w:r>
      <w:r w:rsidRPr="00590C3B">
        <w:rPr>
          <w:rFonts w:ascii="Tahoma" w:eastAsia="Calibri" w:hAnsi="Tahoma" w:cs="Tahoma"/>
          <w:sz w:val="19"/>
          <w:szCs w:val="19"/>
          <w:rtl/>
        </w:rPr>
        <w:t>15% בממוצע</w:t>
      </w:r>
      <w:r w:rsidRPr="00590C3B">
        <w:rPr>
          <w:rFonts w:ascii="Tahoma" w:eastAsia="Calibri" w:hAnsi="Tahoma" w:cs="Tahoma" w:hint="cs"/>
          <w:sz w:val="19"/>
          <w:szCs w:val="19"/>
          <w:rtl/>
        </w:rPr>
        <w:t>)</w:t>
      </w:r>
      <w:r w:rsidRPr="00590C3B">
        <w:rPr>
          <w:rFonts w:ascii="Tahoma" w:eastAsia="Calibri" w:hAnsi="Tahoma" w:cs="Tahoma"/>
          <w:sz w:val="19"/>
          <w:szCs w:val="19"/>
          <w:rtl/>
        </w:rPr>
        <w:t>. כך</w:t>
      </w:r>
      <w:r w:rsidRPr="00590C3B">
        <w:rPr>
          <w:rFonts w:ascii="Tahoma" w:eastAsia="Calibri" w:hAnsi="Tahoma" w:cs="Tahoma" w:hint="cs"/>
          <w:sz w:val="19"/>
          <w:szCs w:val="19"/>
          <w:rtl/>
        </w:rPr>
        <w:t>,</w:t>
      </w:r>
      <w:r w:rsidRPr="00590C3B">
        <w:rPr>
          <w:rFonts w:ascii="Tahoma" w:eastAsia="Calibri" w:hAnsi="Tahoma" w:cs="Tahoma"/>
          <w:sz w:val="19"/>
          <w:szCs w:val="19"/>
          <w:rtl/>
        </w:rPr>
        <w:t xml:space="preserve"> לדוגמה, קופות החולים מבצעות חיסוני שפעת ודלקת ריאות, המדווחים לתוכנית מדדי האיכות בשיעורים גבוהים בהרבה (54% ו-74%, בהתאמה) מחיסוני שלבקת חוגרת וטטנוס שאינם מדווחים (6% ו-9%, בהתאמה).</w:t>
      </w:r>
      <w:r w:rsidRPr="00590C3B">
        <w:rPr>
          <w:rFonts w:ascii="Tahoma" w:eastAsia="Calibri" w:hAnsi="Tahoma" w:cs="Tahoma" w:hint="cs"/>
          <w:sz w:val="19"/>
          <w:szCs w:val="19"/>
          <w:rtl/>
        </w:rPr>
        <w:t xml:space="preserve"> </w:t>
      </w:r>
      <w:r w:rsidRPr="00590C3B">
        <w:rPr>
          <w:rFonts w:ascii="Tahoma" w:eastAsia="Calibri" w:hAnsi="Tahoma" w:cs="Tahoma"/>
          <w:sz w:val="19"/>
          <w:szCs w:val="19"/>
          <w:rtl/>
        </w:rPr>
        <w:t xml:space="preserve">ממצאים אלו עשויים להעיד על כך שדיווח למשרד הבריאות משפיע על התנהגות רפואית, כך שבדיקות שמדווחות למשרד הבריאות לצורכי </w:t>
      </w:r>
      <w:r w:rsidRPr="00590C3B">
        <w:rPr>
          <w:rFonts w:ascii="Tahoma" w:eastAsia="Calibri" w:hAnsi="Tahoma" w:cs="Tahoma" w:hint="cs"/>
          <w:sz w:val="19"/>
          <w:szCs w:val="19"/>
          <w:rtl/>
        </w:rPr>
        <w:t>בקרה</w:t>
      </w:r>
      <w:r w:rsidRPr="00590C3B">
        <w:rPr>
          <w:rFonts w:ascii="Tahoma" w:eastAsia="Calibri" w:hAnsi="Tahoma" w:cs="Tahoma"/>
          <w:sz w:val="19"/>
          <w:szCs w:val="19"/>
          <w:rtl/>
        </w:rPr>
        <w:t xml:space="preserve"> זוכות על ידי קופות החולים להעדפה משמעותית בביצוע. </w:t>
      </w:r>
      <w:r w:rsidRPr="00590C3B">
        <w:rPr>
          <w:rFonts w:ascii="Tahoma" w:eastAsia="Calibri" w:hAnsi="Tahoma" w:cs="Tahoma" w:hint="cs"/>
          <w:sz w:val="19"/>
          <w:szCs w:val="19"/>
          <w:rtl/>
        </w:rPr>
        <w:t xml:space="preserve">גם </w:t>
      </w:r>
      <w:r w:rsidRPr="00590C3B">
        <w:rPr>
          <w:rFonts w:ascii="Tahoma" w:eastAsia="Calibri" w:hAnsi="Tahoma" w:cs="Tahoma"/>
          <w:sz w:val="19"/>
          <w:szCs w:val="19"/>
          <w:rtl/>
        </w:rPr>
        <w:t xml:space="preserve">לתפיסתם של רופאי המשפחה, בהנחיותיהם של קופות החולים, משרד הבריאות </w:t>
      </w:r>
      <w:r w:rsidRPr="00590C3B">
        <w:rPr>
          <w:rFonts w:ascii="Tahoma" w:eastAsia="Calibri" w:hAnsi="Tahoma" w:cs="Tahoma"/>
          <w:sz w:val="19"/>
          <w:szCs w:val="19"/>
          <w:rtl/>
        </w:rPr>
        <w:t>והר"י</w:t>
      </w:r>
      <w:r w:rsidRPr="00590C3B">
        <w:rPr>
          <w:rFonts w:ascii="Tahoma" w:eastAsia="Calibri" w:hAnsi="Tahoma" w:cs="Tahoma"/>
          <w:sz w:val="19"/>
          <w:szCs w:val="19"/>
          <w:rtl/>
        </w:rPr>
        <w:t xml:space="preserve"> </w:t>
      </w:r>
      <w:r w:rsidRPr="00590C3B">
        <w:rPr>
          <w:rFonts w:ascii="Tahoma" w:eastAsia="Calibri" w:hAnsi="Tahoma" w:cs="Tahoma" w:hint="cs"/>
          <w:sz w:val="19"/>
          <w:szCs w:val="19"/>
          <w:rtl/>
        </w:rPr>
        <w:t>ה</w:t>
      </w:r>
      <w:r w:rsidRPr="00590C3B">
        <w:rPr>
          <w:rFonts w:ascii="Tahoma" w:eastAsia="Calibri" w:hAnsi="Tahoma" w:cs="Tahoma"/>
          <w:sz w:val="19"/>
          <w:szCs w:val="19"/>
          <w:rtl/>
        </w:rPr>
        <w:t xml:space="preserve">התייחסות ברורה </w:t>
      </w:r>
      <w:r w:rsidRPr="00590C3B">
        <w:rPr>
          <w:rFonts w:ascii="Tahoma" w:eastAsia="Calibri" w:hAnsi="Tahoma" w:cs="Tahoma" w:hint="eastAsia"/>
          <w:sz w:val="19"/>
          <w:szCs w:val="19"/>
          <w:rtl/>
        </w:rPr>
        <w:t>פחות</w:t>
      </w:r>
      <w:r w:rsidRPr="00590C3B">
        <w:rPr>
          <w:rFonts w:ascii="Tahoma" w:eastAsia="Calibri" w:hAnsi="Tahoma" w:cs="Tahoma"/>
          <w:sz w:val="19"/>
          <w:szCs w:val="19"/>
          <w:rtl/>
        </w:rPr>
        <w:t xml:space="preserve"> ביחס לפעולות מניעה ש</w:t>
      </w:r>
      <w:r w:rsidRPr="00590C3B">
        <w:rPr>
          <w:rFonts w:ascii="Tahoma" w:eastAsia="Calibri" w:hAnsi="Tahoma" w:cs="Tahoma" w:hint="eastAsia"/>
          <w:sz w:val="19"/>
          <w:szCs w:val="19"/>
          <w:rtl/>
        </w:rPr>
        <w:t>אינן</w:t>
      </w:r>
      <w:r w:rsidRPr="00590C3B">
        <w:rPr>
          <w:rFonts w:ascii="Tahoma" w:eastAsia="Calibri" w:hAnsi="Tahoma" w:cs="Tahoma"/>
          <w:sz w:val="19"/>
          <w:szCs w:val="19"/>
          <w:rtl/>
        </w:rPr>
        <w:t xml:space="preserve"> מדווחות לתוכנית מדדי האיכות - כדוגמת חיסון לשלבקת חוגרת ואיתור דיכאון - לעומת פעולות מניעה שמדווחות לתוכנית מדדי האיכות, כדוגמת חיסוני שפעת ודלקת ריאות ובדיקות דם סמוי או קולונוסקופיה. עוד עולה </w:t>
      </w:r>
      <w:r w:rsidRPr="00590C3B">
        <w:rPr>
          <w:rFonts w:ascii="Tahoma" w:eastAsia="Calibri" w:hAnsi="Tahoma" w:cs="Tahoma" w:hint="eastAsia"/>
          <w:sz w:val="19"/>
          <w:szCs w:val="19"/>
          <w:rtl/>
        </w:rPr>
        <w:t>בביקורת</w:t>
      </w:r>
      <w:r w:rsidRPr="00590C3B">
        <w:rPr>
          <w:rFonts w:ascii="Tahoma" w:eastAsia="Calibri" w:hAnsi="Tahoma" w:cs="Tahoma"/>
          <w:sz w:val="19"/>
          <w:szCs w:val="19"/>
          <w:rtl/>
        </w:rPr>
        <w:t xml:space="preserve"> כי לפי דיווח הזקנים שהשיבו על סקר משרד מבקר המדינה, הם הופנו </w:t>
      </w:r>
      <w:r w:rsidRPr="00590C3B">
        <w:rPr>
          <w:rFonts w:ascii="Tahoma" w:eastAsia="Calibri" w:hAnsi="Tahoma" w:cs="Tahoma" w:hint="eastAsia"/>
          <w:sz w:val="19"/>
          <w:szCs w:val="19"/>
          <w:rtl/>
        </w:rPr>
        <w:t>פחות</w:t>
      </w:r>
      <w:r w:rsidRPr="00590C3B">
        <w:rPr>
          <w:rFonts w:ascii="Tahoma" w:eastAsia="Calibri" w:hAnsi="Tahoma" w:cs="Tahoma"/>
          <w:sz w:val="19"/>
          <w:szCs w:val="19"/>
          <w:rtl/>
        </w:rPr>
        <w:t xml:space="preserve"> לביצוע פעולות מניעה וקידום ש</w:t>
      </w:r>
      <w:r w:rsidRPr="00590C3B">
        <w:rPr>
          <w:rFonts w:ascii="Tahoma" w:eastAsia="Calibri" w:hAnsi="Tahoma" w:cs="Tahoma" w:hint="eastAsia"/>
          <w:sz w:val="19"/>
          <w:szCs w:val="19"/>
          <w:rtl/>
        </w:rPr>
        <w:t>אינן</w:t>
      </w:r>
      <w:r w:rsidRPr="00590C3B">
        <w:rPr>
          <w:rFonts w:ascii="Tahoma" w:eastAsia="Calibri" w:hAnsi="Tahoma" w:cs="Tahoma"/>
          <w:sz w:val="19"/>
          <w:szCs w:val="19"/>
          <w:rtl/>
        </w:rPr>
        <w:t xml:space="preserve"> מופיעות בתוכנית מדדי האיכות מאשר לכאלו ש</w:t>
      </w:r>
      <w:r w:rsidRPr="00590C3B">
        <w:rPr>
          <w:rFonts w:ascii="Tahoma" w:eastAsia="Calibri" w:hAnsi="Tahoma" w:cs="Tahoma" w:hint="eastAsia"/>
          <w:sz w:val="19"/>
          <w:szCs w:val="19"/>
          <w:rtl/>
        </w:rPr>
        <w:t>מופיעות</w:t>
      </w:r>
      <w:r w:rsidRPr="00590C3B">
        <w:rPr>
          <w:rFonts w:ascii="Tahoma" w:eastAsia="Calibri" w:hAnsi="Tahoma" w:cs="Tahoma"/>
          <w:sz w:val="19"/>
          <w:szCs w:val="19"/>
          <w:rtl/>
        </w:rPr>
        <w:t xml:space="preserve"> </w:t>
      </w:r>
      <w:r w:rsidRPr="00590C3B">
        <w:rPr>
          <w:rFonts w:ascii="Tahoma" w:eastAsia="Calibri" w:hAnsi="Tahoma" w:cs="Tahoma" w:hint="eastAsia"/>
          <w:sz w:val="19"/>
          <w:szCs w:val="19"/>
          <w:rtl/>
        </w:rPr>
        <w:t>בתוכנית</w:t>
      </w:r>
      <w:r w:rsidRPr="00590C3B">
        <w:rPr>
          <w:rFonts w:ascii="Tahoma" w:eastAsia="Calibri" w:hAnsi="Tahoma" w:cs="Tahoma"/>
          <w:sz w:val="19"/>
          <w:szCs w:val="19"/>
          <w:rtl/>
        </w:rPr>
        <w:t>. ממצאים אלה מלמדים כי מה שאיננו נמדד גם מנוהל באופן פחות אפקטיבי, וכפועל יוצא מבוצע פחות. בהקשר זה עלה גם מסקר</w:t>
      </w:r>
      <w:r w:rsidRPr="00590C3B">
        <w:rPr>
          <w:rFonts w:ascii="Tahoma" w:eastAsia="Calibri" w:hAnsi="Tahoma" w:cs="Tahoma" w:hint="cs"/>
          <w:sz w:val="19"/>
          <w:szCs w:val="19"/>
          <w:rtl/>
        </w:rPr>
        <w:t xml:space="preserve"> משרד מבקר המדינה</w:t>
      </w:r>
      <w:r w:rsidRPr="00590C3B">
        <w:rPr>
          <w:rFonts w:ascii="Tahoma" w:eastAsia="Calibri" w:hAnsi="Tahoma" w:cs="Tahoma"/>
          <w:sz w:val="19"/>
          <w:szCs w:val="19"/>
          <w:rtl/>
        </w:rPr>
        <w:t xml:space="preserve"> כי רוב הזקנים (55%) ציינו שהם לא ביצעו פעולות מניעה מכיוון שהרופא לא הפנה אותם לבצען.</w:t>
      </w:r>
    </w:p>
    <w:p w:rsidR="00590C3B" w:rsidRPr="00590C3B" w:rsidP="00810C92">
      <w:pPr>
        <w:numPr>
          <w:ilvl w:val="0"/>
          <w:numId w:val="14"/>
        </w:numPr>
        <w:spacing w:after="120" w:line="288" w:lineRule="auto"/>
        <w:ind w:left="-143" w:right="-567" w:hanging="595"/>
        <w:rPr>
          <w:rFonts w:ascii="Tahoma" w:eastAsia="Calibri" w:hAnsi="Tahoma" w:cs="Tahoma"/>
          <w:b/>
          <w:bCs/>
          <w:sz w:val="19"/>
          <w:szCs w:val="19"/>
        </w:rPr>
      </w:pPr>
      <w:r w:rsidRPr="00590C3B">
        <w:rPr>
          <w:rFonts w:ascii="Tahoma" w:eastAsia="Calibri" w:hAnsi="Tahoma" w:cs="Tahoma" w:hint="cs"/>
          <w:b/>
          <w:bCs/>
          <w:sz w:val="19"/>
          <w:szCs w:val="19"/>
          <w:rtl/>
        </w:rPr>
        <w:t>חסמים לביצוע פעולות מניעה וקידום הבריאות</w:t>
      </w:r>
      <w:r w:rsidRPr="00590C3B">
        <w:rPr>
          <w:rFonts w:ascii="Tahoma" w:eastAsia="Calibri" w:hAnsi="Tahoma" w:cs="Tahoma" w:hint="cs"/>
          <w:sz w:val="19"/>
          <w:szCs w:val="19"/>
          <w:rtl/>
        </w:rPr>
        <w:t xml:space="preserve"> - </w:t>
      </w:r>
      <w:r w:rsidRPr="00590C3B">
        <w:rPr>
          <w:rFonts w:ascii="Tahoma" w:eastAsia="Calibri" w:hAnsi="Tahoma" w:cs="Tahoma"/>
          <w:sz w:val="19"/>
          <w:szCs w:val="19"/>
          <w:rtl/>
        </w:rPr>
        <w:t xml:space="preserve">החסמים העיקריים </w:t>
      </w:r>
      <w:r w:rsidRPr="00590C3B">
        <w:rPr>
          <w:rFonts w:ascii="Tahoma" w:eastAsia="Calibri" w:hAnsi="Tahoma" w:cs="Tahoma" w:hint="cs"/>
          <w:sz w:val="19"/>
          <w:szCs w:val="19"/>
          <w:rtl/>
        </w:rPr>
        <w:t xml:space="preserve">העומדים בפני רופאי המשפחה </w:t>
      </w:r>
      <w:r w:rsidRPr="00590C3B">
        <w:rPr>
          <w:rFonts w:ascii="Tahoma" w:eastAsia="Calibri" w:hAnsi="Tahoma" w:cs="Tahoma"/>
          <w:sz w:val="19"/>
          <w:szCs w:val="19"/>
          <w:rtl/>
        </w:rPr>
        <w:t xml:space="preserve">לעידוד מטופליהם לביצוע פעולות מניעה וקידום בריאות הם מבניים: חוסר זמן של הרופא להשקיע בעידוד </w:t>
      </w:r>
      <w:r w:rsidRPr="00590C3B">
        <w:rPr>
          <w:rFonts w:ascii="Tahoma" w:eastAsia="Calibri" w:hAnsi="Tahoma" w:cs="Tahoma"/>
          <w:sz w:val="19"/>
          <w:szCs w:val="19"/>
          <w:rtl/>
        </w:rPr>
        <w:t>מניעה, היעדר תגמול על הזמן הנדרש לכך ומחסור בכוח אדם מקצועי בתחומי הייעוץ והטיפול הרלוונטיים, כגון</w:t>
      </w:r>
      <w:r w:rsidRPr="00590C3B">
        <w:rPr>
          <w:rFonts w:ascii="Tahoma" w:eastAsia="Calibri" w:hAnsi="Tahoma" w:cs="Tahoma" w:hint="cs"/>
          <w:sz w:val="19"/>
          <w:szCs w:val="19"/>
          <w:rtl/>
        </w:rPr>
        <w:t xml:space="preserve"> </w:t>
      </w:r>
      <w:r w:rsidRPr="00590C3B">
        <w:rPr>
          <w:rFonts w:ascii="Tahoma" w:eastAsia="Calibri" w:hAnsi="Tahoma" w:cs="Tahoma"/>
          <w:sz w:val="19"/>
          <w:szCs w:val="19"/>
          <w:rtl/>
        </w:rPr>
        <w:t xml:space="preserve">תזונאיות קליניות. הסיבה העיקרית </w:t>
      </w:r>
      <w:r w:rsidRPr="00590C3B">
        <w:rPr>
          <w:rFonts w:ascii="Tahoma" w:eastAsia="Calibri" w:hAnsi="Tahoma" w:cs="Tahoma" w:hint="cs"/>
          <w:sz w:val="19"/>
          <w:szCs w:val="19"/>
          <w:rtl/>
        </w:rPr>
        <w:t>ש</w:t>
      </w:r>
      <w:r w:rsidRPr="00590C3B">
        <w:rPr>
          <w:rFonts w:ascii="Tahoma" w:eastAsia="Calibri" w:hAnsi="Tahoma" w:cs="Tahoma"/>
          <w:sz w:val="19"/>
          <w:szCs w:val="19"/>
          <w:rtl/>
        </w:rPr>
        <w:t>ציינו הרופאים (27%) והזקנים (64%) לאי</w:t>
      </w:r>
      <w:r w:rsidRPr="00590C3B">
        <w:rPr>
          <w:rFonts w:ascii="Tahoma" w:eastAsia="Calibri" w:hAnsi="Tahoma" w:cs="Tahoma" w:hint="cs"/>
          <w:sz w:val="19"/>
          <w:szCs w:val="19"/>
          <w:rtl/>
        </w:rPr>
        <w:t>-</w:t>
      </w:r>
      <w:r w:rsidRPr="00590C3B">
        <w:rPr>
          <w:rFonts w:ascii="Tahoma" w:eastAsia="Calibri" w:hAnsi="Tahoma" w:cs="Tahoma"/>
          <w:sz w:val="19"/>
          <w:szCs w:val="19"/>
          <w:rtl/>
        </w:rPr>
        <w:t>ביצוע פעולות מניעה היא היעדר ידע עליהן, דהיינו הזקנים לא קיבלו הסבר מספק עליהן, לא ידעו על קיומן או לא ראו בהן צורך וכן לא הופנו על ידי הרופאים לבצען. סיבות נוספות שציינו הן היעדר זמינות (המתנה ארוכה לתור או שעות פתיחה לא נוחות) והיעדר נגישות (הטיפול או הבדיקה אינם קרובים לבית במידה סבירה).</w:t>
      </w:r>
      <w:r w:rsidRPr="00590C3B">
        <w:rPr>
          <w:rFonts w:ascii="Tahoma" w:eastAsia="Calibri" w:hAnsi="Tahoma" w:cs="Tahoma" w:hint="cs"/>
          <w:b/>
          <w:bCs/>
          <w:sz w:val="19"/>
          <w:szCs w:val="19"/>
          <w:rtl/>
        </w:rPr>
        <w:t xml:space="preserve"> </w:t>
      </w:r>
      <w:r w:rsidRPr="00590C3B">
        <w:rPr>
          <w:rFonts w:ascii="Tahoma" w:eastAsia="Calibri" w:hAnsi="Tahoma" w:cs="Tahoma"/>
          <w:sz w:val="19"/>
          <w:szCs w:val="19"/>
          <w:rtl/>
        </w:rPr>
        <w:t xml:space="preserve">אף שהרוב המוחלט של הרופאים השיבו (89%) שהם רואים ברפואה המונעת חלק משמעותי מתפקידם, </w:t>
      </w:r>
      <w:r w:rsidRPr="00590C3B">
        <w:rPr>
          <w:rFonts w:ascii="Tahoma" w:eastAsia="Calibri" w:hAnsi="Tahoma" w:cs="Tahoma" w:hint="cs"/>
          <w:sz w:val="19"/>
          <w:szCs w:val="19"/>
          <w:rtl/>
        </w:rPr>
        <w:t>יותר</w:t>
      </w:r>
      <w:r w:rsidRPr="00590C3B">
        <w:rPr>
          <w:rFonts w:ascii="Tahoma" w:eastAsia="Calibri" w:hAnsi="Tahoma" w:cs="Tahoma"/>
          <w:sz w:val="19"/>
          <w:szCs w:val="19"/>
          <w:rtl/>
        </w:rPr>
        <w:t xml:space="preserve"> ממחציתם (52%) דיווחו כי רוב הזמן והמרץ שלהם מושקעים בטיפול בבעיות רפואיות קיימות ולא ברפואה מונעת בקרב זקנים, ורק שליש דיווחו על איזון בין השניים.</w:t>
      </w:r>
    </w:p>
    <w:p w:rsidR="00590C3B" w:rsidRPr="00590C3B" w:rsidP="00810C92">
      <w:pPr>
        <w:numPr>
          <w:ilvl w:val="0"/>
          <w:numId w:val="14"/>
        </w:numPr>
        <w:spacing w:after="120" w:line="288" w:lineRule="auto"/>
        <w:ind w:left="-143" w:right="-567" w:hanging="595"/>
        <w:rPr>
          <w:rFonts w:ascii="Tahoma" w:eastAsia="Calibri" w:hAnsi="Tahoma" w:cs="Tahoma"/>
          <w:b/>
          <w:bCs/>
          <w:sz w:val="19"/>
          <w:szCs w:val="19"/>
        </w:rPr>
      </w:pPr>
      <w:r w:rsidRPr="00590C3B">
        <w:rPr>
          <w:rFonts w:ascii="Tahoma" w:eastAsia="Calibri" w:hAnsi="Tahoma" w:cs="Tahoma"/>
          <w:b/>
          <w:bCs/>
          <w:sz w:val="19"/>
          <w:szCs w:val="19"/>
          <w:rtl/>
        </w:rPr>
        <w:t>מחסור ברופאים מומחים בתחום הגריאטריה</w:t>
      </w:r>
      <w:r w:rsidRPr="00590C3B">
        <w:rPr>
          <w:rFonts w:ascii="Tahoma" w:eastAsia="Calibri" w:hAnsi="Tahoma" w:cs="Tahoma" w:hint="cs"/>
          <w:sz w:val="19"/>
          <w:szCs w:val="19"/>
          <w:rtl/>
        </w:rPr>
        <w:t xml:space="preserve"> - </w:t>
      </w:r>
      <w:r w:rsidRPr="00590C3B">
        <w:rPr>
          <w:rFonts w:ascii="Tahoma" w:eastAsia="Calibri" w:hAnsi="Tahoma" w:cs="Tahoma"/>
          <w:sz w:val="19"/>
          <w:szCs w:val="19"/>
          <w:rtl/>
        </w:rPr>
        <w:t>אף שמקצוע הגריאטריה הוגדר</w:t>
      </w:r>
      <w:r w:rsidRPr="00590C3B">
        <w:rPr>
          <w:rFonts w:ascii="Tahoma" w:eastAsia="Calibri" w:hAnsi="Tahoma" w:cs="Tahoma" w:hint="cs"/>
          <w:sz w:val="19"/>
          <w:szCs w:val="19"/>
          <w:rtl/>
        </w:rPr>
        <w:t xml:space="preserve"> על ידי משרד הבריאות </w:t>
      </w:r>
      <w:r w:rsidRPr="00590C3B">
        <w:rPr>
          <w:rFonts w:ascii="Tahoma" w:eastAsia="Calibri" w:hAnsi="Tahoma" w:cs="Tahoma"/>
          <w:sz w:val="19"/>
          <w:szCs w:val="19"/>
          <w:rtl/>
        </w:rPr>
        <w:t xml:space="preserve">כבר לפני כ-15 שנים "מקצוע במצוקה" בשל המחסור ברופאים גריאטרים, ואף שמספר הזקנים באוכלוסייה הולך וגדל, </w:t>
      </w:r>
      <w:r w:rsidRPr="00590C3B">
        <w:rPr>
          <w:rFonts w:ascii="Tahoma" w:eastAsia="Calibri" w:hAnsi="Tahoma" w:cs="Tahoma" w:hint="cs"/>
          <w:sz w:val="19"/>
          <w:szCs w:val="19"/>
          <w:rtl/>
        </w:rPr>
        <w:t>נמצא</w:t>
      </w:r>
      <w:r w:rsidRPr="00590C3B">
        <w:rPr>
          <w:rFonts w:ascii="Tahoma" w:eastAsia="Calibri" w:hAnsi="Tahoma" w:cs="Tahoma"/>
          <w:sz w:val="19"/>
          <w:szCs w:val="19"/>
          <w:rtl/>
        </w:rPr>
        <w:t xml:space="preserve"> כי בשנים 2020 </w:t>
      </w:r>
      <w:r w:rsidRPr="00590C3B">
        <w:rPr>
          <w:rFonts w:ascii="Tahoma" w:eastAsia="Calibri" w:hAnsi="Tahoma" w:cs="Tahoma" w:hint="cs"/>
          <w:sz w:val="19"/>
          <w:szCs w:val="19"/>
          <w:rtl/>
        </w:rPr>
        <w:t>-</w:t>
      </w:r>
      <w:r w:rsidRPr="00590C3B">
        <w:rPr>
          <w:rFonts w:ascii="Tahoma" w:eastAsia="Calibri" w:hAnsi="Tahoma" w:cs="Tahoma"/>
          <w:sz w:val="19"/>
          <w:szCs w:val="19"/>
          <w:rtl/>
        </w:rPr>
        <w:t xml:space="preserve"> 2024</w:t>
      </w:r>
      <w:r w:rsidRPr="00590C3B">
        <w:rPr>
          <w:rFonts w:ascii="Tahoma" w:eastAsia="Calibri" w:hAnsi="Tahoma" w:cs="Tahoma" w:hint="cs"/>
          <w:sz w:val="19"/>
          <w:szCs w:val="19"/>
          <w:rtl/>
        </w:rPr>
        <w:t xml:space="preserve"> </w:t>
      </w:r>
      <w:r w:rsidRPr="00590C3B">
        <w:rPr>
          <w:rFonts w:ascii="Tahoma" w:eastAsia="Calibri" w:hAnsi="Tahoma" w:cs="Tahoma"/>
          <w:sz w:val="19"/>
          <w:szCs w:val="19"/>
          <w:rtl/>
        </w:rPr>
        <w:t>כמעט לא השתנה מספר הרופאים הגריאטרים ל-1,000 איש בני 65 - 75 (0.86 רופאים ב-2024 לעומת 0.72 רופאים ב</w:t>
      </w:r>
      <w:r w:rsidRPr="00590C3B">
        <w:rPr>
          <w:rFonts w:ascii="Tahoma" w:eastAsia="Calibri" w:hAnsi="Tahoma" w:cs="Tahoma" w:hint="cs"/>
          <w:sz w:val="19"/>
          <w:szCs w:val="19"/>
          <w:rtl/>
        </w:rPr>
        <w:t xml:space="preserve">שנת </w:t>
      </w:r>
      <w:r w:rsidRPr="00590C3B">
        <w:rPr>
          <w:rFonts w:ascii="Tahoma" w:eastAsia="Calibri" w:hAnsi="Tahoma" w:cs="Tahoma"/>
          <w:sz w:val="19"/>
          <w:szCs w:val="19"/>
          <w:rtl/>
        </w:rPr>
        <w:t>2020) וכן לבני 75 ומעלה (1.05 רופאים ב</w:t>
      </w:r>
      <w:r w:rsidRPr="00590C3B">
        <w:rPr>
          <w:rFonts w:ascii="Tahoma" w:eastAsia="Calibri" w:hAnsi="Tahoma" w:cs="Tahoma" w:hint="cs"/>
          <w:sz w:val="19"/>
          <w:szCs w:val="19"/>
          <w:rtl/>
        </w:rPr>
        <w:t xml:space="preserve">שנת </w:t>
      </w:r>
      <w:r w:rsidRPr="00590C3B">
        <w:rPr>
          <w:rFonts w:ascii="Tahoma" w:eastAsia="Calibri" w:hAnsi="Tahoma" w:cs="Tahoma"/>
          <w:sz w:val="19"/>
          <w:szCs w:val="19"/>
          <w:rtl/>
        </w:rPr>
        <w:t>2024 לעומת 1.07 רופאים ב</w:t>
      </w:r>
      <w:r w:rsidRPr="00590C3B">
        <w:rPr>
          <w:rFonts w:ascii="Tahoma" w:eastAsia="Calibri" w:hAnsi="Tahoma" w:cs="Tahoma" w:hint="cs"/>
          <w:sz w:val="19"/>
          <w:szCs w:val="19"/>
          <w:rtl/>
        </w:rPr>
        <w:t xml:space="preserve">שנת </w:t>
      </w:r>
      <w:r w:rsidRPr="00590C3B">
        <w:rPr>
          <w:rFonts w:ascii="Tahoma" w:eastAsia="Calibri" w:hAnsi="Tahoma" w:cs="Tahoma"/>
          <w:sz w:val="19"/>
          <w:szCs w:val="19"/>
          <w:rtl/>
        </w:rPr>
        <w:t>2020). אומדן ל</w:t>
      </w:r>
      <w:r w:rsidRPr="00590C3B">
        <w:rPr>
          <w:rFonts w:ascii="Tahoma" w:eastAsia="Calibri" w:hAnsi="Tahoma" w:cs="Tahoma" w:hint="cs"/>
          <w:sz w:val="19"/>
          <w:szCs w:val="19"/>
          <w:rtl/>
        </w:rPr>
        <w:t xml:space="preserve">שנת </w:t>
      </w:r>
      <w:r w:rsidRPr="00590C3B">
        <w:rPr>
          <w:rFonts w:ascii="Tahoma" w:eastAsia="Calibri" w:hAnsi="Tahoma" w:cs="Tahoma"/>
          <w:sz w:val="19"/>
          <w:szCs w:val="19"/>
          <w:rtl/>
        </w:rPr>
        <w:t>2030 ול</w:t>
      </w:r>
      <w:r w:rsidRPr="00590C3B">
        <w:rPr>
          <w:rFonts w:ascii="Tahoma" w:eastAsia="Calibri" w:hAnsi="Tahoma" w:cs="Tahoma" w:hint="cs"/>
          <w:sz w:val="19"/>
          <w:szCs w:val="19"/>
          <w:rtl/>
        </w:rPr>
        <w:t xml:space="preserve">שנת </w:t>
      </w:r>
      <w:r w:rsidRPr="00590C3B">
        <w:rPr>
          <w:rFonts w:ascii="Tahoma" w:eastAsia="Calibri" w:hAnsi="Tahoma" w:cs="Tahoma"/>
          <w:sz w:val="19"/>
          <w:szCs w:val="19"/>
          <w:rtl/>
        </w:rPr>
        <w:t xml:space="preserve">2040 מעלה כי שיעור הרופאים הגריאטרים </w:t>
      </w:r>
      <w:r w:rsidR="009C06F0">
        <w:rPr>
          <w:rFonts w:ascii="Tahoma" w:eastAsia="Calibri" w:hAnsi="Tahoma" w:cs="Tahoma"/>
          <w:sz w:val="19"/>
          <w:szCs w:val="19"/>
          <w:rtl/>
        </w:rPr>
        <w:br/>
      </w:r>
      <w:r w:rsidRPr="00590C3B">
        <w:rPr>
          <w:rFonts w:ascii="Tahoma" w:eastAsia="Calibri" w:hAnsi="Tahoma" w:cs="Tahoma"/>
          <w:sz w:val="19"/>
          <w:szCs w:val="19"/>
          <w:rtl/>
        </w:rPr>
        <w:t xml:space="preserve">ל-1,000 איש בני 75 </w:t>
      </w:r>
      <w:r w:rsidRPr="00590C3B">
        <w:rPr>
          <w:rFonts w:ascii="Tahoma" w:eastAsia="Calibri" w:hAnsi="Tahoma" w:cs="Tahoma" w:hint="cs"/>
          <w:sz w:val="19"/>
          <w:szCs w:val="19"/>
          <w:rtl/>
        </w:rPr>
        <w:t xml:space="preserve">ומעלה </w:t>
      </w:r>
      <w:r w:rsidRPr="00590C3B">
        <w:rPr>
          <w:rFonts w:ascii="Tahoma" w:eastAsia="Calibri" w:hAnsi="Tahoma" w:cs="Tahoma"/>
          <w:sz w:val="19"/>
          <w:szCs w:val="19"/>
          <w:rtl/>
        </w:rPr>
        <w:t>צפוי לרדת (ל-0.96 ב</w:t>
      </w:r>
      <w:r w:rsidRPr="00590C3B">
        <w:rPr>
          <w:rFonts w:ascii="Tahoma" w:eastAsia="Calibri" w:hAnsi="Tahoma" w:cs="Tahoma" w:hint="cs"/>
          <w:sz w:val="19"/>
          <w:szCs w:val="19"/>
          <w:rtl/>
        </w:rPr>
        <w:t xml:space="preserve">שנת </w:t>
      </w:r>
      <w:r w:rsidRPr="00590C3B">
        <w:rPr>
          <w:rFonts w:ascii="Tahoma" w:eastAsia="Calibri" w:hAnsi="Tahoma" w:cs="Tahoma"/>
          <w:sz w:val="19"/>
          <w:szCs w:val="19"/>
          <w:rtl/>
        </w:rPr>
        <w:t>2030 ול-0.99 ב</w:t>
      </w:r>
      <w:r w:rsidRPr="00590C3B">
        <w:rPr>
          <w:rFonts w:ascii="Tahoma" w:eastAsia="Calibri" w:hAnsi="Tahoma" w:cs="Tahoma" w:hint="cs"/>
          <w:sz w:val="19"/>
          <w:szCs w:val="19"/>
          <w:rtl/>
        </w:rPr>
        <w:t xml:space="preserve">שנת </w:t>
      </w:r>
      <w:r w:rsidRPr="00590C3B">
        <w:rPr>
          <w:rFonts w:ascii="Tahoma" w:eastAsia="Calibri" w:hAnsi="Tahoma" w:cs="Tahoma"/>
          <w:sz w:val="19"/>
          <w:szCs w:val="19"/>
          <w:rtl/>
        </w:rPr>
        <w:t xml:space="preserve">2040), </w:t>
      </w:r>
      <w:r w:rsidRPr="00590C3B">
        <w:rPr>
          <w:rFonts w:ascii="Tahoma" w:eastAsia="Calibri" w:hAnsi="Tahoma" w:cs="Tahoma" w:hint="cs"/>
          <w:sz w:val="19"/>
          <w:szCs w:val="19"/>
          <w:rtl/>
        </w:rPr>
        <w:t xml:space="preserve">וזאת </w:t>
      </w:r>
      <w:r w:rsidRPr="00590C3B">
        <w:rPr>
          <w:rFonts w:ascii="Tahoma" w:eastAsia="Calibri" w:hAnsi="Tahoma" w:cs="Tahoma"/>
          <w:sz w:val="19"/>
          <w:szCs w:val="19"/>
          <w:rtl/>
        </w:rPr>
        <w:t xml:space="preserve">לנוכח קצב הגידול הנוכחי במספר הרופאים הגריאטרים והגידול המהיר הצפוי באוכלוסיית בני ה-75 ומעלה. </w:t>
      </w:r>
      <w:r w:rsidRPr="00590C3B">
        <w:rPr>
          <w:rFonts w:ascii="Tahoma" w:eastAsia="Calibri" w:hAnsi="Tahoma" w:cs="Tahoma" w:hint="cs"/>
          <w:sz w:val="19"/>
          <w:szCs w:val="19"/>
          <w:rtl/>
        </w:rPr>
        <w:t>עוד נמצא כי למרות המחסור ברופאים גריאטרים, לא חל שינוי משמעותי במספר הרופאים שהתחילו התמחות בגריאטריה ל-1,000 איש בני 75 ומעלה ב-2020 - 2024 (מ-0.13 מתמחים ל-1,000 איש בני 75 ומעלה בשנת 2020 ל-0.15 בשנת 2024 ומספר זהה באומדן לשנת 2040)</w:t>
      </w:r>
      <w:r w:rsidRPr="00590C3B">
        <w:rPr>
          <w:rFonts w:ascii="Tahoma" w:eastAsia="Calibri" w:hAnsi="Tahoma" w:cs="Tahoma"/>
          <w:sz w:val="19"/>
          <w:szCs w:val="19"/>
          <w:rtl/>
        </w:rPr>
        <w:t>.</w:t>
      </w:r>
      <w:r w:rsidRPr="00590C3B">
        <w:rPr>
          <w:rFonts w:ascii="Tahoma" w:eastAsia="Calibri" w:hAnsi="Tahoma" w:cs="Tahoma" w:hint="cs"/>
          <w:b/>
          <w:bCs/>
          <w:sz w:val="19"/>
          <w:szCs w:val="19"/>
          <w:rtl/>
        </w:rPr>
        <w:t xml:space="preserve"> </w:t>
      </w:r>
      <w:r w:rsidRPr="00590C3B">
        <w:rPr>
          <w:rFonts w:ascii="Tahoma" w:eastAsia="Calibri" w:hAnsi="Tahoma" w:cs="Tahoma" w:hint="cs"/>
          <w:sz w:val="19"/>
          <w:szCs w:val="19"/>
          <w:rtl/>
        </w:rPr>
        <w:t xml:space="preserve">בהקשר זה עלה כי </w:t>
      </w:r>
      <w:r w:rsidRPr="00590C3B">
        <w:rPr>
          <w:rFonts w:ascii="Tahoma" w:eastAsia="Calibri" w:hAnsi="Tahoma" w:cs="Tahoma"/>
          <w:sz w:val="19"/>
          <w:szCs w:val="19"/>
          <w:rtl/>
        </w:rPr>
        <w:t xml:space="preserve">קיימים כמה חסמים המותירים את מקצוע הגריאטריה </w:t>
      </w:r>
      <w:r w:rsidRPr="00590C3B">
        <w:rPr>
          <w:rFonts w:ascii="Tahoma" w:eastAsia="Calibri" w:hAnsi="Tahoma" w:cs="Tahoma" w:hint="cs"/>
          <w:sz w:val="19"/>
          <w:szCs w:val="19"/>
          <w:rtl/>
        </w:rPr>
        <w:t>"</w:t>
      </w:r>
      <w:r w:rsidRPr="00590C3B">
        <w:rPr>
          <w:rFonts w:ascii="Tahoma" w:eastAsia="Calibri" w:hAnsi="Tahoma" w:cs="Tahoma"/>
          <w:sz w:val="19"/>
          <w:szCs w:val="19"/>
          <w:rtl/>
        </w:rPr>
        <w:t>מקצוע במצוקה</w:t>
      </w:r>
      <w:r w:rsidRPr="00590C3B">
        <w:rPr>
          <w:rFonts w:ascii="Tahoma" w:eastAsia="Calibri" w:hAnsi="Tahoma" w:cs="Tahoma" w:hint="cs"/>
          <w:sz w:val="19"/>
          <w:szCs w:val="19"/>
          <w:rtl/>
        </w:rPr>
        <w:t>"</w:t>
      </w:r>
      <w:r w:rsidRPr="00590C3B">
        <w:rPr>
          <w:rFonts w:ascii="Tahoma" w:eastAsia="Calibri" w:hAnsi="Tahoma" w:cs="Tahoma"/>
          <w:sz w:val="19"/>
          <w:szCs w:val="19"/>
          <w:rtl/>
        </w:rPr>
        <w:t>, ובגינם קיים מחסור ברופאים מומחים בגריאטריה. בין החסמים - שכר המומחים הגריאטרים, מחסור בתקנים והעסקת רופאים גריאטרים כרופאי משפחה.</w:t>
      </w:r>
      <w:r w:rsidRPr="00590C3B">
        <w:rPr>
          <w:rFonts w:ascii="Tahoma" w:eastAsia="Calibri" w:hAnsi="Tahoma" w:cs="Tahoma" w:hint="cs"/>
          <w:b/>
          <w:bCs/>
          <w:sz w:val="19"/>
          <w:szCs w:val="19"/>
          <w:rtl/>
        </w:rPr>
        <w:t xml:space="preserve"> </w:t>
      </w:r>
      <w:r w:rsidRPr="00590C3B">
        <w:rPr>
          <w:rFonts w:ascii="Tahoma" w:eastAsia="Calibri" w:hAnsi="Tahoma" w:cs="Tahoma"/>
          <w:sz w:val="19"/>
          <w:szCs w:val="19"/>
          <w:rtl/>
        </w:rPr>
        <w:t xml:space="preserve">בביקורת עלה </w:t>
      </w:r>
      <w:r w:rsidRPr="00590C3B">
        <w:rPr>
          <w:rFonts w:ascii="Tahoma" w:eastAsia="Calibri" w:hAnsi="Tahoma" w:cs="Tahoma" w:hint="eastAsia"/>
          <w:sz w:val="19"/>
          <w:szCs w:val="19"/>
          <w:rtl/>
        </w:rPr>
        <w:t>עוד</w:t>
      </w:r>
      <w:r w:rsidRPr="00590C3B">
        <w:rPr>
          <w:rFonts w:ascii="Tahoma" w:eastAsia="Calibri" w:hAnsi="Tahoma" w:cs="Tahoma" w:hint="cs"/>
          <w:sz w:val="19"/>
          <w:szCs w:val="19"/>
          <w:rtl/>
        </w:rPr>
        <w:t xml:space="preserve"> </w:t>
      </w:r>
      <w:r w:rsidRPr="00590C3B">
        <w:rPr>
          <w:rFonts w:ascii="Tahoma" w:eastAsia="Calibri" w:hAnsi="Tahoma" w:cs="Tahoma"/>
          <w:sz w:val="19"/>
          <w:szCs w:val="19"/>
          <w:rtl/>
        </w:rPr>
        <w:t>כי למרות המחסור ברופאים גריאטרים, ב-2023 העסיקו קופות החולים 89 רופאים שהתמחותם האחרונה הייתה בגריאטריה, כרופאי משפחה ולא בתחום מומחיותם, מתוך 546 רופאים מומחים בגריאטריה (כ-16%).</w:t>
      </w:r>
    </w:p>
    <w:p w:rsidR="00590C3B" w:rsidRPr="00590C3B" w:rsidP="00810C92">
      <w:pPr>
        <w:numPr>
          <w:ilvl w:val="0"/>
          <w:numId w:val="14"/>
        </w:numPr>
        <w:spacing w:after="120" w:line="288" w:lineRule="auto"/>
        <w:ind w:left="-143" w:right="-567" w:hanging="595"/>
        <w:rPr>
          <w:rFonts w:ascii="Tahoma" w:eastAsia="Calibri" w:hAnsi="Tahoma" w:cs="Tahoma"/>
          <w:b/>
          <w:bCs/>
          <w:sz w:val="19"/>
          <w:szCs w:val="19"/>
          <w:rtl/>
        </w:rPr>
      </w:pPr>
      <w:r w:rsidRPr="00590C3B">
        <w:rPr>
          <w:rFonts w:ascii="Tahoma" w:eastAsia="Calibri" w:hAnsi="Tahoma" w:cs="Tahoma" w:hint="cs"/>
          <w:b/>
          <w:bCs/>
          <w:sz w:val="19"/>
          <w:szCs w:val="19"/>
          <w:rtl/>
        </w:rPr>
        <w:t>הכשרה בתחום הגריאטריה לרופאי המשפחה -</w:t>
      </w:r>
      <w:r w:rsidRPr="00590C3B">
        <w:rPr>
          <w:rFonts w:ascii="Tahoma" w:eastAsia="Calibri" w:hAnsi="Tahoma" w:cs="Tahoma" w:hint="cs"/>
          <w:sz w:val="19"/>
          <w:szCs w:val="19"/>
          <w:rtl/>
        </w:rPr>
        <w:t xml:space="preserve"> </w:t>
      </w:r>
      <w:r w:rsidRPr="00590C3B">
        <w:rPr>
          <w:rFonts w:ascii="Tahoma" w:eastAsia="Calibri" w:hAnsi="Tahoma" w:cs="Tahoma" w:hint="eastAsia"/>
          <w:sz w:val="19"/>
          <w:szCs w:val="19"/>
          <w:rtl/>
        </w:rPr>
        <w:t>רופאי</w:t>
      </w:r>
      <w:r w:rsidRPr="00590C3B">
        <w:rPr>
          <w:rFonts w:ascii="Tahoma" w:eastAsia="Calibri" w:hAnsi="Tahoma" w:cs="Tahoma"/>
          <w:sz w:val="19"/>
          <w:szCs w:val="19"/>
          <w:rtl/>
        </w:rPr>
        <w:t xml:space="preserve"> </w:t>
      </w:r>
      <w:r w:rsidRPr="00590C3B">
        <w:rPr>
          <w:rFonts w:ascii="Tahoma" w:eastAsia="Calibri" w:hAnsi="Tahoma" w:cs="Tahoma" w:hint="eastAsia"/>
          <w:sz w:val="19"/>
          <w:szCs w:val="19"/>
          <w:rtl/>
        </w:rPr>
        <w:t>המשפחה</w:t>
      </w:r>
      <w:r w:rsidRPr="00590C3B">
        <w:rPr>
          <w:rFonts w:ascii="Tahoma" w:eastAsia="Calibri" w:hAnsi="Tahoma" w:cs="Tahoma"/>
          <w:sz w:val="19"/>
          <w:szCs w:val="19"/>
          <w:rtl/>
        </w:rPr>
        <w:t xml:space="preserve"> </w:t>
      </w:r>
      <w:r w:rsidRPr="00590C3B">
        <w:rPr>
          <w:rFonts w:ascii="Tahoma" w:eastAsia="Calibri" w:hAnsi="Tahoma" w:cs="Tahoma" w:hint="eastAsia"/>
          <w:sz w:val="19"/>
          <w:szCs w:val="19"/>
          <w:rtl/>
        </w:rPr>
        <w:t>הם</w:t>
      </w:r>
      <w:r w:rsidRPr="00590C3B">
        <w:rPr>
          <w:rFonts w:ascii="Tahoma" w:eastAsia="Calibri" w:hAnsi="Tahoma" w:cs="Tahoma"/>
          <w:sz w:val="19"/>
          <w:szCs w:val="19"/>
          <w:rtl/>
        </w:rPr>
        <w:t xml:space="preserve"> </w:t>
      </w:r>
      <w:r w:rsidRPr="00590C3B">
        <w:rPr>
          <w:rFonts w:ascii="Tahoma" w:eastAsia="Calibri" w:hAnsi="Tahoma" w:cs="Tahoma" w:hint="eastAsia"/>
          <w:sz w:val="19"/>
          <w:szCs w:val="19"/>
          <w:rtl/>
        </w:rPr>
        <w:t>הרופאים</w:t>
      </w:r>
      <w:r w:rsidRPr="00590C3B">
        <w:rPr>
          <w:rFonts w:ascii="Tahoma" w:eastAsia="Calibri" w:hAnsi="Tahoma" w:cs="Tahoma"/>
          <w:sz w:val="19"/>
          <w:szCs w:val="19"/>
          <w:rtl/>
        </w:rPr>
        <w:t xml:space="preserve"> </w:t>
      </w:r>
      <w:r w:rsidRPr="00590C3B">
        <w:rPr>
          <w:rFonts w:ascii="Tahoma" w:eastAsia="Calibri" w:hAnsi="Tahoma" w:cs="Tahoma" w:hint="eastAsia"/>
          <w:sz w:val="19"/>
          <w:szCs w:val="19"/>
          <w:rtl/>
        </w:rPr>
        <w:t>הראשוני</w:t>
      </w:r>
      <w:r w:rsidRPr="00590C3B">
        <w:rPr>
          <w:rFonts w:ascii="Tahoma" w:eastAsia="Calibri" w:hAnsi="Tahoma" w:cs="Tahoma" w:hint="cs"/>
          <w:sz w:val="19"/>
          <w:szCs w:val="19"/>
          <w:rtl/>
        </w:rPr>
        <w:t>י</w:t>
      </w:r>
      <w:r w:rsidRPr="00590C3B">
        <w:rPr>
          <w:rFonts w:ascii="Tahoma" w:eastAsia="Calibri" w:hAnsi="Tahoma" w:cs="Tahoma" w:hint="eastAsia"/>
          <w:sz w:val="19"/>
          <w:szCs w:val="19"/>
          <w:rtl/>
        </w:rPr>
        <w:t>ם</w:t>
      </w:r>
      <w:r w:rsidRPr="00590C3B">
        <w:rPr>
          <w:rFonts w:ascii="Tahoma" w:eastAsia="Calibri" w:hAnsi="Tahoma" w:cs="Tahoma"/>
          <w:sz w:val="19"/>
          <w:szCs w:val="19"/>
          <w:rtl/>
        </w:rPr>
        <w:t xml:space="preserve"> </w:t>
      </w:r>
      <w:r w:rsidRPr="00590C3B">
        <w:rPr>
          <w:rFonts w:ascii="Tahoma" w:eastAsia="Calibri" w:hAnsi="Tahoma" w:cs="Tahoma" w:hint="eastAsia"/>
          <w:sz w:val="19"/>
          <w:szCs w:val="19"/>
          <w:rtl/>
        </w:rPr>
        <w:t>לכל</w:t>
      </w:r>
      <w:r w:rsidRPr="00590C3B">
        <w:rPr>
          <w:rFonts w:ascii="Tahoma" w:eastAsia="Calibri" w:hAnsi="Tahoma" w:cs="Tahoma"/>
          <w:sz w:val="19"/>
          <w:szCs w:val="19"/>
          <w:rtl/>
        </w:rPr>
        <w:t xml:space="preserve"> </w:t>
      </w:r>
      <w:r w:rsidRPr="00590C3B">
        <w:rPr>
          <w:rFonts w:ascii="Tahoma" w:eastAsia="Calibri" w:hAnsi="Tahoma" w:cs="Tahoma" w:hint="eastAsia"/>
          <w:sz w:val="19"/>
          <w:szCs w:val="19"/>
          <w:rtl/>
        </w:rPr>
        <w:t>ציבור</w:t>
      </w:r>
      <w:r w:rsidRPr="00590C3B">
        <w:rPr>
          <w:rFonts w:ascii="Tahoma" w:eastAsia="Calibri" w:hAnsi="Tahoma" w:cs="Tahoma"/>
          <w:sz w:val="19"/>
          <w:szCs w:val="19"/>
          <w:rtl/>
        </w:rPr>
        <w:t xml:space="preserve"> </w:t>
      </w:r>
      <w:r w:rsidRPr="00590C3B">
        <w:rPr>
          <w:rFonts w:ascii="Tahoma" w:eastAsia="Calibri" w:hAnsi="Tahoma" w:cs="Tahoma" w:hint="eastAsia"/>
          <w:sz w:val="19"/>
          <w:szCs w:val="19"/>
          <w:rtl/>
        </w:rPr>
        <w:t>הזקנים</w:t>
      </w:r>
      <w:r w:rsidRPr="00590C3B">
        <w:rPr>
          <w:rFonts w:ascii="Tahoma" w:eastAsia="Calibri" w:hAnsi="Tahoma" w:cs="Tahoma"/>
          <w:sz w:val="19"/>
          <w:szCs w:val="19"/>
          <w:rtl/>
        </w:rPr>
        <w:t xml:space="preserve"> </w:t>
      </w:r>
      <w:r w:rsidRPr="00590C3B">
        <w:rPr>
          <w:rFonts w:ascii="Tahoma" w:eastAsia="Calibri" w:hAnsi="Tahoma" w:cs="Tahoma" w:hint="eastAsia"/>
          <w:sz w:val="19"/>
          <w:szCs w:val="19"/>
          <w:rtl/>
        </w:rPr>
        <w:t>במדינה</w:t>
      </w:r>
      <w:r w:rsidRPr="00590C3B">
        <w:rPr>
          <w:rFonts w:ascii="Tahoma" w:eastAsia="Calibri" w:hAnsi="Tahoma" w:cs="Tahoma" w:hint="cs"/>
          <w:sz w:val="19"/>
          <w:szCs w:val="19"/>
          <w:rtl/>
        </w:rPr>
        <w:t>,</w:t>
      </w:r>
      <w:r w:rsidRPr="00590C3B">
        <w:rPr>
          <w:rFonts w:ascii="Tahoma" w:eastAsia="Calibri" w:hAnsi="Tahoma" w:cs="Tahoma"/>
          <w:sz w:val="19"/>
          <w:szCs w:val="19"/>
          <w:rtl/>
        </w:rPr>
        <w:t xml:space="preserve"> </w:t>
      </w:r>
      <w:r w:rsidRPr="00590C3B">
        <w:rPr>
          <w:rFonts w:ascii="Tahoma" w:eastAsia="Calibri" w:hAnsi="Tahoma" w:cs="Tahoma" w:hint="eastAsia"/>
          <w:sz w:val="19"/>
          <w:szCs w:val="19"/>
          <w:rtl/>
        </w:rPr>
        <w:t>וטיפול</w:t>
      </w:r>
      <w:r w:rsidRPr="00590C3B">
        <w:rPr>
          <w:rFonts w:ascii="Tahoma" w:eastAsia="Calibri" w:hAnsi="Tahoma" w:cs="Tahoma"/>
          <w:sz w:val="19"/>
          <w:szCs w:val="19"/>
          <w:rtl/>
        </w:rPr>
        <w:t xml:space="preserve"> </w:t>
      </w:r>
      <w:r w:rsidRPr="00590C3B">
        <w:rPr>
          <w:rFonts w:ascii="Tahoma" w:eastAsia="Calibri" w:hAnsi="Tahoma" w:cs="Tahoma" w:hint="eastAsia"/>
          <w:sz w:val="19"/>
          <w:szCs w:val="19"/>
          <w:rtl/>
        </w:rPr>
        <w:t>בהם</w:t>
      </w:r>
      <w:r w:rsidRPr="00590C3B">
        <w:rPr>
          <w:rFonts w:ascii="Tahoma" w:eastAsia="Calibri" w:hAnsi="Tahoma" w:cs="Tahoma"/>
          <w:sz w:val="19"/>
          <w:szCs w:val="19"/>
          <w:rtl/>
        </w:rPr>
        <w:t xml:space="preserve"> </w:t>
      </w:r>
      <w:r w:rsidRPr="00590C3B">
        <w:rPr>
          <w:rFonts w:ascii="Tahoma" w:eastAsia="Calibri" w:hAnsi="Tahoma" w:cs="Tahoma" w:hint="eastAsia"/>
          <w:sz w:val="19"/>
          <w:szCs w:val="19"/>
          <w:rtl/>
        </w:rPr>
        <w:t>הוא</w:t>
      </w:r>
      <w:r w:rsidRPr="00590C3B">
        <w:rPr>
          <w:rFonts w:ascii="Tahoma" w:eastAsia="Calibri" w:hAnsi="Tahoma" w:cs="Tahoma"/>
          <w:sz w:val="19"/>
          <w:szCs w:val="19"/>
          <w:rtl/>
        </w:rPr>
        <w:t xml:space="preserve"> </w:t>
      </w:r>
      <w:r w:rsidRPr="00590C3B">
        <w:rPr>
          <w:rFonts w:ascii="Tahoma" w:eastAsia="Calibri" w:hAnsi="Tahoma" w:cs="Tahoma" w:hint="eastAsia"/>
          <w:sz w:val="19"/>
          <w:szCs w:val="19"/>
          <w:rtl/>
        </w:rPr>
        <w:t>בין</w:t>
      </w:r>
      <w:r w:rsidRPr="00590C3B">
        <w:rPr>
          <w:rFonts w:ascii="Tahoma" w:eastAsia="Calibri" w:hAnsi="Tahoma" w:cs="Tahoma"/>
          <w:sz w:val="19"/>
          <w:szCs w:val="19"/>
          <w:rtl/>
        </w:rPr>
        <w:t xml:space="preserve"> </w:t>
      </w:r>
      <w:r w:rsidRPr="00590C3B">
        <w:rPr>
          <w:rFonts w:ascii="Tahoma" w:eastAsia="Calibri" w:hAnsi="Tahoma" w:cs="Tahoma" w:hint="eastAsia"/>
          <w:sz w:val="19"/>
          <w:szCs w:val="19"/>
          <w:rtl/>
        </w:rPr>
        <w:t>עיסוקיהם</w:t>
      </w:r>
      <w:r w:rsidRPr="00590C3B">
        <w:rPr>
          <w:rFonts w:ascii="Tahoma" w:eastAsia="Calibri" w:hAnsi="Tahoma" w:cs="Tahoma"/>
          <w:sz w:val="19"/>
          <w:szCs w:val="19"/>
          <w:rtl/>
        </w:rPr>
        <w:t xml:space="preserve"> </w:t>
      </w:r>
      <w:r w:rsidRPr="00590C3B">
        <w:rPr>
          <w:rFonts w:ascii="Tahoma" w:eastAsia="Calibri" w:hAnsi="Tahoma" w:cs="Tahoma" w:hint="eastAsia"/>
          <w:sz w:val="19"/>
          <w:szCs w:val="19"/>
          <w:rtl/>
        </w:rPr>
        <w:t>העיקריים</w:t>
      </w:r>
      <w:r w:rsidRPr="00590C3B">
        <w:rPr>
          <w:rFonts w:ascii="Tahoma" w:eastAsia="Calibri" w:hAnsi="Tahoma" w:cs="Tahoma" w:hint="cs"/>
          <w:sz w:val="19"/>
          <w:szCs w:val="19"/>
          <w:rtl/>
        </w:rPr>
        <w:t xml:space="preserve">. בביקורת עלה כי </w:t>
      </w:r>
      <w:r w:rsidRPr="00590C3B">
        <w:rPr>
          <w:rFonts w:ascii="Tahoma" w:eastAsia="Calibri" w:hAnsi="Tahoma" w:cs="Tahoma"/>
          <w:sz w:val="19"/>
          <w:szCs w:val="19"/>
          <w:rtl/>
        </w:rPr>
        <w:t>לא חל שינוי מהותי בהכשרה של רופאי המשפחה בתחום הגריאטריה</w:t>
      </w:r>
      <w:r w:rsidRPr="00590C3B">
        <w:rPr>
          <w:rFonts w:ascii="Tahoma" w:eastAsia="Calibri" w:hAnsi="Tahoma" w:cs="Tahoma" w:hint="cs"/>
          <w:sz w:val="19"/>
          <w:szCs w:val="19"/>
          <w:rtl/>
        </w:rPr>
        <w:t xml:space="preserve">. </w:t>
      </w:r>
      <w:r w:rsidRPr="00590C3B">
        <w:rPr>
          <w:rFonts w:ascii="Tahoma" w:eastAsia="Calibri" w:hAnsi="Tahoma" w:cs="Tahoma"/>
          <w:sz w:val="19"/>
          <w:szCs w:val="19"/>
          <w:rtl/>
        </w:rPr>
        <w:t xml:space="preserve">במהלך ההתמחות רשאים הרופאים המתמחים לבחור להתמחות ברפואה גריאטרית במשך חודשיים, אולם הם </w:t>
      </w:r>
      <w:r w:rsidRPr="00590C3B">
        <w:rPr>
          <w:rFonts w:ascii="Tahoma" w:eastAsia="Calibri" w:hAnsi="Tahoma" w:cs="Tahoma" w:hint="cs"/>
          <w:sz w:val="19"/>
          <w:szCs w:val="19"/>
          <w:rtl/>
        </w:rPr>
        <w:t xml:space="preserve">אינם </w:t>
      </w:r>
      <w:r w:rsidRPr="00590C3B">
        <w:rPr>
          <w:rFonts w:ascii="Tahoma" w:eastAsia="Calibri" w:hAnsi="Tahoma" w:cs="Tahoma"/>
          <w:sz w:val="19"/>
          <w:szCs w:val="19"/>
          <w:rtl/>
        </w:rPr>
        <w:t>חייבים לעשות כן, וחובת ההתמחות בגריאטריה בקהילה צומצמה לחמישה ימים</w:t>
      </w:r>
      <w:r w:rsidRPr="00590C3B">
        <w:rPr>
          <w:rFonts w:ascii="Tahoma" w:eastAsia="Calibri" w:hAnsi="Tahoma" w:cs="Tahoma" w:hint="cs"/>
          <w:sz w:val="19"/>
          <w:szCs w:val="19"/>
          <w:rtl/>
        </w:rPr>
        <w:t xml:space="preserve">; כמו כן </w:t>
      </w:r>
      <w:r w:rsidRPr="00590C3B">
        <w:rPr>
          <w:rFonts w:ascii="Tahoma" w:eastAsia="Calibri" w:hAnsi="Tahoma" w:cs="Tahoma"/>
          <w:sz w:val="19"/>
          <w:szCs w:val="19"/>
          <w:rtl/>
        </w:rPr>
        <w:t>אין כל הכשרה ייעודית בגריאטריה לרופאים מומחים ברפואת משפחה</w:t>
      </w:r>
      <w:r w:rsidRPr="00590C3B">
        <w:rPr>
          <w:rFonts w:ascii="Tahoma" w:eastAsia="Calibri" w:hAnsi="Tahoma" w:cs="Tahoma" w:hint="cs"/>
          <w:sz w:val="19"/>
          <w:szCs w:val="19"/>
          <w:rtl/>
        </w:rPr>
        <w:t>.</w:t>
      </w:r>
      <w:r w:rsidRPr="00590C3B">
        <w:rPr>
          <w:rFonts w:eastAsia="Calibri"/>
          <w:rtl/>
        </w:rPr>
        <w:t xml:space="preserve"> </w:t>
      </w:r>
      <w:r w:rsidRPr="00590C3B">
        <w:rPr>
          <w:rFonts w:ascii="Tahoma" w:eastAsia="Calibri" w:hAnsi="Tahoma" w:cs="Tahoma"/>
          <w:sz w:val="19"/>
          <w:szCs w:val="19"/>
          <w:rtl/>
        </w:rPr>
        <w:t>היעדר הכשרה מספקת בתחומי הגריאטריה למתמחים ו</w:t>
      </w:r>
      <w:r w:rsidRPr="00590C3B">
        <w:rPr>
          <w:rFonts w:ascii="Tahoma" w:eastAsia="Calibri" w:hAnsi="Tahoma" w:cs="Tahoma" w:hint="cs"/>
          <w:sz w:val="19"/>
          <w:szCs w:val="19"/>
          <w:rtl/>
        </w:rPr>
        <w:t>ל</w:t>
      </w:r>
      <w:r w:rsidRPr="00590C3B">
        <w:rPr>
          <w:rFonts w:ascii="Tahoma" w:eastAsia="Calibri" w:hAnsi="Tahoma" w:cs="Tahoma"/>
          <w:sz w:val="19"/>
          <w:szCs w:val="19"/>
          <w:rtl/>
        </w:rPr>
        <w:t>מומחים ברפואת משפחה לא יאפשר לתת מענה לצורך ההולך וגדל ברפואה גריאטרית</w:t>
      </w:r>
      <w:r w:rsidRPr="00590C3B">
        <w:rPr>
          <w:rFonts w:ascii="Tahoma" w:eastAsia="Calibri" w:hAnsi="Tahoma" w:cs="Tahoma" w:hint="cs"/>
          <w:sz w:val="19"/>
          <w:szCs w:val="19"/>
          <w:rtl/>
        </w:rPr>
        <w:t>,</w:t>
      </w:r>
      <w:r w:rsidRPr="00590C3B">
        <w:rPr>
          <w:rFonts w:ascii="Tahoma" w:eastAsia="Calibri" w:hAnsi="Tahoma" w:cs="Tahoma"/>
          <w:sz w:val="19"/>
          <w:szCs w:val="19"/>
          <w:rtl/>
        </w:rPr>
        <w:t xml:space="preserve"> ו</w:t>
      </w:r>
      <w:r w:rsidRPr="00590C3B">
        <w:rPr>
          <w:rFonts w:ascii="Tahoma" w:eastAsia="Calibri" w:hAnsi="Tahoma" w:cs="Tahoma" w:hint="cs"/>
          <w:sz w:val="19"/>
          <w:szCs w:val="19"/>
          <w:rtl/>
        </w:rPr>
        <w:t xml:space="preserve">עם המחסור ברופאים גריאטרים יהיה קושי </w:t>
      </w:r>
      <w:r w:rsidRPr="00590C3B">
        <w:rPr>
          <w:rFonts w:ascii="Tahoma" w:eastAsia="Calibri" w:hAnsi="Tahoma" w:cs="Tahoma"/>
          <w:sz w:val="19"/>
          <w:szCs w:val="19"/>
          <w:rtl/>
        </w:rPr>
        <w:t>לקבל כלים וגישות המתאימים לטיפול באוכלוסיית הזקנים הגדלה</w:t>
      </w:r>
      <w:r w:rsidRPr="00590C3B">
        <w:rPr>
          <w:rFonts w:ascii="Tahoma" w:eastAsia="Calibri" w:hAnsi="Tahoma" w:cs="Tahoma" w:hint="cs"/>
          <w:sz w:val="19"/>
          <w:szCs w:val="19"/>
          <w:rtl/>
        </w:rPr>
        <w:t>.</w:t>
      </w:r>
    </w:p>
    <w:p w:rsidR="00590C3B" w:rsidRPr="00590C3B" w:rsidP="00810C92">
      <w:pPr>
        <w:numPr>
          <w:ilvl w:val="0"/>
          <w:numId w:val="14"/>
        </w:numPr>
        <w:spacing w:after="480" w:line="288" w:lineRule="auto"/>
        <w:ind w:left="-143" w:right="-567" w:hanging="595"/>
        <w:rPr>
          <w:rFonts w:ascii="Tahoma" w:eastAsia="Calibri" w:hAnsi="Tahoma" w:cs="Tahoma"/>
          <w:sz w:val="19"/>
          <w:szCs w:val="19"/>
        </w:rPr>
      </w:pPr>
      <w:r w:rsidRPr="00590C3B">
        <w:rPr>
          <w:rFonts w:ascii="Tahoma" w:eastAsia="Calibri" w:hAnsi="Tahoma" w:cs="Tahoma" w:hint="cs"/>
          <w:b/>
          <w:bCs/>
          <w:sz w:val="19"/>
          <w:szCs w:val="19"/>
          <w:rtl/>
        </w:rPr>
        <w:t>מחסור במיטות אשפוז</w:t>
      </w:r>
      <w:r w:rsidRPr="00590C3B">
        <w:rPr>
          <w:rFonts w:ascii="Tahoma" w:eastAsia="Calibri" w:hAnsi="Tahoma" w:cs="Tahoma" w:hint="cs"/>
          <w:sz w:val="19"/>
          <w:szCs w:val="19"/>
          <w:rtl/>
        </w:rPr>
        <w:t xml:space="preserve"> - </w:t>
      </w:r>
      <w:r w:rsidRPr="00590C3B">
        <w:rPr>
          <w:rFonts w:ascii="Tahoma" w:eastAsia="Calibri" w:hAnsi="Tahoma" w:cs="Tahoma"/>
          <w:sz w:val="19"/>
          <w:szCs w:val="19"/>
          <w:rtl/>
        </w:rPr>
        <w:t xml:space="preserve">מספר מיטות האשפוז הגריאטרי </w:t>
      </w:r>
      <w:r w:rsidRPr="00590C3B">
        <w:rPr>
          <w:rFonts w:ascii="Tahoma" w:eastAsia="Calibri" w:hAnsi="Tahoma" w:cs="Tahoma" w:hint="cs"/>
          <w:sz w:val="19"/>
          <w:szCs w:val="19"/>
          <w:rtl/>
        </w:rPr>
        <w:t xml:space="preserve">גדל </w:t>
      </w:r>
      <w:r w:rsidRPr="00590C3B">
        <w:rPr>
          <w:rFonts w:ascii="Tahoma" w:eastAsia="Calibri" w:hAnsi="Tahoma" w:cs="Tahoma"/>
          <w:sz w:val="19"/>
          <w:szCs w:val="19"/>
          <w:rtl/>
        </w:rPr>
        <w:t xml:space="preserve">ב-8% בשנים 2020 - 2023 (מ-25,312 </w:t>
      </w:r>
      <w:r w:rsidRPr="00590C3B">
        <w:rPr>
          <w:rFonts w:ascii="Tahoma" w:eastAsia="Calibri" w:hAnsi="Tahoma" w:cs="Tahoma"/>
          <w:sz w:val="19"/>
          <w:szCs w:val="19"/>
          <w:rtl/>
        </w:rPr>
        <w:br/>
        <w:t xml:space="preserve">ל-27,300), ומספר מיטות האשפוז הכללי גדל ב-4% בשנים אלה (מ-16,346 ל-16,938). </w:t>
      </w:r>
      <w:r w:rsidRPr="00590C3B">
        <w:rPr>
          <w:rFonts w:ascii="Tahoma" w:eastAsia="Calibri" w:hAnsi="Tahoma" w:cs="Tahoma" w:hint="cs"/>
          <w:sz w:val="19"/>
          <w:szCs w:val="19"/>
          <w:rtl/>
        </w:rPr>
        <w:t xml:space="preserve">עם זאת, </w:t>
      </w:r>
      <w:r w:rsidRPr="00590C3B">
        <w:rPr>
          <w:rFonts w:ascii="Tahoma" w:eastAsia="Calibri" w:hAnsi="Tahoma" w:cs="Tahoma"/>
          <w:sz w:val="19"/>
          <w:szCs w:val="19"/>
          <w:rtl/>
        </w:rPr>
        <w:t xml:space="preserve">בשנים 2020 - 2023 חלה ירידה של 19% </w:t>
      </w:r>
      <w:r w:rsidRPr="00590C3B">
        <w:rPr>
          <w:rFonts w:ascii="Tahoma" w:eastAsia="Calibri" w:hAnsi="Tahoma" w:cs="Tahoma" w:hint="cs"/>
          <w:sz w:val="19"/>
          <w:szCs w:val="19"/>
          <w:rtl/>
        </w:rPr>
        <w:t>בשיעור</w:t>
      </w:r>
      <w:r w:rsidRPr="00590C3B">
        <w:rPr>
          <w:rFonts w:ascii="Tahoma" w:eastAsia="Calibri" w:hAnsi="Tahoma" w:cs="Tahoma"/>
          <w:sz w:val="19"/>
          <w:szCs w:val="19"/>
          <w:rtl/>
        </w:rPr>
        <w:t xml:space="preserve"> מיטות האשפוז הכללי ל-1,000 איש בני 75 ומעלה (מכ-42 מיטות לכ-34)</w:t>
      </w:r>
      <w:r w:rsidRPr="00590C3B">
        <w:rPr>
          <w:rFonts w:ascii="Tahoma" w:eastAsia="Calibri" w:hAnsi="Tahoma" w:cs="Tahoma" w:hint="cs"/>
          <w:sz w:val="19"/>
          <w:szCs w:val="19"/>
          <w:rtl/>
        </w:rPr>
        <w:t>,</w:t>
      </w:r>
      <w:r w:rsidRPr="00590C3B">
        <w:rPr>
          <w:rFonts w:ascii="Tahoma" w:eastAsia="Calibri" w:hAnsi="Tahoma" w:cs="Tahoma"/>
          <w:sz w:val="19"/>
          <w:szCs w:val="19"/>
          <w:rtl/>
        </w:rPr>
        <w:t xml:space="preserve"> וכן חלה ירידה של 16% ב</w:t>
      </w:r>
      <w:r w:rsidRPr="00590C3B">
        <w:rPr>
          <w:rFonts w:ascii="Tahoma" w:eastAsia="Calibri" w:hAnsi="Tahoma" w:cs="Tahoma" w:hint="cs"/>
          <w:sz w:val="19"/>
          <w:szCs w:val="19"/>
          <w:rtl/>
        </w:rPr>
        <w:t>שיעור</w:t>
      </w:r>
      <w:r w:rsidRPr="00590C3B">
        <w:rPr>
          <w:rFonts w:ascii="Tahoma" w:eastAsia="Calibri" w:hAnsi="Tahoma" w:cs="Tahoma"/>
          <w:sz w:val="19"/>
          <w:szCs w:val="19"/>
          <w:rtl/>
        </w:rPr>
        <w:t xml:space="preserve"> מיטות האשפוז הגריאטרי ל-1,000 איש בני 75 ומעלה בשנים אלה (מכ-65 מיטות לכ-55). ב</w:t>
      </w:r>
      <w:r w:rsidRPr="00590C3B">
        <w:rPr>
          <w:rFonts w:ascii="Tahoma" w:eastAsia="Calibri" w:hAnsi="Tahoma" w:cs="Tahoma" w:hint="cs"/>
          <w:sz w:val="19"/>
          <w:szCs w:val="19"/>
          <w:rtl/>
        </w:rPr>
        <w:t>שיעור</w:t>
      </w:r>
      <w:r w:rsidRPr="00590C3B">
        <w:rPr>
          <w:rFonts w:ascii="Tahoma" w:eastAsia="Calibri" w:hAnsi="Tahoma" w:cs="Tahoma"/>
          <w:sz w:val="19"/>
          <w:szCs w:val="19"/>
          <w:rtl/>
        </w:rPr>
        <w:t xml:space="preserve"> מיטות האשפוז הכללי ל-1,000 איש בני 65 - 74 חלה ירידה קלה של כ-5% בשנים אלה, וב</w:t>
      </w:r>
      <w:r w:rsidRPr="00590C3B">
        <w:rPr>
          <w:rFonts w:ascii="Tahoma" w:eastAsia="Calibri" w:hAnsi="Tahoma" w:cs="Tahoma" w:hint="cs"/>
          <w:sz w:val="19"/>
          <w:szCs w:val="19"/>
          <w:rtl/>
        </w:rPr>
        <w:t>שיעור</w:t>
      </w:r>
      <w:r w:rsidRPr="00590C3B">
        <w:rPr>
          <w:rFonts w:ascii="Tahoma" w:eastAsia="Calibri" w:hAnsi="Tahoma" w:cs="Tahoma"/>
          <w:sz w:val="19"/>
          <w:szCs w:val="19"/>
          <w:rtl/>
        </w:rPr>
        <w:t xml:space="preserve"> מיטות האשפוז הגריאטרי בגילים אלה לא חל שינוי. אומדן ל</w:t>
      </w:r>
      <w:r w:rsidRPr="00590C3B">
        <w:rPr>
          <w:rFonts w:ascii="Tahoma" w:eastAsia="Calibri" w:hAnsi="Tahoma" w:cs="Tahoma" w:hint="cs"/>
          <w:sz w:val="19"/>
          <w:szCs w:val="19"/>
          <w:rtl/>
        </w:rPr>
        <w:t xml:space="preserve">שנת </w:t>
      </w:r>
      <w:r w:rsidRPr="00590C3B">
        <w:rPr>
          <w:rFonts w:ascii="Tahoma" w:eastAsia="Calibri" w:hAnsi="Tahoma" w:cs="Tahoma"/>
          <w:sz w:val="19"/>
          <w:szCs w:val="19"/>
          <w:rtl/>
        </w:rPr>
        <w:t>2030 ול</w:t>
      </w:r>
      <w:r w:rsidRPr="00590C3B">
        <w:rPr>
          <w:rFonts w:ascii="Tahoma" w:eastAsia="Calibri" w:hAnsi="Tahoma" w:cs="Tahoma" w:hint="cs"/>
          <w:sz w:val="19"/>
          <w:szCs w:val="19"/>
          <w:rtl/>
        </w:rPr>
        <w:t xml:space="preserve">שנת </w:t>
      </w:r>
      <w:r w:rsidRPr="00590C3B">
        <w:rPr>
          <w:rFonts w:ascii="Tahoma" w:eastAsia="Calibri" w:hAnsi="Tahoma" w:cs="Tahoma"/>
          <w:sz w:val="19"/>
          <w:szCs w:val="19"/>
          <w:rtl/>
        </w:rPr>
        <w:t xml:space="preserve">2040 מעלה כי בקצב הגידול הנוכחי במספר מיטות האשפוז, יוסיף לרדת </w:t>
      </w:r>
      <w:r w:rsidRPr="00590C3B">
        <w:rPr>
          <w:rFonts w:ascii="Tahoma" w:eastAsia="Calibri" w:hAnsi="Tahoma" w:cs="Tahoma" w:hint="cs"/>
          <w:sz w:val="19"/>
          <w:szCs w:val="19"/>
          <w:rtl/>
        </w:rPr>
        <w:t>שיעורן</w:t>
      </w:r>
      <w:r w:rsidRPr="00590C3B">
        <w:rPr>
          <w:rFonts w:ascii="Tahoma" w:eastAsia="Calibri" w:hAnsi="Tahoma" w:cs="Tahoma"/>
          <w:sz w:val="19"/>
          <w:szCs w:val="19"/>
          <w:rtl/>
        </w:rPr>
        <w:t xml:space="preserve"> </w:t>
      </w:r>
      <w:r w:rsidRPr="00590C3B">
        <w:rPr>
          <w:rFonts w:ascii="Tahoma" w:eastAsia="Calibri" w:hAnsi="Tahoma" w:cs="Tahoma" w:hint="cs"/>
          <w:sz w:val="19"/>
          <w:szCs w:val="19"/>
          <w:rtl/>
        </w:rPr>
        <w:t xml:space="preserve">ל-1,000 איש </w:t>
      </w:r>
      <w:r w:rsidRPr="00590C3B">
        <w:rPr>
          <w:rFonts w:ascii="Tahoma" w:eastAsia="Calibri" w:hAnsi="Tahoma" w:cs="Tahoma"/>
          <w:sz w:val="19"/>
          <w:szCs w:val="19"/>
          <w:rtl/>
        </w:rPr>
        <w:t>ב</w:t>
      </w:r>
      <w:r w:rsidRPr="00590C3B">
        <w:rPr>
          <w:rFonts w:ascii="Tahoma" w:eastAsia="Calibri" w:hAnsi="Tahoma" w:cs="Tahoma" w:hint="cs"/>
          <w:sz w:val="19"/>
          <w:szCs w:val="19"/>
          <w:rtl/>
        </w:rPr>
        <w:t xml:space="preserve">שנת </w:t>
      </w:r>
      <w:r w:rsidRPr="00590C3B">
        <w:rPr>
          <w:rFonts w:ascii="Tahoma" w:eastAsia="Calibri" w:hAnsi="Tahoma" w:cs="Tahoma"/>
          <w:sz w:val="19"/>
          <w:szCs w:val="19"/>
          <w:rtl/>
        </w:rPr>
        <w:t>2030 וב</w:t>
      </w:r>
      <w:r w:rsidRPr="00590C3B">
        <w:rPr>
          <w:rFonts w:ascii="Tahoma" w:eastAsia="Calibri" w:hAnsi="Tahoma" w:cs="Tahoma" w:hint="cs"/>
          <w:sz w:val="19"/>
          <w:szCs w:val="19"/>
          <w:rtl/>
        </w:rPr>
        <w:t xml:space="preserve">שנת </w:t>
      </w:r>
      <w:r w:rsidRPr="00590C3B">
        <w:rPr>
          <w:rFonts w:ascii="Tahoma" w:eastAsia="Calibri" w:hAnsi="Tahoma" w:cs="Tahoma"/>
          <w:sz w:val="19"/>
          <w:szCs w:val="19"/>
          <w:rtl/>
        </w:rPr>
        <w:t>2040 (לדוגמה, ל-41 מיטות אשפוז גריאטרי ל-1,000 איש בני 75 ומעלה ב</w:t>
      </w:r>
      <w:r w:rsidRPr="00590C3B">
        <w:rPr>
          <w:rFonts w:ascii="Tahoma" w:eastAsia="Calibri" w:hAnsi="Tahoma" w:cs="Tahoma" w:hint="cs"/>
          <w:sz w:val="19"/>
          <w:szCs w:val="19"/>
          <w:rtl/>
        </w:rPr>
        <w:t xml:space="preserve">שנת </w:t>
      </w:r>
      <w:r w:rsidRPr="00590C3B">
        <w:rPr>
          <w:rFonts w:ascii="Tahoma" w:eastAsia="Calibri" w:hAnsi="Tahoma" w:cs="Tahoma"/>
          <w:sz w:val="19"/>
          <w:szCs w:val="19"/>
          <w:rtl/>
        </w:rPr>
        <w:t>2030 ול-36 מיטות ב</w:t>
      </w:r>
      <w:r w:rsidRPr="00590C3B">
        <w:rPr>
          <w:rFonts w:ascii="Tahoma" w:eastAsia="Calibri" w:hAnsi="Tahoma" w:cs="Tahoma" w:hint="cs"/>
          <w:sz w:val="19"/>
          <w:szCs w:val="19"/>
          <w:rtl/>
        </w:rPr>
        <w:t xml:space="preserve">שנת </w:t>
      </w:r>
      <w:r w:rsidRPr="00590C3B">
        <w:rPr>
          <w:rFonts w:ascii="Tahoma" w:eastAsia="Calibri" w:hAnsi="Tahoma" w:cs="Tahoma"/>
          <w:sz w:val="19"/>
          <w:szCs w:val="19"/>
          <w:rtl/>
        </w:rPr>
        <w:t>2040). עולה כי למרות מאמצי משרד הבריאות להעלות את מספר מיטות האשפוז, שיעורן ל-1,000 זקנים הולך ויורד ואף צפוי לרדת עוד בעתיד.</w:t>
      </w:r>
      <w:r w:rsidRPr="00590C3B">
        <w:rPr>
          <w:rFonts w:ascii="Tahoma" w:eastAsia="Calibri" w:hAnsi="Tahoma" w:cs="Tahoma" w:hint="cs"/>
          <w:sz w:val="19"/>
          <w:szCs w:val="19"/>
          <w:rtl/>
        </w:rPr>
        <w:t xml:space="preserve"> </w:t>
      </w:r>
    </w:p>
    <w:p w:rsidR="00590C3B" w:rsidRPr="00590C3B" w:rsidP="00590C3B">
      <w:pPr>
        <w:spacing w:before="240" w:after="160" w:line="288" w:lineRule="auto"/>
        <w:ind w:left="-283" w:right="-567" w:hanging="454"/>
        <w:rPr>
          <w:rFonts w:ascii="Tahoma" w:eastAsia="Calibri" w:hAnsi="Tahoma" w:cs="Tahoma"/>
          <w:sz w:val="19"/>
          <w:szCs w:val="19"/>
          <w:rtl/>
        </w:rPr>
      </w:pPr>
      <w:r w:rsidRPr="00590C3B">
        <w:rPr>
          <w:rFonts w:ascii="Tahoma" w:eastAsia="Calibri" w:hAnsi="Tahoma" w:cs="Tahoma" w:hint="cs"/>
          <w:noProof/>
          <w:sz w:val="19"/>
          <w:szCs w:val="19"/>
          <w:rtl/>
        </w:rPr>
        <w:drawing>
          <wp:inline distT="0" distB="0" distL="0" distR="0">
            <wp:extent cx="2710450" cy="207831"/>
            <wp:effectExtent l="0" t="0" r="0" b="190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k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590C3B" w:rsidP="005F2EAB">
      <w:pPr>
        <w:spacing w:after="240" w:line="288" w:lineRule="auto"/>
        <w:ind w:left="-150" w:right="-567"/>
        <w:rPr>
          <w:rFonts w:eastAsia="Calibri"/>
          <w:rtl/>
        </w:rPr>
      </w:pPr>
      <w:r w:rsidRPr="00590C3B">
        <w:rPr>
          <w:rFonts w:ascii="Tahoma" w:eastAsia="Calibri" w:hAnsi="Tahoma" w:cs="Tahoma" w:hint="cs"/>
          <w:b/>
          <w:bCs/>
          <w:sz w:val="19"/>
          <w:szCs w:val="19"/>
          <w:rtl/>
        </w:rPr>
        <w:t xml:space="preserve">מדידת </w:t>
      </w:r>
      <w:r w:rsidR="00C765E0">
        <w:rPr>
          <w:rFonts w:ascii="Tahoma" w:eastAsia="Calibri" w:hAnsi="Tahoma" w:cs="Tahoma" w:hint="cs"/>
          <w:b/>
          <w:bCs/>
          <w:sz w:val="19"/>
          <w:szCs w:val="19"/>
          <w:rtl/>
        </w:rPr>
        <w:t>ה</w:t>
      </w:r>
      <w:r w:rsidRPr="00590C3B">
        <w:rPr>
          <w:rFonts w:ascii="Tahoma" w:eastAsia="Calibri" w:hAnsi="Tahoma" w:cs="Tahoma" w:hint="cs"/>
          <w:b/>
          <w:bCs/>
          <w:sz w:val="19"/>
          <w:szCs w:val="19"/>
          <w:rtl/>
        </w:rPr>
        <w:t>שבריריות</w:t>
      </w:r>
      <w:r w:rsidRPr="00590C3B">
        <w:rPr>
          <w:rFonts w:ascii="Tahoma" w:eastAsia="Calibri" w:hAnsi="Tahoma" w:cs="Tahoma" w:hint="cs"/>
          <w:sz w:val="19"/>
          <w:szCs w:val="19"/>
          <w:rtl/>
        </w:rPr>
        <w:t xml:space="preserve"> - </w:t>
      </w:r>
      <w:r w:rsidRPr="00590C3B">
        <w:rPr>
          <w:rFonts w:ascii="Tahoma" w:eastAsia="Calibri" w:hAnsi="Tahoma" w:cs="Tahoma"/>
          <w:sz w:val="19"/>
          <w:szCs w:val="19"/>
          <w:rtl/>
        </w:rPr>
        <w:t xml:space="preserve">משרד מבקר המדינה מציין לחיוב את קופות החולים מכבי ומאוחדת </w:t>
      </w:r>
      <w:r w:rsidR="00810C92">
        <w:rPr>
          <w:rFonts w:ascii="Tahoma" w:eastAsia="Calibri" w:hAnsi="Tahoma" w:cs="Tahoma" w:hint="cs"/>
          <w:sz w:val="19"/>
          <w:szCs w:val="19"/>
          <w:rtl/>
        </w:rPr>
        <w:t xml:space="preserve">על </w:t>
      </w:r>
      <w:r w:rsidRPr="00590C3B">
        <w:rPr>
          <w:rFonts w:ascii="Tahoma" w:eastAsia="Calibri" w:hAnsi="Tahoma" w:cs="Tahoma"/>
          <w:sz w:val="19"/>
          <w:szCs w:val="19"/>
          <w:rtl/>
        </w:rPr>
        <w:t>שפיתחו מדדי שבריריות להערכת מצב הבריאות של חברי הקופות הזקנים.</w:t>
      </w:r>
    </w:p>
    <w:tbl>
      <w:tblPr>
        <w:tblStyle w:val="TableGrid"/>
        <w:tblpPr w:leftFromText="180" w:rightFromText="180" w:vertAnchor="text" w:tblpXSpec="center" w:tblpY="1"/>
        <w:tblOverlap w:val="never"/>
        <w:bidiVisual/>
        <w:tblW w:w="9783" w:type="dxa"/>
        <w:tblLayout w:type="fixed"/>
        <w:tblLook w:val="04A0"/>
      </w:tblPr>
      <w:tblGrid>
        <w:gridCol w:w="9783"/>
      </w:tblGrid>
      <w:tr w:rsidTr="003358C0">
        <w:tblPrEx>
          <w:tblW w:w="9783" w:type="dxa"/>
          <w:tblLayout w:type="fixed"/>
          <w:tblLook w:val="04A0"/>
        </w:tblPrEx>
        <w:trPr>
          <w:trHeight w:val="851"/>
        </w:trPr>
        <w:tc>
          <w:tcPr>
            <w:tcW w:w="9783" w:type="dxa"/>
            <w:tcBorders>
              <w:top w:val="nil"/>
              <w:left w:val="nil"/>
              <w:bottom w:val="nil"/>
              <w:right w:val="nil"/>
            </w:tcBorders>
          </w:tcPr>
          <w:p w:rsidR="00590C3B" w:rsidRPr="00590C3B" w:rsidP="00590C3B">
            <w:pPr>
              <w:spacing w:line="288" w:lineRule="auto"/>
              <w:rPr>
                <w:rFonts w:ascii="Tahoma" w:eastAsia="Calibri" w:hAnsi="Tahoma" w:cs="Tahoma"/>
                <w:rtl/>
              </w:rPr>
            </w:pPr>
            <w:r w:rsidRPr="00590C3B">
              <w:rPr>
                <w:rFonts w:ascii="Tahoma" w:eastAsia="Calibri" w:hAnsi="Tahoma" w:cs="Tahoma"/>
                <w:noProof/>
                <w:rtl/>
              </w:rPr>
              <w:drawing>
                <wp:inline distT="0" distB="0" distL="0" distR="0">
                  <wp:extent cx="6091555" cy="439381"/>
                  <wp:effectExtent l="0" t="0" r="0" b="0"/>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תקציר תמונה 3.4.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3358C0">
        <w:tblPrEx>
          <w:tblW w:w="9783" w:type="dxa"/>
          <w:tblLayout w:type="fixed"/>
          <w:tblLook w:val="04A0"/>
        </w:tblPrEx>
        <w:trPr>
          <w:trHeight w:val="2156"/>
        </w:trPr>
        <w:tc>
          <w:tcPr>
            <w:tcW w:w="9783" w:type="dxa"/>
            <w:tcBorders>
              <w:top w:val="nil"/>
              <w:left w:val="nil"/>
              <w:bottom w:val="nil"/>
              <w:right w:val="nil"/>
            </w:tcBorders>
            <w:shd w:val="clear" w:color="auto" w:fill="F1F5F9"/>
          </w:tcPr>
          <w:p w:rsidR="00590C3B" w:rsidRPr="00590C3B" w:rsidP="00590C3B">
            <w:pPr>
              <w:spacing w:line="288" w:lineRule="auto"/>
              <w:ind w:left="598" w:right="173" w:hanging="598"/>
              <w:contextualSpacing/>
              <w:rPr>
                <w:rFonts w:ascii="Tahoma" w:eastAsia="Calibri" w:hAnsi="Tahoma" w:cs="Tahoma"/>
                <w:sz w:val="13"/>
                <w:szCs w:val="13"/>
              </w:rPr>
            </w:pPr>
          </w:p>
          <w:p w:rsidR="00590C3B" w:rsidRPr="00590C3B" w:rsidP="005F2EAB">
            <w:pPr>
              <w:numPr>
                <w:ilvl w:val="0"/>
                <w:numId w:val="15"/>
              </w:numPr>
              <w:spacing w:before="60" w:after="200" w:line="288" w:lineRule="auto"/>
              <w:ind w:left="516" w:right="176" w:hanging="516"/>
              <w:rPr>
                <w:rFonts w:ascii="Tahoma" w:eastAsia="Calibri" w:hAnsi="Tahoma" w:cs="Tahoma"/>
                <w:sz w:val="19"/>
                <w:szCs w:val="19"/>
              </w:rPr>
            </w:pPr>
            <w:r w:rsidRPr="00590C3B">
              <w:rPr>
                <w:rFonts w:ascii="Tahoma" w:eastAsia="Calibri" w:hAnsi="Tahoma" w:cs="Tahoma"/>
                <w:sz w:val="19"/>
                <w:szCs w:val="19"/>
                <w:rtl/>
              </w:rPr>
              <w:t>מומלץ כי משרד הבריאות יגבש יחד עם קופות החולים מדיניות של רפואה מונעת בקרב זקנים, שתכליתה שימור בריאותם והארכת שנות החיים הבריאים. במסגרת מדיניות זו מומלץ שהמשרד ידגיש את החשיבות של ביצוע פעולות מונעות בקרב כלל הזקנים, לרבות בקרב אלו שמצבם הבריאותי טוב ואצלם המטרה תהיה לשומרו ככזה, וכי יקבע יעדים לביצוע פעולות מניעה בקרב אוכלוסייה זו. מומלץ גם כי משרד הבריאות יגבש תוכנית עבודה רב-שנתית להיערכות מערכת הבריאות להזדקנות האוכלוסייה, יקבע סדרי עדיפויות למימוש התוכנית, יגדיר יעדים ברורים ומדידים, כדוגמת יעדים לטווח הבינוני והארוך להארכת תוחלת החיים הבריאים בקרב זקנים, יגבש תוכנית לצמצום תוחלת החיים הלא-בריאים במקביל להארכת תוחלת החיים הבריאים ויפתח כלי מדידה למעקב עקבי ושיטתי אחר השגתם. מומלץ עוד כי במסגרת גיבוש תוכנית העבודה הרב-שנתית להיערכות מערכת הבריאות להזדקנות האוכלוסייה ישתף משרד הבריאות את קופות החולים, כך שהתוכנית תהיה מותאמת לצרכים של חברי הקופות הזקנים. מומלץ גם כי משרד הבריאות יבחן בשיתוף עם הר"י, עם המועצה הלאומית לגריאטריה, עם האיגוד הישראלי לרפואה גריאטרית ועם קופות החולים את מכלול החסמים להעלאת מספר המתמחים והרופאים בתחום הגריאטריה ויגבש תוכנית פעולה להסרת הפערים במומחים לגריאטריה ולהשלמתם.</w:t>
            </w:r>
          </w:p>
          <w:p w:rsidR="00590C3B" w:rsidRPr="00590C3B" w:rsidP="005F2EAB">
            <w:pPr>
              <w:numPr>
                <w:ilvl w:val="0"/>
                <w:numId w:val="15"/>
              </w:numPr>
              <w:spacing w:before="60" w:after="200" w:line="288" w:lineRule="auto"/>
              <w:ind w:left="516" w:right="176" w:hanging="516"/>
              <w:rPr>
                <w:rFonts w:ascii="Tahoma" w:eastAsia="Calibri" w:hAnsi="Tahoma" w:cs="Tahoma"/>
                <w:sz w:val="19"/>
                <w:szCs w:val="19"/>
              </w:rPr>
            </w:pPr>
            <w:r w:rsidRPr="00590C3B">
              <w:rPr>
                <w:rFonts w:ascii="Tahoma" w:eastAsia="Calibri" w:hAnsi="Tahoma" w:cs="Tahoma"/>
                <w:sz w:val="19"/>
                <w:szCs w:val="19"/>
                <w:rtl/>
              </w:rPr>
              <w:t>מומלץ כי משרד הבריאות יגבש יחד עם קופות החולים מדד איכות להערכת מצבה הבריאותי של אוכלוסיית הזקנים - בין שמדד שבריריות כהמלצת חלק מהקופות ובין שמדד תפקוד כפי שהחל לקדם משרד הבריאות - שיהיה אחיד בכל הקשור למרכיבי המדד, טווח הציונים והסף לכל קטגוריה. לקופות החולים מומלץ לערוך מדידות עיתיות של המדד עבור חבריהן ולשמור לאורך זמן את המדידות שהן עורכות. זאת כדי לאפשר מעקב אחרי שינויים במדד בקרב אוכלוסיית חברי הקופה ואחר השפעותיהן של התערבויות ותוכניות שמפעילה הקופה. עוד מומלץ כי משרד הבריאות יאסוף את נתוני המדד מהקופות, כדי שיוכל להתוות מדיניות ותוכניות המותאמות למצבה של אוכלוסיית הזקנים ולהעריך את השפעתן. במטרה להגדיל את שיעור הביצוע של פעולות המניעה וקידום הבריאות מומלץ כי משרד הבריאות יגדיר מערך מלא של מדדי איכות הרלוונטיים להיערכות להזדקנות האוכלוסייה וינחה את קופות החולים לתעד אותם בשדות ממוחשבים ולדווח באופן עיתי על רמת הביצוע שלהם. יודגש כי אומנם פעולה כזו תגרור עלות כספית מסוימת, בין היתר עקב הגדלת היקף הביצוע של פעולות המניעה, אך היא עשויה לקדם את בריאות הזקנים ובכך לצמצם את העלויות הצפויות למערכת הבריאות לטווח הארוך.</w:t>
            </w:r>
          </w:p>
          <w:p w:rsidR="00590C3B" w:rsidRPr="00590C3B" w:rsidP="005F2EAB">
            <w:pPr>
              <w:numPr>
                <w:ilvl w:val="0"/>
                <w:numId w:val="15"/>
              </w:numPr>
              <w:spacing w:before="60" w:after="180" w:line="288" w:lineRule="auto"/>
              <w:ind w:left="516" w:right="176" w:hanging="516"/>
              <w:rPr>
                <w:rFonts w:ascii="Tahoma" w:eastAsia="Calibri" w:hAnsi="Tahoma" w:cs="Tahoma"/>
                <w:sz w:val="19"/>
                <w:szCs w:val="19"/>
              </w:rPr>
            </w:pPr>
            <w:r w:rsidRPr="00590C3B">
              <w:rPr>
                <w:rFonts w:ascii="Tahoma" w:eastAsia="Calibri" w:hAnsi="Tahoma" w:cs="Tahoma"/>
                <w:sz w:val="19"/>
                <w:szCs w:val="19"/>
                <w:rtl/>
              </w:rPr>
              <w:t xml:space="preserve">מומלץ כי משרד הבריאות </w:t>
            </w:r>
            <w:r w:rsidRPr="00590C3B">
              <w:rPr>
                <w:rFonts w:ascii="Tahoma" w:eastAsia="Calibri" w:hAnsi="Tahoma" w:cs="Tahoma"/>
                <w:sz w:val="19"/>
                <w:szCs w:val="19"/>
                <w:rtl/>
              </w:rPr>
              <w:t>והר"י</w:t>
            </w:r>
            <w:r w:rsidRPr="00590C3B">
              <w:rPr>
                <w:rFonts w:ascii="Tahoma" w:eastAsia="Calibri" w:hAnsi="Tahoma" w:cs="Tahoma"/>
                <w:sz w:val="19"/>
                <w:szCs w:val="19"/>
                <w:rtl/>
              </w:rPr>
              <w:t>, בהתייעצות עם המועצה הלאומית לגריאטריה, האיגוד הישראלי לרפואה גריאטרית וקופות החולים, יעניקו חשיבות להכשרת המתמחים ברפואת המשפחה גם ברפואה גריאטרית, נוסף על חובת ההתמחות בגריאטריה בקהילה של חמישה ימים. מומלץ גם כי יפתחו עבור רופאי משפחה הכשרות המשך, העוסקות בהיבטים שונים של רפואה גריאטרית ומעניקות מיומנויות וגישות מתאימות לטיפול בזקנים; ומומלץ כי ישקלו לחייב את רופאי המשפחה לעבור הכשרות אלו.</w:t>
            </w:r>
          </w:p>
          <w:p w:rsidR="00590C3B" w:rsidRPr="00590C3B" w:rsidP="00590C3B">
            <w:pPr>
              <w:numPr>
                <w:ilvl w:val="0"/>
                <w:numId w:val="15"/>
              </w:numPr>
              <w:spacing w:after="240" w:line="288" w:lineRule="auto"/>
              <w:ind w:left="515" w:right="173" w:hanging="515"/>
              <w:rPr>
                <w:rFonts w:ascii="Tahoma" w:eastAsia="Calibri" w:hAnsi="Tahoma" w:cs="Tahoma"/>
                <w:sz w:val="19"/>
                <w:szCs w:val="19"/>
                <w:rtl/>
              </w:rPr>
            </w:pPr>
            <w:r w:rsidRPr="00590C3B">
              <w:rPr>
                <w:rFonts w:ascii="Tahoma" w:eastAsia="Calibri" w:hAnsi="Tahoma" w:cs="Tahoma"/>
                <w:sz w:val="19"/>
                <w:szCs w:val="19"/>
                <w:rtl/>
              </w:rPr>
              <w:t>נוכח הפער בין קצב הגידול בצורכי האוכלוסייה המזדקנת לבין קצב הרחבת התשתיות - בכוח אדם מקצועי ובמספר מיטות האשפוז - בהיקפים הנדרשים כדי לתת מענה מיטבי, מומלץ כי במקביל למאמצים בתחומים אלה, כחלק מהאסטרטגיה להיערכות מערכת הבריאות להזדקנות האוכלוסייה, יקבע משרד הבריאות מהלך של הגברת טיפולים שעיקרם מניעת מחלות ושימור בריאות בקרב זקנים עוד בטרם חלה הידרדרות במצבם הבריאותי, כאמצעי משמעותי לצמצום השבריריות שלהם ולהארכת תוחלת החיים הבריאים. כאמור, מומלץ לעשות כן באמצעות קביעת יעדים ומדדים לקופות החולים בתחום טיפולי המניעה, הכשרת רופאי משפחה בתחום הגריאטריה וקביעת מדד לאומי לשבריריות בקופות החולים.</w:t>
            </w:r>
          </w:p>
        </w:tc>
      </w:tr>
    </w:tbl>
    <w:p w:rsidR="00810C92" w:rsidP="005F2EAB">
      <w:pPr>
        <w:spacing w:before="200" w:line="288" w:lineRule="auto"/>
        <w:ind w:left="-852"/>
        <w:rPr>
          <w:rFonts w:ascii="Tahoma" w:eastAsia="Calibri" w:hAnsi="Tahoma" w:cs="Tahoma"/>
          <w:b/>
          <w:bCs/>
          <w:noProof/>
          <w:color w:val="FFFFFF"/>
          <w:sz w:val="22"/>
          <w:szCs w:val="22"/>
          <w:rtl/>
        </w:rPr>
      </w:pPr>
    </w:p>
    <w:p w:rsidR="00810C92" w:rsidP="005F2EAB">
      <w:pPr>
        <w:spacing w:before="200" w:line="288" w:lineRule="auto"/>
        <w:ind w:left="-852"/>
        <w:rPr>
          <w:rFonts w:ascii="Tahoma" w:eastAsia="Calibri" w:hAnsi="Tahoma" w:cs="Tahoma"/>
          <w:b/>
          <w:bCs/>
          <w:noProof/>
          <w:color w:val="FFFFFF"/>
          <w:sz w:val="22"/>
          <w:szCs w:val="22"/>
          <w:rtl/>
        </w:rPr>
      </w:pPr>
    </w:p>
    <w:p w:rsidR="002E1839" w:rsidP="005F2EAB">
      <w:pPr>
        <w:spacing w:before="200" w:line="288" w:lineRule="auto"/>
        <w:ind w:left="-852"/>
        <w:rPr>
          <w:rFonts w:ascii="Tahoma" w:eastAsia="Calibri" w:hAnsi="Tahoma" w:cs="Tahoma"/>
          <w:b/>
          <w:bCs/>
          <w:noProof/>
          <w:color w:val="FFFFFF"/>
          <w:sz w:val="22"/>
          <w:szCs w:val="22"/>
          <w:rtl/>
        </w:rPr>
      </w:pPr>
      <w:r w:rsidRPr="00590C3B">
        <w:rPr>
          <w:rFonts w:ascii="Tahoma" w:eastAsia="Calibri" w:hAnsi="Tahoma" w:cs="Tahoma"/>
          <w:b/>
          <w:bCs/>
          <w:noProof/>
          <w:color w:val="FFFFFF"/>
          <w:sz w:val="22"/>
          <w:szCs w:val="22"/>
          <w:rtl/>
        </w:rPr>
        <w:drawing>
          <wp:anchor distT="0" distB="0" distL="114300" distR="114300" simplePos="0" relativeHeight="251661312" behindDoc="1" locked="0" layoutInCell="1" allowOverlap="1">
            <wp:simplePos x="0" y="0"/>
            <wp:positionH relativeFrom="column">
              <wp:posOffset>-249555</wp:posOffset>
            </wp:positionH>
            <wp:positionV relativeFrom="paragraph">
              <wp:posOffset>222885</wp:posOffset>
            </wp:positionV>
            <wp:extent cx="6296660" cy="850900"/>
            <wp:effectExtent l="0" t="0" r="8890" b="6350"/>
            <wp:wrapNone/>
            <wp:docPr id="11" name="תמונה 11"/>
            <wp:cNvGraphicFramePr/>
            <a:graphic xmlns:a="http://schemas.openxmlformats.org/drawingml/2006/main">
              <a:graphicData uri="http://schemas.openxmlformats.org/drawingml/2006/picture">
                <pic:pic xmlns:pic="http://schemas.openxmlformats.org/drawingml/2006/picture">
                  <pic:nvPicPr>
                    <pic:cNvPr id="11" name="תקציר-0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96660" cy="850900"/>
                    </a:xfrm>
                    <a:prstGeom prst="rect">
                      <a:avLst/>
                    </a:prstGeom>
                  </pic:spPr>
                </pic:pic>
              </a:graphicData>
            </a:graphic>
            <wp14:sizeRelH relativeFrom="page">
              <wp14:pctWidth>0</wp14:pctWidth>
            </wp14:sizeRelH>
            <wp14:sizeRelV relativeFrom="page">
              <wp14:pctHeight>0</wp14:pctHeight>
            </wp14:sizeRelV>
          </wp:anchor>
        </w:drawing>
      </w:r>
    </w:p>
    <w:p w:rsidR="00590C3B" w:rsidRPr="00590C3B" w:rsidP="005F2EAB">
      <w:pPr>
        <w:spacing w:before="200" w:line="288" w:lineRule="auto"/>
        <w:ind w:left="-852"/>
        <w:rPr>
          <w:rFonts w:ascii="Tahoma" w:eastAsia="Calibri" w:hAnsi="Tahoma" w:cs="Tahoma"/>
          <w:sz w:val="19"/>
          <w:szCs w:val="19"/>
          <w:rtl/>
        </w:rPr>
      </w:pPr>
      <w:r w:rsidRPr="00590C3B">
        <w:rPr>
          <w:rFonts w:ascii="Tahoma" w:eastAsia="Calibri" w:hAnsi="Tahoma" w:cs="Tahoma"/>
          <w:b/>
          <w:bCs/>
          <w:noProof/>
          <w:color w:val="FFFFFF"/>
          <w:sz w:val="22"/>
          <w:szCs w:val="22"/>
          <w:rtl/>
        </w:rPr>
        <w:t xml:space="preserve">דוגמאות לאומדנים של שיעור </w:t>
      </w:r>
      <w:r w:rsidR="00E40C6F">
        <w:rPr>
          <w:rFonts w:ascii="Tahoma" w:eastAsia="Calibri" w:hAnsi="Tahoma" w:cs="Tahoma" w:hint="cs"/>
          <w:b/>
          <w:bCs/>
          <w:noProof/>
          <w:color w:val="FFFFFF"/>
          <w:sz w:val="22"/>
          <w:szCs w:val="22"/>
          <w:rtl/>
        </w:rPr>
        <w:t>ה</w:t>
      </w:r>
      <w:r w:rsidRPr="00590C3B">
        <w:rPr>
          <w:rFonts w:ascii="Tahoma" w:eastAsia="Calibri" w:hAnsi="Tahoma" w:cs="Tahoma"/>
          <w:b/>
          <w:bCs/>
          <w:noProof/>
          <w:color w:val="FFFFFF"/>
          <w:sz w:val="22"/>
          <w:szCs w:val="22"/>
          <w:rtl/>
        </w:rPr>
        <w:t>הוצאה ל</w:t>
      </w:r>
      <w:r w:rsidRPr="00590C3B">
        <w:rPr>
          <w:rFonts w:ascii="Tahoma" w:eastAsia="Calibri" w:hAnsi="Tahoma" w:cs="Tahoma" w:hint="cs"/>
          <w:b/>
          <w:bCs/>
          <w:noProof/>
          <w:color w:val="FFFFFF"/>
          <w:sz w:val="22"/>
          <w:szCs w:val="22"/>
          <w:rtl/>
        </w:rPr>
        <w:t>זקנים</w:t>
      </w:r>
      <w:r w:rsidRPr="00590C3B">
        <w:rPr>
          <w:rFonts w:ascii="Tahoma" w:eastAsia="Calibri" w:hAnsi="Tahoma" w:cs="Tahoma"/>
          <w:b/>
          <w:bCs/>
          <w:noProof/>
          <w:color w:val="FFFFFF"/>
          <w:sz w:val="22"/>
          <w:szCs w:val="22"/>
          <w:rtl/>
        </w:rPr>
        <w:t xml:space="preserve"> מכלל ההוצאה </w:t>
      </w:r>
      <w:r w:rsidRPr="00590C3B">
        <w:rPr>
          <w:rFonts w:ascii="Tahoma" w:eastAsia="Calibri" w:hAnsi="Tahoma" w:cs="Tahoma" w:hint="cs"/>
          <w:b/>
          <w:bCs/>
          <w:noProof/>
          <w:color w:val="FFFFFF"/>
          <w:sz w:val="22"/>
          <w:szCs w:val="22"/>
          <w:rtl/>
        </w:rPr>
        <w:t xml:space="preserve">על </w:t>
      </w:r>
      <w:r w:rsidRPr="00590C3B">
        <w:rPr>
          <w:rFonts w:ascii="Tahoma" w:eastAsia="Calibri" w:hAnsi="Tahoma" w:cs="Tahoma"/>
          <w:b/>
          <w:bCs/>
          <w:noProof/>
          <w:color w:val="FFFFFF"/>
          <w:sz w:val="22"/>
          <w:szCs w:val="22"/>
          <w:rtl/>
        </w:rPr>
        <w:t xml:space="preserve">בריאות בישראל, 2018 - 2050, באחוזים </w:t>
      </w:r>
    </w:p>
    <w:p w:rsidR="00DE088D" w:rsidP="002E1839">
      <w:pPr>
        <w:spacing w:before="200" w:line="288" w:lineRule="auto"/>
        <w:ind w:left="-711"/>
        <w:jc w:val="center"/>
        <w:rPr>
          <w:rFonts w:ascii="Tahoma" w:eastAsia="Calibri" w:hAnsi="Tahoma" w:cs="Tahoma"/>
          <w:sz w:val="19"/>
          <w:szCs w:val="19"/>
          <w:rtl/>
        </w:rPr>
      </w:pPr>
    </w:p>
    <w:p w:rsidR="00DE088D" w:rsidP="002E1839">
      <w:pPr>
        <w:spacing w:before="200" w:line="288" w:lineRule="auto"/>
        <w:ind w:left="-711"/>
        <w:jc w:val="center"/>
        <w:rPr>
          <w:rFonts w:ascii="Tahoma" w:eastAsia="Calibri" w:hAnsi="Tahoma" w:cs="Tahoma"/>
          <w:sz w:val="19"/>
          <w:szCs w:val="19"/>
          <w:rtl/>
        </w:rPr>
      </w:pPr>
      <w:r>
        <w:rPr>
          <w:rFonts w:ascii="Tahoma" w:eastAsia="Calibri" w:hAnsi="Tahoma" w:cs="Tahoma"/>
          <w:noProof/>
          <w:sz w:val="19"/>
          <w:szCs w:val="19"/>
          <w:rtl/>
          <w:lang w:val="he-IL"/>
        </w:rPr>
        <w:drawing>
          <wp:inline distT="0" distB="0" distL="0" distR="0">
            <wp:extent cx="5151120" cy="3792220"/>
            <wp:effectExtent l="0" t="0" r="0" b="0"/>
            <wp:docPr id="12" name="תמונה 12" descr="אף ששיעורם הצפוי של הזקנים יעמוד ב-2030 על 14% וב-2050 על 15% , מן הדוגמאות המוצגות בתרשים עולה כי שיעורי הוצאות שירותי הבריאות שלהם יעמדו על 40% - 52% בשנת 2030 ועל 44% - 57% בשנת 2050 מתוך כלל הוצאות שירותי הבריאות, הוצאות אשר ילכו ויגדלו עם השנים. כתוצאה מכך, העלויות למערכת הבריאות צפויות לעלות בהתא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רשים בריאות.JPG"/>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r="1314"/>
                    <a:stretch>
                      <a:fillRect/>
                    </a:stretch>
                  </pic:blipFill>
                  <pic:spPr bwMode="auto">
                    <a:xfrm>
                      <a:off x="0" y="0"/>
                      <a:ext cx="5151120" cy="37922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90C3B" w:rsidRPr="00590C3B" w:rsidP="00C41BEC">
      <w:pPr>
        <w:spacing w:before="200" w:line="288" w:lineRule="auto"/>
        <w:ind w:left="-1136"/>
        <w:jc w:val="left"/>
        <w:rPr>
          <w:rFonts w:ascii="Tahoma" w:eastAsia="Calibri" w:hAnsi="Tahoma" w:cs="Tahoma"/>
          <w:sz w:val="16"/>
          <w:szCs w:val="16"/>
          <w:rtl/>
        </w:rPr>
      </w:pPr>
      <w:r w:rsidRPr="00590C3B">
        <w:rPr>
          <w:rFonts w:ascii="Tahoma" w:eastAsia="Calibri" w:hAnsi="Tahoma" w:cs="Tahoma"/>
          <w:sz w:val="16"/>
          <w:szCs w:val="16"/>
          <w:rtl/>
        </w:rPr>
        <w:t>על פי נתוני משרד הבריאות, בעיבוד משרד מבקר המדינה.</w:t>
      </w:r>
    </w:p>
    <w:p w:rsidR="00590C3B" w:rsidRPr="00590C3B" w:rsidP="00590C3B">
      <w:pPr>
        <w:spacing w:before="200" w:line="288" w:lineRule="auto"/>
        <w:ind w:left="-851"/>
        <w:rPr>
          <w:rFonts w:ascii="Tahoma" w:eastAsia="Calibri" w:hAnsi="Tahoma" w:cs="Tahoma"/>
          <w:sz w:val="16"/>
          <w:szCs w:val="16"/>
          <w:rtl/>
        </w:rPr>
      </w:pPr>
    </w:p>
    <w:p w:rsidR="00590C3B" w:rsidRPr="00590C3B" w:rsidP="00590C3B">
      <w:pPr>
        <w:spacing w:before="200" w:line="288" w:lineRule="auto"/>
        <w:ind w:left="-851"/>
        <w:rPr>
          <w:rFonts w:ascii="Tahoma" w:eastAsia="Calibri" w:hAnsi="Tahoma" w:cs="Tahoma"/>
          <w:sz w:val="16"/>
          <w:szCs w:val="16"/>
          <w:rtl/>
        </w:rPr>
      </w:pPr>
    </w:p>
    <w:p w:rsidR="00590C3B" w:rsidRPr="00590C3B" w:rsidP="00590C3B">
      <w:pPr>
        <w:bidi w:val="0"/>
        <w:spacing w:after="200" w:line="276" w:lineRule="auto"/>
        <w:rPr>
          <w:rFonts w:ascii="Tahoma" w:eastAsia="Calibri" w:hAnsi="Tahoma" w:cs="Tahoma"/>
          <w:b/>
          <w:bCs/>
          <w:noProof/>
          <w:color w:val="FFFFFF"/>
          <w:sz w:val="22"/>
          <w:szCs w:val="22"/>
          <w:rtl/>
        </w:rPr>
      </w:pPr>
      <w:r w:rsidRPr="00590C3B">
        <w:rPr>
          <w:rFonts w:ascii="Tahoma" w:eastAsia="Calibri" w:hAnsi="Tahoma" w:cs="Tahoma"/>
          <w:b/>
          <w:bCs/>
          <w:noProof/>
          <w:color w:val="FFFFFF"/>
          <w:sz w:val="22"/>
          <w:szCs w:val="22"/>
          <w:rtl/>
        </w:rPr>
        <w:br w:type="page"/>
      </w:r>
    </w:p>
    <w:p w:rsidR="00590C3B" w:rsidRPr="00590C3B" w:rsidP="00CA4A71">
      <w:pPr>
        <w:spacing w:before="200" w:line="288" w:lineRule="auto"/>
        <w:ind w:left="-852"/>
        <w:jc w:val="left"/>
        <w:rPr>
          <w:rFonts w:ascii="Tahoma" w:eastAsia="Calibri" w:hAnsi="Tahoma" w:cs="Tahoma"/>
          <w:b/>
          <w:bCs/>
          <w:noProof/>
          <w:color w:val="FFFFFF"/>
          <w:sz w:val="22"/>
          <w:szCs w:val="22"/>
          <w:rtl/>
        </w:rPr>
      </w:pPr>
      <w:r w:rsidRPr="00590C3B">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column">
              <wp:posOffset>923925</wp:posOffset>
            </wp:positionH>
            <wp:positionV relativeFrom="paragraph">
              <wp:posOffset>-120015</wp:posOffset>
            </wp:positionV>
            <wp:extent cx="5001260" cy="850900"/>
            <wp:effectExtent l="0" t="0" r="8890" b="6350"/>
            <wp:wrapNone/>
            <wp:docPr id="27" name="תמונה 27"/>
            <wp:cNvGraphicFramePr/>
            <a:graphic xmlns:a="http://schemas.openxmlformats.org/drawingml/2006/main">
              <a:graphicData uri="http://schemas.openxmlformats.org/drawingml/2006/picture">
                <pic:pic xmlns:pic="http://schemas.openxmlformats.org/drawingml/2006/picture">
                  <pic:nvPicPr>
                    <pic:cNvPr id="27" name="תקציר-03.png"/>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01260" cy="850900"/>
                    </a:xfrm>
                    <a:prstGeom prst="rect">
                      <a:avLst/>
                    </a:prstGeom>
                  </pic:spPr>
                </pic:pic>
              </a:graphicData>
            </a:graphic>
            <wp14:sizeRelH relativeFrom="page">
              <wp14:pctWidth>0</wp14:pctWidth>
            </wp14:sizeRelH>
            <wp14:sizeRelV relativeFrom="page">
              <wp14:pctHeight>0</wp14:pctHeight>
            </wp14:sizeRelV>
          </wp:anchor>
        </w:drawing>
      </w:r>
      <w:r w:rsidRPr="00590C3B">
        <w:rPr>
          <w:rFonts w:ascii="Tahoma" w:eastAsia="Calibri" w:hAnsi="Tahoma" w:cs="Tahoma" w:hint="cs"/>
          <w:b/>
          <w:bCs/>
          <w:noProof/>
          <w:color w:val="FFFFFF"/>
          <w:sz w:val="22"/>
          <w:szCs w:val="22"/>
          <w:rtl/>
        </w:rPr>
        <w:t xml:space="preserve">שיעור ביצוען של פעולות מניעה וקידום בריאות בקרב בני 65 ומעלה, </w:t>
      </w:r>
      <w:r w:rsidR="00C83304">
        <w:rPr>
          <w:rFonts w:ascii="Tahoma" w:eastAsia="Calibri" w:hAnsi="Tahoma" w:cs="Tahoma"/>
          <w:b/>
          <w:bCs/>
          <w:noProof/>
          <w:color w:val="FFFFFF"/>
          <w:sz w:val="22"/>
          <w:szCs w:val="22"/>
          <w:rtl/>
        </w:rPr>
        <w:br/>
      </w:r>
      <w:r w:rsidRPr="00590C3B">
        <w:rPr>
          <w:rFonts w:ascii="Tahoma" w:eastAsia="Calibri" w:hAnsi="Tahoma" w:cs="Tahoma" w:hint="cs"/>
          <w:b/>
          <w:bCs/>
          <w:noProof/>
          <w:color w:val="FFFFFF"/>
          <w:sz w:val="22"/>
          <w:szCs w:val="22"/>
          <w:rtl/>
        </w:rPr>
        <w:t>המתועדות בשדות הממוחשבים, 2024</w:t>
      </w:r>
    </w:p>
    <w:p w:rsidR="00590C3B" w:rsidRPr="00CA4A71" w:rsidP="00590C3B">
      <w:pPr>
        <w:spacing w:line="288" w:lineRule="auto"/>
        <w:ind w:left="-851"/>
        <w:rPr>
          <w:rFonts w:ascii="Tahoma" w:eastAsia="Calibri" w:hAnsi="Tahoma" w:cs="Tahoma"/>
          <w:sz w:val="13"/>
          <w:szCs w:val="13"/>
          <w:rtl/>
        </w:rPr>
      </w:pPr>
    </w:p>
    <w:p w:rsidR="00590C3B" w:rsidRPr="00590C3B" w:rsidP="00E40C6F">
      <w:pPr>
        <w:spacing w:line="288" w:lineRule="auto"/>
        <w:ind w:left="-1561"/>
        <w:jc w:val="center"/>
        <w:rPr>
          <w:rFonts w:ascii="Tahoma" w:eastAsia="Calibri" w:hAnsi="Tahoma" w:cs="Tahoma"/>
          <w:sz w:val="19"/>
          <w:szCs w:val="19"/>
          <w:rtl/>
        </w:rPr>
      </w:pPr>
      <w:bookmarkStart w:id="4" w:name="_GoBack"/>
      <w:r w:rsidRPr="00590C3B">
        <w:rPr>
          <w:rFonts w:ascii="Tahoma" w:eastAsia="Calibri" w:hAnsi="Tahoma" w:cs="Tahoma"/>
          <w:noProof/>
          <w:sz w:val="19"/>
          <w:szCs w:val="19"/>
        </w:rPr>
        <w:drawing>
          <wp:inline distT="0" distB="0" distL="0" distR="0">
            <wp:extent cx="4849736" cy="3451860"/>
            <wp:effectExtent l="0" t="0" r="8255" b="0"/>
            <wp:docPr id="448" name="תמונה 448" descr="התאמת הבית לנפילות: לא ביצעו 99%, ביצעו 1%&#10;בדיקת שמיעה: לא ביצעו 98%, ביצעו 2%&#10;אבחון אי-נקיטת שתן: לא ביצעו 96%, ביצעו 4%&#10;איתור ריבוי תרופות: לא ביצעו 96%, ביצעו 4%&#10;ביקור אצל תזונאית: לא ביצעו 95%, ביצעו 5%&#10;איתור ירידה פיזית: לא ביצעו 95%, ביצעו 5%&#10;חיסון שלבקת חוגרת: לא ביצעו 94%, ביצעו 6%&#10;איתור דמנציה: לא ביצעו 94%, ביצעו 6%&#10;איתור דיכאון: לא ביצעו 92%, ביצעו 8%&#10;בדיקת צפיפות עצם: לא ביצעו 91%, ביצעו 9%&#10;חיסון טטנוס: לא ביצעו 91%, ביצעו 9%&#10;תוספת סידן וויטמין D: לא ביצעו 75%, ביצעו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Picture 5"/>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rcRect b="2493"/>
                    <a:stretch>
                      <a:fillRect/>
                    </a:stretch>
                  </pic:blipFill>
                  <pic:spPr bwMode="auto">
                    <a:xfrm>
                      <a:off x="0" y="0"/>
                      <a:ext cx="4865016" cy="346273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bookmarkEnd w:id="4"/>
    </w:p>
    <w:p w:rsidR="00590C3B" w:rsidRPr="00590C3B" w:rsidP="00590C3B">
      <w:pPr>
        <w:spacing w:line="288" w:lineRule="auto"/>
        <w:ind w:left="-710"/>
        <w:jc w:val="left"/>
        <w:rPr>
          <w:rFonts w:ascii="Tahoma" w:eastAsia="Calibri" w:hAnsi="Tahoma" w:cs="Tahoma"/>
          <w:b/>
          <w:bCs/>
          <w:noProof/>
          <w:color w:val="FFFFFF"/>
          <w:szCs w:val="20"/>
          <w:rtl/>
        </w:rPr>
      </w:pPr>
      <w:r w:rsidRPr="00590C3B">
        <w:rPr>
          <w:rFonts w:ascii="Tahoma" w:eastAsia="Calibri" w:hAnsi="Tahoma" w:cs="Tahoma" w:hint="eastAsia"/>
          <w:sz w:val="16"/>
          <w:szCs w:val="16"/>
          <w:rtl/>
        </w:rPr>
        <w:t>על</w:t>
      </w:r>
      <w:r w:rsidRPr="00590C3B">
        <w:rPr>
          <w:rFonts w:ascii="Tahoma" w:eastAsia="Calibri" w:hAnsi="Tahoma" w:cs="Tahoma"/>
          <w:sz w:val="16"/>
          <w:szCs w:val="16"/>
          <w:rtl/>
        </w:rPr>
        <w:t xml:space="preserve"> </w:t>
      </w:r>
      <w:r w:rsidRPr="00590C3B">
        <w:rPr>
          <w:rFonts w:ascii="Tahoma" w:eastAsia="Calibri" w:hAnsi="Tahoma" w:cs="Tahoma" w:hint="eastAsia"/>
          <w:sz w:val="16"/>
          <w:szCs w:val="16"/>
          <w:rtl/>
        </w:rPr>
        <w:t>פי</w:t>
      </w:r>
      <w:r w:rsidRPr="00590C3B">
        <w:rPr>
          <w:rFonts w:ascii="Tahoma" w:eastAsia="Calibri" w:hAnsi="Tahoma" w:cs="Tahoma"/>
          <w:sz w:val="16"/>
          <w:szCs w:val="16"/>
          <w:rtl/>
        </w:rPr>
        <w:t xml:space="preserve"> </w:t>
      </w:r>
      <w:r w:rsidRPr="00590C3B">
        <w:rPr>
          <w:rFonts w:ascii="Tahoma" w:eastAsia="Calibri" w:hAnsi="Tahoma" w:cs="Tahoma" w:hint="eastAsia"/>
          <w:sz w:val="16"/>
          <w:szCs w:val="16"/>
          <w:rtl/>
        </w:rPr>
        <w:t>נתוני</w:t>
      </w:r>
      <w:r w:rsidRPr="00590C3B">
        <w:rPr>
          <w:rFonts w:ascii="Tahoma" w:eastAsia="Calibri" w:hAnsi="Tahoma" w:cs="Tahoma"/>
          <w:sz w:val="16"/>
          <w:szCs w:val="16"/>
          <w:rtl/>
        </w:rPr>
        <w:t xml:space="preserve"> </w:t>
      </w:r>
      <w:r w:rsidRPr="00590C3B">
        <w:rPr>
          <w:rFonts w:ascii="Tahoma" w:eastAsia="Calibri" w:hAnsi="Tahoma" w:cs="Tahoma" w:hint="eastAsia"/>
          <w:sz w:val="16"/>
          <w:szCs w:val="16"/>
          <w:rtl/>
        </w:rPr>
        <w:t>כללית</w:t>
      </w:r>
      <w:r w:rsidRPr="00590C3B">
        <w:rPr>
          <w:rFonts w:ascii="Tahoma" w:eastAsia="Calibri" w:hAnsi="Tahoma" w:cs="Tahoma"/>
          <w:sz w:val="16"/>
          <w:szCs w:val="16"/>
          <w:rtl/>
        </w:rPr>
        <w:t xml:space="preserve">, </w:t>
      </w:r>
      <w:r w:rsidRPr="00590C3B">
        <w:rPr>
          <w:rFonts w:ascii="Tahoma" w:eastAsia="Calibri" w:hAnsi="Tahoma" w:cs="Tahoma" w:hint="eastAsia"/>
          <w:sz w:val="16"/>
          <w:szCs w:val="16"/>
          <w:rtl/>
        </w:rPr>
        <w:t>מכבי</w:t>
      </w:r>
      <w:r w:rsidRPr="00590C3B">
        <w:rPr>
          <w:rFonts w:ascii="Tahoma" w:eastAsia="Calibri" w:hAnsi="Tahoma" w:cs="Tahoma"/>
          <w:sz w:val="16"/>
          <w:szCs w:val="16"/>
          <w:rtl/>
        </w:rPr>
        <w:t xml:space="preserve"> </w:t>
      </w:r>
      <w:r w:rsidRPr="00590C3B">
        <w:rPr>
          <w:rFonts w:ascii="Tahoma" w:eastAsia="Calibri" w:hAnsi="Tahoma" w:cs="Tahoma" w:hint="eastAsia"/>
          <w:sz w:val="16"/>
          <w:szCs w:val="16"/>
          <w:rtl/>
        </w:rPr>
        <w:t>ומאוחדת</w:t>
      </w:r>
      <w:r w:rsidRPr="00590C3B">
        <w:rPr>
          <w:rFonts w:ascii="Tahoma" w:eastAsia="Calibri" w:hAnsi="Tahoma" w:cs="Tahoma"/>
          <w:sz w:val="16"/>
          <w:szCs w:val="16"/>
          <w:rtl/>
        </w:rPr>
        <w:t xml:space="preserve">, </w:t>
      </w:r>
      <w:r w:rsidRPr="00590C3B">
        <w:rPr>
          <w:rFonts w:ascii="Tahoma" w:eastAsia="Calibri" w:hAnsi="Tahoma" w:cs="Tahoma" w:hint="eastAsia"/>
          <w:sz w:val="16"/>
          <w:szCs w:val="16"/>
          <w:rtl/>
        </w:rPr>
        <w:t>בעיבוד</w:t>
      </w:r>
      <w:r w:rsidRPr="00590C3B">
        <w:rPr>
          <w:rFonts w:ascii="Tahoma" w:eastAsia="Calibri" w:hAnsi="Tahoma" w:cs="Tahoma"/>
          <w:sz w:val="16"/>
          <w:szCs w:val="16"/>
          <w:rtl/>
        </w:rPr>
        <w:t xml:space="preserve"> </w:t>
      </w:r>
      <w:r w:rsidRPr="00590C3B">
        <w:rPr>
          <w:rFonts w:ascii="Tahoma" w:eastAsia="Calibri" w:hAnsi="Tahoma" w:cs="Tahoma" w:hint="eastAsia"/>
          <w:sz w:val="16"/>
          <w:szCs w:val="16"/>
          <w:rtl/>
        </w:rPr>
        <w:t>משרד</w:t>
      </w:r>
      <w:r w:rsidRPr="00590C3B">
        <w:rPr>
          <w:rFonts w:ascii="Tahoma" w:eastAsia="Calibri" w:hAnsi="Tahoma" w:cs="Tahoma"/>
          <w:sz w:val="16"/>
          <w:szCs w:val="16"/>
          <w:rtl/>
        </w:rPr>
        <w:t xml:space="preserve"> </w:t>
      </w:r>
      <w:r w:rsidRPr="00590C3B">
        <w:rPr>
          <w:rFonts w:ascii="Tahoma" w:eastAsia="Calibri" w:hAnsi="Tahoma" w:cs="Tahoma" w:hint="eastAsia"/>
          <w:sz w:val="16"/>
          <w:szCs w:val="16"/>
          <w:rtl/>
        </w:rPr>
        <w:t>מבקר</w:t>
      </w:r>
      <w:r w:rsidRPr="00590C3B">
        <w:rPr>
          <w:rFonts w:ascii="Tahoma" w:eastAsia="Calibri" w:hAnsi="Tahoma" w:cs="Tahoma"/>
          <w:sz w:val="16"/>
          <w:szCs w:val="16"/>
          <w:rtl/>
        </w:rPr>
        <w:t xml:space="preserve"> </w:t>
      </w:r>
      <w:r w:rsidRPr="00590C3B">
        <w:rPr>
          <w:rFonts w:ascii="Tahoma" w:eastAsia="Calibri" w:hAnsi="Tahoma" w:cs="Tahoma" w:hint="eastAsia"/>
          <w:sz w:val="16"/>
          <w:szCs w:val="16"/>
          <w:rtl/>
        </w:rPr>
        <w:t>המדינה</w:t>
      </w:r>
      <w:r w:rsidRPr="00590C3B">
        <w:rPr>
          <w:rFonts w:ascii="Tahoma" w:eastAsia="Calibri" w:hAnsi="Tahoma" w:cs="Tahoma"/>
          <w:sz w:val="16"/>
          <w:szCs w:val="16"/>
          <w:rtl/>
        </w:rPr>
        <w:t>.</w:t>
      </w:r>
      <w:r w:rsidRPr="00590C3B">
        <w:rPr>
          <w:rFonts w:ascii="Tahoma" w:eastAsia="Calibri" w:hAnsi="Tahoma" w:cs="Tahoma"/>
          <w:b/>
          <w:bCs/>
          <w:noProof/>
          <w:color w:val="FFFFFF"/>
          <w:szCs w:val="20"/>
          <w:rtl/>
        </w:rPr>
        <w:t xml:space="preserve"> מבקר המדינה.</w:t>
      </w:r>
    </w:p>
    <w:p w:rsidR="00590C3B" w:rsidRPr="00CA4A71" w:rsidP="00590C3B">
      <w:pPr>
        <w:spacing w:line="288" w:lineRule="auto"/>
        <w:ind w:left="-851"/>
        <w:rPr>
          <w:rFonts w:ascii="Tahoma" w:eastAsia="Calibri" w:hAnsi="Tahoma" w:cs="Tahoma"/>
          <w:b/>
          <w:bCs/>
          <w:noProof/>
          <w:color w:val="FFFFFF"/>
          <w:sz w:val="32"/>
          <w:szCs w:val="32"/>
          <w:rtl/>
        </w:rPr>
      </w:pPr>
    </w:p>
    <w:p w:rsidR="00590C3B" w:rsidRPr="00590C3B" w:rsidP="00590C3B">
      <w:pPr>
        <w:spacing w:line="288" w:lineRule="auto"/>
        <w:ind w:left="-851"/>
        <w:rPr>
          <w:rFonts w:ascii="Tahoma" w:eastAsia="Calibri" w:hAnsi="Tahoma" w:cs="Tahoma"/>
          <w:rtl/>
        </w:rPr>
      </w:pPr>
      <w:r w:rsidRPr="00590C3B">
        <w:rPr>
          <w:rFonts w:ascii="Tahoma" w:eastAsia="Calibri" w:hAnsi="Tahoma" w:cs="Tahoma"/>
          <w:noProof/>
        </w:rPr>
        <w:drawing>
          <wp:inline distT="0" distB="0" distL="0" distR="0">
            <wp:extent cx="6128084" cy="304165"/>
            <wp:effectExtent l="0" t="0" r="6350" b="635"/>
            <wp:docPr id="31" name="תמונה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4"/>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590C3B" w:rsidRPr="00590C3B" w:rsidP="00590C3B">
      <w:pPr>
        <w:spacing w:before="120" w:line="288" w:lineRule="auto"/>
        <w:ind w:left="-851" w:right="-567"/>
        <w:rPr>
          <w:rFonts w:ascii="Tahoma" w:eastAsia="Calibri" w:hAnsi="Tahoma" w:cs="Tahoma"/>
          <w:sz w:val="19"/>
          <w:szCs w:val="19"/>
          <w:rtl/>
        </w:rPr>
      </w:pPr>
      <w:r w:rsidRPr="00590C3B">
        <w:rPr>
          <w:rFonts w:ascii="Tahoma" w:eastAsia="Calibri" w:hAnsi="Tahoma" w:cs="Tahoma"/>
          <w:sz w:val="19"/>
          <w:szCs w:val="19"/>
          <w:rtl/>
        </w:rPr>
        <w:t>תוכנית משרד הבריאות להיערכות לגידול הצפוי באוכלוסיית הזקנים בישראל, בהתאם להחלטת הממשלה 150 מ</w:t>
      </w:r>
      <w:r w:rsidRPr="00590C3B">
        <w:rPr>
          <w:rFonts w:ascii="Tahoma" w:eastAsia="Calibri" w:hAnsi="Tahoma" w:cs="Tahoma" w:hint="cs"/>
          <w:sz w:val="19"/>
          <w:szCs w:val="19"/>
          <w:rtl/>
        </w:rPr>
        <w:t xml:space="preserve">שנת </w:t>
      </w:r>
      <w:r w:rsidRPr="00590C3B">
        <w:rPr>
          <w:rFonts w:ascii="Tahoma" w:eastAsia="Calibri" w:hAnsi="Tahoma" w:cs="Tahoma"/>
          <w:sz w:val="19"/>
          <w:szCs w:val="19"/>
          <w:rtl/>
        </w:rPr>
        <w:t>2015, מתייחסת לצורך בהגדלת מספר הרופאים הגריאטרים ומיטות האשפוז בבתי החולים. ממצאי הביקורת מראים כי על אף הגידול הצפוי בצורך ברופאים מומחים בגריאטריה ובמיטות אשפוז נוכח הגידול באוכלוסיית הזקנים, שיעור הרופאים המומחים והמתמחים בגריאטריה ושיעור מיטות האשפוז כמעט לא השתנו וגם לא צפויים להשתנות</w:t>
      </w:r>
      <w:r w:rsidRPr="00590C3B">
        <w:rPr>
          <w:rFonts w:ascii="Tahoma" w:eastAsia="Calibri" w:hAnsi="Tahoma" w:cs="Tahoma" w:hint="cs"/>
          <w:sz w:val="19"/>
          <w:szCs w:val="19"/>
          <w:rtl/>
        </w:rPr>
        <w:t xml:space="preserve">. </w:t>
      </w:r>
      <w:r w:rsidRPr="00590C3B">
        <w:rPr>
          <w:rFonts w:ascii="Tahoma" w:eastAsia="Calibri" w:hAnsi="Tahoma" w:cs="Tahoma"/>
          <w:sz w:val="19"/>
          <w:szCs w:val="19"/>
          <w:rtl/>
        </w:rPr>
        <w:t xml:space="preserve">יתרה מזו </w:t>
      </w:r>
      <w:r w:rsidRPr="00590C3B">
        <w:rPr>
          <w:rFonts w:ascii="Tahoma" w:eastAsia="Calibri" w:hAnsi="Tahoma" w:cs="Tahoma" w:hint="cs"/>
          <w:sz w:val="19"/>
          <w:szCs w:val="19"/>
          <w:rtl/>
        </w:rPr>
        <w:t xml:space="preserve">הם </w:t>
      </w:r>
      <w:r w:rsidRPr="00590C3B">
        <w:rPr>
          <w:rFonts w:ascii="Tahoma" w:eastAsia="Calibri" w:hAnsi="Tahoma" w:cs="Tahoma"/>
          <w:sz w:val="19"/>
          <w:szCs w:val="19"/>
          <w:rtl/>
        </w:rPr>
        <w:t>אף עלולים לקטון עבור זקנים בני 75 ומעלה (מ-1.07 מומחים, 0.13 מתמחים ו-41.7 מיטות אשפוז כללי ל-1,000 איש בני 75 ומעלה ב-2020</w:t>
      </w:r>
      <w:r w:rsidRPr="00590C3B">
        <w:rPr>
          <w:rFonts w:ascii="Tahoma" w:eastAsia="Calibri" w:hAnsi="Tahoma" w:cs="Tahoma" w:hint="cs"/>
          <w:sz w:val="19"/>
          <w:szCs w:val="19"/>
          <w:rtl/>
        </w:rPr>
        <w:t>,</w:t>
      </w:r>
      <w:r w:rsidRPr="00590C3B">
        <w:rPr>
          <w:rFonts w:ascii="Tahoma" w:eastAsia="Calibri" w:hAnsi="Tahoma" w:cs="Tahoma"/>
          <w:sz w:val="19"/>
          <w:szCs w:val="19"/>
          <w:rtl/>
        </w:rPr>
        <w:t xml:space="preserve"> ל-0.99 מומחים, 0.15 מתמחים ו-19.3 מיטות אשפוז כללי באומדן לשנת 2040)</w:t>
      </w:r>
      <w:r w:rsidRPr="00590C3B">
        <w:rPr>
          <w:rFonts w:ascii="Tahoma" w:eastAsia="Calibri" w:hAnsi="Tahoma" w:cs="Tahoma" w:hint="cs"/>
          <w:sz w:val="19"/>
          <w:szCs w:val="19"/>
          <w:rtl/>
        </w:rPr>
        <w:t>.</w:t>
      </w:r>
    </w:p>
    <w:p w:rsidR="00590C3B" w:rsidRPr="00590C3B" w:rsidP="00590C3B">
      <w:pPr>
        <w:spacing w:before="120" w:line="288" w:lineRule="auto"/>
        <w:ind w:left="-851" w:right="-567"/>
        <w:rPr>
          <w:rFonts w:ascii="Tahoma" w:eastAsia="Calibri" w:hAnsi="Tahoma" w:cs="Tahoma"/>
          <w:sz w:val="19"/>
          <w:szCs w:val="19"/>
          <w:rtl/>
        </w:rPr>
      </w:pPr>
      <w:r w:rsidRPr="00590C3B">
        <w:rPr>
          <w:rFonts w:ascii="Tahoma" w:eastAsia="Calibri" w:hAnsi="Tahoma" w:cs="Tahoma"/>
          <w:sz w:val="19"/>
          <w:szCs w:val="19"/>
          <w:rtl/>
        </w:rPr>
        <w:t xml:space="preserve">פעולות למניעת מחלות, צמצום שבריריות והארכת תוחלת החיים הבריאים של זקנים יכולות לסייע בצמצום העומסים הצפויים על מערכת הבריאות בעקבות הגידול הצפוי במספר הזקנים, וכך לגשר, ולו באופן חלקי, על הפער בין הצרכים הגוברים לבין המענה המוגבל ברופאים ובמיטות אשפוז. </w:t>
      </w:r>
    </w:p>
    <w:p w:rsidR="00590C3B" w:rsidRPr="00590C3B" w:rsidP="00590C3B">
      <w:pPr>
        <w:spacing w:before="120" w:line="288" w:lineRule="auto"/>
        <w:ind w:left="-851" w:right="-567"/>
        <w:rPr>
          <w:rFonts w:ascii="Tahoma" w:eastAsia="Calibri" w:hAnsi="Tahoma" w:cs="Tahoma"/>
          <w:sz w:val="19"/>
          <w:szCs w:val="19"/>
          <w:rtl/>
        </w:rPr>
      </w:pPr>
      <w:r w:rsidRPr="00590C3B">
        <w:rPr>
          <w:rFonts w:ascii="Tahoma" w:eastAsia="Calibri" w:hAnsi="Tahoma" w:cs="Tahoma"/>
          <w:sz w:val="19"/>
          <w:szCs w:val="19"/>
          <w:rtl/>
        </w:rPr>
        <w:t>אולם</w:t>
      </w:r>
      <w:r w:rsidRPr="00590C3B">
        <w:rPr>
          <w:rFonts w:ascii="Tahoma" w:eastAsia="Calibri" w:hAnsi="Tahoma" w:cs="Tahoma" w:hint="cs"/>
          <w:sz w:val="19"/>
          <w:szCs w:val="19"/>
          <w:rtl/>
        </w:rPr>
        <w:t>,</w:t>
      </w:r>
      <w:r w:rsidRPr="00590C3B">
        <w:rPr>
          <w:rFonts w:ascii="Tahoma" w:eastAsia="Calibri" w:hAnsi="Tahoma" w:cs="Tahoma"/>
          <w:sz w:val="19"/>
          <w:szCs w:val="19"/>
          <w:rtl/>
        </w:rPr>
        <w:t xml:space="preserve"> כאמור</w:t>
      </w:r>
      <w:r w:rsidRPr="00590C3B">
        <w:rPr>
          <w:rFonts w:ascii="Tahoma" w:eastAsia="Calibri" w:hAnsi="Tahoma" w:cs="Tahoma" w:hint="cs"/>
          <w:sz w:val="19"/>
          <w:szCs w:val="19"/>
          <w:rtl/>
        </w:rPr>
        <w:t>,</w:t>
      </w:r>
      <w:r w:rsidRPr="00590C3B">
        <w:rPr>
          <w:rFonts w:ascii="Tahoma" w:eastAsia="Calibri" w:hAnsi="Tahoma" w:cs="Tahoma"/>
          <w:sz w:val="19"/>
          <w:szCs w:val="19"/>
          <w:rtl/>
        </w:rPr>
        <w:t xml:space="preserve"> בביקורת עלה כי בפועל חלק ניכר מהפעולות המתועדות כפעולות מניעה מתבצעות בקרב זקנים חולים ושבריריים ואינן מופנות במידה מספקת גם לזקנים שמצבם הבריאותי טוב יחסית, לצורך מניעת מחלות ושימור בריאותם לאורך זמן. כך בפועל קופות החולים עושות שימוש חסר בכלי זה בכל הקשור לשימור הבריאות של חבריהן הזקנים לאורך זמן ולמניעת העומסים הצפויים על מערכת הבריאות</w:t>
      </w:r>
      <w:r w:rsidRPr="00590C3B">
        <w:rPr>
          <w:rFonts w:ascii="Tahoma" w:eastAsia="Calibri" w:hAnsi="Tahoma" w:cs="Tahoma" w:hint="cs"/>
          <w:sz w:val="19"/>
          <w:szCs w:val="19"/>
          <w:rtl/>
        </w:rPr>
        <w:t xml:space="preserve"> בשל </w:t>
      </w:r>
      <w:r w:rsidRPr="00590C3B">
        <w:rPr>
          <w:rFonts w:ascii="Tahoma" w:eastAsia="Calibri" w:hAnsi="Tahoma" w:cs="Tahoma"/>
          <w:sz w:val="19"/>
          <w:szCs w:val="19"/>
          <w:rtl/>
        </w:rPr>
        <w:t>חולי רב בקרב זקנים.</w:t>
      </w:r>
    </w:p>
    <w:p w:rsidR="00F954E4" w:rsidP="005F2EAB">
      <w:pPr>
        <w:spacing w:before="120" w:line="288" w:lineRule="auto"/>
        <w:ind w:left="-851" w:right="-567"/>
        <w:rPr>
          <w:rFonts w:ascii="Calibri" w:hAnsi="Calibri" w:cs="Calibri"/>
          <w:b/>
          <w:bCs/>
          <w:color w:val="002060"/>
          <w:sz w:val="80"/>
          <w:szCs w:val="80"/>
        </w:rPr>
      </w:pPr>
      <w:r w:rsidRPr="00590C3B">
        <w:rPr>
          <w:rFonts w:ascii="Tahoma" w:eastAsia="Calibri" w:hAnsi="Tahoma" w:cs="Tahoma"/>
          <w:sz w:val="19"/>
          <w:szCs w:val="19"/>
          <w:rtl/>
        </w:rPr>
        <w:t>נוכח הפער בין קצב הגידול בצורכי האוכלוסייה המזדקנת לבין קצב הרחבת התשתיות - בכוח אדם מקצועי ובמספר מיטות האשפוז - בהיקפים הנדרשים כדי לתת מענה מיטבי, מומלץ כי במקביל למאמצים בתחומים אלה, כחלק מהאסטרטגיה להיערכות מערכת הבריאות להזדקנות האוכלוסייה, יקבע משרד הבריאות מהלך של הגברת טיפולים שעיקרם מניעת מחלות ושימור בריאות בקרב זקנים עוד בטרם חלה הידרדרות במצבם הבריאותי, כאמצעי משמעותי לצמצום השבריריות שלהם ולהארכת תוחלת ה</w:t>
      </w:r>
      <w:r w:rsidRPr="00590C3B">
        <w:rPr>
          <w:rFonts w:ascii="Tahoma" w:eastAsia="Calibri" w:hAnsi="Tahoma" w:cs="Tahoma" w:hint="cs"/>
          <w:sz w:val="19"/>
          <w:szCs w:val="19"/>
          <w:rtl/>
        </w:rPr>
        <w:t>חיים</w:t>
      </w:r>
      <w:r w:rsidRPr="00590C3B">
        <w:rPr>
          <w:rFonts w:ascii="Tahoma" w:eastAsia="Calibri" w:hAnsi="Tahoma" w:cs="Tahoma"/>
          <w:sz w:val="19"/>
          <w:szCs w:val="19"/>
          <w:rtl/>
        </w:rPr>
        <w:t xml:space="preserve"> הבריאים. מומלץ לעשות כן באמצעות קביעת יעדים ומדדים לקופות החולים בתחום טיפולי המניעה, הכשרת רופאי משפחה בתחום הגריאטריה וקביעת מדד לאומי בקופות החולים</w:t>
      </w:r>
      <w:r w:rsidRPr="00590C3B">
        <w:rPr>
          <w:rFonts w:ascii="Tahoma" w:eastAsia="Calibri" w:hAnsi="Tahoma" w:cs="Tahoma" w:hint="cs"/>
          <w:sz w:val="19"/>
          <w:szCs w:val="19"/>
          <w:rtl/>
        </w:rPr>
        <w:t xml:space="preserve"> להערכת מצב בריאותם של הזקנים</w:t>
      </w:r>
      <w:r w:rsidRPr="00590C3B">
        <w:rPr>
          <w:rFonts w:ascii="Tahoma" w:eastAsia="Calibri" w:hAnsi="Tahoma" w:cs="Tahoma"/>
          <w:sz w:val="19"/>
          <w:szCs w:val="19"/>
          <w:rtl/>
        </w:rPr>
        <w:t>.</w:t>
      </w:r>
      <w:bookmarkEnd w:id="0"/>
      <w:bookmarkEnd w:id="1"/>
      <w:bookmarkEnd w:id="2"/>
    </w:p>
    <w:sectPr w:rsidSect="006C2C6D">
      <w:headerReference w:type="first" r:id="rId23"/>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pPr>
        <w:spacing w:line="240" w:lineRule="auto"/>
      </w:pPr>
      <w:r>
        <w:separator/>
      </w:r>
    </w:p>
  </w:footnote>
  <w:footnote w:type="continuationSeparator" w:id="1">
    <w:p w:rsidR="0062451B" w:rsidP="00C23CC9">
      <w:pPr>
        <w:spacing w:line="240" w:lineRule="auto"/>
      </w:pPr>
      <w:r>
        <w:continuationSeparator/>
      </w:r>
    </w:p>
  </w:footnote>
  <w:footnote w:id="2">
    <w:p w:rsidR="00590C3B" w:rsidRPr="00B97357" w:rsidP="00590C3B">
      <w:pPr>
        <w:pStyle w:val="FootnoteText"/>
        <w:rPr>
          <w:rFonts w:ascii="Tahoma" w:hAnsi="Tahoma" w:cs="Tahoma"/>
          <w:sz w:val="16"/>
          <w:szCs w:val="16"/>
          <w:rtl/>
        </w:rPr>
      </w:pPr>
      <w:r w:rsidRPr="00B97357">
        <w:rPr>
          <w:rStyle w:val="FootnoteReference1"/>
          <w:rFonts w:ascii="Tahoma" w:hAnsi="Tahoma" w:cs="Tahoma"/>
          <w:sz w:val="16"/>
          <w:szCs w:val="16"/>
        </w:rPr>
        <w:footnoteRef/>
      </w:r>
      <w:r w:rsidRPr="00B97357">
        <w:rPr>
          <w:rFonts w:ascii="Tahoma" w:hAnsi="Tahoma" w:cs="Tahoma"/>
          <w:sz w:val="16"/>
          <w:szCs w:val="16"/>
          <w:rtl/>
        </w:rPr>
        <w:t xml:space="preserve"> </w:t>
      </w:r>
      <w:r w:rsidRPr="00B97357">
        <w:rPr>
          <w:rFonts w:ascii="Tahoma" w:hAnsi="Tahoma" w:cs="Tahoma"/>
          <w:sz w:val="16"/>
          <w:szCs w:val="16"/>
          <w:rtl/>
        </w:rPr>
        <w:tab/>
        <w:t>"הימצאות" מודדת את סך כל החולים במחלה.</w:t>
      </w:r>
    </w:p>
  </w:footnote>
  <w:footnote w:id="3">
    <w:p w:rsidR="00590C3B" w:rsidRPr="00B97357" w:rsidP="00B97357">
      <w:pPr>
        <w:pStyle w:val="FootnoteText"/>
        <w:ind w:right="-567"/>
        <w:rPr>
          <w:rFonts w:ascii="Tahoma" w:hAnsi="Tahoma" w:cs="Tahoma"/>
          <w:sz w:val="16"/>
          <w:szCs w:val="16"/>
        </w:rPr>
      </w:pPr>
      <w:r w:rsidRPr="00B97357">
        <w:rPr>
          <w:rStyle w:val="FootnoteReference1"/>
          <w:rFonts w:ascii="Tahoma" w:hAnsi="Tahoma" w:cs="Tahoma"/>
          <w:sz w:val="16"/>
          <w:szCs w:val="16"/>
        </w:rPr>
        <w:footnoteRef/>
      </w:r>
      <w:r w:rsidRPr="00B97357">
        <w:rPr>
          <w:rFonts w:ascii="Tahoma" w:hAnsi="Tahoma" w:cs="Tahoma"/>
          <w:sz w:val="16"/>
          <w:szCs w:val="16"/>
          <w:rtl/>
        </w:rPr>
        <w:t xml:space="preserve"> </w:t>
      </w:r>
      <w:r w:rsidRPr="00B97357">
        <w:rPr>
          <w:rFonts w:ascii="Tahoma" w:hAnsi="Tahoma" w:cs="Tahoma"/>
          <w:sz w:val="16"/>
          <w:szCs w:val="16"/>
          <w:rtl/>
        </w:rPr>
        <w:tab/>
        <w:t>משרד הבריאות ומאיירס ג'וינט ברוקדייל, "המלצות הוועדה הבין-משרדית לקידום בריאות ומניעת תחלואה כרונית" (2022).</w:t>
      </w:r>
    </w:p>
  </w:footnote>
  <w:footnote w:id="4">
    <w:p w:rsidR="00590C3B" w:rsidRPr="00B97357" w:rsidP="00B97357">
      <w:pPr>
        <w:pStyle w:val="FootnoteText"/>
        <w:ind w:right="-567"/>
        <w:rPr>
          <w:rFonts w:ascii="Tahoma" w:hAnsi="Tahoma" w:cs="Tahoma"/>
          <w:sz w:val="16"/>
          <w:szCs w:val="16"/>
        </w:rPr>
      </w:pPr>
      <w:r w:rsidRPr="00B97357">
        <w:rPr>
          <w:rStyle w:val="FootnoteReference1"/>
          <w:rFonts w:ascii="Tahoma" w:hAnsi="Tahoma" w:cs="Tahoma"/>
          <w:sz w:val="16"/>
          <w:szCs w:val="16"/>
        </w:rPr>
        <w:footnoteRef/>
      </w:r>
      <w:r w:rsidRPr="00B97357">
        <w:rPr>
          <w:rFonts w:ascii="Tahoma" w:hAnsi="Tahoma" w:cs="Tahoma"/>
          <w:sz w:val="16"/>
          <w:szCs w:val="16"/>
          <w:rtl/>
        </w:rPr>
        <w:t xml:space="preserve"> </w:t>
      </w:r>
      <w:r w:rsidRPr="00B97357">
        <w:rPr>
          <w:rFonts w:ascii="Tahoma" w:hAnsi="Tahoma" w:cs="Tahoma"/>
          <w:sz w:val="16"/>
          <w:szCs w:val="16"/>
          <w:rtl/>
        </w:rPr>
        <w:tab/>
        <w:t>את מדד השבריריות מקובל לחלק לארבע קטגוריות בהתאם למספר הליקויים שנמצאו אצל האדם: איתן (המצב הבריא ביותר), קדם-שברירי, שברירי ומורכב (המצב השברירי ביותר).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2598420</wp:posOffset>
              </wp:positionH>
              <wp:positionV relativeFrom="paragraph">
                <wp:posOffset>216535</wp:posOffset>
              </wp:positionV>
              <wp:extent cx="342265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422650" cy="285750"/>
                      </a:xfrm>
                      <a:prstGeom prst="rect">
                        <a:avLst/>
                      </a:prstGeom>
                      <a:noFill/>
                      <a:ln w="9525">
                        <a:noFill/>
                        <a:miter lim="800000"/>
                        <a:headEnd/>
                        <a:tailEnd/>
                      </a:ln>
                    </wps:spPr>
                    <wps:txbx>
                      <w:txbxContent>
                        <w:p w:rsidR="001E204F" w:rsidRPr="001E204F" w:rsidP="00354F9A">
                          <w:pPr>
                            <w:rPr>
                              <w:rFonts w:ascii="Calibri" w:hAnsi="Calibri" w:cs="Calibri"/>
                              <w:color w:val="002060"/>
                              <w:szCs w:val="20"/>
                              <w:rtl/>
                            </w:rPr>
                          </w:pPr>
                          <w:r w:rsidRPr="00B97357">
                            <w:rPr>
                              <w:rFonts w:ascii="Calibri" w:hAnsi="Calibri" w:cs="Calibri"/>
                              <w:color w:val="002060"/>
                              <w:szCs w:val="20"/>
                              <w:rtl/>
                            </w:rPr>
                            <w:t>היערכות מערכת הבריאות בישראל להזדקנות האוכלוסייה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69.5pt;height:22.5pt;margin-top:17.05pt;margin-left:204.6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B97357">
                      <w:rPr>
                        <w:rFonts w:ascii="Calibri" w:hAnsi="Calibri" w:cs="Calibri"/>
                        <w:color w:val="002060"/>
                        <w:szCs w:val="20"/>
                        <w:rtl/>
                      </w:rPr>
                      <w:t>היערכות מערכת הבריאות בישראל להזדקנות האוכלוסייה</w:t>
                    </w:r>
                  </w:p>
                </w:txbxContent>
              </v:textbox>
              <w10:wrap type="square"/>
            </v:shape>
          </w:pict>
        </mc:Fallback>
      </mc:AlternateContent>
    </w:r>
    <w:r w:rsidRPr="0062451B" w:rsidR="00EF3369">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1623060</wp:posOffset>
              </wp:positionH>
              <wp:positionV relativeFrom="paragraph">
                <wp:posOffset>-100965</wp:posOffset>
              </wp:positionV>
              <wp:extent cx="43961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3961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EF3369" w:rsidR="00EF3369">
                            <w:rPr>
                              <w:rFonts w:ascii="Calibri" w:hAnsi="Calibri" w:cs="Calibri"/>
                              <w:color w:val="002060"/>
                              <w:sz w:val="22"/>
                              <w:szCs w:val="22"/>
                              <w:rtl/>
                            </w:rPr>
                            <w:t>דוח מיוחד - היערכות מדינת ישראל להזדקנות האוכלוסייה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0" type="#_x0000_t202" style="width:346.15pt;height:22.5pt;margin-top:-7.95pt;margin-left:127.8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EF3369" w:rsidR="00EF3369">
                      <w:rPr>
                        <w:rFonts w:ascii="Calibri" w:hAnsi="Calibri" w:cs="Calibri"/>
                        <w:color w:val="002060"/>
                        <w:sz w:val="22"/>
                        <w:szCs w:val="22"/>
                        <w:rtl/>
                      </w:rPr>
                      <w:t>דוח מיוחד - היערכות מדינת ישראל להזדקנות האוכלוסייה</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1"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1076960</wp:posOffset>
              </wp:positionH>
              <wp:positionV relativeFrom="paragraph">
                <wp:posOffset>-459740</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52705" y="0"/>
                        <a:chExt cx="2959100" cy="10690225"/>
                      </a:xfrm>
                    </wpg:grpSpPr>
                    <wpg:grpSp>
                      <wpg:cNvPr id="53" name="קבוצה 53"/>
                      <wpg:cNvGrpSpPr/>
                      <wpg:grpSpPr>
                        <a:xfrm>
                          <a:off x="-52705" y="0"/>
                          <a:ext cx="2959100" cy="3009900"/>
                          <a:chOff x="-52705"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52705" y="2600325"/>
                            <a:ext cx="2959100" cy="273050"/>
                          </a:xfrm>
                          <a:prstGeom prst="rect">
                            <a:avLst/>
                          </a:prstGeom>
                          <a:noFill/>
                          <a:ln w="6350">
                            <a:noFill/>
                          </a:ln>
                        </wps:spPr>
                        <wps:txb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2pt;margin-left:84.8pt;mso-position-horizontal-relative:margin;position:absolute;z-index:251659264" coordorigin="-527,0" coordsize="29591,106902">
              <v:group id="קבוצה 53" o:spid="_x0000_s2054" style="width:29590;height:30099;left:-527;position:absolute" coordorigin="-527,0"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2730;left:-527;mso-wrap-style:square;position:absolute;top:26003;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5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590C3B" w:rsidP="00EF4539">
    <w:pPr>
      <w:pStyle w:val="Header"/>
      <w:tabs>
        <w:tab w:val="clear" w:pos="8306"/>
        <w:tab w:val="right" w:pos="8504"/>
      </w:tabs>
      <w:ind w:right="-709"/>
      <w:jc w:val="right"/>
      <w:rPr>
        <w:rFonts w:ascii="Calibri" w:hAnsi="Calibri" w:cs="Calibri"/>
        <w:color w:val="002060"/>
        <w:szCs w:val="20"/>
      </w:rPr>
    </w:pPr>
    <w:r w:rsidRPr="00590C3B">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1623060</wp:posOffset>
              </wp:positionH>
              <wp:positionV relativeFrom="paragraph">
                <wp:posOffset>-100965</wp:posOffset>
              </wp:positionV>
              <wp:extent cx="43961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396105" cy="285750"/>
                      </a:xfrm>
                      <a:prstGeom prst="rect">
                        <a:avLst/>
                      </a:prstGeom>
                      <a:noFill/>
                      <a:ln w="9525">
                        <a:noFill/>
                        <a:miter lim="800000"/>
                        <a:headEnd/>
                        <a:tailEnd/>
                      </a:ln>
                    </wps:spPr>
                    <wps:txbx>
                      <w:txbxContent>
                        <w:p w:rsidR="00EF3369" w:rsidRPr="0062451B" w:rsidP="00EF336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1B7364">
                            <w:rPr>
                              <w:rFonts w:ascii="Calibri" w:hAnsi="Calibri" w:cs="Calibri" w:hint="cs"/>
                              <w:color w:val="002060"/>
                              <w:sz w:val="22"/>
                              <w:szCs w:val="22"/>
                              <w:rtl/>
                            </w:rPr>
                            <w:t xml:space="preserve">דוח </w:t>
                          </w:r>
                          <w:r>
                            <w:rPr>
                              <w:rFonts w:ascii="Calibri" w:hAnsi="Calibri" w:cs="Calibri" w:hint="cs"/>
                              <w:color w:val="002060"/>
                              <w:sz w:val="22"/>
                              <w:szCs w:val="22"/>
                              <w:rtl/>
                            </w:rPr>
                            <w:t>מיוחד - היערכות מדינת ישראל להזדקנות האוכלוסייה</w:t>
                          </w:r>
                        </w:p>
                        <w:p w:rsidR="00EF4539" w:rsidRPr="0062451B" w:rsidP="00EF4539">
                          <w:pPr>
                            <w:rPr>
                              <w:rFonts w:ascii="Calibri" w:hAnsi="Calibri" w:cs="Calibri"/>
                              <w:color w:val="002060"/>
                              <w:sz w:val="22"/>
                              <w:szCs w:val="22"/>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4" type="#_x0000_t202" style="width:346.15pt;height:22.5pt;margin-top:-7.95pt;margin-left:127.8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3369" w:rsidRPr="0062451B" w:rsidP="00EF336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1B7364">
                      <w:rPr>
                        <w:rFonts w:ascii="Calibri" w:hAnsi="Calibri" w:cs="Calibri" w:hint="cs"/>
                        <w:color w:val="002060"/>
                        <w:sz w:val="22"/>
                        <w:szCs w:val="22"/>
                        <w:rtl/>
                      </w:rPr>
                      <w:t xml:space="preserve">דוח </w:t>
                    </w:r>
                    <w:r>
                      <w:rPr>
                        <w:rFonts w:ascii="Calibri" w:hAnsi="Calibri" w:cs="Calibri" w:hint="cs"/>
                        <w:color w:val="002060"/>
                        <w:sz w:val="22"/>
                        <w:szCs w:val="22"/>
                        <w:rtl/>
                      </w:rPr>
                      <w:t>מיוחד - היערכות מדינת ישראל להזדקנות האוכלוסייה</w:t>
                    </w:r>
                  </w:p>
                  <w:p w:rsidR="00EF4539" w:rsidRPr="0062451B" w:rsidP="00EF4539">
                    <w:pPr>
                      <w:rPr>
                        <w:rFonts w:ascii="Calibri" w:hAnsi="Calibri" w:cs="Calibri"/>
                        <w:color w:val="002060"/>
                        <w:sz w:val="22"/>
                        <w:szCs w:val="22"/>
                        <w:rtl/>
                      </w:rPr>
                    </w:pPr>
                  </w:p>
                </w:txbxContent>
              </v:textbox>
              <w10:wrap type="square"/>
            </v:shape>
          </w:pict>
        </mc:Fallback>
      </mc:AlternateContent>
    </w:r>
    <w:r w:rsidRPr="00590C3B">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5"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590C3B">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590C3B">
                            <w:rPr>
                              <w:rFonts w:ascii="Calibri" w:hAnsi="Calibri" w:cs="Calibri"/>
                              <w:color w:val="002060"/>
                              <w:spacing w:val="20"/>
                              <w:sz w:val="22"/>
                              <w:szCs w:val="22"/>
                            </w:rPr>
                            <w:t xml:space="preserve"> </w:t>
                          </w:r>
                          <w:r w:rsidRPr="00590C3B">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590C3B">
                      <w:rPr>
                        <w:rFonts w:ascii="Calibri" w:hAnsi="Calibri" w:cs="Calibri"/>
                        <w:color w:val="002060"/>
                        <w:spacing w:val="20"/>
                        <w:sz w:val="22"/>
                        <w:szCs w:val="22"/>
                      </w:rPr>
                      <w:t xml:space="preserve"> </w:t>
                    </w:r>
                    <w:r w:rsidRPr="00590C3B">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590C3B">
      <w:rPr>
        <w:rFonts w:ascii="Calibri" w:hAnsi="Calibri" w:cs="Calibri"/>
        <w:color w:val="002060"/>
        <w:szCs w:val="20"/>
        <w:rtl/>
      </w:rPr>
      <w:fldChar w:fldCharType="begin"/>
    </w:r>
    <w:r w:rsidRPr="00590C3B">
      <w:rPr>
        <w:rFonts w:ascii="Calibri" w:hAnsi="Calibri" w:cs="Calibri"/>
        <w:color w:val="002060"/>
        <w:szCs w:val="20"/>
        <w:rtl/>
      </w:rPr>
      <w:instrText xml:space="preserve"> </w:instrText>
    </w:r>
    <w:r w:rsidRPr="00590C3B">
      <w:rPr>
        <w:rFonts w:ascii="Calibri" w:hAnsi="Calibri" w:cs="Calibri"/>
        <w:color w:val="002060"/>
        <w:szCs w:val="20"/>
      </w:rPr>
      <w:instrText>PAGE</w:instrText>
    </w:r>
    <w:r w:rsidRPr="00590C3B">
      <w:rPr>
        <w:rFonts w:ascii="Calibri" w:hAnsi="Calibri" w:cs="Calibri"/>
        <w:color w:val="002060"/>
        <w:szCs w:val="20"/>
        <w:rtl/>
      </w:rPr>
      <w:instrText xml:space="preserve">  \* </w:instrText>
    </w:r>
    <w:r w:rsidRPr="00590C3B">
      <w:rPr>
        <w:rFonts w:ascii="Calibri" w:hAnsi="Calibri" w:cs="Calibri"/>
        <w:color w:val="002060"/>
        <w:szCs w:val="20"/>
      </w:rPr>
      <w:instrText>MERGEFORMAT</w:instrText>
    </w:r>
    <w:r w:rsidRPr="00590C3B">
      <w:rPr>
        <w:rFonts w:ascii="Calibri" w:hAnsi="Calibri" w:cs="Calibri"/>
        <w:color w:val="002060"/>
        <w:szCs w:val="20"/>
        <w:rtl/>
      </w:rPr>
      <w:instrText xml:space="preserve"> </w:instrText>
    </w:r>
    <w:r w:rsidRPr="00590C3B">
      <w:rPr>
        <w:rFonts w:ascii="Calibri" w:hAnsi="Calibri" w:cs="Calibri"/>
        <w:color w:val="002060"/>
        <w:szCs w:val="20"/>
        <w:rtl/>
      </w:rPr>
      <w:fldChar w:fldCharType="separate"/>
    </w:r>
    <w:r w:rsidRPr="00590C3B">
      <w:rPr>
        <w:rFonts w:ascii="Calibri" w:hAnsi="Calibri" w:cs="Calibri"/>
        <w:color w:val="002060"/>
        <w:szCs w:val="20"/>
        <w:rtl/>
      </w:rPr>
      <w:t>3</w:t>
    </w:r>
    <w:r w:rsidRPr="00590C3B">
      <w:rPr>
        <w:rFonts w:ascii="Calibri" w:hAnsi="Calibri" w:cs="Calibri"/>
        <w:color w:val="002060"/>
        <w:szCs w:val="20"/>
        <w:rtl/>
      </w:rPr>
      <w:fldChar w:fldCharType="end"/>
    </w:r>
    <w:r w:rsidRPr="00590C3B">
      <w:rPr>
        <w:rFonts w:ascii="Calibri" w:hAnsi="Calibri" w:cs="Calibri"/>
        <w:color w:val="002060"/>
        <w:szCs w:val="20"/>
        <w:rtl/>
      </w:rPr>
      <w:t xml:space="preserve"> </w:t>
    </w:r>
  </w:p>
  <w:p w:rsidR="00EF4539"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15:restartNumberingAfterBreak="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15:restartNumberingAfterBreak="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5" w15:restartNumberingAfterBreak="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6" w15:restartNumberingAfterBreak="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7" w15:restartNumberingAfterBreak="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15:restartNumberingAfterBreak="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9" w15:restartNumberingAfterBreak="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0" w15:restartNumberingAfterBreak="0">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15:restartNumberingAfterBreak="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2" w15:restartNumberingAfterBreak="0">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15:restartNumberingAfterBreak="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4" w15:restartNumberingAfterBreak="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3"/>
  </w:num>
  <w:num w:numId="2">
    <w:abstractNumId w:val="9"/>
  </w:num>
  <w:num w:numId="3">
    <w:abstractNumId w:val="7"/>
  </w:num>
  <w:num w:numId="4">
    <w:abstractNumId w:val="2"/>
  </w:num>
  <w:num w:numId="5">
    <w:abstractNumId w:val="8"/>
  </w:num>
  <w:num w:numId="6">
    <w:abstractNumId w:val="11"/>
  </w:num>
  <w:num w:numId="7">
    <w:abstractNumId w:val="6"/>
  </w:num>
  <w:num w:numId="8">
    <w:abstractNumId w:val="4"/>
  </w:num>
  <w:num w:numId="9">
    <w:abstractNumId w:val="3"/>
  </w:num>
  <w:num w:numId="10">
    <w:abstractNumId w:val="5"/>
  </w:num>
  <w:num w:numId="11">
    <w:abstractNumId w:val="14"/>
  </w:num>
  <w:num w:numId="12">
    <w:abstractNumId w:val="0"/>
  </w:num>
  <w:num w:numId="13">
    <w:abstractNumId w:val="1"/>
  </w:num>
  <w:num w:numId="14">
    <w:abstractNumId w:val="12"/>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B1102"/>
    <w:rsid w:val="000C7459"/>
    <w:rsid w:val="000E013E"/>
    <w:rsid w:val="000F7725"/>
    <w:rsid w:val="00101D0F"/>
    <w:rsid w:val="00113E28"/>
    <w:rsid w:val="00114325"/>
    <w:rsid w:val="00166477"/>
    <w:rsid w:val="001730B0"/>
    <w:rsid w:val="001960B4"/>
    <w:rsid w:val="001A613C"/>
    <w:rsid w:val="001B2821"/>
    <w:rsid w:val="001B7364"/>
    <w:rsid w:val="001C057E"/>
    <w:rsid w:val="001C6185"/>
    <w:rsid w:val="001E204F"/>
    <w:rsid w:val="001F4412"/>
    <w:rsid w:val="00203604"/>
    <w:rsid w:val="002064F7"/>
    <w:rsid w:val="00240887"/>
    <w:rsid w:val="00263521"/>
    <w:rsid w:val="002A7D21"/>
    <w:rsid w:val="002C0FD0"/>
    <w:rsid w:val="002C1EE0"/>
    <w:rsid w:val="002C4139"/>
    <w:rsid w:val="002E1839"/>
    <w:rsid w:val="00301153"/>
    <w:rsid w:val="003079D5"/>
    <w:rsid w:val="00315B1D"/>
    <w:rsid w:val="00323027"/>
    <w:rsid w:val="00354F9A"/>
    <w:rsid w:val="0037370B"/>
    <w:rsid w:val="0037752E"/>
    <w:rsid w:val="00380052"/>
    <w:rsid w:val="0039415D"/>
    <w:rsid w:val="003D18F4"/>
    <w:rsid w:val="003D61C6"/>
    <w:rsid w:val="003E58C2"/>
    <w:rsid w:val="004779AA"/>
    <w:rsid w:val="0049522B"/>
    <w:rsid w:val="00496F3E"/>
    <w:rsid w:val="004A0385"/>
    <w:rsid w:val="004C075C"/>
    <w:rsid w:val="004C7D9F"/>
    <w:rsid w:val="005006C5"/>
    <w:rsid w:val="00551B42"/>
    <w:rsid w:val="00551FF7"/>
    <w:rsid w:val="00574579"/>
    <w:rsid w:val="00574FBB"/>
    <w:rsid w:val="00580C5C"/>
    <w:rsid w:val="00581E1A"/>
    <w:rsid w:val="00590C3B"/>
    <w:rsid w:val="005A021D"/>
    <w:rsid w:val="005A2731"/>
    <w:rsid w:val="005F2EAB"/>
    <w:rsid w:val="0062451B"/>
    <w:rsid w:val="00634DAD"/>
    <w:rsid w:val="00640B60"/>
    <w:rsid w:val="006457EB"/>
    <w:rsid w:val="006531CB"/>
    <w:rsid w:val="006C2C6D"/>
    <w:rsid w:val="006D4161"/>
    <w:rsid w:val="006D786C"/>
    <w:rsid w:val="006E1414"/>
    <w:rsid w:val="006F285F"/>
    <w:rsid w:val="0072219B"/>
    <w:rsid w:val="007474F0"/>
    <w:rsid w:val="00753ADE"/>
    <w:rsid w:val="00773F61"/>
    <w:rsid w:val="007A4EBD"/>
    <w:rsid w:val="007B112B"/>
    <w:rsid w:val="007B5B26"/>
    <w:rsid w:val="007B691A"/>
    <w:rsid w:val="007C1FF6"/>
    <w:rsid w:val="007D61B8"/>
    <w:rsid w:val="007F7FF2"/>
    <w:rsid w:val="00805B42"/>
    <w:rsid w:val="008102AD"/>
    <w:rsid w:val="00810C92"/>
    <w:rsid w:val="008131AD"/>
    <w:rsid w:val="00837997"/>
    <w:rsid w:val="00867FC5"/>
    <w:rsid w:val="00892F80"/>
    <w:rsid w:val="008B4F41"/>
    <w:rsid w:val="008C6F75"/>
    <w:rsid w:val="008E3D8A"/>
    <w:rsid w:val="008E7355"/>
    <w:rsid w:val="009015B2"/>
    <w:rsid w:val="00906E90"/>
    <w:rsid w:val="00906FB1"/>
    <w:rsid w:val="0091051D"/>
    <w:rsid w:val="00933E1C"/>
    <w:rsid w:val="00936F84"/>
    <w:rsid w:val="00940851"/>
    <w:rsid w:val="009679D9"/>
    <w:rsid w:val="009802D2"/>
    <w:rsid w:val="009B757F"/>
    <w:rsid w:val="009C06F0"/>
    <w:rsid w:val="009C6066"/>
    <w:rsid w:val="009D73F5"/>
    <w:rsid w:val="009E1A3F"/>
    <w:rsid w:val="009E53CF"/>
    <w:rsid w:val="009F0BD3"/>
    <w:rsid w:val="00A222E2"/>
    <w:rsid w:val="00A61AD5"/>
    <w:rsid w:val="00A65E62"/>
    <w:rsid w:val="00A73038"/>
    <w:rsid w:val="00A76C99"/>
    <w:rsid w:val="00A81EBE"/>
    <w:rsid w:val="00AC6B95"/>
    <w:rsid w:val="00B00E5C"/>
    <w:rsid w:val="00B4321D"/>
    <w:rsid w:val="00B666B9"/>
    <w:rsid w:val="00B76DC1"/>
    <w:rsid w:val="00B862C0"/>
    <w:rsid w:val="00B97357"/>
    <w:rsid w:val="00BE2DD8"/>
    <w:rsid w:val="00C2305A"/>
    <w:rsid w:val="00C23CC9"/>
    <w:rsid w:val="00C30B3D"/>
    <w:rsid w:val="00C33AE2"/>
    <w:rsid w:val="00C41BEC"/>
    <w:rsid w:val="00C765E0"/>
    <w:rsid w:val="00C8096C"/>
    <w:rsid w:val="00C8100B"/>
    <w:rsid w:val="00C83304"/>
    <w:rsid w:val="00C85B62"/>
    <w:rsid w:val="00CA41D2"/>
    <w:rsid w:val="00CA4A71"/>
    <w:rsid w:val="00CA4F20"/>
    <w:rsid w:val="00CC712C"/>
    <w:rsid w:val="00CD28D9"/>
    <w:rsid w:val="00D05C85"/>
    <w:rsid w:val="00D125D2"/>
    <w:rsid w:val="00D22748"/>
    <w:rsid w:val="00D26918"/>
    <w:rsid w:val="00D37121"/>
    <w:rsid w:val="00D779F7"/>
    <w:rsid w:val="00D87542"/>
    <w:rsid w:val="00D95C20"/>
    <w:rsid w:val="00D97C16"/>
    <w:rsid w:val="00DE088D"/>
    <w:rsid w:val="00DE1DAB"/>
    <w:rsid w:val="00DE20A2"/>
    <w:rsid w:val="00DF0B89"/>
    <w:rsid w:val="00E122EE"/>
    <w:rsid w:val="00E35682"/>
    <w:rsid w:val="00E40C6F"/>
    <w:rsid w:val="00E46EA3"/>
    <w:rsid w:val="00E51C1B"/>
    <w:rsid w:val="00E53DA7"/>
    <w:rsid w:val="00EC6B44"/>
    <w:rsid w:val="00EE37A3"/>
    <w:rsid w:val="00EE57E1"/>
    <w:rsid w:val="00EF3369"/>
    <w:rsid w:val="00EF4539"/>
    <w:rsid w:val="00F36CB4"/>
    <w:rsid w:val="00F402DE"/>
    <w:rsid w:val="00F4385E"/>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F1"/>
    <w:basedOn w:val="Normal"/>
    <w:link w:val="a4"/>
    <w:uiPriority w:val="99"/>
    <w:qFormat/>
    <w:rsid w:val="00574579"/>
    <w:pPr>
      <w:spacing w:line="240" w:lineRule="auto"/>
      <w:ind w:left="720" w:hanging="720"/>
    </w:pPr>
    <w:rPr>
      <w:szCs w:val="20"/>
    </w:rPr>
  </w:style>
  <w:style w:type="character" w:customStyle="1" w:styleId="a4">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styles" Target="styles.xml"/><Relationship Id="rId8" Type="http://schemas.openxmlformats.org/officeDocument/2006/relationships/footer" Target="footer1.xml"/><Relationship Id="rId21" Type="http://schemas.openxmlformats.org/officeDocument/2006/relationships/image" Target="media/image15.png"/><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numbering" Target="numbering.xml"/><Relationship Id="rId7" Type="http://schemas.openxmlformats.org/officeDocument/2006/relationships/header" Target="header2.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image" Target="media/image14.jpeg"/><Relationship Id="rId29" Type="http://schemas.openxmlformats.org/officeDocument/2006/relationships/customXml" Target="../customXml/item4.xml"/><Relationship Id="rId1"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theme" Target="theme/theme1.xml"/><Relationship Id="rId6" Type="http://schemas.openxmlformats.org/officeDocument/2006/relationships/header" Target="header1.xml"/><Relationship Id="rId15" Type="http://schemas.openxmlformats.org/officeDocument/2006/relationships/image" Target="media/image9.jpeg"/><Relationship Id="rId23" Type="http://schemas.openxmlformats.org/officeDocument/2006/relationships/header" Target="header4.xml"/><Relationship Id="rId5" Type="http://schemas.openxmlformats.org/officeDocument/2006/relationships/customXml" Target="../customXml/item1.xml"/><Relationship Id="rId28" Type="http://schemas.openxmlformats.org/officeDocument/2006/relationships/customXml" Target="../customXml/item3.xml"/><Relationship Id="rId10" Type="http://schemas.openxmlformats.org/officeDocument/2006/relationships/image" Target="media/image4.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image" Target="media/image16.jpeg"/><Relationship Id="rId4" Type="http://schemas.openxmlformats.org/officeDocument/2006/relationships/fontTable" Target="fontTable.xml"/><Relationship Id="rId9" Type="http://schemas.openxmlformats.org/officeDocument/2006/relationships/header" Target="header3.xml"/><Relationship Id="rId27" Type="http://schemas.openxmlformats.org/officeDocument/2006/relationships/customXml" Target="../customXml/item2.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BBED7F-A4FE-47F4-803B-795D5016A4A0}">
  <ds:schemaRefs>
    <ds:schemaRef ds:uri="http://schemas.openxmlformats.org/officeDocument/2006/bibliography"/>
  </ds:schemaRefs>
</ds:datastoreItem>
</file>

<file path=customXml/itemProps2.xml><?xml version="1.0" encoding="utf-8"?>
<ds:datastoreItem xmlns:ds="http://schemas.openxmlformats.org/officeDocument/2006/customXml" ds:itemID="{2431BFEA-83CF-4BC9-8C18-CAD38C887525}"/>
</file>

<file path=customXml/itemProps3.xml><?xml version="1.0" encoding="utf-8"?>
<ds:datastoreItem xmlns:ds="http://schemas.openxmlformats.org/officeDocument/2006/customXml" ds:itemID="{1F8731F6-D31E-4474-97FB-F955A310C714}"/>
</file>

<file path=customXml/itemProps4.xml><?xml version="1.0" encoding="utf-8"?>
<ds:datastoreItem xmlns:ds="http://schemas.openxmlformats.org/officeDocument/2006/customXml" ds:itemID="{0542A380-49B0-404E-98C3-A3D2B21FB660}"/>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