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127512" w:rsidP="004614AF">
      <w:pPr>
        <w:spacing w:line="269" w:lineRule="auto"/>
        <w:ind w:left="-285"/>
        <w:jc w:val="center"/>
        <w:rPr>
          <w:rFonts w:ascii="Calibri" w:hAnsi="Calibri" w:cs="Calibri"/>
          <w:b/>
          <w:bCs/>
          <w:color w:val="002060"/>
          <w:sz w:val="80"/>
          <w:szCs w:val="80"/>
          <w:rtl/>
        </w:rPr>
      </w:pPr>
    </w:p>
    <w:p w:rsidR="00127512" w:rsidP="004614AF">
      <w:pPr>
        <w:spacing w:line="269" w:lineRule="auto"/>
        <w:ind w:left="-285"/>
        <w:jc w:val="center"/>
        <w:rPr>
          <w:rFonts w:ascii="Calibri" w:hAnsi="Calibri" w:cs="Calibri"/>
          <w:b/>
          <w:bCs/>
          <w:color w:val="002060"/>
          <w:sz w:val="80"/>
          <w:szCs w:val="80"/>
          <w:rtl/>
        </w:rPr>
      </w:pPr>
    </w:p>
    <w:p w:rsidR="00127512" w:rsidP="004614AF">
      <w:pPr>
        <w:spacing w:line="269" w:lineRule="auto"/>
        <w:ind w:left="-285"/>
        <w:jc w:val="center"/>
        <w:rPr>
          <w:rFonts w:ascii="Calibri" w:hAnsi="Calibri" w:cs="Calibri"/>
          <w:b/>
          <w:bCs/>
          <w:color w:val="002060"/>
          <w:sz w:val="80"/>
          <w:szCs w:val="80"/>
          <w:rtl/>
        </w:rPr>
      </w:pPr>
    </w:p>
    <w:p w:rsidR="00127512" w:rsidP="004614AF">
      <w:pPr>
        <w:spacing w:line="269" w:lineRule="auto"/>
        <w:ind w:left="-285"/>
        <w:jc w:val="center"/>
        <w:rPr>
          <w:rFonts w:ascii="Calibri" w:hAnsi="Calibri" w:cs="Calibri"/>
          <w:b/>
          <w:bCs/>
          <w:color w:val="002060"/>
          <w:sz w:val="80"/>
          <w:szCs w:val="80"/>
          <w:rtl/>
        </w:rPr>
      </w:pPr>
    </w:p>
    <w:p w:rsidR="006E1414" w:rsidP="004614AF">
      <w:pPr>
        <w:spacing w:line="269" w:lineRule="auto"/>
        <w:ind w:left="-285"/>
        <w:jc w:val="center"/>
        <w:rPr>
          <w:rFonts w:ascii="Calibri" w:hAnsi="Calibri" w:cs="Calibri"/>
          <w:b/>
          <w:bCs/>
          <w:color w:val="002060"/>
          <w:sz w:val="80"/>
          <w:szCs w:val="80"/>
          <w:rtl/>
        </w:rPr>
      </w:pPr>
      <w:r w:rsidRPr="0016536A">
        <w:rPr>
          <w:rFonts w:ascii="Calibri" w:hAnsi="Calibri" w:cs="Calibri"/>
          <w:b/>
          <w:bCs/>
          <w:color w:val="002060"/>
          <w:sz w:val="80"/>
          <w:szCs w:val="80"/>
          <w:rtl/>
        </w:rPr>
        <w:t>היערכות מערכת הבריאות בישראל להזדקנות האוכלוסייה</w:t>
      </w:r>
      <w:r w:rsidRPr="0016536A">
        <w:rPr>
          <w:rFonts w:ascii="Calibri" w:hAnsi="Calibri" w:cs="Calibri" w:hint="cs"/>
          <w:b/>
          <w:bCs/>
          <w:color w:val="002060"/>
          <w:sz w:val="80"/>
          <w:szCs w:val="80"/>
          <w:rtl/>
        </w:rPr>
        <w:t xml:space="preserve"> </w:t>
      </w:r>
    </w:p>
    <w:p w:rsidR="006E1414" w:rsidP="004614AF">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4614AF">
      <w:pPr>
        <w:bidi w:val="0"/>
        <w:spacing w:line="269"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16536A" w:rsidRPr="0016536A" w:rsidP="004614AF">
      <w:pPr>
        <w:keepNext/>
        <w:keepLines/>
        <w:spacing w:line="269" w:lineRule="auto"/>
        <w:jc w:val="center"/>
        <w:outlineLvl w:val="0"/>
        <w:rPr>
          <w:rFonts w:eastAsia="Times New Roman"/>
          <w:bCs/>
          <w:szCs w:val="36"/>
          <w:rtl/>
        </w:rPr>
      </w:pPr>
      <w:bookmarkStart w:id="0" w:name="_Hlk212385763"/>
      <w:bookmarkStart w:id="1" w:name="_Hlk213668100"/>
      <w:bookmarkStart w:id="2" w:name="_Hlk222837305"/>
      <w:r w:rsidRPr="0016536A">
        <w:rPr>
          <w:rFonts w:eastAsia="Times New Roman" w:hint="cs"/>
          <w:bCs/>
          <w:szCs w:val="36"/>
          <w:rtl/>
        </w:rPr>
        <w:t>היערכות מערכת הבריאות בישראל להזדקנות האוכלוסייה</w:t>
      </w:r>
    </w:p>
    <w:p w:rsidR="0016536A" w:rsidRPr="0016536A" w:rsidP="004614AF">
      <w:pPr>
        <w:keepNext/>
        <w:keepLines/>
        <w:spacing w:line="269" w:lineRule="auto"/>
        <w:outlineLvl w:val="2"/>
        <w:rPr>
          <w:rFonts w:eastAsia="Times New Roman"/>
          <w:bCs/>
          <w:szCs w:val="28"/>
          <w:u w:val="single"/>
          <w:rtl/>
        </w:rPr>
      </w:pPr>
    </w:p>
    <w:p w:rsidR="0016536A" w:rsidRPr="0016536A" w:rsidP="004614AF">
      <w:pPr>
        <w:keepNext/>
        <w:keepLines/>
        <w:spacing w:line="269" w:lineRule="auto"/>
        <w:outlineLvl w:val="2"/>
        <w:rPr>
          <w:rFonts w:eastAsia="Times New Roman"/>
          <w:bCs/>
          <w:szCs w:val="28"/>
          <w:u w:val="single"/>
          <w:rtl/>
        </w:rPr>
      </w:pPr>
      <w:r w:rsidRPr="0016536A">
        <w:rPr>
          <w:rFonts w:eastAsia="Times New Roman" w:hint="cs"/>
          <w:bCs/>
          <w:szCs w:val="28"/>
          <w:u w:val="single"/>
          <w:rtl/>
        </w:rPr>
        <w:t>מבוא</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העלייה בתוחלת החיים בישראל והזדקנות האוכלוסייה מציבות אתגר משמעותי בפני מערכת הבריאות, שכן הגידול הצפוי במספר הזקנים מעל גיל 65 (להלן - זקנים) ובשיעורם באוכלוסייה משמעותו צריכה מרובה יותר של שירותי בריאות בקופות החולים ובבתי חולים</w:t>
      </w:r>
      <w:r>
        <w:rPr>
          <w:rFonts w:eastAsia="Calibri"/>
          <w:vertAlign w:val="superscript"/>
          <w:rtl/>
        </w:rPr>
        <w:footnoteReference w:id="2"/>
      </w:r>
      <w:r w:rsidRPr="0016536A">
        <w:rPr>
          <w:rFonts w:eastAsia="Calibri" w:hint="cs"/>
          <w:rtl/>
        </w:rPr>
        <w:t xml:space="preserve">. אנשים זקנים חשופים </w:t>
      </w:r>
      <w:r w:rsidRPr="0016536A">
        <w:rPr>
          <w:rFonts w:eastAsia="Calibri"/>
          <w:rtl/>
        </w:rPr>
        <w:t>למחלות</w:t>
      </w:r>
      <w:r w:rsidRPr="0016536A">
        <w:rPr>
          <w:rFonts w:eastAsia="Calibri" w:hint="cs"/>
          <w:rtl/>
        </w:rPr>
        <w:t xml:space="preserve"> בשל שינויים החלים בגוף עם חלוף הזמן, כדוגמת היחלשות </w:t>
      </w:r>
      <w:r w:rsidRPr="0016536A">
        <w:rPr>
          <w:rFonts w:eastAsia="Calibri"/>
          <w:rtl/>
        </w:rPr>
        <w:t>מערכת החיסון</w:t>
      </w:r>
      <w:r w:rsidRPr="0016536A">
        <w:rPr>
          <w:rFonts w:eastAsia="Calibri" w:hint="cs"/>
          <w:rtl/>
        </w:rPr>
        <w:t xml:space="preserve"> ודלדול הרזרבות, ו</w:t>
      </w:r>
      <w:r w:rsidRPr="0016536A">
        <w:rPr>
          <w:rFonts w:eastAsia="Calibri"/>
          <w:rtl/>
        </w:rPr>
        <w:t>נוטים לפתח מחלות כרוניות כ</w:t>
      </w:r>
      <w:r w:rsidRPr="0016536A">
        <w:rPr>
          <w:rFonts w:eastAsia="Calibri" w:hint="cs"/>
          <w:rtl/>
        </w:rPr>
        <w:t>דוגמת</w:t>
      </w:r>
      <w:r w:rsidRPr="0016536A">
        <w:rPr>
          <w:rFonts w:eastAsia="Calibri"/>
          <w:rtl/>
        </w:rPr>
        <w:t xml:space="preserve"> סוכרת </w:t>
      </w:r>
      <w:r w:rsidRPr="0016536A">
        <w:rPr>
          <w:rFonts w:eastAsia="Calibri" w:hint="cs"/>
          <w:rtl/>
        </w:rPr>
        <w:t>ו</w:t>
      </w:r>
      <w:r w:rsidRPr="0016536A">
        <w:rPr>
          <w:rFonts w:eastAsia="Calibri"/>
          <w:rtl/>
        </w:rPr>
        <w:t xml:space="preserve">מחלות לב, </w:t>
      </w:r>
      <w:r w:rsidRPr="0016536A">
        <w:rPr>
          <w:rFonts w:eastAsia="Calibri" w:hint="cs"/>
          <w:rtl/>
        </w:rPr>
        <w:t>מצבים ה</w:t>
      </w:r>
      <w:r w:rsidRPr="0016536A">
        <w:rPr>
          <w:rFonts w:eastAsia="Calibri"/>
          <w:rtl/>
        </w:rPr>
        <w:t>מגביר</w:t>
      </w:r>
      <w:r w:rsidRPr="0016536A">
        <w:rPr>
          <w:rFonts w:eastAsia="Calibri" w:hint="cs"/>
          <w:rtl/>
        </w:rPr>
        <w:t>ים</w:t>
      </w:r>
      <w:r w:rsidRPr="0016536A">
        <w:rPr>
          <w:rFonts w:eastAsia="Calibri"/>
          <w:rtl/>
        </w:rPr>
        <w:t xml:space="preserve"> את הסיכון לסיבוכים </w:t>
      </w:r>
      <w:r w:rsidRPr="0016536A">
        <w:rPr>
          <w:rFonts w:eastAsia="Calibri" w:hint="cs"/>
          <w:rtl/>
        </w:rPr>
        <w:t xml:space="preserve">רפואיים </w:t>
      </w:r>
      <w:r w:rsidRPr="0016536A">
        <w:rPr>
          <w:rFonts w:eastAsia="Calibri"/>
          <w:rtl/>
        </w:rPr>
        <w:t>ולתחלואה נוספת</w:t>
      </w:r>
      <w:r>
        <w:rPr>
          <w:rFonts w:eastAsia="Calibri"/>
          <w:vertAlign w:val="superscript"/>
          <w:rtl/>
        </w:rPr>
        <w:footnoteReference w:id="3"/>
      </w:r>
      <w:r w:rsidRPr="0016536A">
        <w:rPr>
          <w:rFonts w:eastAsia="Calibri"/>
          <w:rtl/>
        </w:rPr>
        <w:t xml:space="preserve">. </w:t>
      </w:r>
      <w:r w:rsidRPr="0016536A">
        <w:rPr>
          <w:rFonts w:eastAsia="Calibri" w:hint="cs"/>
          <w:rtl/>
        </w:rPr>
        <w:t>התרשים שלהלן מציג את שיעור הזקנים שאינם בריאים</w:t>
      </w:r>
      <w:r>
        <w:rPr>
          <w:rFonts w:eastAsia="Calibri"/>
          <w:vertAlign w:val="superscript"/>
          <w:rtl/>
        </w:rPr>
        <w:footnoteReference w:id="4"/>
      </w:r>
      <w:r w:rsidRPr="0016536A">
        <w:rPr>
          <w:rFonts w:eastAsia="Calibri" w:hint="cs"/>
          <w:rtl/>
        </w:rPr>
        <w:t>, החברים באחת מקופות החולים, לפי גיל.</w:t>
      </w: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cs"/>
          <w:rtl/>
        </w:rPr>
        <w:t xml:space="preserve">תרשים 1: </w:t>
      </w:r>
      <w:r w:rsidRPr="0016536A">
        <w:rPr>
          <w:rFonts w:eastAsia="Calibri" w:hint="cs"/>
          <w:b/>
          <w:bCs/>
          <w:rtl/>
        </w:rPr>
        <w:t>שיעור הזקנים שאינם בריאים באחת מקופות החולים, לפי גיל, 2025</w:t>
      </w:r>
    </w:p>
    <w:p w:rsidR="0016536A" w:rsidRPr="0016536A" w:rsidP="004614AF">
      <w:pPr>
        <w:spacing w:line="269" w:lineRule="auto"/>
        <w:jc w:val="center"/>
        <w:rPr>
          <w:rFonts w:eastAsia="Calibri"/>
          <w:rtl/>
        </w:rPr>
      </w:pPr>
      <w:r w:rsidRPr="0016536A">
        <w:rPr>
          <w:rFonts w:eastAsia="Calibri"/>
          <w:noProof/>
        </w:rPr>
        <w:drawing>
          <wp:inline distT="0" distB="0" distL="0" distR="0">
            <wp:extent cx="5231130" cy="2755900"/>
            <wp:effectExtent l="0" t="0" r="7620" b="6350"/>
            <wp:docPr id="12" name="תמונה 12" descr="88: 96%&#10;87: 96%&#10;86: 95%&#10;85: 94%&#10;84: 94%&#10;83: 92%&#10;82: 92%&#10;81: 90%&#10;80: 90%&#10;79: 89%&#10;78: 88%&#10;77: 86%&#10;76: 85%&#10;75: 83%&#10;74: 81%&#10;73: 79%&#10;72: 77%&#10;71: 74%&#10;70: 71%&#10;69: 70%&#10;68: 66%&#10;67: 62%&#10;66: 59%&#10;65: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755900"/>
                    </a:xfrm>
                    <a:prstGeom prst="rect">
                      <a:avLst/>
                    </a:prstGeom>
                    <a:noFill/>
                  </pic:spPr>
                </pic:pic>
              </a:graphicData>
            </a:graphic>
          </wp:inline>
        </w:drawing>
      </w:r>
    </w:p>
    <w:p w:rsidR="0016536A" w:rsidRPr="0016536A" w:rsidP="004614AF">
      <w:pPr>
        <w:spacing w:line="269" w:lineRule="auto"/>
        <w:rPr>
          <w:rFonts w:eastAsia="Calibri"/>
          <w:szCs w:val="20"/>
          <w:rtl/>
        </w:rPr>
      </w:pPr>
      <w:r w:rsidRPr="0016536A">
        <w:rPr>
          <w:rFonts w:eastAsia="Calibri" w:hint="cs"/>
          <w:szCs w:val="20"/>
          <w:rtl/>
        </w:rPr>
        <w:t>על פי נתוני קופת החולים</w:t>
      </w:r>
      <w:r>
        <w:rPr>
          <w:rFonts w:eastAsia="Calibri"/>
          <w:vertAlign w:val="superscript"/>
          <w:rtl/>
        </w:rPr>
        <w:footnoteReference w:id="5"/>
      </w:r>
      <w:r w:rsidRPr="0016536A">
        <w:rPr>
          <w:rFonts w:eastAsia="Calibri" w:hint="cs"/>
          <w:szCs w:val="20"/>
          <w:rtl/>
        </w:rPr>
        <w:t>,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מהתרשים</w:t>
      </w:r>
      <w:r w:rsidRPr="0016536A">
        <w:rPr>
          <w:rFonts w:eastAsia="Calibri"/>
          <w:b/>
          <w:bCs/>
          <w:rtl/>
        </w:rPr>
        <w:t xml:space="preserve"> </w:t>
      </w:r>
      <w:r w:rsidRPr="0016536A">
        <w:rPr>
          <w:rFonts w:eastAsia="Calibri" w:hint="eastAsia"/>
          <w:b/>
          <w:bCs/>
          <w:rtl/>
        </w:rPr>
        <w:t>עולה</w:t>
      </w:r>
      <w:r w:rsidRPr="0016536A">
        <w:rPr>
          <w:rFonts w:eastAsia="Calibri" w:hint="cs"/>
          <w:b/>
          <w:bCs/>
          <w:rtl/>
        </w:rPr>
        <w:t xml:space="preserve"> כי</w:t>
      </w:r>
      <w:r w:rsidRPr="0016536A">
        <w:rPr>
          <w:rFonts w:eastAsia="Calibri"/>
          <w:b/>
          <w:bCs/>
          <w:rtl/>
        </w:rPr>
        <w:t xml:space="preserve"> רוב חברי </w:t>
      </w:r>
      <w:r w:rsidRPr="0016536A">
        <w:rPr>
          <w:rFonts w:eastAsia="Calibri" w:hint="cs"/>
          <w:b/>
          <w:bCs/>
          <w:rtl/>
        </w:rPr>
        <w:t>אחת מקופות החולים הזקנים (קרי, מעל גיל 65)</w:t>
      </w:r>
      <w:r w:rsidRPr="0016536A">
        <w:rPr>
          <w:rFonts w:eastAsia="Calibri"/>
          <w:b/>
          <w:bCs/>
          <w:rtl/>
        </w:rPr>
        <w:t xml:space="preserve"> אינם בריאים, ובקרב בני 75 ומעלה מ</w:t>
      </w:r>
      <w:r w:rsidRPr="0016536A">
        <w:rPr>
          <w:rFonts w:eastAsia="Calibri" w:hint="eastAsia"/>
          <w:b/>
          <w:bCs/>
          <w:rtl/>
        </w:rPr>
        <w:t>גיע</w:t>
      </w:r>
      <w:r w:rsidRPr="0016536A">
        <w:rPr>
          <w:rFonts w:eastAsia="Calibri"/>
          <w:b/>
          <w:bCs/>
          <w:rtl/>
        </w:rPr>
        <w:t xml:space="preserve"> </w:t>
      </w:r>
      <w:r w:rsidRPr="0016536A">
        <w:rPr>
          <w:rFonts w:eastAsia="Calibri" w:hint="eastAsia"/>
          <w:b/>
          <w:bCs/>
          <w:rtl/>
        </w:rPr>
        <w:t>שיעור</w:t>
      </w:r>
      <w:r w:rsidRPr="0016536A">
        <w:rPr>
          <w:rFonts w:eastAsia="Calibri"/>
          <w:b/>
          <w:bCs/>
          <w:rtl/>
        </w:rPr>
        <w:t xml:space="preserve"> </w:t>
      </w:r>
      <w:r w:rsidRPr="0016536A">
        <w:rPr>
          <w:rFonts w:eastAsia="Calibri" w:hint="eastAsia"/>
          <w:b/>
          <w:bCs/>
          <w:rtl/>
        </w:rPr>
        <w:t>החברים</w:t>
      </w:r>
      <w:r w:rsidRPr="0016536A">
        <w:rPr>
          <w:rFonts w:eastAsia="Calibri"/>
          <w:b/>
          <w:bCs/>
          <w:rtl/>
        </w:rPr>
        <w:t xml:space="preserve"> </w:t>
      </w:r>
      <w:r w:rsidRPr="0016536A">
        <w:rPr>
          <w:rFonts w:eastAsia="Calibri" w:hint="eastAsia"/>
          <w:b/>
          <w:bCs/>
          <w:rtl/>
        </w:rPr>
        <w:t>שאינם</w:t>
      </w:r>
      <w:r w:rsidRPr="0016536A">
        <w:rPr>
          <w:rFonts w:eastAsia="Calibri"/>
          <w:b/>
          <w:bCs/>
          <w:rtl/>
        </w:rPr>
        <w:t xml:space="preserve"> </w:t>
      </w:r>
      <w:r w:rsidRPr="0016536A">
        <w:rPr>
          <w:rFonts w:eastAsia="Calibri" w:hint="eastAsia"/>
          <w:b/>
          <w:bCs/>
          <w:rtl/>
        </w:rPr>
        <w:t>בריאים</w:t>
      </w:r>
      <w:r w:rsidRPr="0016536A">
        <w:rPr>
          <w:rFonts w:eastAsia="Calibri"/>
          <w:b/>
          <w:bCs/>
          <w:rtl/>
        </w:rPr>
        <w:t xml:space="preserve"> </w:t>
      </w:r>
      <w:r w:rsidRPr="0016536A">
        <w:rPr>
          <w:rFonts w:eastAsia="Calibri" w:hint="eastAsia"/>
          <w:b/>
          <w:bCs/>
          <w:rtl/>
        </w:rPr>
        <w:t>לכדי</w:t>
      </w:r>
      <w:r w:rsidRPr="0016536A">
        <w:rPr>
          <w:rFonts w:eastAsia="Calibri"/>
          <w:b/>
          <w:bCs/>
          <w:rtl/>
        </w:rPr>
        <w:t xml:space="preserve"> 83% - 96%.</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התרשים שלהלן מציג את שיעור הזקנים </w:t>
      </w:r>
      <w:bookmarkStart w:id="3" w:name="tempMark"/>
      <w:bookmarkEnd w:id="3"/>
      <w:r w:rsidRPr="0016536A">
        <w:rPr>
          <w:rFonts w:eastAsia="Calibri" w:hint="cs"/>
          <w:rtl/>
        </w:rPr>
        <w:t>המדרגים את בריאותם כטובה או טובה מאוד, בהשוואה בין-לאומית בקרב מדינות ה-</w:t>
      </w:r>
      <w:r w:rsidRPr="0016536A">
        <w:rPr>
          <w:rFonts w:eastAsia="Calibri" w:hint="cs"/>
        </w:rPr>
        <w:t>OECD</w:t>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eastAsia"/>
          <w:rtl/>
        </w:rPr>
        <w:t>תרשים</w:t>
      </w:r>
      <w:r w:rsidRPr="0016536A">
        <w:rPr>
          <w:rFonts w:eastAsia="Calibri" w:hint="cs"/>
        </w:rPr>
        <w:t xml:space="preserve"> </w:t>
      </w:r>
      <w:r w:rsidRPr="0016536A">
        <w:rPr>
          <w:rFonts w:eastAsia="Calibri" w:hint="cs"/>
          <w:rtl/>
        </w:rPr>
        <w:t>2</w:t>
      </w:r>
      <w:r w:rsidRPr="0016536A">
        <w:rPr>
          <w:rFonts w:eastAsia="Calibri"/>
          <w:rtl/>
        </w:rPr>
        <w:t>:</w:t>
      </w:r>
      <w:r w:rsidRPr="0016536A">
        <w:rPr>
          <w:rFonts w:eastAsia="Calibri" w:hint="cs"/>
          <w:b/>
          <w:bCs/>
          <w:rtl/>
        </w:rPr>
        <w:t xml:space="preserve"> שיעור הזקנים המדרגים את בריאותם כטובה או טובה מאוד במדינות ה-</w:t>
      </w:r>
      <w:r w:rsidRPr="0016536A">
        <w:rPr>
          <w:rFonts w:eastAsia="Calibri" w:hint="cs"/>
          <w:b/>
          <w:bCs/>
        </w:rPr>
        <w:t>OECD</w:t>
      </w:r>
      <w:r w:rsidRPr="0016536A">
        <w:rPr>
          <w:rFonts w:eastAsia="Calibri" w:hint="cs"/>
          <w:b/>
          <w:bCs/>
          <w:rtl/>
        </w:rPr>
        <w:t>, 2021</w:t>
      </w:r>
    </w:p>
    <w:p w:rsidR="0016536A" w:rsidRPr="0016536A" w:rsidP="004614AF">
      <w:pPr>
        <w:spacing w:line="269" w:lineRule="auto"/>
        <w:rPr>
          <w:rFonts w:eastAsia="Calibri"/>
          <w:b/>
          <w:bCs/>
          <w:rtl/>
        </w:rPr>
      </w:pPr>
      <w:r w:rsidRPr="0016536A">
        <w:rPr>
          <w:rFonts w:eastAsia="Calibri"/>
          <w:b/>
          <w:bCs/>
          <w:noProof/>
        </w:rPr>
        <w:drawing>
          <wp:inline distT="0" distB="0" distL="0" distR="0">
            <wp:extent cx="5284470" cy="2517718"/>
            <wp:effectExtent l="0" t="0" r="0" b="0"/>
            <wp:docPr id="89" name="תמונה 89" descr="התרשים מציג שאת שיעור הזקנים שמדרגים את בריאותם כטובה או טובה מאוד, לדוגמה, ליטה - 10%, יפן - 26%, וניו זילנד -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42642" cy="2545433"/>
                    </a:xfrm>
                    <a:prstGeom prst="rect">
                      <a:avLst/>
                    </a:prstGeom>
                    <a:noFill/>
                  </pic:spPr>
                </pic:pic>
              </a:graphicData>
            </a:graphic>
          </wp:inline>
        </w:drawing>
      </w:r>
    </w:p>
    <w:p w:rsidR="0016536A" w:rsidRPr="0016536A" w:rsidP="004614AF">
      <w:pPr>
        <w:spacing w:line="269" w:lineRule="auto"/>
        <w:jc w:val="left"/>
        <w:rPr>
          <w:rFonts w:eastAsia="Calibri"/>
          <w:sz w:val="16"/>
          <w:szCs w:val="20"/>
          <w:rtl/>
        </w:rPr>
      </w:pPr>
      <w:r w:rsidRPr="0016536A">
        <w:rPr>
          <w:rFonts w:eastAsia="Calibri" w:hint="eastAsia"/>
          <w:sz w:val="16"/>
          <w:szCs w:val="20"/>
          <w:rtl/>
        </w:rPr>
        <w:t>על</w:t>
      </w:r>
      <w:r w:rsidRPr="0016536A">
        <w:rPr>
          <w:rFonts w:eastAsia="Calibri"/>
          <w:sz w:val="16"/>
          <w:szCs w:val="20"/>
          <w:rtl/>
        </w:rPr>
        <w:t xml:space="preserve"> פי </w:t>
      </w:r>
      <w:r w:rsidRPr="0016536A">
        <w:rPr>
          <w:rFonts w:eastAsia="Calibri"/>
          <w:sz w:val="16"/>
          <w:szCs w:val="20"/>
        </w:rPr>
        <w:t>OECD Health Statistics 2023</w:t>
      </w:r>
      <w:r w:rsidRPr="0016536A">
        <w:rPr>
          <w:rFonts w:eastAsia="Calibri" w:hint="cs"/>
          <w:sz w:val="16"/>
          <w:szCs w:val="20"/>
          <w:rtl/>
        </w:rPr>
        <w:t>, בעיבוד משרד מבקר המדינה</w:t>
      </w:r>
      <w:r>
        <w:rPr>
          <w:rFonts w:eastAsia="Calibri"/>
          <w:sz w:val="16"/>
          <w:vertAlign w:val="superscript"/>
          <w:rtl/>
        </w:rPr>
        <w:footnoteReference w:id="6"/>
      </w:r>
      <w:r w:rsidRPr="0016536A">
        <w:rPr>
          <w:rFonts w:eastAsia="Calibri" w:hint="cs"/>
          <w:sz w:val="16"/>
          <w:szCs w:val="20"/>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מהתרשים עולה כי שיעור הזקנים בישראל המדרגים את בריאותם כטובה או טובה מאוד עמד על 43% ב-2021</w:t>
      </w:r>
      <w:r>
        <w:rPr>
          <w:rFonts w:eastAsia="Calibri"/>
          <w:b/>
          <w:bCs/>
          <w:vertAlign w:val="superscript"/>
          <w:rtl/>
        </w:rPr>
        <w:footnoteReference w:id="7"/>
      </w:r>
      <w:r w:rsidRPr="0016536A">
        <w:rPr>
          <w:rFonts w:eastAsia="Calibri" w:hint="cs"/>
          <w:b/>
          <w:bCs/>
          <w:rtl/>
        </w:rPr>
        <w:t>, שיעור הנמוך מממוצע ה-</w:t>
      </w:r>
      <w:r w:rsidRPr="0016536A">
        <w:rPr>
          <w:rFonts w:eastAsia="Calibri" w:hint="cs"/>
          <w:b/>
          <w:bCs/>
        </w:rPr>
        <w:t>OECD</w:t>
      </w:r>
      <w:r w:rsidRPr="0016536A">
        <w:rPr>
          <w:rFonts w:eastAsia="Calibri" w:hint="cs"/>
          <w:b/>
          <w:bCs/>
          <w:rtl/>
        </w:rPr>
        <w:t xml:space="preserve"> (46%).</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rtl/>
        </w:rPr>
        <w:t>חוק ביטוח בריאות ממלכתי, התשנ"ד</w:t>
      </w:r>
      <w:r w:rsidRPr="0016536A">
        <w:rPr>
          <w:rFonts w:eastAsia="Calibri" w:hint="cs"/>
          <w:rtl/>
        </w:rPr>
        <w:t>-</w:t>
      </w:r>
      <w:r w:rsidRPr="0016536A">
        <w:rPr>
          <w:rFonts w:eastAsia="Calibri"/>
          <w:rtl/>
        </w:rPr>
        <w:t>1994</w:t>
      </w:r>
      <w:r>
        <w:rPr>
          <w:rFonts w:eastAsia="Calibri"/>
          <w:vertAlign w:val="superscript"/>
          <w:rtl/>
        </w:rPr>
        <w:footnoteReference w:id="8"/>
      </w:r>
      <w:r w:rsidRPr="0016536A">
        <w:rPr>
          <w:rFonts w:eastAsia="Calibri" w:hint="cs"/>
          <w:rtl/>
        </w:rPr>
        <w:t xml:space="preserve"> (</w:t>
      </w:r>
      <w:r w:rsidRPr="0016536A">
        <w:rPr>
          <w:rFonts w:eastAsia="Calibri"/>
          <w:rtl/>
        </w:rPr>
        <w:t>להלן - חוק ביטוח בריאות</w:t>
      </w:r>
      <w:r w:rsidRPr="0016536A">
        <w:rPr>
          <w:rFonts w:eastAsia="Calibri" w:hint="cs"/>
          <w:rtl/>
        </w:rPr>
        <w:t xml:space="preserve">), קובע כי כל תושב במדינת ישראל </w:t>
      </w:r>
      <w:r w:rsidRPr="0016536A">
        <w:rPr>
          <w:rFonts w:eastAsia="Calibri"/>
          <w:rtl/>
        </w:rPr>
        <w:t>זכאי לקבל שירותי בריאות בהתאם לסל השירותים הקבוע בחוק, באמצעות</w:t>
      </w:r>
      <w:r w:rsidRPr="0016536A">
        <w:rPr>
          <w:rFonts w:eastAsia="Calibri" w:hint="cs"/>
          <w:rtl/>
        </w:rPr>
        <w:t xml:space="preserve"> </w:t>
      </w:r>
      <w:r w:rsidRPr="0016536A">
        <w:rPr>
          <w:rFonts w:eastAsia="Calibri"/>
          <w:rtl/>
        </w:rPr>
        <w:t xml:space="preserve">אחת מארבע קופות החולים </w:t>
      </w:r>
      <w:r w:rsidRPr="0016536A">
        <w:rPr>
          <w:rFonts w:eastAsia="Calibri" w:hint="cs"/>
          <w:rtl/>
        </w:rPr>
        <w:t>(</w:t>
      </w:r>
      <w:r w:rsidRPr="0016536A">
        <w:rPr>
          <w:rFonts w:eastAsia="Calibri"/>
          <w:rtl/>
        </w:rPr>
        <w:t>להלן - הקופות</w:t>
      </w:r>
      <w:r w:rsidRPr="0016536A">
        <w:rPr>
          <w:rFonts w:eastAsia="Calibri" w:hint="cs"/>
          <w:rtl/>
        </w:rPr>
        <w:t xml:space="preserve"> או קופות החולים)</w:t>
      </w:r>
      <w:r w:rsidRPr="0016536A">
        <w:rPr>
          <w:rFonts w:eastAsia="Calibri"/>
          <w:rtl/>
        </w:rPr>
        <w:t xml:space="preserve">, לפי בחירתו: שירותי בריאות כללית </w:t>
      </w:r>
      <w:r w:rsidRPr="0016536A">
        <w:rPr>
          <w:rFonts w:eastAsia="Calibri" w:hint="cs"/>
          <w:rtl/>
        </w:rPr>
        <w:t>(</w:t>
      </w:r>
      <w:r w:rsidRPr="0016536A">
        <w:rPr>
          <w:rFonts w:eastAsia="Calibri"/>
          <w:rtl/>
        </w:rPr>
        <w:t>להלן -</w:t>
      </w:r>
      <w:r w:rsidRPr="0016536A">
        <w:rPr>
          <w:rFonts w:eastAsia="Calibri" w:hint="cs"/>
          <w:rtl/>
        </w:rPr>
        <w:t xml:space="preserve"> כללית), מכבי שירותי בריאות (להלן - מכבי), קופת חולים מאוחדת (להלן - מאוחדת) ולאומית שירותי בריאות (להלן - לאומית). שירותים אלה כוללים, בין היתר, שירותי רפואה מונעת וטיפול במחלות.</w:t>
      </w:r>
    </w:p>
    <w:p w:rsidR="0016536A" w:rsidRPr="0016536A" w:rsidP="004614AF">
      <w:pPr>
        <w:spacing w:line="269" w:lineRule="auto"/>
        <w:rPr>
          <w:rFonts w:eastAsia="Calibri"/>
          <w:rtl/>
        </w:rPr>
      </w:pPr>
    </w:p>
    <w:p w:rsidR="004614AF" w:rsidP="004614AF">
      <w:pPr>
        <w:spacing w:line="269" w:lineRule="auto"/>
        <w:rPr>
          <w:rFonts w:eastAsia="Calibri"/>
          <w:rtl/>
        </w:rPr>
      </w:pPr>
      <w:r w:rsidRPr="0016536A">
        <w:rPr>
          <w:rFonts w:eastAsia="Calibri" w:hint="cs"/>
          <w:rtl/>
        </w:rPr>
        <w:t>בשנת 2025 היו כ-1.3 מיליון זקנים חברים בארבע קופות החולים, שהם כ-13% מכלל חברי הקופות, בחלוקה המוצגת בתרשימים שלהלן:</w:t>
      </w:r>
    </w:p>
    <w:p w:rsidR="004614AF" w:rsidP="004614AF">
      <w:pPr>
        <w:bidi w:val="0"/>
        <w:spacing w:line="269" w:lineRule="auto"/>
        <w:rPr>
          <w:rFonts w:eastAsia="Calibri"/>
          <w:rtl/>
        </w:rPr>
      </w:pPr>
      <w:r>
        <w:rPr>
          <w:rFonts w:eastAsia="Calibri"/>
          <w:rtl/>
        </w:rPr>
        <w:br w:type="page"/>
      </w:r>
    </w:p>
    <w:tbl>
      <w:tblPr>
        <w:tblStyle w:val="TableGrid"/>
        <w:bidiVisual/>
        <w:tblW w:w="0" w:type="auto"/>
        <w:tblLook w:val="04A0"/>
      </w:tblPr>
      <w:tblGrid>
        <w:gridCol w:w="4086"/>
        <w:gridCol w:w="4124"/>
      </w:tblGrid>
      <w:tr w:rsidTr="004614AF">
        <w:tblPrEx>
          <w:tblW w:w="0" w:type="auto"/>
          <w:tblLook w:val="04A0"/>
        </w:tblPrEx>
        <w:tc>
          <w:tcPr>
            <w:tcW w:w="4086" w:type="dxa"/>
            <w:tcBorders>
              <w:top w:val="single" w:sz="4" w:space="0" w:color="D9D9D9"/>
              <w:left w:val="single" w:sz="4" w:space="0" w:color="D9D9D9"/>
              <w:bottom w:val="single" w:sz="4" w:space="0" w:color="D9D9D9"/>
              <w:right w:val="single" w:sz="4" w:space="0" w:color="D9D9D9"/>
            </w:tcBorders>
          </w:tcPr>
          <w:p w:rsidR="0016536A" w:rsidRPr="004614AF" w:rsidP="004614AF">
            <w:pPr>
              <w:spacing w:line="269" w:lineRule="auto"/>
              <w:jc w:val="center"/>
              <w:rPr>
                <w:rFonts w:eastAsia="Calibri"/>
                <w:b/>
                <w:bCs/>
                <w:sz w:val="22"/>
                <w:szCs w:val="22"/>
                <w:rtl/>
              </w:rPr>
            </w:pPr>
            <w:r w:rsidRPr="004614AF">
              <w:rPr>
                <w:rFonts w:eastAsia="Calibri" w:hint="eastAsia"/>
                <w:sz w:val="22"/>
                <w:szCs w:val="22"/>
                <w:rtl/>
              </w:rPr>
              <w:t>תרש</w:t>
            </w:r>
            <w:r w:rsidRPr="004614AF">
              <w:rPr>
                <w:rFonts w:eastAsia="Calibri" w:hint="cs"/>
                <w:sz w:val="22"/>
                <w:szCs w:val="22"/>
                <w:rtl/>
              </w:rPr>
              <w:t>ים 3:</w:t>
            </w:r>
            <w:r w:rsidRPr="004614AF">
              <w:rPr>
                <w:rFonts w:eastAsia="Calibri" w:hint="cs"/>
                <w:b/>
                <w:bCs/>
                <w:sz w:val="22"/>
                <w:szCs w:val="22"/>
                <w:rtl/>
              </w:rPr>
              <w:t xml:space="preserve"> שיעור חברי הקופה הזקנים מתוך כלל חברי כל קופה, 2025</w:t>
            </w:r>
          </w:p>
        </w:tc>
        <w:tc>
          <w:tcPr>
            <w:tcW w:w="4124" w:type="dxa"/>
            <w:tcBorders>
              <w:top w:val="single" w:sz="4" w:space="0" w:color="D9D9D9"/>
              <w:left w:val="single" w:sz="4" w:space="0" w:color="D9D9D9"/>
              <w:bottom w:val="single" w:sz="4" w:space="0" w:color="D9D9D9"/>
              <w:right w:val="single" w:sz="4" w:space="0" w:color="D9D9D9"/>
            </w:tcBorders>
          </w:tcPr>
          <w:p w:rsidR="0016536A" w:rsidRPr="004614AF" w:rsidP="004614AF">
            <w:pPr>
              <w:spacing w:line="269" w:lineRule="auto"/>
              <w:jc w:val="center"/>
              <w:rPr>
                <w:rFonts w:eastAsia="Calibri"/>
                <w:b/>
                <w:bCs/>
                <w:sz w:val="22"/>
                <w:szCs w:val="22"/>
                <w:rtl/>
              </w:rPr>
            </w:pPr>
            <w:r w:rsidRPr="004614AF">
              <w:rPr>
                <w:rFonts w:eastAsia="Calibri" w:hint="eastAsia"/>
                <w:sz w:val="22"/>
                <w:szCs w:val="22"/>
                <w:rtl/>
              </w:rPr>
              <w:t>תרשים</w:t>
            </w:r>
            <w:r w:rsidRPr="004614AF">
              <w:rPr>
                <w:rFonts w:eastAsia="Calibri" w:hint="cs"/>
                <w:sz w:val="22"/>
                <w:szCs w:val="22"/>
                <w:rtl/>
              </w:rPr>
              <w:t xml:space="preserve"> 4</w:t>
            </w:r>
            <w:r w:rsidRPr="004614AF">
              <w:rPr>
                <w:rFonts w:eastAsia="Calibri"/>
                <w:sz w:val="22"/>
                <w:szCs w:val="22"/>
                <w:rtl/>
              </w:rPr>
              <w:t>:</w:t>
            </w:r>
            <w:r w:rsidRPr="004614AF">
              <w:rPr>
                <w:rFonts w:eastAsia="Calibri" w:hint="cs"/>
                <w:b/>
                <w:bCs/>
                <w:sz w:val="22"/>
                <w:szCs w:val="22"/>
                <w:rtl/>
              </w:rPr>
              <w:t xml:space="preserve"> מספר הזקנים החברים בכל קופת חולים ושיעורם מתוך כלל הזקנים, 2025</w:t>
            </w:r>
          </w:p>
        </w:tc>
      </w:tr>
      <w:tr w:rsidTr="004614AF">
        <w:tblPrEx>
          <w:tblW w:w="0" w:type="auto"/>
          <w:tblLook w:val="04A0"/>
        </w:tblPrEx>
        <w:trPr>
          <w:trHeight w:val="3752"/>
        </w:trPr>
        <w:tc>
          <w:tcPr>
            <w:tcW w:w="4086" w:type="dxa"/>
            <w:tcBorders>
              <w:top w:val="single" w:sz="4" w:space="0" w:color="D9D9D9"/>
              <w:left w:val="single" w:sz="4" w:space="0" w:color="D9D9D9"/>
              <w:bottom w:val="single" w:sz="4" w:space="0" w:color="D9D9D9"/>
              <w:right w:val="single" w:sz="4" w:space="0" w:color="D9D9D9"/>
            </w:tcBorders>
          </w:tcPr>
          <w:p w:rsidR="0016536A" w:rsidRPr="004614AF" w:rsidP="004614AF">
            <w:pPr>
              <w:spacing w:line="269" w:lineRule="auto"/>
              <w:rPr>
                <w:rFonts w:ascii="Almoni ML v5 AAA" w:eastAsia="Calibri" w:hAnsi="Almoni ML v5 AAA" w:cs="Almoni ML v5 AAA"/>
                <w:sz w:val="22"/>
                <w:szCs w:val="22"/>
                <w:rtl/>
              </w:rPr>
            </w:pPr>
            <w:r w:rsidRPr="004614AF">
              <w:rPr>
                <w:rFonts w:ascii="Almoni ML v5 AAA" w:eastAsia="Calibri" w:hAnsi="Almoni ML v5 AAA" w:cs="Almoni ML v5 AAA"/>
                <w:noProof/>
                <w:sz w:val="22"/>
                <w:szCs w:val="22"/>
              </w:rPr>
              <w:drawing>
                <wp:inline distT="0" distB="0" distL="0" distR="0">
                  <wp:extent cx="2456815" cy="2536190"/>
                  <wp:effectExtent l="0" t="0" r="635" b="0"/>
                  <wp:docPr id="13" name="תמונה 13" descr="133,285&#10;10%&#10;&#10;89,622&#10;12%&#10;&#10;341,474&#10;13%&#10;&#10;701,886&#1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6815" cy="2536190"/>
                          </a:xfrm>
                          <a:prstGeom prst="rect">
                            <a:avLst/>
                          </a:prstGeom>
                          <a:noFill/>
                        </pic:spPr>
                      </pic:pic>
                    </a:graphicData>
                  </a:graphic>
                </wp:inline>
              </w:drawing>
            </w:r>
          </w:p>
        </w:tc>
        <w:tc>
          <w:tcPr>
            <w:tcW w:w="4124" w:type="dxa"/>
            <w:tcBorders>
              <w:top w:val="single" w:sz="4" w:space="0" w:color="D9D9D9"/>
              <w:left w:val="single" w:sz="4" w:space="0" w:color="D9D9D9"/>
              <w:bottom w:val="single" w:sz="4" w:space="0" w:color="D9D9D9"/>
              <w:right w:val="single" w:sz="4" w:space="0" w:color="D9D9D9"/>
            </w:tcBorders>
          </w:tcPr>
          <w:p w:rsidR="0016536A" w:rsidRPr="004614AF" w:rsidP="004614AF">
            <w:pPr>
              <w:spacing w:line="269" w:lineRule="auto"/>
              <w:rPr>
                <w:rFonts w:eastAsia="Calibri"/>
                <w:sz w:val="22"/>
                <w:szCs w:val="22"/>
                <w:rtl/>
              </w:rPr>
            </w:pPr>
            <w:r w:rsidRPr="004614AF">
              <w:rPr>
                <w:rFonts w:eastAsia="Calibri"/>
                <w:noProof/>
                <w:sz w:val="22"/>
                <w:szCs w:val="22"/>
              </w:rPr>
              <w:drawing>
                <wp:inline distT="0" distB="0" distL="0" distR="0">
                  <wp:extent cx="2426335" cy="2316480"/>
                  <wp:effectExtent l="0" t="0" r="0" b="0"/>
                  <wp:docPr id="14" name="תמונה 14" descr="89,622&#10;7%&#10;&#10;133,285&#10;11%&#10;&#10;701,986&#10;55%&#10;&#10;341,474&#10;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426335" cy="2316480"/>
                          </a:xfrm>
                          <a:prstGeom prst="rect">
                            <a:avLst/>
                          </a:prstGeom>
                          <a:noFill/>
                        </pic:spPr>
                      </pic:pic>
                    </a:graphicData>
                  </a:graphic>
                </wp:inline>
              </w:drawing>
            </w:r>
          </w:p>
        </w:tc>
      </w:tr>
      <w:tr w:rsidTr="004614AF">
        <w:tblPrEx>
          <w:tblW w:w="0" w:type="auto"/>
          <w:tblLook w:val="04A0"/>
        </w:tblPrEx>
        <w:tc>
          <w:tcPr>
            <w:tcW w:w="8210" w:type="dxa"/>
            <w:gridSpan w:val="2"/>
            <w:tcBorders>
              <w:top w:val="nil"/>
              <w:left w:val="single" w:sz="4" w:space="0" w:color="D9D9D9"/>
              <w:bottom w:val="single" w:sz="4" w:space="0" w:color="D9D9D9"/>
              <w:right w:val="single" w:sz="4" w:space="0" w:color="D9D9D9"/>
            </w:tcBorders>
          </w:tcPr>
          <w:p w:rsidR="0016536A" w:rsidRPr="004614AF" w:rsidP="004614AF">
            <w:pPr>
              <w:spacing w:line="269" w:lineRule="auto"/>
              <w:jc w:val="center"/>
              <w:rPr>
                <w:rFonts w:eastAsia="Calibri"/>
                <w:sz w:val="22"/>
                <w:szCs w:val="22"/>
                <w:rtl/>
              </w:rPr>
            </w:pPr>
            <w:r w:rsidRPr="004614AF">
              <w:rPr>
                <w:rFonts w:eastAsia="Calibri"/>
                <w:noProof/>
                <w:sz w:val="22"/>
                <w:szCs w:val="22"/>
              </w:rPr>
              <w:drawing>
                <wp:inline distT="0" distB="0" distL="0" distR="0">
                  <wp:extent cx="2629535" cy="45720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9535" cy="457200"/>
                          </a:xfrm>
                          <a:prstGeom prst="rect">
                            <a:avLst/>
                          </a:prstGeom>
                          <a:noFill/>
                        </pic:spPr>
                      </pic:pic>
                    </a:graphicData>
                  </a:graphic>
                </wp:inline>
              </w:drawing>
            </w:r>
          </w:p>
        </w:tc>
      </w:tr>
    </w:tbl>
    <w:p w:rsidR="0016536A" w:rsidRPr="0016536A" w:rsidP="004614AF">
      <w:pPr>
        <w:spacing w:line="269" w:lineRule="auto"/>
        <w:rPr>
          <w:rFonts w:eastAsia="Calibri"/>
          <w:rtl/>
        </w:rPr>
      </w:pPr>
      <w:r w:rsidRPr="0016536A">
        <w:rPr>
          <w:rFonts w:eastAsia="Calibri" w:hint="cs"/>
          <w:szCs w:val="20"/>
          <w:rtl/>
        </w:rPr>
        <w:t>על פי נתוני המוסד לביטוח לאומי, בעיבוד משרד מבקר המדינה</w:t>
      </w:r>
      <w:r>
        <w:rPr>
          <w:rFonts w:eastAsia="Calibri"/>
          <w:vertAlign w:val="superscript"/>
          <w:rtl/>
        </w:rPr>
        <w:footnoteReference w:id="9"/>
      </w:r>
      <w:r w:rsidRPr="0016536A">
        <w:rPr>
          <w:rFonts w:eastAsia="Calibri" w:hint="cs"/>
          <w:szCs w:val="20"/>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מהתרשי</w:t>
      </w:r>
      <w:r w:rsidRPr="0016536A">
        <w:rPr>
          <w:rFonts w:eastAsia="Calibri" w:hint="cs"/>
          <w:b/>
          <w:bCs/>
          <w:rtl/>
        </w:rPr>
        <w:t>מי</w:t>
      </w:r>
      <w:r w:rsidRPr="0016536A">
        <w:rPr>
          <w:rFonts w:eastAsia="Calibri" w:hint="eastAsia"/>
          <w:b/>
          <w:bCs/>
          <w:rtl/>
        </w:rPr>
        <w:t>ם</w:t>
      </w:r>
      <w:r w:rsidRPr="0016536A">
        <w:rPr>
          <w:rFonts w:eastAsia="Calibri"/>
          <w:b/>
          <w:bCs/>
          <w:rtl/>
        </w:rPr>
        <w:t xml:space="preserve"> </w:t>
      </w:r>
      <w:r w:rsidRPr="0016536A">
        <w:rPr>
          <w:rFonts w:eastAsia="Calibri" w:hint="eastAsia"/>
          <w:b/>
          <w:bCs/>
          <w:rtl/>
        </w:rPr>
        <w:t>עולה</w:t>
      </w:r>
      <w:r w:rsidRPr="0016536A">
        <w:rPr>
          <w:rFonts w:eastAsia="Calibri" w:hint="cs"/>
          <w:b/>
          <w:bCs/>
          <w:rtl/>
        </w:rPr>
        <w:t xml:space="preserve"> כי יותר ממחצית חברי הקופות בני 65 ומעלה חברים בכללית, כרבע במכבי, והשאר במאוחדת ובלאומית. כן עולה כי קיימת שונות בין הקופות בשיעור חבריהן הזקנים מתוך כלל חברי הקופה, כך ששיעור חברי הקופה הזקנים בכללית (כ-14% - שהם 701,986 מתוך </w:t>
      </w:r>
      <w:r w:rsidRPr="0016536A">
        <w:rPr>
          <w:rFonts w:eastAsia="Calibri"/>
          <w:b/>
          <w:bCs/>
          <w:rtl/>
        </w:rPr>
        <w:t>4</w:t>
      </w:r>
      <w:r w:rsidRPr="0016536A">
        <w:rPr>
          <w:rFonts w:eastAsia="Calibri" w:hint="cs"/>
          <w:b/>
          <w:bCs/>
          <w:rtl/>
        </w:rPr>
        <w:t>,</w:t>
      </w:r>
      <w:r w:rsidRPr="0016536A">
        <w:rPr>
          <w:rFonts w:eastAsia="Calibri"/>
          <w:b/>
          <w:bCs/>
          <w:rtl/>
        </w:rPr>
        <w:t>892</w:t>
      </w:r>
      <w:r w:rsidRPr="0016536A">
        <w:rPr>
          <w:rFonts w:eastAsia="Calibri" w:hint="cs"/>
          <w:b/>
          <w:bCs/>
          <w:rtl/>
        </w:rPr>
        <w:t>,</w:t>
      </w:r>
      <w:r w:rsidRPr="0016536A">
        <w:rPr>
          <w:rFonts w:eastAsia="Calibri"/>
          <w:b/>
          <w:bCs/>
          <w:rtl/>
        </w:rPr>
        <w:t>628</w:t>
      </w:r>
      <w:r w:rsidRPr="0016536A">
        <w:rPr>
          <w:rFonts w:eastAsia="Calibri" w:hint="cs"/>
          <w:b/>
          <w:bCs/>
          <w:rtl/>
        </w:rPr>
        <w:t xml:space="preserve"> חברים בכללית) גבוה ב-40% משיעורם במאוחדת (כ-10% - שהם 133,285 מתוך</w:t>
      </w:r>
      <w:r w:rsidRPr="0016536A">
        <w:rPr>
          <w:rFonts w:eastAsia="Calibri"/>
          <w:rtl/>
        </w:rPr>
        <w:t xml:space="preserve"> </w:t>
      </w:r>
      <w:r w:rsidRPr="0016536A">
        <w:rPr>
          <w:rFonts w:eastAsia="Calibri"/>
          <w:b/>
          <w:bCs/>
          <w:rtl/>
        </w:rPr>
        <w:t>1</w:t>
      </w:r>
      <w:r w:rsidRPr="0016536A">
        <w:rPr>
          <w:rFonts w:eastAsia="Calibri" w:hint="cs"/>
          <w:b/>
          <w:bCs/>
          <w:rtl/>
        </w:rPr>
        <w:t>,</w:t>
      </w:r>
      <w:r w:rsidRPr="0016536A">
        <w:rPr>
          <w:rFonts w:eastAsia="Calibri"/>
          <w:b/>
          <w:bCs/>
          <w:rtl/>
        </w:rPr>
        <w:t>352</w:t>
      </w:r>
      <w:r w:rsidRPr="0016536A">
        <w:rPr>
          <w:rFonts w:eastAsia="Calibri" w:hint="cs"/>
          <w:b/>
          <w:bCs/>
          <w:rtl/>
        </w:rPr>
        <w:t>,</w:t>
      </w:r>
      <w:r w:rsidRPr="0016536A">
        <w:rPr>
          <w:rFonts w:eastAsia="Calibri"/>
          <w:b/>
          <w:bCs/>
          <w:rtl/>
        </w:rPr>
        <w:t>041</w:t>
      </w:r>
      <w:r w:rsidRPr="0016536A">
        <w:rPr>
          <w:rFonts w:eastAsia="Calibri" w:hint="cs"/>
          <w:b/>
          <w:bCs/>
          <w:rtl/>
        </w:rPr>
        <w:t xml:space="preserve">); בתווך - מכבי ולאומית (כ-13% -שהם 341,474 מתוך </w:t>
      </w:r>
      <w:r w:rsidRPr="0016536A">
        <w:rPr>
          <w:rFonts w:eastAsia="Calibri"/>
          <w:b/>
          <w:bCs/>
          <w:rtl/>
        </w:rPr>
        <w:t>2</w:t>
      </w:r>
      <w:r w:rsidRPr="0016536A">
        <w:rPr>
          <w:rFonts w:eastAsia="Calibri" w:hint="cs"/>
          <w:b/>
          <w:bCs/>
          <w:rtl/>
        </w:rPr>
        <w:t>,</w:t>
      </w:r>
      <w:r w:rsidRPr="0016536A">
        <w:rPr>
          <w:rFonts w:eastAsia="Calibri"/>
          <w:b/>
          <w:bCs/>
          <w:rtl/>
        </w:rPr>
        <w:t>645</w:t>
      </w:r>
      <w:r w:rsidRPr="0016536A">
        <w:rPr>
          <w:rFonts w:eastAsia="Calibri" w:hint="cs"/>
          <w:b/>
          <w:bCs/>
          <w:rtl/>
        </w:rPr>
        <w:t>,</w:t>
      </w:r>
      <w:r w:rsidRPr="0016536A">
        <w:rPr>
          <w:rFonts w:eastAsia="Calibri"/>
          <w:b/>
          <w:bCs/>
          <w:rtl/>
        </w:rPr>
        <w:t>662</w:t>
      </w:r>
      <w:r w:rsidRPr="0016536A">
        <w:rPr>
          <w:rFonts w:eastAsia="Calibri" w:hint="cs"/>
          <w:b/>
          <w:bCs/>
          <w:rtl/>
        </w:rPr>
        <w:t xml:space="preserve"> וכ-12% - שהם 89,622 מתוך </w:t>
      </w:r>
      <w:r w:rsidRPr="0016536A">
        <w:rPr>
          <w:rFonts w:eastAsia="Calibri"/>
          <w:b/>
          <w:bCs/>
          <w:rtl/>
        </w:rPr>
        <w:t>727</w:t>
      </w:r>
      <w:r w:rsidRPr="0016536A">
        <w:rPr>
          <w:rFonts w:eastAsia="Calibri" w:hint="cs"/>
          <w:b/>
          <w:bCs/>
          <w:rtl/>
        </w:rPr>
        <w:t>,</w:t>
      </w:r>
      <w:r w:rsidRPr="0016536A">
        <w:rPr>
          <w:rFonts w:eastAsia="Calibri"/>
          <w:b/>
          <w:bCs/>
          <w:rtl/>
        </w:rPr>
        <w:t>233</w:t>
      </w:r>
      <w:r w:rsidRPr="0016536A">
        <w:rPr>
          <w:rFonts w:eastAsia="Calibri" w:hint="cs"/>
          <w:b/>
          <w:bCs/>
          <w:rtl/>
        </w:rPr>
        <w:t xml:space="preserve">, בהתאמה). הבדלים אלה </w:t>
      </w:r>
      <w:r w:rsidRPr="0016536A">
        <w:rPr>
          <w:rFonts w:eastAsia="Calibri"/>
          <w:b/>
          <w:bCs/>
          <w:rtl/>
        </w:rPr>
        <w:t>עשויים להשפיע על רמת העומס, הצרכים הרפואיים</w:t>
      </w:r>
      <w:r w:rsidRPr="0016536A">
        <w:rPr>
          <w:rFonts w:eastAsia="Calibri" w:hint="cs"/>
          <w:b/>
          <w:bCs/>
          <w:rtl/>
        </w:rPr>
        <w:t>, ההוצאות הכספיות</w:t>
      </w:r>
      <w:r w:rsidRPr="0016536A">
        <w:rPr>
          <w:rFonts w:eastAsia="Calibri"/>
          <w:b/>
          <w:bCs/>
          <w:rtl/>
        </w:rPr>
        <w:t xml:space="preserve"> והתכנון הנדרש מכל קופה.</w:t>
      </w:r>
      <w:r w:rsidRPr="0016536A">
        <w:rPr>
          <w:rFonts w:eastAsia="Calibri" w:hint="cs"/>
          <w:b/>
          <w:b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תקציב משרד הבריאות לשנת 2025 עומד על כ-62 מיליארד ש"ח</w:t>
      </w:r>
      <w:r>
        <w:rPr>
          <w:rFonts w:eastAsia="Calibri"/>
          <w:sz w:val="16"/>
          <w:vertAlign w:val="superscript"/>
          <w:rtl/>
        </w:rPr>
        <w:footnoteReference w:id="10"/>
      </w:r>
      <w:r w:rsidRPr="0016536A">
        <w:rPr>
          <w:rFonts w:eastAsia="Calibri" w:hint="cs"/>
          <w:rtl/>
        </w:rPr>
        <w:t>. אומנם כאמור שיעור האוכלוסייה הזקנה הוא רק כ-13% מחברי קופות החולים, אך היא צורכת שיעור גבוה משמעותית של שירותי בריאות. הוצאה זו אף צפויה לגדול עם השנים, כמוצג בתרשים שלהלן:</w:t>
      </w: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992FBD" w:rsidP="00992FBD">
      <w:pPr>
        <w:spacing w:line="269" w:lineRule="auto"/>
        <w:jc w:val="center"/>
        <w:rPr>
          <w:rFonts w:eastAsia="Calibri"/>
          <w:b/>
          <w:bCs/>
          <w:rtl/>
        </w:rPr>
      </w:pPr>
      <w:r w:rsidRPr="0016536A">
        <w:rPr>
          <w:rFonts w:eastAsia="Calibri" w:hint="cs"/>
          <w:rtl/>
        </w:rPr>
        <w:t xml:space="preserve">תרשים 5: </w:t>
      </w:r>
      <w:r w:rsidRPr="0016536A">
        <w:rPr>
          <w:rFonts w:eastAsia="Calibri" w:hint="cs"/>
          <w:b/>
          <w:bCs/>
          <w:rtl/>
        </w:rPr>
        <w:t>דוגמאות ל</w:t>
      </w:r>
      <w:r w:rsidRPr="0016536A">
        <w:rPr>
          <w:rFonts w:eastAsia="Calibri" w:hint="eastAsia"/>
          <w:b/>
          <w:bCs/>
          <w:rtl/>
        </w:rPr>
        <w:t>אומדני</w:t>
      </w:r>
      <w:r w:rsidRPr="0016536A">
        <w:rPr>
          <w:rFonts w:eastAsia="Calibri" w:hint="cs"/>
          <w:b/>
          <w:bCs/>
          <w:rtl/>
        </w:rPr>
        <w:t>ם של</w:t>
      </w:r>
      <w:r w:rsidRPr="0016536A">
        <w:rPr>
          <w:rFonts w:eastAsia="Calibri"/>
          <w:b/>
          <w:bCs/>
          <w:rtl/>
        </w:rPr>
        <w:t xml:space="preserve"> </w:t>
      </w:r>
      <w:r w:rsidRPr="0016536A">
        <w:rPr>
          <w:rFonts w:eastAsia="Calibri" w:hint="eastAsia"/>
          <w:b/>
          <w:bCs/>
          <w:rtl/>
        </w:rPr>
        <w:t>שיעור</w:t>
      </w:r>
      <w:r w:rsidRPr="0016536A">
        <w:rPr>
          <w:rFonts w:eastAsia="Calibri"/>
          <w:b/>
          <w:bCs/>
          <w:rtl/>
        </w:rPr>
        <w:t xml:space="preserve"> </w:t>
      </w:r>
      <w:r w:rsidRPr="0016536A">
        <w:rPr>
          <w:rFonts w:eastAsia="Calibri" w:hint="eastAsia"/>
          <w:b/>
          <w:bCs/>
          <w:rtl/>
        </w:rPr>
        <w:t>הוצאה</w:t>
      </w:r>
      <w:r w:rsidRPr="0016536A">
        <w:rPr>
          <w:rFonts w:eastAsia="Calibri"/>
          <w:b/>
          <w:bCs/>
          <w:rtl/>
        </w:rPr>
        <w:t xml:space="preserve"> </w:t>
      </w:r>
      <w:r w:rsidRPr="0016536A">
        <w:rPr>
          <w:rFonts w:eastAsia="Calibri" w:hint="cs"/>
          <w:b/>
          <w:bCs/>
          <w:rtl/>
        </w:rPr>
        <w:t>לזקנים</w:t>
      </w:r>
      <w:r w:rsidRPr="0016536A">
        <w:rPr>
          <w:rFonts w:eastAsia="Calibri"/>
          <w:b/>
          <w:bCs/>
          <w:rtl/>
        </w:rPr>
        <w:t xml:space="preserve"> </w:t>
      </w:r>
      <w:r w:rsidRPr="0016536A">
        <w:rPr>
          <w:rFonts w:eastAsia="Calibri" w:hint="eastAsia"/>
          <w:b/>
          <w:bCs/>
          <w:rtl/>
        </w:rPr>
        <w:t>מכלל</w:t>
      </w:r>
      <w:r w:rsidRPr="0016536A">
        <w:rPr>
          <w:rFonts w:eastAsia="Calibri"/>
          <w:b/>
          <w:bCs/>
          <w:rtl/>
        </w:rPr>
        <w:t xml:space="preserve"> </w:t>
      </w:r>
      <w:r w:rsidRPr="0016536A">
        <w:rPr>
          <w:rFonts w:eastAsia="Calibri" w:hint="eastAsia"/>
          <w:b/>
          <w:bCs/>
          <w:rtl/>
        </w:rPr>
        <w:t>ההוצאה</w:t>
      </w:r>
      <w:r w:rsidRPr="0016536A">
        <w:rPr>
          <w:rFonts w:eastAsia="Calibri"/>
          <w:b/>
          <w:bCs/>
          <w:rtl/>
        </w:rPr>
        <w:t xml:space="preserve"> </w:t>
      </w:r>
      <w:r w:rsidRPr="0016536A">
        <w:rPr>
          <w:rFonts w:eastAsia="Calibri" w:hint="cs"/>
          <w:b/>
          <w:bCs/>
          <w:rtl/>
        </w:rPr>
        <w:t xml:space="preserve">על </w:t>
      </w:r>
      <w:r w:rsidRPr="0016536A">
        <w:rPr>
          <w:rFonts w:eastAsia="Calibri" w:hint="eastAsia"/>
          <w:b/>
          <w:bCs/>
          <w:rtl/>
        </w:rPr>
        <w:t>בריאות</w:t>
      </w:r>
      <w:r w:rsidRPr="0016536A">
        <w:rPr>
          <w:rFonts w:eastAsia="Calibri"/>
          <w:b/>
          <w:bCs/>
          <w:rtl/>
        </w:rPr>
        <w:t xml:space="preserve"> </w:t>
      </w:r>
      <w:r w:rsidRPr="0016536A">
        <w:rPr>
          <w:rFonts w:eastAsia="Calibri" w:hint="eastAsia"/>
          <w:b/>
          <w:bCs/>
          <w:rtl/>
        </w:rPr>
        <w:t>בישראל</w:t>
      </w:r>
      <w:r w:rsidRPr="0016536A">
        <w:rPr>
          <w:rFonts w:eastAsia="Calibri" w:hint="cs"/>
          <w:b/>
          <w:bCs/>
          <w:rtl/>
        </w:rPr>
        <w:t>, 2018 - 2050</w:t>
      </w:r>
      <w:r w:rsidRPr="0016536A">
        <w:rPr>
          <w:rFonts w:eastAsia="Calibri" w:hint="cs"/>
          <w:rtl/>
        </w:rPr>
        <w:t xml:space="preserve">, </w:t>
      </w:r>
      <w:r w:rsidRPr="0016536A">
        <w:rPr>
          <w:rFonts w:eastAsia="Calibri" w:hint="eastAsia"/>
          <w:b/>
          <w:bCs/>
          <w:rtl/>
        </w:rPr>
        <w:t>באחוזים</w:t>
      </w:r>
    </w:p>
    <w:p w:rsidR="00992FBD" w:rsidP="004614AF">
      <w:pPr>
        <w:spacing w:line="269" w:lineRule="auto"/>
        <w:jc w:val="center"/>
        <w:rPr>
          <w:rFonts w:eastAsia="Calibri"/>
          <w:b/>
          <w:bCs/>
          <w:rtl/>
        </w:rPr>
      </w:pPr>
      <w:r>
        <w:rPr>
          <w:rFonts w:ascii="Tahoma" w:eastAsia="Calibri" w:hAnsi="Tahoma" w:cs="Tahoma"/>
          <w:noProof/>
          <w:sz w:val="19"/>
          <w:szCs w:val="19"/>
          <w:rtl/>
          <w:lang w:val="he-IL"/>
        </w:rPr>
        <w:drawing>
          <wp:inline distT="0" distB="0" distL="0" distR="0">
            <wp:extent cx="5151120" cy="3792220"/>
            <wp:effectExtent l="0" t="0" r="0" b="0"/>
            <wp:docPr id="3" name="תמונה 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רשים בריאות.JP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r="1314"/>
                    <a:stretch>
                      <a:fillRect/>
                    </a:stretch>
                  </pic:blipFill>
                  <pic:spPr bwMode="auto">
                    <a:xfrm>
                      <a:off x="0" y="0"/>
                      <a:ext cx="5151120" cy="37922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6536A" w:rsidRPr="0016536A" w:rsidP="004614AF">
      <w:pPr>
        <w:spacing w:line="269" w:lineRule="auto"/>
        <w:rPr>
          <w:rFonts w:eastAsia="Calibri"/>
          <w:sz w:val="16"/>
          <w:szCs w:val="20"/>
          <w:rtl/>
        </w:rPr>
      </w:pPr>
      <w:r w:rsidRPr="0016536A">
        <w:rPr>
          <w:rFonts w:eastAsia="Calibri" w:hint="eastAsia"/>
          <w:sz w:val="16"/>
          <w:szCs w:val="20"/>
          <w:rtl/>
        </w:rPr>
        <w:t>על</w:t>
      </w:r>
      <w:r w:rsidRPr="0016536A">
        <w:rPr>
          <w:rFonts w:eastAsia="Calibri"/>
          <w:sz w:val="16"/>
          <w:szCs w:val="20"/>
          <w:rtl/>
        </w:rPr>
        <w:t xml:space="preserve"> </w:t>
      </w:r>
      <w:r w:rsidRPr="0016536A">
        <w:rPr>
          <w:rFonts w:eastAsia="Calibri" w:hint="eastAsia"/>
          <w:sz w:val="16"/>
          <w:szCs w:val="20"/>
          <w:rtl/>
        </w:rPr>
        <w:t>פי</w:t>
      </w:r>
      <w:r w:rsidRPr="0016536A">
        <w:rPr>
          <w:rFonts w:eastAsia="Calibri"/>
          <w:sz w:val="16"/>
          <w:szCs w:val="20"/>
          <w:rtl/>
        </w:rPr>
        <w:t xml:space="preserve"> </w:t>
      </w:r>
      <w:r w:rsidRPr="0016536A">
        <w:rPr>
          <w:rFonts w:eastAsia="Calibri" w:hint="eastAsia"/>
          <w:sz w:val="16"/>
          <w:szCs w:val="20"/>
          <w:rtl/>
        </w:rPr>
        <w:t>נתוני</w:t>
      </w:r>
      <w:r w:rsidRPr="0016536A">
        <w:rPr>
          <w:rFonts w:eastAsia="Calibri"/>
          <w:sz w:val="16"/>
          <w:szCs w:val="20"/>
          <w:rtl/>
        </w:rPr>
        <w:t xml:space="preserve"> </w:t>
      </w:r>
      <w:r w:rsidRPr="0016536A">
        <w:rPr>
          <w:rFonts w:eastAsia="Calibri" w:hint="eastAsia"/>
          <w:sz w:val="16"/>
          <w:szCs w:val="20"/>
          <w:rtl/>
        </w:rPr>
        <w:t>משרד</w:t>
      </w:r>
      <w:r w:rsidRPr="0016536A">
        <w:rPr>
          <w:rFonts w:eastAsia="Calibri"/>
          <w:sz w:val="16"/>
          <w:szCs w:val="20"/>
          <w:rtl/>
        </w:rPr>
        <w:t xml:space="preserve"> </w:t>
      </w:r>
      <w:r w:rsidRPr="0016536A">
        <w:rPr>
          <w:rFonts w:eastAsia="Calibri" w:hint="eastAsia"/>
          <w:sz w:val="16"/>
          <w:szCs w:val="20"/>
          <w:rtl/>
        </w:rPr>
        <w:t>הבריאות</w:t>
      </w:r>
      <w:r>
        <w:rPr>
          <w:rFonts w:eastAsia="Calibri"/>
          <w:sz w:val="12"/>
          <w:szCs w:val="20"/>
          <w:vertAlign w:val="superscript"/>
          <w:rtl/>
        </w:rPr>
        <w:footnoteReference w:id="11"/>
      </w:r>
      <w:r w:rsidRPr="0016536A">
        <w:rPr>
          <w:rFonts w:eastAsia="Calibri"/>
          <w:sz w:val="16"/>
          <w:szCs w:val="20"/>
          <w:rtl/>
        </w:rPr>
        <w:t xml:space="preserve">, </w:t>
      </w:r>
      <w:r w:rsidRPr="0016536A">
        <w:rPr>
          <w:rFonts w:eastAsia="Calibri" w:hint="eastAsia"/>
          <w:sz w:val="16"/>
          <w:szCs w:val="20"/>
          <w:rtl/>
        </w:rPr>
        <w:t>בעיבוד</w:t>
      </w:r>
      <w:r w:rsidRPr="0016536A">
        <w:rPr>
          <w:rFonts w:eastAsia="Calibri"/>
          <w:sz w:val="16"/>
          <w:szCs w:val="20"/>
          <w:rtl/>
        </w:rPr>
        <w:t xml:space="preserve"> </w:t>
      </w:r>
      <w:r w:rsidRPr="0016536A">
        <w:rPr>
          <w:rFonts w:eastAsia="Calibri" w:hint="eastAsia"/>
          <w:sz w:val="16"/>
          <w:szCs w:val="20"/>
          <w:rtl/>
        </w:rPr>
        <w:t>משרד</w:t>
      </w:r>
      <w:r w:rsidRPr="0016536A">
        <w:rPr>
          <w:rFonts w:eastAsia="Calibri"/>
          <w:sz w:val="16"/>
          <w:szCs w:val="20"/>
          <w:rtl/>
        </w:rPr>
        <w:t xml:space="preserve"> </w:t>
      </w:r>
      <w:r w:rsidRPr="0016536A">
        <w:rPr>
          <w:rFonts w:eastAsia="Calibri" w:hint="eastAsia"/>
          <w:sz w:val="16"/>
          <w:szCs w:val="20"/>
          <w:rtl/>
        </w:rPr>
        <w:t>מבקר</w:t>
      </w:r>
      <w:r w:rsidRPr="0016536A">
        <w:rPr>
          <w:rFonts w:eastAsia="Calibri"/>
          <w:sz w:val="16"/>
          <w:szCs w:val="20"/>
          <w:rtl/>
        </w:rPr>
        <w:t xml:space="preserve"> </w:t>
      </w:r>
      <w:r w:rsidRPr="0016536A">
        <w:rPr>
          <w:rFonts w:eastAsia="Calibri" w:hint="eastAsia"/>
          <w:sz w:val="16"/>
          <w:szCs w:val="20"/>
          <w:rtl/>
        </w:rPr>
        <w:t>המדינה</w:t>
      </w:r>
      <w:r w:rsidRPr="0016536A">
        <w:rPr>
          <w:rFonts w:eastAsia="Calibri" w:hint="cs"/>
          <w:sz w:val="16"/>
          <w:szCs w:val="20"/>
          <w:rtl/>
        </w:rPr>
        <w:t>.</w:t>
      </w:r>
      <w:r w:rsidRPr="0016536A">
        <w:rPr>
          <w:rFonts w:ascii="Almoni ML v5 AAA Light" w:eastAsia="Calibri" w:hAnsi="Almoni ML v5 AAA Light" w:cs="Almoni ML v5 AAA Light"/>
          <w:color w:val="000000"/>
          <w:szCs w:val="20"/>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אף ששיעורם הצפוי של הזקנים יעמוד ב-2030 על 14% וב-2050 על 15%</w:t>
      </w:r>
      <w:r>
        <w:rPr>
          <w:rFonts w:eastAsia="Calibri"/>
          <w:b/>
          <w:bCs/>
          <w:vertAlign w:val="superscript"/>
          <w:rtl/>
        </w:rPr>
        <w:footnoteReference w:id="12"/>
      </w:r>
      <w:r w:rsidRPr="0016536A">
        <w:rPr>
          <w:rFonts w:eastAsia="Calibri" w:hint="cs"/>
          <w:b/>
          <w:bCs/>
          <w:rtl/>
        </w:rPr>
        <w:t>, מן הדוגמאות המוצגות בתרשים עולה כי שיעורי הוצאות שירותי הבריאות שלהם יעמדו על 40% - 52% בשנת 2030 ועל 44% - 57% בשנת 2050 מתוך כלל הוצאות שירותי הבריאות, הוצאות אשר ילכו ויגדלו עם השנים. כתוצאה מכך, העלויות למערכת הבריאות צפויות לעלות בהתאם.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הערכת המצב האסטרטגית כלכלית-חברתית של המועצה הלאומית לכלכלה משנת 2015</w:t>
      </w:r>
      <w:r>
        <w:rPr>
          <w:rFonts w:eastAsia="Calibri"/>
          <w:vertAlign w:val="superscript"/>
          <w:rtl/>
        </w:rPr>
        <w:footnoteReference w:id="13"/>
      </w:r>
      <w:r w:rsidRPr="0016536A">
        <w:rPr>
          <w:rFonts w:eastAsia="Calibri" w:hint="cs"/>
          <w:rtl/>
        </w:rPr>
        <w:t xml:space="preserve"> (להלן - הערכת המצב האסטרטגית) הציגה את הזדקנות האוכלוסייה כאחד מהאתגרים הניצבים בפני המדינה, וקבעה, בין היתר, כי על מערכת הבריאות להיערך להזדקנות האוכלוסייה במיוחד בהיבטי כוח אדם ותשתיות, שכן הצפי הוא שמספר הזקנים ילך ויעלה, ואיתו גם העומס על שירותי הבריאות. הממשלה אימצה ב-2015 את הערכת המצב האסטרטגית בהחלטת ה</w:t>
      </w:r>
      <w:r w:rsidRPr="0016536A">
        <w:rPr>
          <w:rFonts w:eastAsia="Calibri"/>
          <w:rtl/>
        </w:rPr>
        <w:t xml:space="preserve">ממשלה 150 בנושא "קידום הסוגיה האסטרטגית </w:t>
      </w:r>
      <w:r w:rsidRPr="0016536A">
        <w:rPr>
          <w:rFonts w:eastAsia="Calibri" w:hint="cs"/>
          <w:rtl/>
        </w:rPr>
        <w:t>'</w:t>
      </w:r>
      <w:r w:rsidRPr="0016536A">
        <w:rPr>
          <w:rFonts w:eastAsia="Calibri"/>
          <w:rtl/>
        </w:rPr>
        <w:t>היערכות להזדקנות האוכלוסייה</w:t>
      </w:r>
      <w:r w:rsidRPr="0016536A">
        <w:rPr>
          <w:rFonts w:eastAsia="Calibri" w:hint="cs"/>
          <w:rtl/>
        </w:rPr>
        <w:t>'</w:t>
      </w:r>
      <w:r w:rsidRPr="0016536A">
        <w:rPr>
          <w:rFonts w:eastAsia="Calibri"/>
          <w:rtl/>
        </w:rPr>
        <w:t xml:space="preserve"> כנגזרת מהערכת המצב האסטרטגית כלכלית-חברתית לממשלה"</w:t>
      </w:r>
      <w:r>
        <w:rPr>
          <w:rFonts w:eastAsia="Calibri"/>
          <w:vertAlign w:val="superscript"/>
          <w:rtl/>
        </w:rPr>
        <w:footnoteReference w:id="14"/>
      </w:r>
      <w:r w:rsidRPr="0016536A">
        <w:rPr>
          <w:rFonts w:eastAsia="Calibri" w:hint="cs"/>
          <w:rtl/>
        </w:rPr>
        <w:t xml:space="preserve"> (להלן - החלטה 150), ורשמה לפניה את הודעת שר הבריאות ומנכ"ל משרד הבריאות כי החלו בגיבוש תוכנית מקיפה להיערכות מערכת הבריאות להזדקנות האוכלוסייה.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בהחלטת הממשלה 127 מ-2021 בנושא "מפת</w:t>
      </w:r>
      <w:r w:rsidRPr="0016536A">
        <w:rPr>
          <w:rFonts w:eastAsia="Calibri"/>
          <w:rtl/>
        </w:rPr>
        <w:t xml:space="preserve"> </w:t>
      </w:r>
      <w:r w:rsidRPr="0016536A">
        <w:rPr>
          <w:rFonts w:eastAsia="Calibri" w:hint="cs"/>
          <w:rtl/>
        </w:rPr>
        <w:t>מדדים</w:t>
      </w:r>
      <w:r w:rsidRPr="0016536A">
        <w:rPr>
          <w:rFonts w:eastAsia="Calibri"/>
          <w:rtl/>
        </w:rPr>
        <w:t xml:space="preserve"> </w:t>
      </w:r>
      <w:r w:rsidRPr="0016536A">
        <w:rPr>
          <w:rFonts w:eastAsia="Calibri" w:hint="cs"/>
          <w:rtl/>
        </w:rPr>
        <w:t>לאומיים</w:t>
      </w:r>
      <w:r w:rsidRPr="0016536A">
        <w:rPr>
          <w:rFonts w:eastAsia="Calibri"/>
          <w:rtl/>
        </w:rPr>
        <w:t xml:space="preserve"> </w:t>
      </w:r>
      <w:r w:rsidRPr="0016536A">
        <w:rPr>
          <w:rFonts w:eastAsia="Calibri" w:hint="cs"/>
          <w:rtl/>
        </w:rPr>
        <w:t>להזדקנות</w:t>
      </w:r>
      <w:r w:rsidRPr="0016536A">
        <w:rPr>
          <w:rFonts w:eastAsia="Calibri"/>
          <w:rtl/>
        </w:rPr>
        <w:t xml:space="preserve"> </w:t>
      </w:r>
      <w:r w:rsidRPr="0016536A">
        <w:rPr>
          <w:rFonts w:eastAsia="Calibri" w:hint="cs"/>
          <w:rtl/>
        </w:rPr>
        <w:t>מיטבית"</w:t>
      </w:r>
      <w:r>
        <w:rPr>
          <w:rFonts w:eastAsia="Calibri"/>
          <w:vertAlign w:val="superscript"/>
          <w:rtl/>
        </w:rPr>
        <w:footnoteReference w:id="15"/>
      </w:r>
      <w:r w:rsidRPr="0016536A">
        <w:rPr>
          <w:rFonts w:eastAsia="Calibri" w:hint="cs"/>
          <w:rtl/>
        </w:rPr>
        <w:t xml:space="preserve"> (להלן - החלטה 127) אימצה הממשלה את מפת המדדים להזדקנות מיטבית. מפת המדדים להזדקנות </w:t>
      </w:r>
      <w:r w:rsidRPr="0016536A">
        <w:rPr>
          <w:rFonts w:eastAsia="Calibri" w:hint="cs"/>
          <w:rtl/>
        </w:rPr>
        <w:t>מיטבית</w:t>
      </w:r>
      <w:r>
        <w:rPr>
          <w:rFonts w:eastAsia="Calibri"/>
          <w:vertAlign w:val="superscript"/>
          <w:rtl/>
        </w:rPr>
        <w:footnoteReference w:id="16"/>
      </w:r>
      <w:r w:rsidRPr="0016536A">
        <w:rPr>
          <w:rFonts w:eastAsia="Calibri" w:hint="cs"/>
          <w:rtl/>
        </w:rPr>
        <w:t xml:space="preserve"> ממפה בין היתר מדדי בריאות בנוגע לשיעור השנים הבריאות ומספרן מתוך תוחלת החיים בגיל 65 (להלן - תוחלת חיים בריאים</w:t>
      </w:r>
      <w:r>
        <w:rPr>
          <w:rFonts w:eastAsia="Calibri"/>
          <w:vertAlign w:val="superscript"/>
          <w:rtl/>
        </w:rPr>
        <w:footnoteReference w:id="17"/>
      </w:r>
      <w:r w:rsidRPr="0016536A">
        <w:rPr>
          <w:rFonts w:eastAsia="Calibri" w:hint="cs"/>
          <w:rtl/>
        </w:rPr>
        <w:t xml:space="preserve">) ומדדים של תפקוד בפעולות יומיומיות ובניהול משק הבית.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החלטה 127 קבעה כי הלשכה המרכזית לסטטיסטיקה (להלן - הלמ"ס) תמדוד מדדים אלה ותפרסם את תוצאות המדידה אחת לשנתיים; במסגרת זו הלמ"ס מפרסמת תוצאות מדדי בריאות נוספים, כגון שיעור הימצאות של מחלות הסרטן, סוכרת ושבץ מוחי בקרב זקנים. בתרשים שלהלן מוצגות דוגמאות של כמה מדדים אשר נמדדים ומפורסמים על ידי הלמ"ס.</w:t>
      </w:r>
    </w:p>
    <w:p w:rsidR="0016536A" w:rsidRPr="0016536A" w:rsidP="004614AF">
      <w:pPr>
        <w:spacing w:line="269" w:lineRule="auto"/>
        <w:rPr>
          <w:rFonts w:eastAsia="Calibri"/>
          <w:rtl/>
        </w:rPr>
      </w:pPr>
    </w:p>
    <w:p w:rsidR="0016536A" w:rsidRPr="0016536A" w:rsidP="00BB532B">
      <w:pPr>
        <w:spacing w:after="120" w:line="269" w:lineRule="auto"/>
        <w:jc w:val="center"/>
        <w:rPr>
          <w:rFonts w:eastAsia="Calibri"/>
          <w:b/>
          <w:bCs/>
          <w:rtl/>
        </w:rPr>
      </w:pPr>
      <w:bookmarkStart w:id="5" w:name="_Hlk212481892"/>
      <w:r w:rsidRPr="0016536A">
        <w:rPr>
          <w:rFonts w:eastAsia="Calibri" w:hint="cs"/>
          <w:rtl/>
        </w:rPr>
        <w:t xml:space="preserve">תרשים 6: </w:t>
      </w:r>
      <w:r w:rsidRPr="0016536A">
        <w:rPr>
          <w:rFonts w:eastAsia="Calibri" w:hint="cs"/>
          <w:b/>
          <w:bCs/>
          <w:rtl/>
        </w:rPr>
        <w:t xml:space="preserve">דוגמאות למדדים שנמדדים ומפורסמים על ידי הלשכה המרכזית לסטטיסטיקה - </w:t>
      </w:r>
      <w:r w:rsidRPr="0016536A">
        <w:rPr>
          <w:rFonts w:eastAsia="Calibri" w:hint="eastAsia"/>
          <w:b/>
          <w:bCs/>
          <w:rtl/>
        </w:rPr>
        <w:t>שיעור</w:t>
      </w:r>
      <w:r w:rsidRPr="0016536A">
        <w:rPr>
          <w:rFonts w:eastAsia="Calibri" w:hint="cs"/>
          <w:b/>
          <w:bCs/>
          <w:rtl/>
        </w:rPr>
        <w:t xml:space="preserve"> </w:t>
      </w:r>
      <w:r w:rsidRPr="0016536A">
        <w:rPr>
          <w:rFonts w:eastAsia="Calibri"/>
          <w:b/>
          <w:bCs/>
          <w:rtl/>
        </w:rPr>
        <w:t>הימצאות של סוכרת</w:t>
      </w:r>
      <w:r w:rsidRPr="0016536A">
        <w:rPr>
          <w:rFonts w:eastAsia="Calibri" w:hint="cs"/>
          <w:b/>
          <w:bCs/>
          <w:rtl/>
        </w:rPr>
        <w:t xml:space="preserve"> ו</w:t>
      </w:r>
      <w:r w:rsidRPr="0016536A">
        <w:rPr>
          <w:rFonts w:eastAsia="Calibri"/>
          <w:b/>
          <w:bCs/>
          <w:rtl/>
        </w:rPr>
        <w:t>שיעור אשפוזים בבתי חולים כלליים לפחות פעם אחת במהלך השנה</w:t>
      </w:r>
      <w:r w:rsidRPr="0016536A">
        <w:rPr>
          <w:rFonts w:eastAsia="Calibri" w:hint="cs"/>
          <w:b/>
          <w:bCs/>
          <w:rtl/>
        </w:rPr>
        <w:t xml:space="preserve"> בקרב בני 65 ומעלה, </w:t>
      </w:r>
      <w:r w:rsidRPr="0016536A">
        <w:rPr>
          <w:rFonts w:eastAsia="Calibri"/>
          <w:b/>
          <w:bCs/>
          <w:rtl/>
        </w:rPr>
        <w:t>2015 - 2022</w:t>
      </w:r>
    </w:p>
    <w:p w:rsidR="0016536A" w:rsidRPr="0016536A" w:rsidP="004614AF">
      <w:pPr>
        <w:spacing w:line="269" w:lineRule="auto"/>
        <w:jc w:val="center"/>
        <w:rPr>
          <w:rFonts w:eastAsia="Calibri"/>
          <w:sz w:val="16"/>
          <w:szCs w:val="20"/>
        </w:rPr>
      </w:pPr>
      <w:r w:rsidRPr="0016536A">
        <w:rPr>
          <w:rFonts w:eastAsia="Calibri"/>
          <w:noProof/>
          <w:sz w:val="16"/>
          <w:szCs w:val="20"/>
        </w:rPr>
        <w:drawing>
          <wp:inline distT="0" distB="0" distL="0" distR="0">
            <wp:extent cx="5212715" cy="3474720"/>
            <wp:effectExtent l="0" t="0" r="6985" b="0"/>
            <wp:docPr id="451" name="תמונה 451" descr="שיעור הימצאות של סוכרת*:&#10;2022: 33.3%&#10;2021: 32.8%&#10;2020: 34.0%&#10;2019: 33.5%&#10;2018: 32.8%&#10;2017: 32.3%&#10;2016: 31.8%&#10;2015: 32.0%&#10;&#10;שיעור אשפוזים:&#10;2022: 22.8%&#10;2021: 22.4%&#10;2020: 21.3%&#10;2019: 23.6%&#10;2018: 23.9%&#10;2017: 24.3%&#10;2016: 24.5%&#10;2015: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2715" cy="3474720"/>
                    </a:xfrm>
                    <a:prstGeom prst="rect">
                      <a:avLst/>
                    </a:prstGeom>
                    <a:noFill/>
                  </pic:spPr>
                </pic:pic>
              </a:graphicData>
            </a:graphic>
          </wp:inline>
        </w:drawing>
      </w:r>
    </w:p>
    <w:p w:rsidR="0016536A" w:rsidRPr="0016536A" w:rsidP="004614AF">
      <w:pPr>
        <w:spacing w:line="269" w:lineRule="auto"/>
        <w:rPr>
          <w:rFonts w:eastAsia="Calibri"/>
          <w:sz w:val="16"/>
          <w:szCs w:val="20"/>
          <w:rtl/>
        </w:rPr>
      </w:pPr>
      <w:r w:rsidRPr="0016536A">
        <w:rPr>
          <w:rFonts w:eastAsia="Calibri" w:hint="eastAsia"/>
          <w:sz w:val="16"/>
          <w:szCs w:val="20"/>
          <w:rtl/>
        </w:rPr>
        <w:t>על</w:t>
      </w:r>
      <w:r w:rsidRPr="0016536A">
        <w:rPr>
          <w:rFonts w:eastAsia="Calibri"/>
          <w:sz w:val="16"/>
          <w:szCs w:val="20"/>
          <w:rtl/>
        </w:rPr>
        <w:t xml:space="preserve"> פי נתוני </w:t>
      </w:r>
      <w:r w:rsidRPr="0016536A">
        <w:rPr>
          <w:rFonts w:eastAsia="Calibri" w:hint="eastAsia"/>
          <w:sz w:val="16"/>
          <w:szCs w:val="20"/>
          <w:rtl/>
        </w:rPr>
        <w:t>הלמ</w:t>
      </w:r>
      <w:r w:rsidRPr="0016536A">
        <w:rPr>
          <w:rFonts w:eastAsia="Calibri"/>
          <w:sz w:val="16"/>
          <w:szCs w:val="20"/>
          <w:rtl/>
        </w:rPr>
        <w:t>"ס</w:t>
      </w:r>
      <w:r>
        <w:rPr>
          <w:rFonts w:eastAsia="Calibri"/>
          <w:sz w:val="12"/>
          <w:szCs w:val="20"/>
          <w:vertAlign w:val="superscript"/>
          <w:rtl/>
        </w:rPr>
        <w:footnoteReference w:id="18"/>
      </w:r>
      <w:r w:rsidRPr="0016536A">
        <w:rPr>
          <w:rFonts w:eastAsia="Calibri"/>
          <w:sz w:val="16"/>
          <w:szCs w:val="20"/>
          <w:rtl/>
        </w:rPr>
        <w:t xml:space="preserve">, </w:t>
      </w:r>
      <w:r w:rsidRPr="0016536A">
        <w:rPr>
          <w:rFonts w:eastAsia="Calibri" w:hint="eastAsia"/>
          <w:sz w:val="16"/>
          <w:szCs w:val="20"/>
          <w:rtl/>
        </w:rPr>
        <w:t>בעיבוד</w:t>
      </w:r>
      <w:r w:rsidRPr="0016536A">
        <w:rPr>
          <w:rFonts w:eastAsia="Calibri"/>
          <w:sz w:val="16"/>
          <w:szCs w:val="20"/>
          <w:rtl/>
        </w:rPr>
        <w:t xml:space="preserve"> </w:t>
      </w:r>
      <w:r w:rsidRPr="0016536A">
        <w:rPr>
          <w:rFonts w:eastAsia="Calibri" w:hint="eastAsia"/>
          <w:sz w:val="16"/>
          <w:szCs w:val="20"/>
          <w:rtl/>
        </w:rPr>
        <w:t>משרד</w:t>
      </w:r>
      <w:r w:rsidRPr="0016536A">
        <w:rPr>
          <w:rFonts w:eastAsia="Calibri"/>
          <w:sz w:val="16"/>
          <w:szCs w:val="20"/>
          <w:rtl/>
        </w:rPr>
        <w:t xml:space="preserve"> </w:t>
      </w:r>
      <w:r w:rsidRPr="0016536A">
        <w:rPr>
          <w:rFonts w:eastAsia="Calibri" w:hint="eastAsia"/>
          <w:sz w:val="16"/>
          <w:szCs w:val="20"/>
          <w:rtl/>
        </w:rPr>
        <w:t>מבקר</w:t>
      </w:r>
      <w:r w:rsidRPr="0016536A">
        <w:rPr>
          <w:rFonts w:eastAsia="Calibri"/>
          <w:sz w:val="16"/>
          <w:szCs w:val="20"/>
          <w:rtl/>
        </w:rPr>
        <w:t xml:space="preserve"> </w:t>
      </w:r>
      <w:r w:rsidRPr="0016536A">
        <w:rPr>
          <w:rFonts w:eastAsia="Calibri" w:hint="eastAsia"/>
          <w:sz w:val="16"/>
          <w:szCs w:val="20"/>
          <w:rtl/>
        </w:rPr>
        <w:t>המדינה</w:t>
      </w:r>
      <w:r w:rsidRPr="0016536A">
        <w:rPr>
          <w:rFonts w:eastAsia="Calibri" w:hint="cs"/>
          <w:sz w:val="16"/>
          <w:szCs w:val="20"/>
          <w:rtl/>
        </w:rPr>
        <w:t>.</w:t>
      </w:r>
    </w:p>
    <w:p w:rsidR="0016536A" w:rsidRPr="0016536A" w:rsidP="004614AF">
      <w:pPr>
        <w:spacing w:line="269" w:lineRule="auto"/>
        <w:rPr>
          <w:rFonts w:eastAsia="Calibri"/>
          <w:sz w:val="16"/>
          <w:szCs w:val="20"/>
          <w:rtl/>
        </w:rPr>
      </w:pPr>
      <w:r w:rsidRPr="0016536A">
        <w:rPr>
          <w:rFonts w:eastAsia="Calibri" w:hint="cs"/>
          <w:sz w:val="16"/>
          <w:szCs w:val="20"/>
          <w:rtl/>
        </w:rPr>
        <w:t xml:space="preserve">* "הימצאות" </w:t>
      </w:r>
      <w:r w:rsidRPr="0016536A">
        <w:rPr>
          <w:rFonts w:eastAsia="Calibri"/>
          <w:sz w:val="16"/>
          <w:szCs w:val="20"/>
          <w:rtl/>
        </w:rPr>
        <w:t>מודדת את סך כל החולים</w:t>
      </w:r>
      <w:r w:rsidRPr="0016536A">
        <w:rPr>
          <w:rFonts w:eastAsia="Calibri" w:hint="cs"/>
          <w:sz w:val="16"/>
          <w:szCs w:val="20"/>
          <w:rtl/>
        </w:rPr>
        <w:t xml:space="preserve"> במחלה. </w:t>
      </w:r>
    </w:p>
    <w:bookmarkEnd w:id="5"/>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מהדוגמאות המוצגות בתרשים עולה כי מדדי הבריאות שנמדדים ומפורסמים על ידי הלמ"ס נותרו יציבים באופן יחסי בשנים 2015 - 2022. כך, לדוגמה, שיעור האשפוזים ירד מ-25.1% </w:t>
      </w:r>
      <w:r w:rsidRPr="0016536A">
        <w:rPr>
          <w:rFonts w:eastAsia="Calibri"/>
          <w:b/>
          <w:bCs/>
          <w:rtl/>
        </w:rPr>
        <w:br/>
      </w:r>
      <w:r w:rsidRPr="0016536A">
        <w:rPr>
          <w:rFonts w:eastAsia="Calibri" w:hint="cs"/>
          <w:b/>
          <w:bCs/>
          <w:rtl/>
        </w:rPr>
        <w:t>ב-2015 ל-22.8% ב-2022, ושיעור הימצאות של סוכרת עלה מ-32% ל-33.3% בשנים אלה.</w:t>
      </w:r>
    </w:p>
    <w:p w:rsidR="0016536A" w:rsidRPr="0016536A" w:rsidP="004614AF">
      <w:pPr>
        <w:spacing w:line="269" w:lineRule="auto"/>
        <w:rPr>
          <w:rFonts w:eastAsia="Calibri"/>
          <w:b/>
          <w:bCs/>
          <w:rtl/>
        </w:rPr>
      </w:pPr>
    </w:p>
    <w:p w:rsidR="004614AF" w:rsidP="004614AF">
      <w:pPr>
        <w:bidi w:val="0"/>
        <w:spacing w:line="269" w:lineRule="auto"/>
        <w:rPr>
          <w:rFonts w:eastAsia="Times New Roman"/>
          <w:bCs/>
          <w:szCs w:val="26"/>
          <w:rtl/>
        </w:rPr>
      </w:pPr>
      <w:r>
        <w:rPr>
          <w:rFonts w:eastAsia="Times New Roman"/>
          <w:bCs/>
          <w:szCs w:val="26"/>
          <w:rtl/>
        </w:rPr>
        <w:br w:type="page"/>
      </w:r>
    </w:p>
    <w:p w:rsidR="0016536A" w:rsidRPr="0016536A" w:rsidP="004614AF">
      <w:pPr>
        <w:keepNext/>
        <w:keepLines/>
        <w:spacing w:line="269" w:lineRule="auto"/>
        <w:outlineLvl w:val="3"/>
        <w:rPr>
          <w:rFonts w:eastAsia="Times New Roman"/>
          <w:bCs/>
          <w:szCs w:val="26"/>
          <w:rtl/>
        </w:rPr>
      </w:pPr>
      <w:r w:rsidRPr="0016536A">
        <w:rPr>
          <w:rFonts w:eastAsia="Times New Roman" w:hint="cs"/>
          <w:bCs/>
          <w:szCs w:val="26"/>
          <w:rtl/>
        </w:rPr>
        <w:t>רפואה מונעת, קידום בריאות והארכת תוחלת החיים הבריאים</w:t>
      </w:r>
    </w:p>
    <w:p w:rsidR="0016536A" w:rsidRPr="0016536A" w:rsidP="004614AF">
      <w:pPr>
        <w:spacing w:line="269" w:lineRule="auto"/>
        <w:rPr>
          <w:rFonts w:eastAsia="Calibri"/>
          <w:rtl/>
        </w:rPr>
      </w:pPr>
    </w:p>
    <w:p w:rsidR="0016536A" w:rsidRPr="0016536A" w:rsidP="004614AF">
      <w:pPr>
        <w:spacing w:line="269" w:lineRule="auto"/>
        <w:rPr>
          <w:rFonts w:eastAsia="Calibri"/>
        </w:rPr>
      </w:pPr>
      <w:r w:rsidRPr="0016536A">
        <w:rPr>
          <w:rFonts w:eastAsia="Times New Roman" w:hint="cs"/>
          <w:bCs/>
          <w:spacing w:val="40"/>
          <w:rtl/>
        </w:rPr>
        <w:t xml:space="preserve">מדיניות משרד הבריאות </w:t>
      </w:r>
      <w:r w:rsidRPr="0016536A">
        <w:rPr>
          <w:rFonts w:eastAsia="Times New Roman" w:hint="eastAsia"/>
          <w:bCs/>
          <w:spacing w:val="40"/>
          <w:rtl/>
        </w:rPr>
        <w:t>להזדקנות</w:t>
      </w:r>
      <w:r w:rsidRPr="0016536A">
        <w:rPr>
          <w:rFonts w:eastAsia="Times New Roman"/>
          <w:bCs/>
          <w:spacing w:val="40"/>
          <w:rtl/>
        </w:rPr>
        <w:t xml:space="preserve"> מיטבית</w:t>
      </w:r>
      <w:r w:rsidRPr="0016536A">
        <w:rPr>
          <w:rFonts w:eastAsia="Times New Roman" w:hint="cs"/>
          <w:bCs/>
          <w:spacing w:val="40"/>
          <w:rtl/>
        </w:rPr>
        <w:t>:</w:t>
      </w:r>
      <w:r w:rsidRPr="0016536A">
        <w:rPr>
          <w:rFonts w:eastAsia="Calibri" w:hint="cs"/>
          <w:rtl/>
        </w:rPr>
        <w:t xml:space="preserve"> בהמשך ל</w:t>
      </w:r>
      <w:r w:rsidRPr="0016536A">
        <w:rPr>
          <w:rFonts w:eastAsia="Calibri"/>
          <w:rtl/>
        </w:rPr>
        <w:t xml:space="preserve">החלטות </w:t>
      </w:r>
      <w:r w:rsidRPr="0016536A">
        <w:rPr>
          <w:rFonts w:eastAsia="Calibri" w:hint="cs"/>
          <w:rtl/>
        </w:rPr>
        <w:t>הממשלה</w:t>
      </w:r>
      <w:r w:rsidRPr="0016536A">
        <w:rPr>
          <w:rFonts w:eastAsia="Calibri"/>
          <w:rtl/>
        </w:rPr>
        <w:t xml:space="preserve"> שהתקבלו ב</w:t>
      </w:r>
      <w:r w:rsidRPr="0016536A">
        <w:rPr>
          <w:rFonts w:eastAsia="Calibri" w:hint="cs"/>
          <w:rtl/>
        </w:rPr>
        <w:t>עשור</w:t>
      </w:r>
      <w:r w:rsidRPr="0016536A">
        <w:rPr>
          <w:rFonts w:eastAsia="Calibri"/>
          <w:rtl/>
        </w:rPr>
        <w:t xml:space="preserve"> האחרו</w:t>
      </w:r>
      <w:r w:rsidRPr="0016536A">
        <w:rPr>
          <w:rFonts w:eastAsia="Calibri" w:hint="cs"/>
          <w:rtl/>
        </w:rPr>
        <w:t>ן,</w:t>
      </w:r>
      <w:r w:rsidRPr="0016536A">
        <w:rPr>
          <w:rFonts w:eastAsia="Calibri"/>
          <w:rtl/>
        </w:rPr>
        <w:t xml:space="preserve"> </w:t>
      </w:r>
      <w:r w:rsidRPr="0016536A">
        <w:rPr>
          <w:rFonts w:eastAsia="Calibri" w:hint="cs"/>
          <w:rtl/>
        </w:rPr>
        <w:t>ובהן החלטה 150, ה</w:t>
      </w:r>
      <w:r w:rsidRPr="0016536A">
        <w:rPr>
          <w:rFonts w:eastAsia="Calibri"/>
          <w:rtl/>
        </w:rPr>
        <w:t xml:space="preserve">מגדירות כיווני פעולה ומדדים מרכזיים </w:t>
      </w:r>
      <w:r w:rsidRPr="0016536A">
        <w:rPr>
          <w:rFonts w:eastAsia="Calibri" w:hint="cs"/>
          <w:rtl/>
        </w:rPr>
        <w:t>לשם</w:t>
      </w:r>
      <w:r w:rsidRPr="0016536A">
        <w:rPr>
          <w:rFonts w:eastAsia="Calibri"/>
          <w:rtl/>
        </w:rPr>
        <w:t xml:space="preserve"> </w:t>
      </w:r>
      <w:r w:rsidRPr="0016536A">
        <w:rPr>
          <w:rFonts w:eastAsia="Calibri" w:hint="cs"/>
          <w:rtl/>
        </w:rPr>
        <w:t>התמודדות אפקטיבית של מערכת הבריאות עם אתגר ההזדקנות, וכדי להיערך להזדקנות האוכלוסיי</w:t>
      </w:r>
      <w:r w:rsidRPr="0016536A">
        <w:rPr>
          <w:rFonts w:eastAsia="Calibri" w:hint="eastAsia"/>
          <w:rtl/>
        </w:rPr>
        <w:t>ה</w:t>
      </w:r>
      <w:r w:rsidRPr="0016536A">
        <w:rPr>
          <w:rFonts w:eastAsia="Calibri" w:hint="cs"/>
          <w:rtl/>
        </w:rPr>
        <w:t xml:space="preserve"> באופן שיצמצם את העומס הצפוי על מערכת הבריאות וישפר את רווחתם של הזקנים, משרד הבריאות גיבש תוכנית להזדקנות מיטבית - קידום בריאות ומניעת מחלות (להלן - התוכנית להזדקנות מיטבית)</w:t>
      </w:r>
      <w:r>
        <w:rPr>
          <w:rFonts w:eastAsia="Calibri"/>
          <w:vertAlign w:val="superscript"/>
          <w:rtl/>
        </w:rPr>
        <w:footnoteReference w:id="19"/>
      </w:r>
      <w:r w:rsidRPr="0016536A">
        <w:rPr>
          <w:rFonts w:eastAsia="Calibri" w:hint="cs"/>
          <w:rtl/>
        </w:rPr>
        <w:t xml:space="preserve"> ותוכנית לאומית להיערכות מערכת הבריאות להזדקנות האוכלוסייה</w:t>
      </w:r>
      <w:r>
        <w:rPr>
          <w:rFonts w:eastAsia="Calibri"/>
          <w:vertAlign w:val="superscript"/>
          <w:rtl/>
        </w:rPr>
        <w:footnoteReference w:id="20"/>
      </w:r>
      <w:r w:rsidRPr="0016536A">
        <w:rPr>
          <w:rFonts w:eastAsia="Calibri" w:hint="cs"/>
          <w:rtl/>
        </w:rPr>
        <w:t>. תוכניות אלה הן ביטוי למדיניות המשרדית הנוגעת להיערכות מערכת הבריאות להזדקנות האוכלוסייה, ובמוקדן הזדקנות בריאה</w:t>
      </w:r>
      <w:r>
        <w:rPr>
          <w:rFonts w:eastAsia="Calibri"/>
          <w:vertAlign w:val="superscript"/>
          <w:rtl/>
        </w:rPr>
        <w:footnoteReference w:id="21"/>
      </w:r>
      <w:r w:rsidRPr="0016536A">
        <w:rPr>
          <w:rFonts w:eastAsia="Calibri" w:hint="cs"/>
          <w:rtl/>
        </w:rPr>
        <w:t>, קידום בריאות, איתור מוקדם של מחלות ומניעתן ומניעת הידרדרות בריאותית. בלוח שלהלן מפורטות פעולות מניעה של מחלות ופעולות לקידום בריאות בקרב זקנים, הנגזרות מתוך התוכניות הנ"ל.</w:t>
      </w:r>
    </w:p>
    <w:p w:rsidR="0016536A" w:rsidRPr="0016536A" w:rsidP="004614AF">
      <w:pPr>
        <w:spacing w:line="269" w:lineRule="auto"/>
        <w:rPr>
          <w:rFonts w:eastAsia="Calibri"/>
          <w:rtl/>
        </w:rPr>
      </w:pPr>
    </w:p>
    <w:p w:rsidR="0016536A" w:rsidRPr="0016536A" w:rsidP="004614AF">
      <w:pPr>
        <w:spacing w:line="269" w:lineRule="auto"/>
        <w:jc w:val="center"/>
        <w:rPr>
          <w:rFonts w:eastAsia="Calibri"/>
          <w:rtl/>
        </w:rPr>
      </w:pPr>
      <w:r w:rsidRPr="0016536A">
        <w:rPr>
          <w:rFonts w:eastAsia="Calibri" w:hint="cs"/>
          <w:rtl/>
        </w:rPr>
        <w:t xml:space="preserve">לוח 1: </w:t>
      </w:r>
      <w:r w:rsidRPr="0016536A">
        <w:rPr>
          <w:rFonts w:eastAsia="Calibri" w:hint="cs"/>
          <w:b/>
          <w:bCs/>
          <w:rtl/>
        </w:rPr>
        <w:t>מניעת מחלות וקידום בריאות אצל זקנים</w:t>
      </w:r>
    </w:p>
    <w:tbl>
      <w:tblPr>
        <w:tblStyle w:val="TableGrid"/>
        <w:bidiVisual/>
        <w:tblW w:w="0" w:type="auto"/>
        <w:tblLook w:val="04A0"/>
      </w:tblPr>
      <w:tblGrid>
        <w:gridCol w:w="2541"/>
        <w:gridCol w:w="5669"/>
      </w:tblGrid>
      <w:tr w:rsidTr="004614AF">
        <w:tblPrEx>
          <w:tblW w:w="0" w:type="auto"/>
          <w:tblLook w:val="04A0"/>
        </w:tblPrEx>
        <w:trPr>
          <w:trHeight w:val="1791"/>
        </w:trPr>
        <w:tc>
          <w:tcPr>
            <w:tcW w:w="2541" w:type="dxa"/>
          </w:tcPr>
          <w:p w:rsidR="0016536A" w:rsidRPr="0016536A" w:rsidP="004614AF">
            <w:pPr>
              <w:keepNext/>
              <w:keepLines/>
              <w:spacing w:line="269" w:lineRule="auto"/>
              <w:jc w:val="center"/>
              <w:outlineLvl w:val="2"/>
              <w:rPr>
                <w:rFonts w:eastAsia="Times New Roman"/>
                <w:bCs/>
                <w:sz w:val="22"/>
                <w:szCs w:val="22"/>
              </w:rPr>
            </w:pPr>
            <w:r w:rsidRPr="0016536A">
              <w:rPr>
                <w:rFonts w:eastAsia="Times New Roman"/>
                <w:bCs/>
                <w:noProof/>
                <w:sz w:val="22"/>
                <w:szCs w:val="22"/>
              </w:rPr>
              <w:drawing>
                <wp:inline distT="0" distB="0" distL="0" distR="0">
                  <wp:extent cx="1099317" cy="1194645"/>
                  <wp:effectExtent l="0" t="0" r="5715" b="5715"/>
                  <wp:docPr id="1" name="תמונה 1" descr="איור של מפגש רפואי.&#10;&#10;במרכז התמונה רופאה יושבת על כיסא ומחזיקה לוח כתיבה ועט.&#10;&#10;מולה יושב מטופל מבוגר על מיטת בדיקה.&#10;&#10;המטופל מחובר לצינורית חמצן באף.&#10;&#10;ברקע מופיעים פריטים רפואיים על הקי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9317" cy="1194645"/>
                          </a:xfrm>
                          <a:prstGeom prst="rect">
                            <a:avLst/>
                          </a:prstGeom>
                          <a:noFill/>
                        </pic:spPr>
                      </pic:pic>
                    </a:graphicData>
                  </a:graphic>
                </wp:inline>
              </w:drawing>
            </w:r>
            <w:r>
              <w:rPr>
                <w:rFonts w:eastAsia="Times New Roman"/>
                <w:b/>
                <w:sz w:val="22"/>
                <w:szCs w:val="22"/>
                <w:vertAlign w:val="superscript"/>
                <w:rtl/>
              </w:rPr>
              <w:footnoteReference w:id="22"/>
            </w:r>
          </w:p>
        </w:tc>
        <w:tc>
          <w:tcPr>
            <w:tcW w:w="5670" w:type="dxa"/>
          </w:tcPr>
          <w:p w:rsidR="0016536A" w:rsidRPr="0016536A" w:rsidP="004614AF">
            <w:pPr>
              <w:spacing w:line="269" w:lineRule="auto"/>
              <w:rPr>
                <w:rFonts w:eastAsia="Calibri"/>
                <w:sz w:val="22"/>
                <w:szCs w:val="22"/>
                <w:rtl/>
              </w:rPr>
            </w:pPr>
            <w:r w:rsidRPr="0016536A">
              <w:rPr>
                <w:rFonts w:eastAsia="Times New Roman" w:hint="cs"/>
                <w:bCs/>
                <w:spacing w:val="40"/>
                <w:sz w:val="22"/>
                <w:szCs w:val="22"/>
                <w:rtl/>
              </w:rPr>
              <w:t>מניעת מחלות:</w:t>
            </w:r>
            <w:r w:rsidRPr="0016536A">
              <w:rPr>
                <w:rFonts w:eastAsia="Calibri" w:hint="cs"/>
                <w:sz w:val="22"/>
                <w:szCs w:val="22"/>
                <w:rtl/>
              </w:rPr>
              <w:t xml:space="preserve"> </w:t>
            </w:r>
            <w:r w:rsidRPr="0016536A">
              <w:rPr>
                <w:rFonts w:eastAsia="Calibri"/>
                <w:sz w:val="22"/>
                <w:szCs w:val="22"/>
                <w:rtl/>
              </w:rPr>
              <w:t>גילוי מוקדם של מחלה או גורם סיכון</w:t>
            </w:r>
            <w:r w:rsidRPr="0016536A">
              <w:rPr>
                <w:rFonts w:eastAsia="Calibri" w:hint="cs"/>
                <w:sz w:val="22"/>
                <w:szCs w:val="22"/>
                <w:rtl/>
              </w:rPr>
              <w:t xml:space="preserve"> האופייניים לגיל זקנה, כדוגמת סוכרת ויתר לחץ דם,</w:t>
            </w:r>
            <w:r w:rsidRPr="0016536A">
              <w:rPr>
                <w:rFonts w:eastAsia="Calibri"/>
                <w:sz w:val="22"/>
                <w:szCs w:val="22"/>
                <w:rtl/>
              </w:rPr>
              <w:t xml:space="preserve"> וטיפול בהם בשלב מוקדם ככל האפשר כדי לשנות את מהלך המחלה</w:t>
            </w:r>
            <w:r w:rsidRPr="0016536A">
              <w:rPr>
                <w:rFonts w:eastAsia="Calibri" w:hint="cs"/>
                <w:sz w:val="22"/>
                <w:szCs w:val="22"/>
                <w:rtl/>
              </w:rPr>
              <w:t>. זאת</w:t>
            </w:r>
            <w:r w:rsidRPr="0016536A">
              <w:rPr>
                <w:rFonts w:eastAsia="Calibri"/>
                <w:sz w:val="22"/>
                <w:szCs w:val="22"/>
                <w:rtl/>
              </w:rPr>
              <w:t xml:space="preserve"> באמצעות זימון יזום של האוכלוסייה </w:t>
            </w:r>
            <w:bookmarkStart w:id="7" w:name="_Hlk232320723"/>
            <w:r w:rsidRPr="0016536A">
              <w:rPr>
                <w:rFonts w:eastAsia="Calibri"/>
                <w:sz w:val="22"/>
                <w:szCs w:val="22"/>
                <w:rtl/>
              </w:rPr>
              <w:t>למגוון בדיקות ו</w:t>
            </w:r>
            <w:r w:rsidRPr="0016536A">
              <w:rPr>
                <w:rFonts w:eastAsia="Calibri" w:hint="cs"/>
                <w:sz w:val="22"/>
                <w:szCs w:val="22"/>
                <w:rtl/>
              </w:rPr>
              <w:t xml:space="preserve">בהן </w:t>
            </w:r>
            <w:r w:rsidRPr="0016536A">
              <w:rPr>
                <w:rFonts w:eastAsia="Calibri"/>
                <w:sz w:val="22"/>
                <w:szCs w:val="22"/>
                <w:rtl/>
              </w:rPr>
              <w:t>בדיקות סקר כלליות</w:t>
            </w:r>
            <w:r w:rsidRPr="0016536A">
              <w:rPr>
                <w:rFonts w:eastAsia="Calibri" w:hint="cs"/>
                <w:sz w:val="22"/>
                <w:szCs w:val="22"/>
                <w:rtl/>
              </w:rPr>
              <w:t>,</w:t>
            </w:r>
            <w:bookmarkEnd w:id="7"/>
            <w:r w:rsidRPr="0016536A">
              <w:rPr>
                <w:rFonts w:eastAsia="Calibri" w:hint="cs"/>
                <w:sz w:val="22"/>
                <w:szCs w:val="22"/>
                <w:rtl/>
              </w:rPr>
              <w:t xml:space="preserve"> כגון</w:t>
            </w:r>
            <w:r w:rsidRPr="0016536A">
              <w:rPr>
                <w:rFonts w:eastAsia="Calibri"/>
                <w:sz w:val="22"/>
                <w:szCs w:val="22"/>
                <w:rtl/>
              </w:rPr>
              <w:t xml:space="preserve"> הערכ</w:t>
            </w:r>
            <w:r w:rsidRPr="0016536A">
              <w:rPr>
                <w:rFonts w:eastAsia="Calibri" w:hint="cs"/>
                <w:sz w:val="22"/>
                <w:szCs w:val="22"/>
                <w:rtl/>
              </w:rPr>
              <w:t>ת</w:t>
            </w:r>
            <w:r w:rsidRPr="0016536A">
              <w:rPr>
                <w:rFonts w:eastAsia="Calibri"/>
                <w:sz w:val="22"/>
                <w:szCs w:val="22"/>
                <w:rtl/>
              </w:rPr>
              <w:t xml:space="preserve"> גורמי סיכון פיזיים, קוגניטיביים ונפשיים</w:t>
            </w:r>
            <w:r w:rsidRPr="0016536A">
              <w:rPr>
                <w:rFonts w:eastAsia="Calibri" w:hint="cs"/>
                <w:sz w:val="22"/>
                <w:szCs w:val="22"/>
                <w:rtl/>
              </w:rPr>
              <w:t>; נטילת חיסונים; בדיקות לחץ דם וכולסטרול; איתור סוכרת; והערכת הסיכון לנפילות, לדיכאון ולשימוש בתרופות מרובות.</w:t>
            </w:r>
          </w:p>
        </w:tc>
      </w:tr>
      <w:tr w:rsidTr="0016536A">
        <w:tblPrEx>
          <w:tblW w:w="0" w:type="auto"/>
          <w:tblLook w:val="04A0"/>
        </w:tblPrEx>
        <w:tc>
          <w:tcPr>
            <w:tcW w:w="2541" w:type="dxa"/>
          </w:tcPr>
          <w:p w:rsidR="0016536A" w:rsidRPr="0016536A" w:rsidP="004614AF">
            <w:pPr>
              <w:keepNext/>
              <w:keepLines/>
              <w:spacing w:line="269" w:lineRule="auto"/>
              <w:jc w:val="center"/>
              <w:outlineLvl w:val="2"/>
              <w:rPr>
                <w:rFonts w:eastAsia="Times New Roman"/>
                <w:bCs/>
                <w:sz w:val="22"/>
                <w:szCs w:val="22"/>
                <w:rtl/>
              </w:rPr>
            </w:pPr>
            <w:r w:rsidRPr="0016536A">
              <w:rPr>
                <w:rFonts w:eastAsia="Times New Roman"/>
                <w:bCs/>
                <w:noProof/>
                <w:sz w:val="22"/>
                <w:szCs w:val="22"/>
              </w:rPr>
              <w:drawing>
                <wp:inline distT="0" distB="0" distL="0" distR="0">
                  <wp:extent cx="1113609" cy="958850"/>
                  <wp:effectExtent l="0" t="0" r="0" b="0"/>
                  <wp:docPr id="457" name="תמונה 457" descr="איור של שני אנשים מבוגרים מתאמנים בבית.&#10;&#10;מימין: אדם עומד בתנוחת שיווי משקל, עם ידיים פרושות לצדדים ורגל אחת מורמת.&#10;&#10;משמאל: אדם יושב על הרצפה ברגליים משוכלות, עם ידיים קרובות לחזה.&#10;&#10;ברקע מופיעים עציץ, מנורה, שידה ותמונה על הקי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2696ED15-ED6F-4479-B6DB-F8768974F594" descr="PHOTO-2025-08-11-11-24-12.jpg"/>
                          <pic:cNvPicPr>
                            <a:picLocks noChangeAspect="1" noChangeArrowheads="1"/>
                          </pic:cNvPicPr>
                        </pic:nvPicPr>
                        <pic:blipFill>
                          <a:blip xmlns:r="http://schemas.openxmlformats.org/officeDocument/2006/relationships" r:embed="rId17" r:link="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5335" cy="960336"/>
                          </a:xfrm>
                          <a:prstGeom prst="rect">
                            <a:avLst/>
                          </a:prstGeom>
                          <a:noFill/>
                          <a:ln>
                            <a:noFill/>
                          </a:ln>
                        </pic:spPr>
                      </pic:pic>
                    </a:graphicData>
                  </a:graphic>
                </wp:inline>
              </w:drawing>
            </w:r>
            <w:r>
              <w:rPr>
                <w:rFonts w:eastAsia="Times New Roman"/>
                <w:b/>
                <w:sz w:val="22"/>
                <w:szCs w:val="22"/>
                <w:vertAlign w:val="superscript"/>
                <w:rtl/>
              </w:rPr>
              <w:footnoteReference w:id="23"/>
            </w:r>
          </w:p>
        </w:tc>
        <w:tc>
          <w:tcPr>
            <w:tcW w:w="5670" w:type="dxa"/>
          </w:tcPr>
          <w:p w:rsidR="0016536A" w:rsidRPr="0016536A" w:rsidP="004614AF">
            <w:pPr>
              <w:spacing w:line="269" w:lineRule="auto"/>
              <w:rPr>
                <w:rFonts w:eastAsia="Calibri"/>
                <w:sz w:val="22"/>
                <w:szCs w:val="22"/>
              </w:rPr>
            </w:pPr>
            <w:r w:rsidRPr="0016536A">
              <w:rPr>
                <w:rFonts w:eastAsia="Times New Roman" w:hint="cs"/>
                <w:bCs/>
                <w:spacing w:val="40"/>
                <w:sz w:val="22"/>
                <w:szCs w:val="22"/>
                <w:rtl/>
              </w:rPr>
              <w:t>קידום בריאות:</w:t>
            </w:r>
            <w:r w:rsidRPr="0016536A">
              <w:rPr>
                <w:rFonts w:eastAsia="Calibri" w:hint="cs"/>
                <w:sz w:val="22"/>
                <w:szCs w:val="22"/>
                <w:rtl/>
              </w:rPr>
              <w:t xml:space="preserve"> מניעת גורמי סיכון התנהגותיים, כדוגמת עישון, השמנת יתר, היעדר פעילות גופנית ותזונה לא נאותה, באמצעות </w:t>
            </w:r>
            <w:r w:rsidRPr="0016536A">
              <w:rPr>
                <w:rFonts w:eastAsia="Calibri"/>
                <w:sz w:val="22"/>
                <w:szCs w:val="22"/>
                <w:rtl/>
              </w:rPr>
              <w:t xml:space="preserve">ביצוע פעילות גופנית </w:t>
            </w:r>
            <w:r w:rsidRPr="0016536A">
              <w:rPr>
                <w:rFonts w:eastAsia="Calibri" w:hint="cs"/>
                <w:sz w:val="22"/>
                <w:szCs w:val="22"/>
                <w:rtl/>
              </w:rPr>
              <w:t>ה</w:t>
            </w:r>
            <w:r w:rsidRPr="0016536A">
              <w:rPr>
                <w:rFonts w:eastAsia="Calibri"/>
                <w:sz w:val="22"/>
                <w:szCs w:val="22"/>
                <w:rtl/>
              </w:rPr>
              <w:t xml:space="preserve">מותאמת לרמת הכושר הגופני ולרמת התפקוד; תזונה נאותה </w:t>
            </w:r>
            <w:r w:rsidRPr="0016536A">
              <w:rPr>
                <w:rFonts w:eastAsia="Calibri" w:hint="cs"/>
                <w:sz w:val="22"/>
                <w:szCs w:val="22"/>
                <w:rtl/>
              </w:rPr>
              <w:t xml:space="preserve">המותאמת למצב הבריאותי; </w:t>
            </w:r>
            <w:r w:rsidRPr="0016536A">
              <w:rPr>
                <w:rFonts w:eastAsia="Calibri"/>
                <w:sz w:val="22"/>
                <w:szCs w:val="22"/>
                <w:rtl/>
              </w:rPr>
              <w:t>שמירה על משקל תקין; גמילה מעישון; איתור הפרעות שינה והתערבויות לשיפור.</w:t>
            </w:r>
          </w:p>
        </w:tc>
      </w:tr>
    </w:tbl>
    <w:p w:rsidR="0016536A" w:rsidRPr="0016536A" w:rsidP="004614AF">
      <w:pPr>
        <w:spacing w:line="269" w:lineRule="auto"/>
        <w:ind w:left="-1"/>
        <w:jc w:val="left"/>
        <w:rPr>
          <w:rFonts w:eastAsia="Calibri"/>
          <w:szCs w:val="20"/>
          <w:rtl/>
        </w:rPr>
      </w:pPr>
      <w:r w:rsidRPr="0016536A">
        <w:rPr>
          <w:rFonts w:eastAsia="Calibri" w:hint="cs"/>
          <w:szCs w:val="20"/>
          <w:rtl/>
        </w:rPr>
        <w:t>המקור: משרד הבריאות ומאיירס ג'וינט ברוקדייל, "המלצות הוועדה הבין-משרדית לקידום בריאות ומניעת תחלואה כרונית" (2022); ו"כוח המשימה הישראלי בנושא קידום בריאות ורפואה מונעת" (2022)</w:t>
      </w:r>
      <w:r>
        <w:rPr>
          <w:rFonts w:eastAsia="Calibri"/>
          <w:vertAlign w:val="superscript"/>
          <w:rtl/>
        </w:rPr>
        <w:footnoteReference w:id="24"/>
      </w:r>
      <w:r w:rsidRPr="0016536A">
        <w:rPr>
          <w:rFonts w:eastAsia="Calibri" w:hint="cs"/>
          <w:szCs w:val="20"/>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תוחלת החיים מתייחסת למספר השנים הממוצע שאדם צפוי לחיות, והיא מתחלקת לשניים: שנים בבריאות טובה ושנים בחולי. תכליתן של פעולות המניעה ופעולות קידום הבריאות בקרב זקנים היא להגדיל עבור בני ה-65 את מספר השנים הצפויות בבריאות טובה, כלומר את תוחלת החיים הבריאים בגיל 65, ולצמצם את מספר השנים בחולי, במקביל לעלייה בתוחלת החיים שלהם.</w:t>
      </w:r>
    </w:p>
    <w:p w:rsidR="0016536A" w:rsidRPr="0016536A" w:rsidP="004614AF">
      <w:pPr>
        <w:spacing w:line="269" w:lineRule="auto"/>
        <w:rPr>
          <w:rFonts w:eastAsia="Calibri"/>
          <w:rtl/>
        </w:rPr>
      </w:pPr>
    </w:p>
    <w:p w:rsidR="0016536A" w:rsidP="004614AF">
      <w:pPr>
        <w:spacing w:line="269" w:lineRule="auto"/>
        <w:rPr>
          <w:rFonts w:eastAsia="Calibri"/>
          <w:rtl/>
        </w:rPr>
      </w:pPr>
      <w:r w:rsidRPr="0016536A">
        <w:rPr>
          <w:rFonts w:eastAsia="Calibri" w:hint="cs"/>
          <w:rtl/>
        </w:rPr>
        <w:t>נוסף על התוכנית להזדקנות מיטבית של משרד הבריאות והתוכנית הלאומית להיערכות מערכת הבריאות להזדקנות האוכלוסייה, המשרד גם גיבש כמה תוכניות שמטרתן שימור התפקוד של זקנים, כדוגמת תוכנית מית"ב שתכליתה מניעת ירידה תפקודית של זקנים באשפוז כללי</w:t>
      </w:r>
      <w:r>
        <w:rPr>
          <w:rFonts w:eastAsia="Calibri"/>
          <w:vertAlign w:val="superscript"/>
          <w:rtl/>
        </w:rPr>
        <w:footnoteReference w:id="25"/>
      </w:r>
      <w:r w:rsidRPr="0016536A">
        <w:rPr>
          <w:rFonts w:eastAsia="Calibri" w:hint="cs"/>
          <w:rtl/>
        </w:rPr>
        <w:t xml:space="preserve">, תוכנית </w:t>
      </w:r>
      <w:r w:rsidRPr="0016536A">
        <w:rPr>
          <w:rFonts w:eastAsia="Calibri" w:hint="cs"/>
          <w:rtl/>
        </w:rPr>
        <w:t>"אפשריבריא" לקידום בריאות באמצעות תזונה בריאה ופעילות ספורט</w:t>
      </w:r>
      <w:r>
        <w:rPr>
          <w:rFonts w:eastAsia="Calibri"/>
          <w:vertAlign w:val="superscript"/>
          <w:rtl/>
        </w:rPr>
        <w:footnoteReference w:id="26"/>
      </w:r>
      <w:r w:rsidRPr="0016536A">
        <w:rPr>
          <w:rFonts w:eastAsia="Calibri" w:hint="cs"/>
          <w:rtl/>
        </w:rPr>
        <w:t xml:space="preserve"> ו</w:t>
      </w:r>
      <w:r w:rsidRPr="0016536A">
        <w:rPr>
          <w:rFonts w:ascii="David" w:eastAsia="Calibri" w:hAnsi="David"/>
          <w:sz w:val="24"/>
          <w:rtl/>
        </w:rPr>
        <w:t xml:space="preserve">מבחן תמיכה למניעת נפילות בקרב </w:t>
      </w:r>
      <w:r w:rsidRPr="0016536A">
        <w:rPr>
          <w:rFonts w:ascii="David" w:eastAsia="Calibri" w:hAnsi="David" w:hint="cs"/>
          <w:sz w:val="24"/>
          <w:rtl/>
        </w:rPr>
        <w:t>זקנים</w:t>
      </w:r>
      <w:r w:rsidRPr="0016536A">
        <w:rPr>
          <w:rFonts w:ascii="David" w:eastAsia="Calibri" w:hAnsi="David"/>
          <w:sz w:val="24"/>
          <w:rtl/>
        </w:rPr>
        <w:t xml:space="preserve">, </w:t>
      </w:r>
      <w:r w:rsidRPr="0016536A">
        <w:rPr>
          <w:rFonts w:ascii="David" w:eastAsia="Calibri" w:hAnsi="David" w:hint="cs"/>
          <w:sz w:val="24"/>
          <w:rtl/>
        </w:rPr>
        <w:t>ה</w:t>
      </w:r>
      <w:r w:rsidRPr="0016536A">
        <w:rPr>
          <w:rFonts w:ascii="David" w:eastAsia="Calibri" w:hAnsi="David"/>
          <w:sz w:val="24"/>
          <w:rtl/>
        </w:rPr>
        <w:t>כולל בין היתר סקר הערכת סיכונים</w:t>
      </w:r>
      <w:r w:rsidRPr="0016536A">
        <w:rPr>
          <w:rFonts w:eastAsia="Calibri" w:hint="cs"/>
          <w:rtl/>
        </w:rPr>
        <w:t xml:space="preserve">. </w:t>
      </w:r>
    </w:p>
    <w:p w:rsidR="00AF088B"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גם קופות החולים מפעילות תוכניות לקידום הבריאות ומניעת הידרדרות, כדוגמת תוכניות אורח חיים בריא וטיפול עצמי בסוכרת, תוכנית תיאום טיפול ותוכנית איתור מוקדם של זקנים עם תחלואה כרונית שאינה מאוזנת</w:t>
      </w:r>
      <w:r>
        <w:rPr>
          <w:rFonts w:eastAsia="Calibri"/>
          <w:vertAlign w:val="superscript"/>
          <w:rtl/>
        </w:rPr>
        <w:footnoteReference w:id="27"/>
      </w:r>
      <w:r w:rsidRPr="0016536A">
        <w:rPr>
          <w:rFonts w:eastAsia="Calibri" w:hint="cs"/>
          <w:rtl/>
        </w:rPr>
        <w:t xml:space="preserve"> בכללית; ביקור גיל הזהב במכבי, שהינו ביקור יזום של בני 75 אצל רופא המשפחה לשם הערכה כוללת והתאמה של תוכניות מניעה וטיפול</w:t>
      </w:r>
      <w:r>
        <w:rPr>
          <w:rFonts w:eastAsia="Calibri"/>
          <w:vertAlign w:val="superscript"/>
          <w:rtl/>
        </w:rPr>
        <w:footnoteReference w:id="28"/>
      </w:r>
      <w:r w:rsidRPr="0016536A">
        <w:rPr>
          <w:rFonts w:eastAsia="Calibri" w:hint="cs"/>
          <w:rtl/>
        </w:rPr>
        <w:t xml:space="preserve">; הפעלת סדנאות לקידום בריאות לזקנים ותוכנית תיאום טיפול במאוחדת שמטרתה </w:t>
      </w:r>
      <w:r w:rsidRPr="0016536A">
        <w:rPr>
          <w:rFonts w:eastAsia="Calibri"/>
          <w:rtl/>
        </w:rPr>
        <w:t xml:space="preserve">השגת איזון, שימור או שיפור </w:t>
      </w:r>
      <w:r w:rsidRPr="0016536A">
        <w:rPr>
          <w:rFonts w:eastAsia="Calibri" w:hint="cs"/>
          <w:rtl/>
        </w:rPr>
        <w:t>בכל הקשור ל</w:t>
      </w:r>
      <w:r w:rsidRPr="0016536A">
        <w:rPr>
          <w:rFonts w:eastAsia="Calibri"/>
          <w:rtl/>
        </w:rPr>
        <w:t>מצבם של זקנים בקהילה עם ריבוי בעיות</w:t>
      </w:r>
      <w:r w:rsidRPr="0016536A">
        <w:rPr>
          <w:rFonts w:eastAsia="Calibri" w:hint="cs"/>
          <w:rtl/>
        </w:rPr>
        <w:t xml:space="preserve"> </w:t>
      </w:r>
      <w:r w:rsidRPr="0016536A">
        <w:rPr>
          <w:rFonts w:eastAsia="Calibri"/>
          <w:rtl/>
        </w:rPr>
        <w:t xml:space="preserve">רפואיות, תפקודיות וסוציאליות </w:t>
      </w:r>
      <w:r w:rsidRPr="0016536A">
        <w:rPr>
          <w:rFonts w:eastAsia="Calibri" w:hint="cs"/>
          <w:rtl/>
        </w:rPr>
        <w:t>כדי</w:t>
      </w:r>
      <w:r w:rsidRPr="0016536A">
        <w:rPr>
          <w:rFonts w:eastAsia="Calibri"/>
          <w:rtl/>
        </w:rPr>
        <w:t xml:space="preserve"> לאפשר להם להמשיך לחיות</w:t>
      </w:r>
      <w:r w:rsidRPr="0016536A">
        <w:rPr>
          <w:rFonts w:eastAsia="Calibri" w:hint="cs"/>
          <w:rtl/>
        </w:rPr>
        <w:t xml:space="preserve"> </w:t>
      </w:r>
      <w:r w:rsidRPr="0016536A">
        <w:rPr>
          <w:rFonts w:eastAsia="Calibri"/>
          <w:rtl/>
        </w:rPr>
        <w:t>בקהילה</w:t>
      </w:r>
      <w:r w:rsidRPr="0016536A">
        <w:rPr>
          <w:rFonts w:eastAsia="Calibri" w:hint="cs"/>
          <w:rtl/>
        </w:rPr>
        <w:t>, נוסף על ביצוע אומדני סיעוד ו</w:t>
      </w:r>
      <w:r w:rsidRPr="0016536A">
        <w:rPr>
          <w:rFonts w:eastAsia="Calibri"/>
          <w:rtl/>
        </w:rPr>
        <w:t>תוכנית "צ'ק לבריאות" לאיתור תחלואה פרואקטיבית ע</w:t>
      </w:r>
      <w:r w:rsidRPr="0016536A">
        <w:rPr>
          <w:rFonts w:eastAsia="Calibri" w:hint="cs"/>
          <w:rtl/>
        </w:rPr>
        <w:t>ל ידי</w:t>
      </w:r>
      <w:r w:rsidRPr="0016536A">
        <w:rPr>
          <w:rFonts w:eastAsia="Calibri"/>
          <w:rtl/>
        </w:rPr>
        <w:t xml:space="preserve"> רופאי משפחה</w:t>
      </w:r>
      <w:r>
        <w:rPr>
          <w:rFonts w:eastAsia="Calibri"/>
          <w:vertAlign w:val="superscript"/>
          <w:rtl/>
        </w:rPr>
        <w:footnoteReference w:id="29"/>
      </w:r>
      <w:r w:rsidRPr="0016536A">
        <w:rPr>
          <w:rFonts w:eastAsia="Calibri" w:hint="cs"/>
          <w:rtl/>
        </w:rPr>
        <w:t>.</w:t>
      </w:r>
    </w:p>
    <w:p w:rsidR="0016536A" w:rsidRPr="0016536A" w:rsidP="004614AF">
      <w:pPr>
        <w:spacing w:line="269" w:lineRule="auto"/>
        <w:rPr>
          <w:rFonts w:eastAsia="Calibri"/>
          <w:rtl/>
        </w:rPr>
      </w:pPr>
    </w:p>
    <w:p w:rsidR="0016536A" w:rsidP="004614AF">
      <w:pPr>
        <w:keepNext/>
        <w:keepLines/>
        <w:spacing w:line="269" w:lineRule="auto"/>
        <w:outlineLvl w:val="3"/>
        <w:rPr>
          <w:rFonts w:eastAsia="Times New Roman"/>
          <w:bCs/>
          <w:szCs w:val="26"/>
          <w:rtl/>
        </w:rPr>
      </w:pPr>
      <w:r w:rsidRPr="0016536A">
        <w:rPr>
          <w:rFonts w:eastAsia="Times New Roman" w:hint="cs"/>
          <w:bCs/>
          <w:szCs w:val="26"/>
          <w:rtl/>
        </w:rPr>
        <w:t>הגופים האחראים למתן שירותי בריאות לזקנים</w:t>
      </w:r>
    </w:p>
    <w:p w:rsidR="00AF088B" w:rsidRPr="004614AF" w:rsidP="004614AF">
      <w:pPr>
        <w:keepNext/>
        <w:keepLines/>
        <w:spacing w:line="269" w:lineRule="auto"/>
        <w:outlineLvl w:val="3"/>
        <w:rPr>
          <w:rFonts w:eastAsia="Times New Roman"/>
          <w:bCs/>
          <w:sz w:val="18"/>
          <w:rtl/>
        </w:rPr>
      </w:pPr>
    </w:p>
    <w:p w:rsidR="0016536A" w:rsidP="004614AF">
      <w:pPr>
        <w:spacing w:line="269" w:lineRule="auto"/>
        <w:rPr>
          <w:rFonts w:eastAsia="Calibri"/>
          <w:rtl/>
        </w:rPr>
      </w:pPr>
      <w:r w:rsidRPr="0016536A">
        <w:rPr>
          <w:rFonts w:eastAsia="Calibri" w:hint="cs"/>
          <w:rtl/>
        </w:rPr>
        <w:t xml:space="preserve">שירותי הבריאות לזקנים שבהם יעסוק דוח זה </w:t>
      </w:r>
      <w:r w:rsidRPr="0016536A">
        <w:rPr>
          <w:rFonts w:eastAsia="Calibri"/>
          <w:rtl/>
        </w:rPr>
        <w:t xml:space="preserve">ניתנים על ידי </w:t>
      </w:r>
      <w:r w:rsidRPr="0016536A">
        <w:rPr>
          <w:rFonts w:eastAsia="Calibri" w:hint="cs"/>
          <w:rtl/>
        </w:rPr>
        <w:t>משרד הבריאות וקופות החולים</w:t>
      </w:r>
      <w:r w:rsidRPr="0016536A">
        <w:rPr>
          <w:rFonts w:eastAsia="Calibri"/>
          <w:rtl/>
        </w:rPr>
        <w:t xml:space="preserve">, וכל אחד מהם אחראי למרכיבים שונים של הטיפול </w:t>
      </w:r>
      <w:r w:rsidRPr="0016536A">
        <w:rPr>
          <w:rFonts w:eastAsia="Calibri" w:hint="cs"/>
          <w:rtl/>
        </w:rPr>
        <w:t>-</w:t>
      </w:r>
      <w:r w:rsidRPr="0016536A">
        <w:rPr>
          <w:rFonts w:eastAsia="Calibri"/>
          <w:rtl/>
        </w:rPr>
        <w:t xml:space="preserve"> רפואי, סיעודי </w:t>
      </w:r>
      <w:r w:rsidRPr="0016536A">
        <w:rPr>
          <w:rFonts w:eastAsia="Calibri" w:hint="cs"/>
          <w:rtl/>
        </w:rPr>
        <w:t>ו</w:t>
      </w:r>
      <w:r w:rsidRPr="0016536A">
        <w:rPr>
          <w:rFonts w:eastAsia="Calibri"/>
          <w:rtl/>
        </w:rPr>
        <w:t>שיקומי</w:t>
      </w:r>
      <w:r w:rsidRPr="0016536A">
        <w:rPr>
          <w:rFonts w:eastAsia="Calibri" w:hint="cs"/>
          <w:rtl/>
        </w:rPr>
        <w:t xml:space="preserve"> - כמפורט בלוח שלהלן:</w:t>
      </w:r>
    </w:p>
    <w:p w:rsidR="004614AF" w:rsidRPr="004614AF" w:rsidP="004614AF">
      <w:pPr>
        <w:spacing w:line="269" w:lineRule="auto"/>
        <w:rPr>
          <w:rFonts w:eastAsia="Calibri"/>
          <w:sz w:val="16"/>
          <w:szCs w:val="20"/>
          <w:rtl/>
        </w:rPr>
      </w:pPr>
    </w:p>
    <w:p w:rsidR="0016536A" w:rsidRPr="0016536A" w:rsidP="004614AF">
      <w:pPr>
        <w:spacing w:line="269" w:lineRule="auto"/>
        <w:jc w:val="center"/>
        <w:rPr>
          <w:rFonts w:eastAsia="Calibri"/>
          <w:b/>
          <w:bCs/>
          <w:rtl/>
        </w:rPr>
      </w:pPr>
      <w:r w:rsidRPr="0016536A">
        <w:rPr>
          <w:rFonts w:eastAsia="Calibri" w:hint="cs"/>
          <w:rtl/>
        </w:rPr>
        <w:t xml:space="preserve">לוח 2: </w:t>
      </w:r>
      <w:r w:rsidRPr="0016536A">
        <w:rPr>
          <w:rFonts w:eastAsia="Calibri" w:hint="cs"/>
          <w:b/>
          <w:bCs/>
          <w:rtl/>
        </w:rPr>
        <w:t xml:space="preserve">הגופים המספקים שירותי בריאות לזקנים </w:t>
      </w:r>
    </w:p>
    <w:tbl>
      <w:tblPr>
        <w:tblStyle w:val="TableGrid"/>
        <w:bidiVisual/>
        <w:tblW w:w="0" w:type="auto"/>
        <w:tblLook w:val="04A0"/>
      </w:tblPr>
      <w:tblGrid>
        <w:gridCol w:w="4105"/>
        <w:gridCol w:w="4105"/>
      </w:tblGrid>
      <w:tr w:rsidTr="0016536A">
        <w:tblPrEx>
          <w:tblW w:w="0" w:type="auto"/>
          <w:tblLook w:val="04A0"/>
        </w:tblPrEx>
        <w:trPr>
          <w:trHeight w:val="1991"/>
        </w:trPr>
        <w:tc>
          <w:tcPr>
            <w:tcW w:w="4105" w:type="dxa"/>
          </w:tcPr>
          <w:p w:rsidR="0016536A" w:rsidRPr="0016536A" w:rsidP="004614AF">
            <w:pPr>
              <w:spacing w:line="269" w:lineRule="auto"/>
              <w:jc w:val="center"/>
              <w:rPr>
                <w:rFonts w:eastAsia="Calibri"/>
                <w:b/>
                <w:bCs/>
                <w:sz w:val="22"/>
                <w:szCs w:val="22"/>
                <w:rtl/>
              </w:rPr>
            </w:pPr>
            <w:r w:rsidRPr="0016536A">
              <w:rPr>
                <w:rFonts w:eastAsia="Calibri" w:hint="cs"/>
                <w:b/>
                <w:bCs/>
                <w:sz w:val="22"/>
                <w:szCs w:val="22"/>
                <w:rtl/>
              </w:rPr>
              <w:t>משרד הבריאות</w:t>
            </w:r>
          </w:p>
          <w:p w:rsidR="0016536A" w:rsidRPr="0016536A" w:rsidP="004614AF">
            <w:pPr>
              <w:spacing w:line="269" w:lineRule="auto"/>
              <w:jc w:val="center"/>
              <w:rPr>
                <w:rFonts w:eastAsia="Calibri"/>
                <w:b/>
                <w:bCs/>
                <w:sz w:val="22"/>
                <w:szCs w:val="22"/>
                <w:rtl/>
              </w:rPr>
            </w:pPr>
            <w:r w:rsidRPr="0016536A">
              <w:rPr>
                <w:rFonts w:eastAsia="Times New Roman"/>
                <w:noProof/>
                <w:sz w:val="22"/>
                <w:szCs w:val="22"/>
              </w:rPr>
              <w:drawing>
                <wp:inline distT="0" distB="0" distL="0" distR="0">
                  <wp:extent cx="1620000" cy="1080000"/>
                  <wp:effectExtent l="0" t="0" r="0" b="6350"/>
                  <wp:docPr id="75306859" name="תמונה 54" descr="איור של בניין משרדים עם שלוש קומות וחלונות רבים.&#10;&#10;במרכז התמונה כניסה עם דלתות זכוכית.&#10;&#10;לפני הכניסה הולכים ארבעה אנשים.&#10;&#10;מימין: אדם הולך לכיוון הבניין.&#10;&#10;במרכז: אדם נוסף הולך לכיוון הכניסה.&#10;&#10;משמאל: שני אנשים הולכים בקרבת הבניין.&#10;&#10;בצדי הכניסה מופיעים עציצ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6859" name="492CB1CC-0052-4299-9B96-007B28E4A03E" descr="PHOTO-2025-08-11-13-59-13.jpg"/>
                          <pic:cNvPicPr>
                            <a:picLocks noChangeAspect="1" noChangeArrowheads="1"/>
                          </pic:cNvPicPr>
                        </pic:nvPicPr>
                        <pic:blipFill>
                          <a:blip xmlns:r="http://schemas.openxmlformats.org/officeDocument/2006/relationships" r:embed="rId19" r:link="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0" cy="1080000"/>
                          </a:xfrm>
                          <a:prstGeom prst="rect">
                            <a:avLst/>
                          </a:prstGeom>
                          <a:noFill/>
                          <a:ln>
                            <a:noFill/>
                          </a:ln>
                        </pic:spPr>
                      </pic:pic>
                    </a:graphicData>
                  </a:graphic>
                </wp:inline>
              </w:drawing>
            </w:r>
            <w:r>
              <w:rPr>
                <w:rFonts w:eastAsia="Calibri"/>
                <w:sz w:val="22"/>
                <w:szCs w:val="22"/>
                <w:vertAlign w:val="superscript"/>
                <w:rtl/>
              </w:rPr>
              <w:footnoteReference w:id="30"/>
            </w:r>
          </w:p>
        </w:tc>
        <w:tc>
          <w:tcPr>
            <w:tcW w:w="4106" w:type="dxa"/>
          </w:tcPr>
          <w:p w:rsidR="0016536A" w:rsidRPr="0016536A" w:rsidP="004614AF">
            <w:pPr>
              <w:spacing w:line="269" w:lineRule="auto"/>
              <w:jc w:val="center"/>
              <w:rPr>
                <w:rFonts w:eastAsia="Calibri"/>
                <w:b/>
                <w:bCs/>
                <w:sz w:val="22"/>
                <w:szCs w:val="22"/>
                <w:rtl/>
              </w:rPr>
            </w:pPr>
            <w:r w:rsidRPr="0016536A">
              <w:rPr>
                <w:rFonts w:eastAsia="Calibri" w:hint="cs"/>
                <w:b/>
                <w:bCs/>
                <w:sz w:val="22"/>
                <w:szCs w:val="22"/>
                <w:rtl/>
              </w:rPr>
              <w:t>קופות החולים</w:t>
            </w:r>
          </w:p>
          <w:p w:rsidR="0016536A" w:rsidRPr="0016536A" w:rsidP="004614AF">
            <w:pPr>
              <w:spacing w:line="269" w:lineRule="auto"/>
              <w:jc w:val="center"/>
              <w:rPr>
                <w:rFonts w:eastAsia="Calibri"/>
                <w:b/>
                <w:bCs/>
                <w:sz w:val="22"/>
                <w:szCs w:val="22"/>
                <w:rtl/>
              </w:rPr>
            </w:pPr>
            <w:r w:rsidRPr="0016536A">
              <w:rPr>
                <w:rFonts w:eastAsia="Times New Roman"/>
                <w:noProof/>
                <w:sz w:val="22"/>
                <w:szCs w:val="22"/>
              </w:rPr>
              <w:drawing>
                <wp:inline distT="0" distB="0" distL="0" distR="0">
                  <wp:extent cx="1620000" cy="1080000"/>
                  <wp:effectExtent l="0" t="0" r="0" b="6350"/>
                  <wp:docPr id="958713418" name="תמונה 53" descr="איור של מבנה עם שתי קומות וחלונות.&#10;&#10;במרכז התמונה עומד איש צוות רפואי ליד הכניסה למבנה.&#10;&#10;משמאל: אדם מבוגר הולך לכיוון המבנה.&#10;&#10;מימין: שני אנשים הולכים ליד המבנה, אחד מהם נראה כאיש צוות רפואי.&#10;&#10;לצדי המבנה מופיעים שיח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13418" name="8361F971-5E36-4EA8-B631-0EC6064BEF1A" descr="PHOTO-2025-08-11-12-55-10.jpg"/>
                          <pic:cNvPicPr>
                            <a:picLocks noChangeAspect="1" noChangeArrowheads="1"/>
                          </pic:cNvPicPr>
                        </pic:nvPicPr>
                        <pic:blipFill>
                          <a:blip xmlns:r="http://schemas.openxmlformats.org/officeDocument/2006/relationships" r:embed="rId21" r:link="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0" cy="1080000"/>
                          </a:xfrm>
                          <a:prstGeom prst="rect">
                            <a:avLst/>
                          </a:prstGeom>
                          <a:noFill/>
                          <a:ln>
                            <a:noFill/>
                          </a:ln>
                        </pic:spPr>
                      </pic:pic>
                    </a:graphicData>
                  </a:graphic>
                </wp:inline>
              </w:drawing>
            </w:r>
            <w:r>
              <w:rPr>
                <w:rFonts w:eastAsia="Calibri"/>
                <w:sz w:val="22"/>
                <w:szCs w:val="22"/>
                <w:vertAlign w:val="superscript"/>
                <w:rtl/>
              </w:rPr>
              <w:footnoteReference w:id="31"/>
            </w:r>
          </w:p>
        </w:tc>
      </w:tr>
      <w:tr w:rsidTr="0016536A">
        <w:tblPrEx>
          <w:tblW w:w="0" w:type="auto"/>
          <w:tblLook w:val="04A0"/>
        </w:tblPrEx>
        <w:tc>
          <w:tcPr>
            <w:tcW w:w="4105" w:type="dxa"/>
          </w:tcPr>
          <w:p w:rsidR="0016536A" w:rsidRPr="0016536A" w:rsidP="004614AF">
            <w:pPr>
              <w:spacing w:line="269" w:lineRule="auto"/>
              <w:rPr>
                <w:rFonts w:eastAsia="Calibri"/>
                <w:b/>
                <w:bCs/>
                <w:sz w:val="22"/>
                <w:szCs w:val="22"/>
                <w:rtl/>
              </w:rPr>
            </w:pPr>
            <w:r w:rsidRPr="0016536A">
              <w:rPr>
                <w:rFonts w:eastAsia="Calibri"/>
                <w:b/>
                <w:bCs/>
                <w:sz w:val="22"/>
                <w:szCs w:val="22"/>
                <w:rtl/>
              </w:rPr>
              <w:t xml:space="preserve">רגולציה, פיקוח ומימון </w:t>
            </w:r>
            <w:r w:rsidRPr="0016536A">
              <w:rPr>
                <w:rFonts w:eastAsia="Calibri" w:hint="cs"/>
                <w:b/>
                <w:bCs/>
                <w:sz w:val="22"/>
                <w:szCs w:val="22"/>
                <w:rtl/>
              </w:rPr>
              <w:t>של אשפוז סיעודי מוסדי</w:t>
            </w:r>
            <w:r>
              <w:rPr>
                <w:rFonts w:eastAsia="Calibri"/>
                <w:b/>
                <w:bCs/>
                <w:sz w:val="22"/>
                <w:szCs w:val="22"/>
                <w:vertAlign w:val="superscript"/>
                <w:rtl/>
              </w:rPr>
              <w:footnoteReference w:id="32"/>
            </w:r>
          </w:p>
        </w:tc>
        <w:tc>
          <w:tcPr>
            <w:tcW w:w="4106" w:type="dxa"/>
          </w:tcPr>
          <w:p w:rsidR="0016536A" w:rsidRPr="0016536A" w:rsidP="004614AF">
            <w:pPr>
              <w:spacing w:line="269" w:lineRule="auto"/>
              <w:rPr>
                <w:rFonts w:eastAsia="Calibri"/>
                <w:b/>
                <w:bCs/>
                <w:sz w:val="22"/>
                <w:szCs w:val="22"/>
                <w:rtl/>
              </w:rPr>
            </w:pPr>
            <w:r w:rsidRPr="0016536A">
              <w:rPr>
                <w:rFonts w:eastAsia="Calibri"/>
                <w:b/>
                <w:bCs/>
                <w:sz w:val="22"/>
                <w:szCs w:val="22"/>
                <w:rtl/>
              </w:rPr>
              <w:t>מתן שירותי בריאות במסגרת סל הבריאות, כולל שירותים ייעודיים לזקנים</w:t>
            </w:r>
            <w:r>
              <w:rPr>
                <w:rFonts w:eastAsia="Calibri"/>
                <w:b/>
                <w:bCs/>
                <w:sz w:val="22"/>
                <w:szCs w:val="22"/>
                <w:vertAlign w:val="superscript"/>
                <w:rtl/>
              </w:rPr>
              <w:footnoteReference w:id="33"/>
            </w:r>
          </w:p>
        </w:tc>
      </w:tr>
      <w:tr w:rsidTr="0016536A">
        <w:tblPrEx>
          <w:tblW w:w="0" w:type="auto"/>
          <w:tblLook w:val="04A0"/>
        </w:tblPrEx>
        <w:tc>
          <w:tcPr>
            <w:tcW w:w="4105" w:type="dxa"/>
          </w:tcPr>
          <w:p w:rsidR="0016536A" w:rsidRPr="0016536A" w:rsidP="004614AF">
            <w:pPr>
              <w:numPr>
                <w:ilvl w:val="0"/>
                <w:numId w:val="15"/>
              </w:numPr>
              <w:spacing w:line="269" w:lineRule="auto"/>
              <w:contextualSpacing/>
              <w:rPr>
                <w:rFonts w:eastAsia="Calibri"/>
                <w:sz w:val="22"/>
                <w:szCs w:val="22"/>
              </w:rPr>
            </w:pPr>
            <w:r w:rsidRPr="0016536A">
              <w:rPr>
                <w:rFonts w:eastAsia="Calibri"/>
                <w:sz w:val="22"/>
                <w:szCs w:val="22"/>
                <w:rtl/>
              </w:rPr>
              <w:t>פיקוח על בתי חולים</w:t>
            </w:r>
            <w:r w:rsidRPr="0016536A">
              <w:rPr>
                <w:rFonts w:eastAsia="Calibri" w:hint="cs"/>
                <w:sz w:val="22"/>
                <w:szCs w:val="22"/>
                <w:rtl/>
              </w:rPr>
              <w:t xml:space="preserve"> כלליים</w:t>
            </w:r>
            <w:r w:rsidRPr="0016536A">
              <w:rPr>
                <w:rFonts w:eastAsia="Calibri"/>
                <w:sz w:val="22"/>
                <w:szCs w:val="22"/>
                <w:rtl/>
              </w:rPr>
              <w:t xml:space="preserve"> </w:t>
            </w:r>
            <w:r w:rsidRPr="0016536A">
              <w:rPr>
                <w:rFonts w:eastAsia="Calibri" w:hint="cs"/>
                <w:sz w:val="22"/>
                <w:szCs w:val="22"/>
                <w:rtl/>
              </w:rPr>
              <w:t>ו</w:t>
            </w:r>
            <w:r w:rsidRPr="0016536A">
              <w:rPr>
                <w:rFonts w:eastAsia="Calibri"/>
                <w:sz w:val="22"/>
                <w:szCs w:val="22"/>
                <w:rtl/>
              </w:rPr>
              <w:t>גריאטריים ומוסדות סיעודיים.</w:t>
            </w:r>
          </w:p>
          <w:p w:rsidR="0016536A" w:rsidRPr="0016536A" w:rsidP="004614AF">
            <w:pPr>
              <w:numPr>
                <w:ilvl w:val="0"/>
                <w:numId w:val="15"/>
              </w:numPr>
              <w:spacing w:line="269" w:lineRule="auto"/>
              <w:contextualSpacing/>
              <w:rPr>
                <w:rFonts w:eastAsia="Calibri"/>
                <w:sz w:val="22"/>
                <w:szCs w:val="22"/>
              </w:rPr>
            </w:pPr>
            <w:r w:rsidRPr="0016536A">
              <w:rPr>
                <w:rFonts w:eastAsia="Calibri"/>
                <w:sz w:val="22"/>
                <w:szCs w:val="22"/>
                <w:rtl/>
              </w:rPr>
              <w:t>הפעלת תוכניות מניעה ו</w:t>
            </w:r>
            <w:r w:rsidRPr="0016536A">
              <w:rPr>
                <w:rFonts w:eastAsia="Calibri" w:hint="cs"/>
                <w:sz w:val="22"/>
                <w:szCs w:val="22"/>
                <w:rtl/>
              </w:rPr>
              <w:t>תוכניות ל</w:t>
            </w:r>
            <w:r w:rsidRPr="0016536A">
              <w:rPr>
                <w:rFonts w:eastAsia="Calibri"/>
                <w:sz w:val="22"/>
                <w:szCs w:val="22"/>
                <w:rtl/>
              </w:rPr>
              <w:t>קידום בריאות</w:t>
            </w:r>
            <w:r w:rsidRPr="0016536A">
              <w:rPr>
                <w:rFonts w:eastAsia="Calibri" w:hint="cs"/>
                <w:sz w:val="22"/>
                <w:szCs w:val="22"/>
                <w:rtl/>
              </w:rPr>
              <w:t>.</w:t>
            </w:r>
          </w:p>
          <w:p w:rsidR="0016536A" w:rsidRPr="0016536A" w:rsidP="004614AF">
            <w:pPr>
              <w:numPr>
                <w:ilvl w:val="0"/>
                <w:numId w:val="15"/>
              </w:numPr>
              <w:spacing w:line="269" w:lineRule="auto"/>
              <w:contextualSpacing/>
              <w:rPr>
                <w:rFonts w:eastAsia="Calibri"/>
                <w:sz w:val="22"/>
                <w:szCs w:val="22"/>
                <w:rtl/>
              </w:rPr>
            </w:pPr>
            <w:r w:rsidRPr="0016536A">
              <w:rPr>
                <w:rFonts w:eastAsia="Calibri" w:hint="cs"/>
                <w:sz w:val="22"/>
                <w:szCs w:val="22"/>
                <w:rtl/>
              </w:rPr>
              <w:t>מימון סיעודי מוסדי (אשפוז בבית אבות או מוסד סיעודי).</w:t>
            </w:r>
          </w:p>
        </w:tc>
        <w:tc>
          <w:tcPr>
            <w:tcW w:w="4106" w:type="dxa"/>
          </w:tcPr>
          <w:p w:rsidR="0016536A" w:rsidRPr="0016536A" w:rsidP="004614AF">
            <w:pPr>
              <w:numPr>
                <w:ilvl w:val="0"/>
                <w:numId w:val="14"/>
              </w:numPr>
              <w:spacing w:line="269" w:lineRule="auto"/>
              <w:contextualSpacing/>
              <w:jc w:val="left"/>
              <w:rPr>
                <w:rFonts w:eastAsia="Calibri"/>
                <w:sz w:val="22"/>
                <w:szCs w:val="22"/>
                <w:rtl/>
              </w:rPr>
            </w:pPr>
            <w:r w:rsidRPr="0016536A">
              <w:rPr>
                <w:rFonts w:eastAsia="Calibri"/>
                <w:sz w:val="22"/>
                <w:szCs w:val="22"/>
                <w:rtl/>
              </w:rPr>
              <w:t xml:space="preserve">רפואה ראשונית ומשפחתית </w:t>
            </w:r>
            <w:r w:rsidRPr="0016536A">
              <w:rPr>
                <w:rFonts w:eastAsia="Calibri" w:hint="cs"/>
                <w:sz w:val="22"/>
                <w:szCs w:val="22"/>
                <w:rtl/>
              </w:rPr>
              <w:t>-</w:t>
            </w:r>
            <w:r w:rsidRPr="0016536A">
              <w:rPr>
                <w:rFonts w:eastAsia="Calibri"/>
                <w:sz w:val="22"/>
                <w:szCs w:val="22"/>
                <w:rtl/>
              </w:rPr>
              <w:t xml:space="preserve"> ביקורים אצל רופא משפחה, מעקבים רפואיים.</w:t>
            </w:r>
          </w:p>
          <w:p w:rsidR="0016536A" w:rsidRPr="0016536A" w:rsidP="004614AF">
            <w:pPr>
              <w:numPr>
                <w:ilvl w:val="0"/>
                <w:numId w:val="14"/>
              </w:numPr>
              <w:spacing w:line="269" w:lineRule="auto"/>
              <w:contextualSpacing/>
              <w:jc w:val="left"/>
              <w:rPr>
                <w:rFonts w:eastAsia="Calibri"/>
                <w:sz w:val="22"/>
                <w:szCs w:val="22"/>
                <w:rtl/>
              </w:rPr>
            </w:pPr>
            <w:r w:rsidRPr="0016536A">
              <w:rPr>
                <w:rFonts w:eastAsia="Calibri"/>
                <w:sz w:val="22"/>
                <w:szCs w:val="22"/>
                <w:rtl/>
              </w:rPr>
              <w:t xml:space="preserve">רפואה ייעודית לגריאטריה </w:t>
            </w:r>
            <w:r w:rsidRPr="0016536A">
              <w:rPr>
                <w:rFonts w:eastAsia="Calibri" w:hint="cs"/>
                <w:sz w:val="22"/>
                <w:szCs w:val="22"/>
                <w:rtl/>
              </w:rPr>
              <w:t>-</w:t>
            </w:r>
            <w:r w:rsidRPr="0016536A">
              <w:rPr>
                <w:rFonts w:eastAsia="Calibri"/>
                <w:sz w:val="22"/>
                <w:szCs w:val="22"/>
                <w:rtl/>
              </w:rPr>
              <w:t xml:space="preserve"> מרפאות גריאטריות לאבחון ומעקב.</w:t>
            </w:r>
          </w:p>
          <w:p w:rsidR="0016536A" w:rsidRPr="0016536A" w:rsidP="004614AF">
            <w:pPr>
              <w:numPr>
                <w:ilvl w:val="0"/>
                <w:numId w:val="14"/>
              </w:numPr>
              <w:spacing w:line="269" w:lineRule="auto"/>
              <w:contextualSpacing/>
              <w:jc w:val="left"/>
              <w:rPr>
                <w:rFonts w:eastAsia="Calibri"/>
                <w:sz w:val="22"/>
                <w:szCs w:val="22"/>
                <w:rtl/>
              </w:rPr>
            </w:pPr>
            <w:r w:rsidRPr="0016536A">
              <w:rPr>
                <w:rFonts w:eastAsia="Calibri"/>
                <w:sz w:val="22"/>
                <w:szCs w:val="22"/>
                <w:rtl/>
              </w:rPr>
              <w:t xml:space="preserve">בדיקות סקר ומניעה </w:t>
            </w:r>
            <w:r w:rsidRPr="0016536A">
              <w:rPr>
                <w:rFonts w:eastAsia="Calibri" w:hint="cs"/>
                <w:sz w:val="22"/>
                <w:szCs w:val="22"/>
                <w:rtl/>
              </w:rPr>
              <w:t>-</w:t>
            </w:r>
            <w:r w:rsidRPr="0016536A">
              <w:rPr>
                <w:rFonts w:eastAsia="Calibri"/>
                <w:sz w:val="22"/>
                <w:szCs w:val="22"/>
                <w:rtl/>
              </w:rPr>
              <w:t xml:space="preserve"> לחץ דם, כולסטרול, סוכרת, בדיקות סרטן.</w:t>
            </w:r>
          </w:p>
          <w:p w:rsidR="0016536A" w:rsidRPr="0016536A" w:rsidP="004614AF">
            <w:pPr>
              <w:numPr>
                <w:ilvl w:val="0"/>
                <w:numId w:val="14"/>
              </w:numPr>
              <w:spacing w:line="269" w:lineRule="auto"/>
              <w:contextualSpacing/>
              <w:jc w:val="left"/>
              <w:rPr>
                <w:rFonts w:eastAsia="Calibri"/>
                <w:sz w:val="22"/>
                <w:szCs w:val="22"/>
                <w:rtl/>
              </w:rPr>
            </w:pPr>
            <w:r w:rsidRPr="0016536A">
              <w:rPr>
                <w:rFonts w:eastAsia="Calibri"/>
                <w:sz w:val="22"/>
                <w:szCs w:val="22"/>
                <w:rtl/>
              </w:rPr>
              <w:t xml:space="preserve">שירותי חיסון </w:t>
            </w:r>
            <w:r w:rsidRPr="0016536A">
              <w:rPr>
                <w:rFonts w:eastAsia="Calibri" w:hint="cs"/>
                <w:sz w:val="22"/>
                <w:szCs w:val="22"/>
                <w:rtl/>
              </w:rPr>
              <w:t xml:space="preserve">כגון </w:t>
            </w:r>
            <w:r w:rsidRPr="0016536A">
              <w:rPr>
                <w:rFonts w:eastAsia="Calibri"/>
                <w:sz w:val="22"/>
                <w:szCs w:val="22"/>
                <w:rtl/>
              </w:rPr>
              <w:t xml:space="preserve">שפעת </w:t>
            </w:r>
            <w:r w:rsidRPr="0016536A">
              <w:rPr>
                <w:rFonts w:eastAsia="Calibri" w:hint="cs"/>
                <w:sz w:val="22"/>
                <w:szCs w:val="22"/>
                <w:rtl/>
              </w:rPr>
              <w:t>ו</w:t>
            </w:r>
            <w:r w:rsidRPr="0016536A">
              <w:rPr>
                <w:rFonts w:eastAsia="Calibri"/>
                <w:sz w:val="22"/>
                <w:szCs w:val="22"/>
                <w:rtl/>
              </w:rPr>
              <w:t>פנ</w:t>
            </w:r>
            <w:r w:rsidR="0040350B">
              <w:rPr>
                <w:rFonts w:eastAsia="Calibri" w:hint="cs"/>
                <w:sz w:val="22"/>
                <w:szCs w:val="22"/>
                <w:rtl/>
              </w:rPr>
              <w:t>י</w:t>
            </w:r>
            <w:r w:rsidRPr="0016536A">
              <w:rPr>
                <w:rFonts w:eastAsia="Calibri"/>
                <w:sz w:val="22"/>
                <w:szCs w:val="22"/>
                <w:rtl/>
              </w:rPr>
              <w:t>אומוקוק</w:t>
            </w:r>
            <w:r w:rsidRPr="0016536A">
              <w:rPr>
                <w:rFonts w:eastAsia="Calibri" w:hint="cs"/>
                <w:sz w:val="22"/>
                <w:szCs w:val="22"/>
                <w:rtl/>
              </w:rPr>
              <w:t>.</w:t>
            </w:r>
          </w:p>
          <w:p w:rsidR="0016536A" w:rsidRPr="0016536A" w:rsidP="004614AF">
            <w:pPr>
              <w:numPr>
                <w:ilvl w:val="0"/>
                <w:numId w:val="14"/>
              </w:numPr>
              <w:spacing w:line="269" w:lineRule="auto"/>
              <w:contextualSpacing/>
              <w:jc w:val="left"/>
              <w:rPr>
                <w:rFonts w:eastAsia="Calibri"/>
                <w:sz w:val="22"/>
                <w:szCs w:val="22"/>
              </w:rPr>
            </w:pPr>
            <w:r w:rsidRPr="0016536A">
              <w:rPr>
                <w:rFonts w:eastAsia="Calibri"/>
                <w:sz w:val="22"/>
                <w:szCs w:val="22"/>
                <w:rtl/>
              </w:rPr>
              <w:t>שירותי פיזיותרפיה וריפוי בעיסוק</w:t>
            </w:r>
            <w:r w:rsidRPr="0016536A">
              <w:rPr>
                <w:rFonts w:eastAsia="Calibri" w:hint="cs"/>
                <w:sz w:val="22"/>
                <w:szCs w:val="22"/>
                <w:rtl/>
              </w:rPr>
              <w:t>.</w:t>
            </w:r>
          </w:p>
          <w:p w:rsidR="0016536A" w:rsidRPr="0016536A" w:rsidP="004614AF">
            <w:pPr>
              <w:numPr>
                <w:ilvl w:val="0"/>
                <w:numId w:val="14"/>
              </w:numPr>
              <w:spacing w:line="269" w:lineRule="auto"/>
              <w:contextualSpacing/>
              <w:jc w:val="left"/>
              <w:rPr>
                <w:rFonts w:eastAsia="Calibri"/>
                <w:sz w:val="22"/>
                <w:szCs w:val="22"/>
              </w:rPr>
            </w:pPr>
            <w:r w:rsidRPr="0016536A">
              <w:rPr>
                <w:rFonts w:eastAsia="Calibri"/>
                <w:sz w:val="22"/>
                <w:szCs w:val="22"/>
                <w:rtl/>
              </w:rPr>
              <w:t>אשפוז גריאטרי שיקומי</w:t>
            </w:r>
            <w:r w:rsidRPr="0016536A">
              <w:rPr>
                <w:rFonts w:eastAsia="Calibri" w:hint="cs"/>
                <w:sz w:val="22"/>
                <w:szCs w:val="22"/>
                <w:rtl/>
              </w:rPr>
              <w:t>,</w:t>
            </w:r>
            <w:r w:rsidRPr="0016536A">
              <w:rPr>
                <w:rFonts w:eastAsia="Calibri"/>
                <w:sz w:val="22"/>
                <w:szCs w:val="22"/>
                <w:rtl/>
              </w:rPr>
              <w:t xml:space="preserve"> </w:t>
            </w:r>
            <w:r w:rsidRPr="0016536A">
              <w:rPr>
                <w:rFonts w:eastAsia="Calibri" w:hint="cs"/>
                <w:sz w:val="22"/>
                <w:szCs w:val="22"/>
                <w:rtl/>
              </w:rPr>
              <w:t xml:space="preserve">כגון </w:t>
            </w:r>
            <w:r w:rsidRPr="0016536A">
              <w:rPr>
                <w:rFonts w:eastAsia="Calibri"/>
                <w:sz w:val="22"/>
                <w:szCs w:val="22"/>
                <w:rtl/>
              </w:rPr>
              <w:t>שיקום לאחר אירוע מוחי, שבר בירך</w:t>
            </w:r>
            <w:r w:rsidRPr="0016536A">
              <w:rPr>
                <w:rFonts w:eastAsia="Calibri" w:hint="cs"/>
                <w:sz w:val="22"/>
                <w:szCs w:val="22"/>
                <w:rtl/>
              </w:rPr>
              <w:t>.</w:t>
            </w:r>
          </w:p>
          <w:p w:rsidR="0016536A" w:rsidRPr="0016536A" w:rsidP="004614AF">
            <w:pPr>
              <w:numPr>
                <w:ilvl w:val="0"/>
                <w:numId w:val="14"/>
              </w:numPr>
              <w:spacing w:line="269" w:lineRule="auto"/>
              <w:contextualSpacing/>
              <w:jc w:val="left"/>
              <w:rPr>
                <w:rFonts w:eastAsia="Calibri"/>
                <w:sz w:val="22"/>
                <w:szCs w:val="22"/>
                <w:rtl/>
              </w:rPr>
            </w:pPr>
            <w:r w:rsidRPr="0016536A">
              <w:rPr>
                <w:rFonts w:eastAsia="Calibri"/>
                <w:sz w:val="22"/>
                <w:szCs w:val="22"/>
                <w:rtl/>
              </w:rPr>
              <w:t xml:space="preserve">אשפוז סיעודי מורכב </w:t>
            </w:r>
            <w:r w:rsidRPr="0016536A">
              <w:rPr>
                <w:rFonts w:eastAsia="Calibri" w:hint="cs"/>
                <w:sz w:val="22"/>
                <w:szCs w:val="22"/>
                <w:rtl/>
              </w:rPr>
              <w:t>-</w:t>
            </w:r>
            <w:r w:rsidRPr="0016536A">
              <w:rPr>
                <w:rFonts w:eastAsia="Calibri"/>
                <w:sz w:val="22"/>
                <w:szCs w:val="22"/>
                <w:rtl/>
              </w:rPr>
              <w:t xml:space="preserve"> טיפול </w:t>
            </w:r>
            <w:r w:rsidRPr="0016536A">
              <w:rPr>
                <w:rFonts w:eastAsia="Calibri" w:hint="cs"/>
                <w:sz w:val="22"/>
                <w:szCs w:val="22"/>
                <w:rtl/>
              </w:rPr>
              <w:t>ב</w:t>
            </w:r>
            <w:r w:rsidRPr="0016536A">
              <w:rPr>
                <w:rFonts w:eastAsia="Calibri"/>
                <w:sz w:val="22"/>
                <w:szCs w:val="22"/>
                <w:rtl/>
              </w:rPr>
              <w:t>חולים במצב רפואי מורכב</w:t>
            </w:r>
            <w:r w:rsidRPr="0016536A">
              <w:rPr>
                <w:rFonts w:eastAsia="Calibri" w:hint="cs"/>
                <w:sz w:val="22"/>
                <w:szCs w:val="22"/>
                <w:rtl/>
              </w:rPr>
              <w:t xml:space="preserve"> ומימון הטיפולים</w:t>
            </w:r>
            <w:r w:rsidRPr="0016536A">
              <w:rPr>
                <w:rFonts w:eastAsia="Calibri"/>
                <w:sz w:val="22"/>
                <w:szCs w:val="22"/>
                <w:rtl/>
              </w:rPr>
              <w:t>.</w:t>
            </w:r>
          </w:p>
        </w:tc>
      </w:tr>
    </w:tbl>
    <w:p w:rsidR="0016536A" w:rsidRPr="0016536A" w:rsidP="004614AF">
      <w:pPr>
        <w:spacing w:line="269" w:lineRule="auto"/>
        <w:rPr>
          <w:rFonts w:eastAsia="Calibri"/>
          <w:sz w:val="16"/>
          <w:szCs w:val="20"/>
          <w:rtl/>
        </w:rPr>
      </w:pPr>
      <w:r w:rsidRPr="0016536A">
        <w:rPr>
          <w:rFonts w:eastAsia="Calibri" w:hint="cs"/>
          <w:sz w:val="16"/>
          <w:szCs w:val="20"/>
          <w:rtl/>
        </w:rPr>
        <w:t>המקור: אתר משרד הבריאות</w:t>
      </w:r>
    </w:p>
    <w:p w:rsidR="0016536A" w:rsidRPr="0016536A" w:rsidP="004614AF">
      <w:pPr>
        <w:spacing w:line="269" w:lineRule="auto"/>
        <w:rPr>
          <w:rFonts w:eastAsia="Calibri"/>
          <w:rtl/>
        </w:rPr>
      </w:pPr>
      <w:r w:rsidRPr="0016536A">
        <w:rPr>
          <w:rFonts w:eastAsia="Calibri" w:hint="cs"/>
          <w:rtl/>
        </w:rPr>
        <w:t>אגף גריאטריה במשרד הבריאות מופקד על תחום</w:t>
      </w:r>
      <w:r w:rsidRPr="0016536A">
        <w:rPr>
          <w:rFonts w:eastAsia="Calibri"/>
          <w:rtl/>
        </w:rPr>
        <w:t xml:space="preserve"> הגריאטריה והמחלות הממושכות במוסדות אשפוז גריאטריים, בבתי החולים הכלליים ובקהילה. אוכלוסיית היעד לפעולות האגף</w:t>
      </w:r>
      <w:r w:rsidRPr="0016536A">
        <w:rPr>
          <w:rFonts w:eastAsia="Calibri" w:hint="cs"/>
          <w:rtl/>
        </w:rPr>
        <w:t xml:space="preserve"> היא</w:t>
      </w:r>
      <w:r w:rsidRPr="0016536A">
        <w:rPr>
          <w:rFonts w:eastAsia="Calibri"/>
          <w:rtl/>
        </w:rPr>
        <w:t xml:space="preserve"> בני 65 ומעלה</w:t>
      </w:r>
      <w:r w:rsidRPr="0016536A">
        <w:rPr>
          <w:rFonts w:eastAsia="Calibri" w:hint="cs"/>
          <w:rtl/>
        </w:rPr>
        <w:t>, ו</w:t>
      </w:r>
      <w:r w:rsidRPr="0016536A">
        <w:rPr>
          <w:rFonts w:eastAsia="Calibri"/>
          <w:rtl/>
        </w:rPr>
        <w:t>בין תפקידי האגף: תכנון, קביעת מדיניות, פיתוח שירותים ופיתוח כ</w:t>
      </w:r>
      <w:r w:rsidRPr="0016536A">
        <w:rPr>
          <w:rFonts w:eastAsia="Calibri" w:hint="cs"/>
          <w:rtl/>
        </w:rPr>
        <w:t>ו</w:t>
      </w:r>
      <w:r w:rsidRPr="0016536A">
        <w:rPr>
          <w:rFonts w:eastAsia="Calibri"/>
          <w:rtl/>
        </w:rPr>
        <w:t>ח אדם</w:t>
      </w:r>
      <w:r w:rsidRPr="0016536A">
        <w:rPr>
          <w:rFonts w:eastAsia="Calibri" w:hint="cs"/>
          <w:rtl/>
        </w:rPr>
        <w:t>.</w:t>
      </w:r>
    </w:p>
    <w:p w:rsidR="0016536A" w:rsidRPr="004614AF" w:rsidP="004614AF">
      <w:pPr>
        <w:spacing w:line="269" w:lineRule="auto"/>
        <w:rPr>
          <w:rFonts w:eastAsia="Calibri"/>
          <w:sz w:val="16"/>
          <w:szCs w:val="20"/>
          <w:rtl/>
        </w:rPr>
      </w:pPr>
    </w:p>
    <w:p w:rsidR="0016536A" w:rsidRPr="0016536A" w:rsidP="004614AF">
      <w:pPr>
        <w:keepNext/>
        <w:keepLines/>
        <w:spacing w:line="269" w:lineRule="auto"/>
        <w:outlineLvl w:val="2"/>
        <w:rPr>
          <w:rFonts w:eastAsia="Times New Roman"/>
          <w:bCs/>
          <w:szCs w:val="28"/>
          <w:u w:val="single"/>
          <w:rtl/>
        </w:rPr>
      </w:pPr>
      <w:r w:rsidRPr="0016536A">
        <w:rPr>
          <w:rFonts w:eastAsia="Times New Roman" w:hint="cs"/>
          <w:bCs/>
          <w:szCs w:val="28"/>
          <w:u w:val="single"/>
          <w:rtl/>
        </w:rPr>
        <w:t>פעולות הביקורת</w:t>
      </w:r>
    </w:p>
    <w:p w:rsidR="0016536A" w:rsidRPr="004614AF" w:rsidP="004614AF">
      <w:pPr>
        <w:spacing w:line="269" w:lineRule="auto"/>
        <w:rPr>
          <w:rFonts w:eastAsia="Calibri"/>
          <w:sz w:val="16"/>
          <w:szCs w:val="20"/>
          <w:rtl/>
        </w:rPr>
      </w:pPr>
    </w:p>
    <w:p w:rsidR="0016536A" w:rsidRPr="0016536A" w:rsidP="004614AF">
      <w:pPr>
        <w:spacing w:line="269" w:lineRule="auto"/>
        <w:rPr>
          <w:rFonts w:eastAsia="Calibri"/>
          <w:rtl/>
        </w:rPr>
      </w:pPr>
      <w:r w:rsidRPr="0016536A">
        <w:rPr>
          <w:rFonts w:eastAsia="Calibri" w:hint="cs"/>
          <w:rtl/>
        </w:rPr>
        <w:t>בחודשים ינואר - אוקטובר 2025 בדק משרד מבקר המדינה את היערכות משרד הבריאות וקופות החולים להזדקנות האוכלוסייה. בביקורת נבדקו התחומים האלו: שבריריות</w:t>
      </w:r>
      <w:r>
        <w:rPr>
          <w:rFonts w:eastAsia="Calibri"/>
          <w:vertAlign w:val="superscript"/>
          <w:rtl/>
        </w:rPr>
        <w:footnoteReference w:id="34"/>
      </w:r>
      <w:r w:rsidRPr="0016536A">
        <w:rPr>
          <w:rFonts w:eastAsia="Calibri" w:hint="cs"/>
          <w:rtl/>
        </w:rPr>
        <w:t xml:space="preserve"> ותוחלת חיים בריאים; קידום בריאות ורפואה מונעת אצל זקנים; ויישום החלטות הממשלה להיערכות מערכת הבריאות להזדקנות האוכלוסייה. הביקורת נערכה במשרד הבריאות: באגף גריאטריה, במינהל תכנון אסטרטגי וכלכלי ובאגף בכיר תכנון, תקצוב ותמחור; וכן ביחידות הגריאטריה והטיפול בזקנים בארבע קופות החולים: כללית, מכבי, מאוחדת ולאומית. בדיקות השלמה נעשו במוסד לביטוח לאומי ובהסתדרות הרפואית בישראל (להלן - הר"י).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rtl/>
        </w:rPr>
        <w:t>הביקורת נעשתה באמצעות כלי ביקורת מקובלים ובהתבסס על מידע ועל מסמכים שנאספו מכל</w:t>
      </w:r>
      <w:r w:rsidRPr="0016536A">
        <w:rPr>
          <w:rFonts w:eastAsia="Calibri" w:hint="cs"/>
          <w:rtl/>
        </w:rPr>
        <w:t xml:space="preserve"> </w:t>
      </w:r>
      <w:r w:rsidRPr="0016536A">
        <w:rPr>
          <w:rFonts w:eastAsia="Calibri"/>
          <w:rtl/>
        </w:rPr>
        <w:t>המקורות לנושא המבוקר. נוסף על אלה השתמש צוות הביקורת במידע מחמישה מקורות</w:t>
      </w:r>
      <w:r w:rsidRPr="0016536A">
        <w:rPr>
          <w:rFonts w:eastAsia="Calibri" w:hint="cs"/>
          <w:rtl/>
        </w:rPr>
        <w:t xml:space="preserve"> ע</w:t>
      </w:r>
      <w:r w:rsidRPr="0016536A">
        <w:rPr>
          <w:rFonts w:eastAsia="Calibri"/>
          <w:rtl/>
        </w:rPr>
        <w:t>יקריים, כמותיים ואיכות</w:t>
      </w:r>
      <w:r w:rsidRPr="0016536A">
        <w:rPr>
          <w:rFonts w:eastAsia="Calibri" w:hint="cs"/>
          <w:rtl/>
        </w:rPr>
        <w:t>נ</w:t>
      </w:r>
      <w:r w:rsidRPr="0016536A">
        <w:rPr>
          <w:rFonts w:eastAsia="Calibri"/>
          <w:rtl/>
        </w:rPr>
        <w:t>יים, שהשלימו את נקודת המבט על הנושא. לגבי כל אחד מהמקורות</w:t>
      </w:r>
      <w:r w:rsidRPr="0016536A">
        <w:rPr>
          <w:rFonts w:eastAsia="Calibri" w:hint="cs"/>
          <w:rtl/>
        </w:rPr>
        <w:t xml:space="preserve"> </w:t>
      </w:r>
      <w:r w:rsidRPr="0016536A">
        <w:rPr>
          <w:rFonts w:eastAsia="Calibri"/>
          <w:rtl/>
        </w:rPr>
        <w:t>יודגש כי הושמטו כל הפרטים המזהים כדי לשמור על פרטיות ועל חיסיון. להלן פירוט המקורות: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cs"/>
          <w:bCs/>
          <w:spacing w:val="40"/>
          <w:rtl/>
        </w:rPr>
        <w:t>נתונים מינהליים של קופות החולים:</w:t>
      </w:r>
      <w:r w:rsidRPr="0016536A">
        <w:rPr>
          <w:rFonts w:eastAsia="Calibri" w:hint="cs"/>
          <w:rtl/>
        </w:rPr>
        <w:t xml:space="preserve"> צוות הביקורת ניתח נתונים שנאספו מקופות החולים על בדיקות וטיפולים מתחום הרפואה המונעת וקידום הבריאות שנערכו בשנים 2019 - 2024 בקרב חברי כללית, מכבי ומאוחדת בני 65 ומעלה. הנתונים שהתקבלו הם נתוניהם של כ-1.2 מיליון איש, המהווים כ-93% מכלל אוכלוסיית הזקנים בישראל</w:t>
      </w:r>
      <w:r>
        <w:rPr>
          <w:rFonts w:eastAsia="Calibri"/>
          <w:vertAlign w:val="superscript"/>
          <w:rtl/>
        </w:rPr>
        <w:footnoteReference w:id="35"/>
      </w:r>
      <w:r w:rsidRPr="0016536A">
        <w:rPr>
          <w:rFonts w:eastAsia="Calibri" w:hint="cs"/>
          <w:rtl/>
        </w:rPr>
        <w:t>; כמו כן נאספו ונותחו נתונים על שבריריותם (</w:t>
      </w:r>
      <w:r w:rsidRPr="0016536A">
        <w:rPr>
          <w:rFonts w:eastAsia="Calibri"/>
          <w:rtl/>
        </w:rPr>
        <w:t>שבריריות (</w:t>
      </w:r>
      <w:r w:rsidRPr="0016536A">
        <w:rPr>
          <w:rFonts w:eastAsia="Calibri"/>
        </w:rPr>
        <w:t>frailty</w:t>
      </w:r>
      <w:r w:rsidRPr="0016536A">
        <w:rPr>
          <w:rFonts w:eastAsia="Calibri"/>
          <w:rtl/>
        </w:rPr>
        <w:t>) היא מצב הקשור לגיל, המתבטא בהידרדרות תפקודית עקב ירידה רב-מערכתית במאגרים הפיזיולוגיים של האדם</w:t>
      </w:r>
      <w:r w:rsidRPr="0016536A">
        <w:rPr>
          <w:rFonts w:eastAsia="Calibri" w:hint="cs"/>
          <w:rtl/>
        </w:rPr>
        <w:t>) של 470,000 חברי מכבי ומאוחדת (הנתונים חושבו על ידי קופות החולים ב-2025)</w:t>
      </w:r>
      <w:r>
        <w:rPr>
          <w:rFonts w:eastAsia="Calibri"/>
          <w:vertAlign w:val="superscript"/>
          <w:rtl/>
        </w:rPr>
        <w:footnoteReference w:id="36"/>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b/>
          <w:bCs/>
          <w:rtl/>
        </w:rPr>
        <w:t>נת</w:t>
      </w:r>
      <w:r w:rsidRPr="0016536A">
        <w:rPr>
          <w:rFonts w:eastAsia="Times New Roman" w:hint="cs"/>
          <w:bCs/>
          <w:spacing w:val="40"/>
          <w:rtl/>
        </w:rPr>
        <w:t>ונים מינהליים של המוסד לביטוח לאומי:</w:t>
      </w:r>
      <w:r w:rsidRPr="0016536A">
        <w:rPr>
          <w:rFonts w:eastAsia="Calibri" w:hint="cs"/>
          <w:rtl/>
        </w:rPr>
        <w:t xml:space="preserve"> צוות הביקורת ניתח נתונים על מקום מגורים והכנסה של אוכלוסיית הזקנים בישראל, וזאת לצורך השוואתם לנתוני הבריאות.</w:t>
      </w:r>
    </w:p>
    <w:p w:rsidR="0016536A" w:rsidRPr="0016536A" w:rsidP="004614AF">
      <w:pPr>
        <w:spacing w:line="269" w:lineRule="auto"/>
        <w:rPr>
          <w:rFonts w:eastAsia="Calibri"/>
        </w:rPr>
      </w:pPr>
    </w:p>
    <w:p w:rsidR="0016536A" w:rsidRPr="0016536A" w:rsidP="004614AF">
      <w:pPr>
        <w:spacing w:line="269" w:lineRule="auto"/>
        <w:rPr>
          <w:rFonts w:eastAsia="Calibri"/>
          <w:rtl/>
        </w:rPr>
      </w:pPr>
      <w:r w:rsidRPr="0016536A">
        <w:rPr>
          <w:rFonts w:eastAsia="Times New Roman" w:hint="cs"/>
          <w:bCs/>
          <w:spacing w:val="40"/>
          <w:rtl/>
        </w:rPr>
        <w:t>תיקים רפואיים:</w:t>
      </w:r>
      <w:r w:rsidRPr="0016536A">
        <w:rPr>
          <w:rFonts w:eastAsia="Calibri" w:hint="cs"/>
          <w:rtl/>
        </w:rPr>
        <w:t xml:space="preserve"> במסגרת הביקורת בוצע ניתוח מדגם של כ-230 תיקים רפואיים של חברי כללית, מכבי ולאומית בני 65 ומעלה (הקופות התבקשו למסור לצוות הביקורת תיקים של מבוטחים שיהיו מדגם מייצג). במסגרת זו נותח המידע המילולי שמילאו רופאי משפחה בנוגע לפעולות מניעה וקידום בריאות של מטופליהם. עיצוב מערך הבדיקה וביצועה לוו על ידי מומחה בתחום רפואת הקהילה.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cs"/>
          <w:bCs/>
          <w:spacing w:val="40"/>
          <w:rtl/>
        </w:rPr>
        <w:t>סקר רופאי משפחה:</w:t>
      </w:r>
      <w:r w:rsidRPr="0016536A">
        <w:rPr>
          <w:rFonts w:eastAsia="Calibri" w:hint="cs"/>
          <w:rtl/>
        </w:rPr>
        <w:t xml:space="preserve"> במסגרת הביקורת הופץ שאלון אשר עסק בתוחלת חיים בריאים, ברפואה מונעת ובקידום בריאות בקרב זקנים; השאלון הופץ בקרב רופאי משפחה בארבע הקופות (שכירים ועצמאים), והשיבו עליו כ-240 רופאים (להלן - סקר רופאי משפחה).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cs"/>
          <w:bCs/>
          <w:spacing w:val="40"/>
          <w:rtl/>
        </w:rPr>
        <w:t>סקר לאוכלוסיית הזקנים:</w:t>
      </w:r>
      <w:r w:rsidRPr="0016536A">
        <w:rPr>
          <w:rFonts w:eastAsia="Calibri" w:hint="cs"/>
          <w:rtl/>
        </w:rPr>
        <w:t xml:space="preserve"> במסגרת הביקורת הופץ שאלון </w:t>
      </w:r>
      <w:r w:rsidRPr="0016536A">
        <w:rPr>
          <w:rFonts w:eastAsia="Calibri"/>
          <w:rtl/>
        </w:rPr>
        <w:t>ב</w:t>
      </w:r>
      <w:r w:rsidRPr="0016536A">
        <w:rPr>
          <w:rFonts w:eastAsia="Calibri" w:hint="cs"/>
          <w:rtl/>
        </w:rPr>
        <w:t xml:space="preserve">חודשים </w:t>
      </w:r>
      <w:r w:rsidRPr="0016536A">
        <w:rPr>
          <w:rFonts w:eastAsia="Calibri"/>
          <w:rtl/>
        </w:rPr>
        <w:t>אוגוסט</w:t>
      </w:r>
      <w:r w:rsidRPr="0016536A">
        <w:rPr>
          <w:rFonts w:eastAsia="Calibri" w:hint="cs"/>
          <w:rtl/>
        </w:rPr>
        <w:t xml:space="preserve"> </w:t>
      </w:r>
      <w:r w:rsidRPr="0016536A">
        <w:rPr>
          <w:rFonts w:eastAsia="Calibri"/>
          <w:rtl/>
        </w:rPr>
        <w:t>-</w:t>
      </w:r>
      <w:r w:rsidRPr="0016536A">
        <w:rPr>
          <w:rFonts w:eastAsia="Calibri" w:hint="cs"/>
          <w:rtl/>
        </w:rPr>
        <w:t xml:space="preserve"> </w:t>
      </w:r>
      <w:r w:rsidRPr="0016536A">
        <w:rPr>
          <w:rFonts w:eastAsia="Calibri"/>
          <w:rtl/>
        </w:rPr>
        <w:t>ספטמבר 2025</w:t>
      </w:r>
      <w:r w:rsidRPr="0016536A">
        <w:rPr>
          <w:rFonts w:eastAsia="Calibri" w:hint="cs"/>
          <w:rtl/>
        </w:rPr>
        <w:t xml:space="preserve"> אשר עסק בשימוש בשירותי רפואה מונעת וקידום בריאות. השאלון נענה על ידי מדגם מייצג של כ-480 זקנים (להלן - סקר לאוכלוסיית הזקנים)</w:t>
      </w:r>
      <w:r>
        <w:rPr>
          <w:rFonts w:eastAsia="Calibri"/>
          <w:vertAlign w:val="superscript"/>
          <w:rtl/>
        </w:rPr>
        <w:footnoteReference w:id="37"/>
      </w:r>
      <w:r w:rsidRPr="0016536A">
        <w:rPr>
          <w:rFonts w:eastAsia="Calibri" w:hint="cs"/>
          <w:rtl/>
        </w:rPr>
        <w:t>. הסקר נערך</w:t>
      </w:r>
      <w:r w:rsidRPr="0016536A">
        <w:rPr>
          <w:rFonts w:eastAsia="Calibri"/>
          <w:rtl/>
        </w:rPr>
        <w:t xml:space="preserve"> באמצעות שאלון מקוון</w:t>
      </w:r>
      <w:r w:rsidRPr="0016536A">
        <w:rPr>
          <w:rFonts w:eastAsia="Calibri" w:hint="cs"/>
          <w:rtl/>
        </w:rPr>
        <w:t>.</w:t>
      </w:r>
      <w:r w:rsidRPr="0016536A">
        <w:rPr>
          <w:rFonts w:eastAsia="Calibri"/>
          <w:rtl/>
        </w:rPr>
        <w:t xml:space="preserve"> הדגימה המקוונת בוצעה מתוך פאנלים מקוונים - מאגרי משיבים שהסכימו מראש להשתתף בסקרים. </w:t>
      </w:r>
    </w:p>
    <w:p w:rsidR="0016536A" w:rsidRPr="0016536A" w:rsidP="004614AF">
      <w:pPr>
        <w:keepNext/>
        <w:keepLines/>
        <w:spacing w:line="269" w:lineRule="auto"/>
        <w:jc w:val="center"/>
        <w:outlineLvl w:val="1"/>
        <w:rPr>
          <w:rFonts w:eastAsia="Times New Roman"/>
          <w:bCs/>
          <w:szCs w:val="32"/>
          <w:rtl/>
        </w:rPr>
      </w:pPr>
      <w:r w:rsidRPr="0016536A">
        <w:rPr>
          <w:rFonts w:eastAsia="Times New Roman" w:hint="cs"/>
          <w:bCs/>
          <w:szCs w:val="32"/>
          <w:rtl/>
        </w:rPr>
        <w:t>תוחלת חיים בריאים ושבריריות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rtl/>
        </w:rPr>
        <w:t xml:space="preserve">תוחלת חיים משקפת את מספר השנים הממוצע </w:t>
      </w:r>
      <w:r w:rsidRPr="0016536A">
        <w:rPr>
          <w:rFonts w:eastAsia="Calibri" w:hint="cs"/>
          <w:rtl/>
        </w:rPr>
        <w:t>ש</w:t>
      </w:r>
      <w:r w:rsidRPr="0016536A">
        <w:rPr>
          <w:rFonts w:eastAsia="Calibri"/>
          <w:rtl/>
        </w:rPr>
        <w:t>אדם צפוי לחיות בגיל</w:t>
      </w:r>
      <w:r w:rsidRPr="0016536A">
        <w:rPr>
          <w:rFonts w:eastAsia="Calibri" w:hint="cs"/>
          <w:rtl/>
        </w:rPr>
        <w:t xml:space="preserve"> </w:t>
      </w:r>
      <w:r w:rsidRPr="0016536A">
        <w:rPr>
          <w:rFonts w:eastAsia="Calibri"/>
          <w:rtl/>
        </w:rPr>
        <w:t>מסוים</w:t>
      </w:r>
      <w:r w:rsidRPr="0016536A">
        <w:rPr>
          <w:rFonts w:eastAsia="Calibri" w:hint="cs"/>
          <w:rtl/>
        </w:rPr>
        <w:t>, לדוגמה, כמה שנים נוספות צפוי לחיות אדם משהגיע לגיל 65</w:t>
      </w:r>
      <w:r>
        <w:rPr>
          <w:rFonts w:eastAsia="Calibri"/>
          <w:vertAlign w:val="superscript"/>
          <w:rtl/>
        </w:rPr>
        <w:footnoteReference w:id="38"/>
      </w:r>
      <w:r w:rsidRPr="0016536A">
        <w:rPr>
          <w:rFonts w:eastAsia="Calibri" w:hint="cs"/>
          <w:rtl/>
        </w:rPr>
        <w:t>. טכנולוגיות מתקדמות ושיפור שירותי הבריאות הביאו לעלייה בתוחלת החיים</w:t>
      </w:r>
      <w:r>
        <w:rPr>
          <w:rFonts w:eastAsia="Calibri"/>
          <w:vertAlign w:val="superscript"/>
          <w:rtl/>
        </w:rPr>
        <w:footnoteReference w:id="39"/>
      </w:r>
      <w:r w:rsidRPr="0016536A">
        <w:rPr>
          <w:rFonts w:eastAsia="Calibri" w:hint="cs"/>
          <w:rtl/>
        </w:rPr>
        <w:t>. בישראל תוחלת החיים היא במקום הרביעי במדינות ה-</w:t>
      </w:r>
      <w:r w:rsidRPr="0016536A">
        <w:rPr>
          <w:rFonts w:eastAsia="Calibri" w:hint="cs"/>
        </w:rPr>
        <w:t>OECD</w:t>
      </w:r>
      <w:r>
        <w:rPr>
          <w:rFonts w:eastAsia="Calibri"/>
          <w:vertAlign w:val="superscript"/>
          <w:rtl/>
        </w:rPr>
        <w:footnoteReference w:id="40"/>
      </w:r>
      <w:r w:rsidRPr="0016536A">
        <w:rPr>
          <w:rFonts w:eastAsia="Calibri" w:hint="cs"/>
          <w:rtl/>
        </w:rPr>
        <w:t xml:space="preserve"> ונכון לשנת 2024 עומדת על 22.6 שנים לנשים ו-20 שנים לגברים בהגיעם לגיל 65, כלומר, צפי להגיע לגיל 87.6 לנשים ולגיל 85 לגברים בני 65. האתגר המתלווה להישג זה הוא להבטיח שהשנים שנוספו בתוחלת החיים יהיו בריאות ויאפשרו תפקוד לאורך זמן.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rtl/>
        </w:rPr>
        <w:t>תוחלת חיים בריא</w:t>
      </w:r>
      <w:r w:rsidRPr="0016536A">
        <w:rPr>
          <w:rFonts w:eastAsia="Calibri" w:hint="cs"/>
          <w:rtl/>
        </w:rPr>
        <w:t>ים</w:t>
      </w:r>
      <w:r w:rsidRPr="0016536A">
        <w:rPr>
          <w:rFonts w:eastAsia="Calibri"/>
          <w:rtl/>
        </w:rPr>
        <w:t xml:space="preserve"> </w:t>
      </w:r>
      <w:r w:rsidRPr="0016536A">
        <w:rPr>
          <w:rFonts w:eastAsia="Calibri" w:hint="cs"/>
          <w:rtl/>
        </w:rPr>
        <w:t>(</w:t>
      </w:r>
      <w:r w:rsidRPr="0016536A">
        <w:rPr>
          <w:rFonts w:eastAsia="Calibri"/>
        </w:rPr>
        <w:t>health span</w:t>
      </w:r>
      <w:r w:rsidRPr="0016536A">
        <w:rPr>
          <w:rFonts w:eastAsia="Calibri" w:hint="cs"/>
          <w:rtl/>
        </w:rPr>
        <w:t>) היא תקופת החיים בבריאות טובה, ללא מחלות כרוניות ומוגבלויות של זקנה</w:t>
      </w:r>
      <w:r>
        <w:rPr>
          <w:rFonts w:eastAsia="Calibri"/>
          <w:vertAlign w:val="superscript"/>
          <w:rtl/>
        </w:rPr>
        <w:footnoteReference w:id="41"/>
      </w:r>
      <w:r w:rsidRPr="0016536A">
        <w:rPr>
          <w:rFonts w:eastAsia="Calibri" w:hint="cs"/>
          <w:rtl/>
        </w:rPr>
        <w:t>, כלומר שנות החיים הצפויות בבריאות טובה מתוך סך כל שנות החיים הצפויות לאדם</w:t>
      </w:r>
      <w:r>
        <w:rPr>
          <w:rFonts w:eastAsia="Calibri"/>
          <w:vertAlign w:val="superscript"/>
          <w:rtl/>
        </w:rPr>
        <w:footnoteReference w:id="42"/>
      </w:r>
      <w:r w:rsidRPr="0016536A">
        <w:rPr>
          <w:rFonts w:eastAsia="Calibri" w:hint="cs"/>
          <w:rtl/>
        </w:rPr>
        <w:t>. חלק מאנשי המקצוע גורסים כי העלייה בתוחלת החיים תלך ותצטמצם, וכי המיקוד המרכזי צריך להיות בהארכת תוחלת חיים בריאים</w:t>
      </w:r>
      <w:r>
        <w:rPr>
          <w:rFonts w:eastAsia="Calibri"/>
          <w:vertAlign w:val="superscript"/>
          <w:rtl/>
        </w:rPr>
        <w:footnoteReference w:id="43"/>
      </w:r>
      <w:r w:rsidRPr="0016536A">
        <w:rPr>
          <w:rFonts w:eastAsia="Calibri" w:hint="cs"/>
          <w:rtl/>
        </w:rPr>
        <w:t>. בתרשים שלהלן מחזור תוחלת חייו של אדם.</w:t>
      </w:r>
    </w:p>
    <w:p w:rsidR="0016536A" w:rsidRPr="0016536A" w:rsidP="004614AF">
      <w:pPr>
        <w:spacing w:line="269" w:lineRule="auto"/>
        <w:rPr>
          <w:rFonts w:eastAsia="Calibri"/>
          <w:rtl/>
        </w:rPr>
      </w:pPr>
    </w:p>
    <w:bookmarkStart w:id="8" w:name="_Hlk212544075"/>
    <w:p w:rsidR="0016536A" w:rsidRPr="0016536A" w:rsidP="004614AF">
      <w:pPr>
        <w:spacing w:line="269" w:lineRule="auto"/>
        <w:jc w:val="center"/>
        <w:rPr>
          <w:rFonts w:eastAsia="Calibri"/>
          <w:rtl/>
        </w:rPr>
      </w:pPr>
      <w:r w:rsidRPr="0016536A">
        <w:rPr>
          <w:rFonts w:eastAsia="Calibri"/>
          <w:noProof/>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283845</wp:posOffset>
                </wp:positionV>
                <wp:extent cx="5222240" cy="3536953"/>
                <wp:effectExtent l="0" t="0" r="0" b="6350"/>
                <wp:wrapTopAndBottom/>
                <wp:docPr id="196" name="קבוצה 1" descr="ציור המציג דמויות בריאות וחולות כדי להדגים שנים בחולי ותוחלת חיים בריאים"/>
                <wp:cNvGraphicFramePr/>
                <a:graphic xmlns:a="http://schemas.openxmlformats.org/drawingml/2006/main">
                  <a:graphicData uri="http://schemas.microsoft.com/office/word/2010/wordprocessingGroup">
                    <wpg:wgp xmlns:wpg="http://schemas.microsoft.com/office/word/2010/wordprocessingGroup">
                      <wpg:cNvGrpSpPr/>
                      <wpg:grpSpPr>
                        <a:xfrm>
                          <a:off x="0" y="0"/>
                          <a:ext cx="5222240" cy="3536953"/>
                          <a:chOff x="0" y="0"/>
                          <a:chExt cx="5222509" cy="3537214"/>
                        </a:xfrm>
                      </wpg:grpSpPr>
                      <wps:wsp xmlns:wps="http://schemas.microsoft.com/office/word/2010/wordprocessingShape">
                        <wps:cNvPr id="197" name="מלבן 197"/>
                        <wps:cNvSpPr/>
                        <wps:spPr>
                          <a:xfrm>
                            <a:off x="2509" y="0"/>
                            <a:ext cx="5220000" cy="3516284"/>
                          </a:xfrm>
                          <a:prstGeom prst="rect">
                            <a:avLst/>
                          </a:prstGeom>
                          <a:solidFill>
                            <a:srgbClr val="FFFFFF"/>
                          </a:solidFill>
                          <a:ln w="25400">
                            <a:noFill/>
                            <a:prstDash val="solid"/>
                          </a:ln>
                          <a:effectLst/>
                        </wps:spPr>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198" name="תמונה 198"/>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t="19307" b="14920"/>
                          <a:stretch>
                            <a:fillRect/>
                          </a:stretch>
                        </pic:blipFill>
                        <pic:spPr>
                          <a:xfrm>
                            <a:off x="0" y="573577"/>
                            <a:ext cx="5220000" cy="2601885"/>
                          </a:xfrm>
                          <a:prstGeom prst="rect">
                            <a:avLst/>
                          </a:prstGeom>
                        </pic:spPr>
                      </pic:pic>
                      <wps:wsp xmlns:wps="http://schemas.microsoft.com/office/word/2010/wordprocessingShape">
                        <wps:cNvPr id="199" name="TextBox 3"/>
                        <wps:cNvSpPr txBox="1"/>
                        <wps:spPr>
                          <a:xfrm>
                            <a:off x="3505239" y="14617"/>
                            <a:ext cx="1346904" cy="363247"/>
                          </a:xfrm>
                          <a:prstGeom prst="rect">
                            <a:avLst/>
                          </a:prstGeom>
                          <a:noFill/>
                        </wps:spPr>
                        <wps:txbx>
                          <w:txbxContent>
                            <w:p w:rsidR="00BB532B" w:rsidP="0016536A">
                              <w:pPr>
                                <w:pStyle w:val="NormalWeb"/>
                                <w:bidi/>
                                <w:spacing w:before="0" w:beforeAutospacing="0" w:after="0" w:afterAutospacing="0"/>
                                <w:jc w:val="center"/>
                              </w:pPr>
                              <w:r>
                                <w:rPr>
                                  <w:rFonts w:eastAsia="Times New Roman" w:hAnsi="Almoni ML v5 AAA Light" w:cs="Almoni ML v5 AAA Light"/>
                                  <w:b/>
                                  <w:bCs/>
                                  <w:color w:val="000000"/>
                                  <w:kern w:val="24"/>
                                  <w:sz w:val="36"/>
                                  <w:szCs w:val="36"/>
                                  <w:rtl/>
                                </w:rPr>
                                <w:t>שנים בחולי</w:t>
                              </w:r>
                            </w:p>
                          </w:txbxContent>
                        </wps:txbx>
                        <wps:bodyPr wrap="square" rtlCol="1">
                          <a:spAutoFit/>
                        </wps:bodyPr>
                      </wps:wsp>
                      <wps:wsp xmlns:wps="http://schemas.microsoft.com/office/word/2010/wordprocessingShape">
                        <wps:cNvPr id="200" name="TextBox 4"/>
                        <wps:cNvSpPr txBox="1"/>
                        <wps:spPr>
                          <a:xfrm>
                            <a:off x="1191171" y="0"/>
                            <a:ext cx="1914624" cy="363247"/>
                          </a:xfrm>
                          <a:prstGeom prst="rect">
                            <a:avLst/>
                          </a:prstGeom>
                          <a:noFill/>
                        </wps:spPr>
                        <wps:txbx>
                          <w:txbxContent>
                            <w:p w:rsidR="00BB532B" w:rsidP="0016536A">
                              <w:pPr>
                                <w:pStyle w:val="NormalWeb"/>
                                <w:bidi/>
                                <w:spacing w:before="0" w:beforeAutospacing="0" w:after="0" w:afterAutospacing="0"/>
                                <w:jc w:val="center"/>
                              </w:pPr>
                              <w:r>
                                <w:rPr>
                                  <w:rFonts w:eastAsia="Times New Roman" w:hAnsi="Almoni ML v5 AAA Light" w:cs="Almoni ML v5 AAA Light"/>
                                  <w:b/>
                                  <w:bCs/>
                                  <w:color w:val="000000"/>
                                  <w:kern w:val="24"/>
                                  <w:sz w:val="36"/>
                                  <w:szCs w:val="36"/>
                                  <w:rtl/>
                                </w:rPr>
                                <w:t>תוחלת חיים בריאים</w:t>
                              </w:r>
                            </w:p>
                          </w:txbxContent>
                        </wps:txbx>
                        <wps:bodyPr wrap="square" rtlCol="1">
                          <a:spAutoFit/>
                        </wps:bodyPr>
                      </wps:wsp>
                      <wps:wsp xmlns:wps="http://schemas.microsoft.com/office/word/2010/wordprocessingShape">
                        <wps:cNvPr id="201" name="TextBox 5"/>
                        <wps:cNvSpPr txBox="1"/>
                        <wps:spPr>
                          <a:xfrm>
                            <a:off x="1881089" y="3173967"/>
                            <a:ext cx="1270700" cy="363247"/>
                          </a:xfrm>
                          <a:prstGeom prst="rect">
                            <a:avLst/>
                          </a:prstGeom>
                          <a:noFill/>
                        </wps:spPr>
                        <wps:txbx>
                          <w:txbxContent>
                            <w:p w:rsidR="00BB532B" w:rsidP="0016536A">
                              <w:pPr>
                                <w:pStyle w:val="NormalWeb"/>
                                <w:bidi/>
                                <w:spacing w:before="0" w:beforeAutospacing="0" w:after="0" w:afterAutospacing="0"/>
                                <w:jc w:val="center"/>
                              </w:pPr>
                              <w:r>
                                <w:rPr>
                                  <w:rFonts w:eastAsia="Times New Roman" w:hAnsi="Almoni ML v5 AAA Light" w:cs="Almoni ML v5 AAA Light"/>
                                  <w:b/>
                                  <w:bCs/>
                                  <w:color w:val="000000"/>
                                  <w:kern w:val="24"/>
                                  <w:sz w:val="36"/>
                                  <w:szCs w:val="36"/>
                                  <w:rtl/>
                                </w:rPr>
                                <w:t>תוחלת חיים</w:t>
                              </w:r>
                            </w:p>
                          </w:txbxContent>
                        </wps:txbx>
                        <wps:bodyPr wrap="square" rtlCol="1">
                          <a:spAutoFit/>
                        </wps:bodyPr>
                      </wps:wsp>
                    </wpg:wgp>
                  </a:graphicData>
                </a:graphic>
                <wp14:sizeRelH relativeFrom="margin">
                  <wp14:pctWidth>0</wp14:pctWidth>
                </wp14:sizeRelH>
                <wp14:sizeRelV relativeFrom="margin">
                  <wp14:pctHeight>0</wp14:pctHeight>
                </wp14:sizeRelV>
              </wp:anchor>
            </w:drawing>
          </mc:Choice>
          <mc:Fallback>
            <w:pict>
              <v:group id="קבוצה 1" o:spid="_x0000_s1025" alt="ציור המציג דמויות בריאות וחולות כדי להדגים שנים בחולי ותוחלת חיים בריאים" style="width:411.2pt;height:278.5pt;margin-top:22.35pt;margin-left:5in;mso-height-relative:margin;mso-position-horizontal:right;mso-position-horizontal-relative:margin;mso-width-relative:margin;position:absolute;z-index:251659264" coordsize="52225,35372">
                <v:rect id="מלבן 197" o:spid="_x0000_s1026" style="width:52200;height:35162;left:25;mso-wrap-style:square;position:absolute;visibility:visible;v-text-anchor:middle"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98" o:spid="_x0000_s1027" type="#_x0000_t75" style="width:52200;height:26019;mso-wrap-style:square;position:absolute;top:5735;visibility:visible">
                  <v:imagedata r:id="rId23" o:title="" croptop="12653f" cropbottom="9778f"/>
                </v:shape>
                <v:shapetype id="_x0000_t202" coordsize="21600,21600" o:spt="202" path="m,l,21600r21600,l21600,xe">
                  <v:stroke joinstyle="miter"/>
                  <v:path gradientshapeok="t" o:connecttype="rect"/>
                </v:shapetype>
                <v:shape id="TextBox 3" o:spid="_x0000_s1028" type="#_x0000_t202" style="width:13469;height:3632;left:35052;mso-wrap-style:square;position:absolute;top:146;visibility:visible;v-text-anchor:top" filled="f" stroked="f">
                  <v:textbox style="mso-fit-shape-to-text:t">
                    <w:txbxContent>
                      <w:p w:rsidR="00BB532B" w:rsidP="0016536A">
                        <w:pPr>
                          <w:pStyle w:val="NormalWeb"/>
                          <w:bidi/>
                          <w:spacing w:before="0" w:beforeAutospacing="0" w:after="0" w:afterAutospacing="0"/>
                          <w:jc w:val="center"/>
                        </w:pPr>
                        <w:r>
                          <w:rPr>
                            <w:rFonts w:eastAsia="Times New Roman" w:hAnsi="Almoni ML v5 AAA Light" w:cs="Almoni ML v5 AAA Light"/>
                            <w:b/>
                            <w:bCs/>
                            <w:color w:val="000000"/>
                            <w:kern w:val="24"/>
                            <w:sz w:val="36"/>
                            <w:szCs w:val="36"/>
                            <w:rtl/>
                          </w:rPr>
                          <w:t>שנים בחולי</w:t>
                        </w:r>
                      </w:p>
                    </w:txbxContent>
                  </v:textbox>
                </v:shape>
                <v:shape id="TextBox 4" o:spid="_x0000_s1029" type="#_x0000_t202" style="width:19146;height:3632;left:11911;mso-wrap-style:square;position:absolute;visibility:visible;v-text-anchor:top" filled="f" stroked="f">
                  <v:textbox style="mso-fit-shape-to-text:t">
                    <w:txbxContent>
                      <w:p w:rsidR="00BB532B" w:rsidP="0016536A">
                        <w:pPr>
                          <w:pStyle w:val="NormalWeb"/>
                          <w:bidi/>
                          <w:spacing w:before="0" w:beforeAutospacing="0" w:after="0" w:afterAutospacing="0"/>
                          <w:jc w:val="center"/>
                        </w:pPr>
                        <w:r>
                          <w:rPr>
                            <w:rFonts w:eastAsia="Times New Roman" w:hAnsi="Almoni ML v5 AAA Light" w:cs="Almoni ML v5 AAA Light"/>
                            <w:b/>
                            <w:bCs/>
                            <w:color w:val="000000"/>
                            <w:kern w:val="24"/>
                            <w:sz w:val="36"/>
                            <w:szCs w:val="36"/>
                            <w:rtl/>
                          </w:rPr>
                          <w:t>תוחלת חיים בריאים</w:t>
                        </w:r>
                      </w:p>
                    </w:txbxContent>
                  </v:textbox>
                </v:shape>
                <v:shape id="TextBox 5" o:spid="_x0000_s1030" type="#_x0000_t202" style="width:12707;height:3633;left:18810;mso-wrap-style:square;position:absolute;top:31739;visibility:visible;v-text-anchor:top" filled="f" stroked="f">
                  <v:textbox style="mso-fit-shape-to-text:t">
                    <w:txbxContent>
                      <w:p w:rsidR="00BB532B" w:rsidP="0016536A">
                        <w:pPr>
                          <w:pStyle w:val="NormalWeb"/>
                          <w:bidi/>
                          <w:spacing w:before="0" w:beforeAutospacing="0" w:after="0" w:afterAutospacing="0"/>
                          <w:jc w:val="center"/>
                        </w:pPr>
                        <w:r>
                          <w:rPr>
                            <w:rFonts w:eastAsia="Times New Roman" w:hAnsi="Almoni ML v5 AAA Light" w:cs="Almoni ML v5 AAA Light"/>
                            <w:b/>
                            <w:bCs/>
                            <w:color w:val="000000"/>
                            <w:kern w:val="24"/>
                            <w:sz w:val="36"/>
                            <w:szCs w:val="36"/>
                            <w:rtl/>
                          </w:rPr>
                          <w:t>תוחלת חיים</w:t>
                        </w:r>
                      </w:p>
                    </w:txbxContent>
                  </v:textbox>
                </v:shape>
                <w10:wrap type="topAndBottom"/>
              </v:group>
            </w:pict>
          </mc:Fallback>
        </mc:AlternateContent>
      </w:r>
      <w:r w:rsidRPr="0016536A">
        <w:rPr>
          <w:rFonts w:eastAsia="Calibri" w:hint="cs"/>
          <w:rtl/>
        </w:rPr>
        <w:t xml:space="preserve">תרשים 7: </w:t>
      </w:r>
      <w:r w:rsidRPr="0016536A">
        <w:rPr>
          <w:rFonts w:eastAsia="Calibri" w:hint="eastAsia"/>
          <w:b/>
          <w:bCs/>
          <w:rtl/>
        </w:rPr>
        <w:t>תוחלת</w:t>
      </w:r>
      <w:r w:rsidRPr="0016536A">
        <w:rPr>
          <w:rFonts w:eastAsia="Calibri"/>
          <w:b/>
          <w:bCs/>
          <w:rtl/>
        </w:rPr>
        <w:t xml:space="preserve"> </w:t>
      </w:r>
      <w:r w:rsidRPr="0016536A">
        <w:rPr>
          <w:rFonts w:eastAsia="Calibri" w:hint="eastAsia"/>
          <w:b/>
          <w:bCs/>
          <w:rtl/>
        </w:rPr>
        <w:t>חיים</w:t>
      </w:r>
      <w:r w:rsidRPr="0016536A">
        <w:rPr>
          <w:rFonts w:eastAsia="Calibri"/>
          <w:b/>
          <w:bCs/>
          <w:rtl/>
        </w:rPr>
        <w:t xml:space="preserve"> </w:t>
      </w:r>
      <w:r w:rsidRPr="0016536A">
        <w:rPr>
          <w:rFonts w:eastAsia="Calibri" w:hint="eastAsia"/>
          <w:b/>
          <w:bCs/>
          <w:rtl/>
        </w:rPr>
        <w:t>בחלוקה</w:t>
      </w:r>
      <w:r w:rsidRPr="0016536A">
        <w:rPr>
          <w:rFonts w:eastAsia="Calibri"/>
          <w:b/>
          <w:bCs/>
          <w:rtl/>
        </w:rPr>
        <w:t xml:space="preserve"> </w:t>
      </w:r>
      <w:r w:rsidRPr="0016536A">
        <w:rPr>
          <w:rFonts w:eastAsia="Calibri" w:hint="eastAsia"/>
          <w:b/>
          <w:bCs/>
          <w:rtl/>
        </w:rPr>
        <w:t>לתוחלת</w:t>
      </w:r>
      <w:r w:rsidRPr="0016536A">
        <w:rPr>
          <w:rFonts w:eastAsia="Calibri"/>
          <w:b/>
          <w:bCs/>
          <w:rtl/>
        </w:rPr>
        <w:t xml:space="preserve"> </w:t>
      </w:r>
      <w:r w:rsidRPr="0016536A">
        <w:rPr>
          <w:rFonts w:eastAsia="Calibri" w:hint="eastAsia"/>
          <w:b/>
          <w:bCs/>
          <w:rtl/>
        </w:rPr>
        <w:t>חיים</w:t>
      </w:r>
      <w:r w:rsidRPr="0016536A">
        <w:rPr>
          <w:rFonts w:eastAsia="Calibri"/>
          <w:b/>
          <w:bCs/>
          <w:rtl/>
        </w:rPr>
        <w:t xml:space="preserve"> </w:t>
      </w:r>
      <w:r w:rsidRPr="0016536A">
        <w:rPr>
          <w:rFonts w:eastAsia="Calibri" w:hint="eastAsia"/>
          <w:b/>
          <w:bCs/>
          <w:rtl/>
        </w:rPr>
        <w:t>בריאים</w:t>
      </w:r>
      <w:r w:rsidRPr="0016536A">
        <w:rPr>
          <w:rFonts w:eastAsia="Calibri"/>
          <w:b/>
          <w:bCs/>
          <w:rtl/>
        </w:rPr>
        <w:t xml:space="preserve"> </w:t>
      </w:r>
      <w:r w:rsidRPr="0016536A">
        <w:rPr>
          <w:rFonts w:eastAsia="Calibri" w:hint="eastAsia"/>
          <w:b/>
          <w:bCs/>
          <w:rtl/>
        </w:rPr>
        <w:t>ושנים</w:t>
      </w:r>
      <w:r w:rsidRPr="0016536A">
        <w:rPr>
          <w:rFonts w:eastAsia="Calibri"/>
          <w:b/>
          <w:bCs/>
          <w:rtl/>
        </w:rPr>
        <w:t xml:space="preserve"> </w:t>
      </w:r>
      <w:r w:rsidRPr="0016536A">
        <w:rPr>
          <w:rFonts w:eastAsia="Calibri" w:hint="eastAsia"/>
          <w:b/>
          <w:bCs/>
          <w:rtl/>
        </w:rPr>
        <w:t>בחולי</w:t>
      </w:r>
      <w:r>
        <w:rPr>
          <w:rFonts w:eastAsia="Calibri"/>
          <w:b/>
          <w:bCs/>
          <w:vertAlign w:val="superscript"/>
          <w:rtl/>
        </w:rPr>
        <w:footnoteReference w:id="44"/>
      </w:r>
    </w:p>
    <w:bookmarkEnd w:id="8"/>
    <w:p w:rsidR="0016536A" w:rsidRPr="0016536A" w:rsidP="004614AF">
      <w:pPr>
        <w:spacing w:line="269" w:lineRule="auto"/>
        <w:rPr>
          <w:rFonts w:eastAsia="Calibri"/>
          <w:rtl/>
        </w:rPr>
      </w:pPr>
    </w:p>
    <w:p w:rsidR="0016536A" w:rsidRPr="0016536A" w:rsidP="004614AF">
      <w:pPr>
        <w:keepNext/>
        <w:keepLines/>
        <w:spacing w:line="269" w:lineRule="auto"/>
        <w:outlineLvl w:val="2"/>
        <w:rPr>
          <w:rFonts w:eastAsia="Times New Roman"/>
          <w:bCs/>
          <w:szCs w:val="28"/>
          <w:u w:val="single"/>
          <w:rtl/>
        </w:rPr>
      </w:pPr>
      <w:r w:rsidRPr="0016536A">
        <w:rPr>
          <w:rFonts w:eastAsia="Times New Roman" w:hint="cs"/>
          <w:bCs/>
          <w:szCs w:val="28"/>
          <w:u w:val="single"/>
          <w:rtl/>
        </w:rPr>
        <w:t>הארכת תוחלת החיים הבריאים של הזקנים לאור מפת המדדים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בישראל הלמ"ס מודדת תוחלת חיים בריאים כחלק ממדידת מדדי ההזדקנות המיטבית. המדידה נעשית באמצעות </w:t>
      </w:r>
      <w:r w:rsidRPr="0016536A">
        <w:rPr>
          <w:rFonts w:eastAsia="Calibri"/>
          <w:rtl/>
        </w:rPr>
        <w:t xml:space="preserve">חישוב </w:t>
      </w:r>
      <w:r w:rsidRPr="0016536A">
        <w:rPr>
          <w:rFonts w:eastAsia="Calibri" w:hint="cs"/>
          <w:rtl/>
        </w:rPr>
        <w:t>ה</w:t>
      </w:r>
      <w:r w:rsidRPr="0016536A">
        <w:rPr>
          <w:rFonts w:eastAsia="Calibri"/>
          <w:rtl/>
        </w:rPr>
        <w:t>מבוסס על נתוני תוחלת חיים ותמותה ושאל</w:t>
      </w:r>
      <w:r w:rsidRPr="0016536A">
        <w:rPr>
          <w:rFonts w:eastAsia="Calibri" w:hint="cs"/>
          <w:rtl/>
        </w:rPr>
        <w:t>ו</w:t>
      </w:r>
      <w:r w:rsidRPr="0016536A">
        <w:rPr>
          <w:rFonts w:eastAsia="Calibri"/>
          <w:rtl/>
        </w:rPr>
        <w:t xml:space="preserve">ת </w:t>
      </w:r>
      <w:r w:rsidRPr="0016536A">
        <w:rPr>
          <w:rFonts w:eastAsia="Calibri" w:hint="cs"/>
          <w:rtl/>
        </w:rPr>
        <w:t>דיווח עצמי על מוגבלות בתפקוד יומיומי בעקבות בעיה בריאותית</w:t>
      </w:r>
      <w:r>
        <w:rPr>
          <w:rFonts w:eastAsia="Calibri"/>
          <w:vertAlign w:val="superscript"/>
          <w:rtl/>
        </w:rPr>
        <w:footnoteReference w:id="45"/>
      </w:r>
      <w:r w:rsidRPr="0016536A">
        <w:rPr>
          <w:rFonts w:eastAsia="Calibri" w:hint="cs"/>
          <w:rtl/>
        </w:rPr>
        <w:t>,</w:t>
      </w:r>
      <w:r w:rsidRPr="0016536A">
        <w:rPr>
          <w:rFonts w:eastAsia="Calibri"/>
          <w:rtl/>
        </w:rPr>
        <w:t xml:space="preserve"> </w:t>
      </w:r>
      <w:r w:rsidRPr="0016536A">
        <w:rPr>
          <w:rFonts w:eastAsia="Calibri" w:hint="cs"/>
          <w:rtl/>
        </w:rPr>
        <w:t xml:space="preserve">הנשאלות </w:t>
      </w:r>
      <w:r w:rsidRPr="0016536A">
        <w:rPr>
          <w:rFonts w:eastAsia="Calibri"/>
          <w:rtl/>
        </w:rPr>
        <w:t>במסגרת הסקר החברתי של הלמ"ס</w:t>
      </w:r>
      <w:r>
        <w:rPr>
          <w:rFonts w:eastAsia="Calibri"/>
          <w:vertAlign w:val="superscript"/>
          <w:rtl/>
        </w:rPr>
        <w:footnoteReference w:id="46"/>
      </w:r>
      <w:r w:rsidRPr="0016536A">
        <w:rPr>
          <w:rFonts w:eastAsia="Calibri"/>
          <w:rtl/>
        </w:rPr>
        <w:t>.</w:t>
      </w:r>
      <w:r w:rsidRPr="0016536A">
        <w:rPr>
          <w:rFonts w:eastAsia="Calibri" w:hint="cs"/>
          <w:rtl/>
        </w:rPr>
        <w:t xml:space="preserve"> לפי מדד זה, </w:t>
      </w:r>
      <w:r w:rsidRPr="0016536A">
        <w:rPr>
          <w:rFonts w:eastAsia="Calibri"/>
          <w:rtl/>
        </w:rPr>
        <w:t xml:space="preserve">ההפרש בין תוחלת </w:t>
      </w:r>
      <w:r w:rsidRPr="0016536A">
        <w:rPr>
          <w:rFonts w:eastAsia="Calibri" w:hint="cs"/>
          <w:rtl/>
        </w:rPr>
        <w:t>ה</w:t>
      </w:r>
      <w:r w:rsidRPr="0016536A">
        <w:rPr>
          <w:rFonts w:eastAsia="Calibri"/>
          <w:rtl/>
        </w:rPr>
        <w:t xml:space="preserve">חיים </w:t>
      </w:r>
      <w:r w:rsidRPr="0016536A">
        <w:rPr>
          <w:rFonts w:eastAsia="Calibri" w:hint="cs"/>
          <w:rtl/>
        </w:rPr>
        <w:t>ל</w:t>
      </w:r>
      <w:r w:rsidRPr="0016536A">
        <w:rPr>
          <w:rFonts w:eastAsia="Calibri"/>
          <w:rtl/>
        </w:rPr>
        <w:t>שנות חיים בריאים משקף את השנים שאנשים חיים עם מ</w:t>
      </w:r>
      <w:r w:rsidRPr="0016536A">
        <w:rPr>
          <w:rFonts w:eastAsia="Calibri" w:hint="cs"/>
          <w:rtl/>
        </w:rPr>
        <w:t>ו</w:t>
      </w:r>
      <w:r w:rsidRPr="0016536A">
        <w:rPr>
          <w:rFonts w:eastAsia="Calibri"/>
          <w:rtl/>
        </w:rPr>
        <w:t>גבלות הפוגעת</w:t>
      </w:r>
      <w:r w:rsidRPr="0016536A">
        <w:rPr>
          <w:rFonts w:eastAsia="Calibri" w:hint="cs"/>
          <w:rtl/>
        </w:rPr>
        <w:t xml:space="preserve"> </w:t>
      </w:r>
      <w:r w:rsidRPr="0016536A">
        <w:rPr>
          <w:rFonts w:eastAsia="Calibri"/>
          <w:rtl/>
        </w:rPr>
        <w:t>בתפקוד היום-יומי</w:t>
      </w:r>
      <w:r w:rsidRPr="0016536A">
        <w:rPr>
          <w:rFonts w:eastAsia="Calibri" w:hint="cs"/>
          <w:rtl/>
        </w:rPr>
        <w:t xml:space="preserve"> שלהם</w:t>
      </w:r>
      <w:r>
        <w:rPr>
          <w:rFonts w:eastAsia="Calibri"/>
          <w:vertAlign w:val="superscript"/>
          <w:rtl/>
        </w:rPr>
        <w:footnoteReference w:id="47"/>
      </w:r>
      <w:r w:rsidRPr="0016536A">
        <w:rPr>
          <w:rFonts w:eastAsia="Calibri"/>
          <w:rtl/>
        </w:rPr>
        <w:t>.</w:t>
      </w:r>
      <w:r w:rsidRPr="0016536A">
        <w:rPr>
          <w:rFonts w:eastAsia="Calibri" w:hint="cs"/>
          <w:rtl/>
        </w:rPr>
        <w:t xml:space="preserve"> בתרשימים שלהלן מוצגות שנות החיים בבריאות ובחולי ושיעורן מתוחלת החיים בהגיע אדם לגיל 65, לפי מדידת הלמ"ס.</w:t>
      </w:r>
    </w:p>
    <w:p w:rsidR="0016536A" w:rsidRPr="0016536A" w:rsidP="004614AF">
      <w:pPr>
        <w:spacing w:line="269" w:lineRule="auto"/>
        <w:jc w:val="center"/>
        <w:rPr>
          <w:rFonts w:eastAsia="Calibri"/>
          <w:rtl/>
        </w:rPr>
      </w:pPr>
    </w:p>
    <w:p w:rsidR="0016536A" w:rsidRPr="0016536A" w:rsidP="004614AF">
      <w:pPr>
        <w:spacing w:line="269" w:lineRule="auto"/>
        <w:jc w:val="center"/>
        <w:rPr>
          <w:rFonts w:eastAsia="Calibri"/>
          <w:b/>
          <w:bCs/>
          <w:rtl/>
        </w:rPr>
      </w:pPr>
      <w:r w:rsidRPr="0016536A">
        <w:rPr>
          <w:rFonts w:eastAsia="Calibri" w:hint="cs"/>
          <w:rtl/>
        </w:rPr>
        <w:t xml:space="preserve">תרשים 8: </w:t>
      </w:r>
      <w:r w:rsidRPr="0016536A">
        <w:rPr>
          <w:rFonts w:eastAsia="Calibri" w:hint="cs"/>
          <w:b/>
          <w:bCs/>
          <w:rtl/>
        </w:rPr>
        <w:t>שנות חיים בריאים בהגיע אדם לגיל 65, לפי מין, 2015 - 2024</w:t>
      </w:r>
    </w:p>
    <w:p w:rsidR="0016536A" w:rsidRPr="0016536A" w:rsidP="004614AF">
      <w:pPr>
        <w:spacing w:line="269" w:lineRule="auto"/>
        <w:jc w:val="center"/>
        <w:rPr>
          <w:rFonts w:eastAsia="Calibri"/>
          <w:b/>
          <w:bCs/>
        </w:rPr>
      </w:pPr>
      <w:r w:rsidRPr="0016536A">
        <w:rPr>
          <w:rFonts w:eastAsia="Calibri"/>
          <w:b/>
          <w:bCs/>
          <w:noProof/>
        </w:rPr>
        <w:drawing>
          <wp:inline distT="0" distB="0" distL="0" distR="0">
            <wp:extent cx="5487035" cy="3932555"/>
            <wp:effectExtent l="0" t="0" r="0" b="0"/>
            <wp:docPr id="62" name="תמונה 62" descr="גברים:&#10;2015: תוחלת חיים 18.9; שנות חיים בחולי 8.6 (45%); שנות חיים בריאים 10.3 (55%)&#10;2016: תוחלת חיים 19.5; שנות חיים בחולי 9 (46%); שנות חיים בריאים 10.5 (54%)&#10;2017: תוחלת חיים 19.3; שנות חיים בחולי 8.6 (45%); שנות חיים בריאים 10.7 (55%)&#10;2018: תוחלת חיים 19.7; שנות חיים בחולי 8.5 (43%); שנות חיים בריאים 11.2 (57%)&#10;2019: תוחלת חיים 19.9; שנות חיים בחולי 8.6 (43%); שנות חיים בריאים 11.3 (57%)&#10;2020: תוחלת חיים 19.3; שנות חיים בחולי 7.7 (40%); שנות חיים בריאים 11.6 (60%)&#10;2021: תוחלת חיים 19.3; שנות חיים בחולי 7.5 (39%); שנות חיים בריאים 11.8 (61%)&#10;2022: תוחלת חיים 19.4; שנות חיים בחולי 7.6 (39%); שנות חיים בריאים 11.8 (61%)&#10;2023: תוחלת חיים 20.3; שנות חיים בחולי 8.3 (41%); שנות חיים בריאים 12 (59%)&#10;2024: תוחלת חיים 20; שנות חיים בחולי 8.6 (43%); שנות חיים בריאים 11.4 (57%)&#10;&#10;נשים:&#10;2015: תוחלת חיים 21.5; שנות חיים בריאים 9.8 (46%); שנות חיים בחולי 11.7 (54%)&#10;2016: תוחלת חיים 21.6; שנות חיים בריאים 10.4 (48%); שנות חיים בחולי 11.2 (52%)&#10;2017: תוחלת חיים 21.9; שנות חיים בריאים 10.3 (47%); שנות חיים בחולי 11.6 (53%)&#10;2018: תוחלת חיים 22.1; שנות חיים בריאים 10.6 (48%); שנות חיים בחולי 11.5 (52%)&#10;2019: תוחלת חיים 22.2; שנות חיים בריאים 10.2 (46%); שנות חיים בחולי 12 (54%)&#10;2020: תוחלת חיים 22; שנות חיים בריאים 10.5 (48%); שנות חיים בחולי 11.5 (52%)&#10;2021: תוחלת חיים 21.8; שנות חיים בריאים 10.5 (48%); שנות חיים בחולי 11.3 (52%)&#10;2022: תוחלת חיים 22.1; שנות חיים בריאים 11.1 (50%); שנות חיים בחולי 11 (50%)&#10;2023: תוחלת חיים 22.9; שנות חיים בריאים 11.4 (50%); שנות חיים בחולי 11.5 (50%)&#10;2024: תוחלת חיים 22.6; שנות חיים בריאים 11.3 (50%); שנות חיים בחולי 11.4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7035" cy="3932555"/>
                    </a:xfrm>
                    <a:prstGeom prst="rect">
                      <a:avLst/>
                    </a:prstGeom>
                    <a:noFill/>
                  </pic:spPr>
                </pic:pic>
              </a:graphicData>
            </a:graphic>
          </wp:inline>
        </w:drawing>
      </w:r>
    </w:p>
    <w:p w:rsidR="0016536A" w:rsidRPr="0016536A" w:rsidP="004614AF">
      <w:pPr>
        <w:spacing w:line="269" w:lineRule="auto"/>
        <w:jc w:val="center"/>
        <w:rPr>
          <w:rFonts w:eastAsia="Calibri"/>
          <w:b/>
          <w:bCs/>
          <w:rtl/>
        </w:rPr>
      </w:pPr>
    </w:p>
    <w:p w:rsidR="0016536A" w:rsidRPr="0016536A" w:rsidP="004614AF">
      <w:pPr>
        <w:spacing w:line="269" w:lineRule="auto"/>
        <w:jc w:val="left"/>
        <w:rPr>
          <w:rFonts w:eastAsia="Calibri"/>
          <w:sz w:val="16"/>
          <w:szCs w:val="20"/>
          <w:rtl/>
        </w:rPr>
      </w:pPr>
      <w:r w:rsidRPr="0016536A">
        <w:rPr>
          <w:rFonts w:eastAsia="Calibri" w:hint="cs"/>
          <w:sz w:val="16"/>
          <w:szCs w:val="20"/>
          <w:rtl/>
        </w:rPr>
        <w:t>על פי נתוני הלמ"ס</w:t>
      </w:r>
      <w:r>
        <w:rPr>
          <w:rFonts w:eastAsia="Calibri"/>
          <w:sz w:val="16"/>
          <w:vertAlign w:val="superscript"/>
          <w:rtl/>
        </w:rPr>
        <w:footnoteReference w:id="48"/>
      </w:r>
      <w:r w:rsidRPr="0016536A">
        <w:rPr>
          <w:rFonts w:eastAsia="Calibri" w:hint="cs"/>
          <w:sz w:val="16"/>
          <w:szCs w:val="20"/>
          <w:rtl/>
        </w:rPr>
        <w:t>,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מהתרשים עולה כי</w:t>
      </w:r>
      <w:r w:rsidRPr="0016536A">
        <w:rPr>
          <w:rFonts w:eastAsia="Calibri"/>
          <w:b/>
          <w:bCs/>
          <w:rtl/>
        </w:rPr>
        <w:t xml:space="preserve"> </w:t>
      </w:r>
      <w:r w:rsidRPr="0016536A">
        <w:rPr>
          <w:rFonts w:eastAsia="Calibri" w:hint="eastAsia"/>
          <w:b/>
          <w:bCs/>
          <w:rtl/>
        </w:rPr>
        <w:t>מספר</w:t>
      </w:r>
      <w:r w:rsidRPr="0016536A">
        <w:rPr>
          <w:rFonts w:eastAsia="Calibri" w:hint="cs"/>
          <w:b/>
          <w:bCs/>
          <w:rtl/>
        </w:rPr>
        <w:t>ן של</w:t>
      </w:r>
      <w:r w:rsidRPr="0016536A">
        <w:rPr>
          <w:rFonts w:eastAsia="Calibri"/>
          <w:b/>
          <w:bCs/>
          <w:rtl/>
        </w:rPr>
        <w:t xml:space="preserve"> </w:t>
      </w:r>
      <w:r w:rsidRPr="0016536A">
        <w:rPr>
          <w:rFonts w:eastAsia="Calibri" w:hint="eastAsia"/>
          <w:b/>
          <w:bCs/>
          <w:rtl/>
        </w:rPr>
        <w:t>שנות</w:t>
      </w:r>
      <w:r w:rsidRPr="0016536A">
        <w:rPr>
          <w:rFonts w:eastAsia="Calibri"/>
          <w:b/>
          <w:bCs/>
          <w:rtl/>
        </w:rPr>
        <w:t xml:space="preserve"> </w:t>
      </w:r>
      <w:r w:rsidRPr="0016536A">
        <w:rPr>
          <w:rFonts w:eastAsia="Calibri" w:hint="eastAsia"/>
          <w:b/>
          <w:bCs/>
          <w:rtl/>
        </w:rPr>
        <w:t>החיים</w:t>
      </w:r>
      <w:r w:rsidRPr="0016536A">
        <w:rPr>
          <w:rFonts w:eastAsia="Calibri"/>
          <w:b/>
          <w:bCs/>
          <w:rtl/>
        </w:rPr>
        <w:t xml:space="preserve"> </w:t>
      </w:r>
      <w:r w:rsidRPr="0016536A">
        <w:rPr>
          <w:rFonts w:eastAsia="Calibri" w:hint="eastAsia"/>
          <w:b/>
          <w:bCs/>
          <w:rtl/>
        </w:rPr>
        <w:t>הבריא</w:t>
      </w:r>
      <w:r w:rsidRPr="0016536A">
        <w:rPr>
          <w:rFonts w:eastAsia="Calibri" w:hint="cs"/>
          <w:b/>
          <w:bCs/>
          <w:rtl/>
        </w:rPr>
        <w:t>ים</w:t>
      </w:r>
      <w:r w:rsidRPr="0016536A">
        <w:rPr>
          <w:rFonts w:eastAsia="Calibri"/>
          <w:b/>
          <w:bCs/>
          <w:rtl/>
        </w:rPr>
        <w:t xml:space="preserve"> </w:t>
      </w:r>
      <w:r w:rsidRPr="0016536A">
        <w:rPr>
          <w:rFonts w:eastAsia="Calibri" w:hint="cs"/>
          <w:b/>
          <w:bCs/>
          <w:rtl/>
        </w:rPr>
        <w:t>בקרב</w:t>
      </w:r>
      <w:r w:rsidRPr="0016536A">
        <w:rPr>
          <w:rFonts w:eastAsia="Calibri"/>
          <w:b/>
          <w:bCs/>
          <w:rtl/>
        </w:rPr>
        <w:t xml:space="preserve"> נשים וגברים בהגיעם לגיל 65 ושיעור</w:t>
      </w:r>
      <w:r w:rsidRPr="0016536A">
        <w:rPr>
          <w:rFonts w:eastAsia="Calibri" w:hint="cs"/>
          <w:b/>
          <w:bCs/>
          <w:rtl/>
        </w:rPr>
        <w:t>ן</w:t>
      </w:r>
      <w:r w:rsidRPr="0016536A">
        <w:rPr>
          <w:rFonts w:eastAsia="Calibri"/>
          <w:b/>
          <w:bCs/>
          <w:rtl/>
        </w:rPr>
        <w:t xml:space="preserve"> מתוך כלל תוחלת החיים בגיל זה נמצא</w:t>
      </w:r>
      <w:r w:rsidRPr="0016536A">
        <w:rPr>
          <w:rFonts w:eastAsia="Calibri" w:hint="eastAsia"/>
          <w:b/>
          <w:bCs/>
          <w:rtl/>
        </w:rPr>
        <w:t>ים</w:t>
      </w:r>
      <w:r w:rsidRPr="0016536A">
        <w:rPr>
          <w:rFonts w:eastAsia="Calibri"/>
          <w:b/>
          <w:bCs/>
          <w:rtl/>
        </w:rPr>
        <w:t xml:space="preserve"> בעלייה ב</w:t>
      </w:r>
      <w:r w:rsidRPr="0016536A">
        <w:rPr>
          <w:rFonts w:eastAsia="Calibri" w:hint="cs"/>
          <w:b/>
          <w:bCs/>
          <w:rtl/>
        </w:rPr>
        <w:t xml:space="preserve">שנים </w:t>
      </w:r>
      <w:r w:rsidRPr="0016536A">
        <w:rPr>
          <w:rFonts w:eastAsia="Calibri"/>
          <w:b/>
          <w:bCs/>
          <w:rtl/>
        </w:rPr>
        <w:t>2015 - 202</w:t>
      </w:r>
      <w:r w:rsidRPr="0016536A">
        <w:rPr>
          <w:rFonts w:eastAsia="Calibri" w:hint="cs"/>
          <w:b/>
          <w:bCs/>
          <w:rtl/>
        </w:rPr>
        <w:t>4.</w:t>
      </w:r>
      <w:r w:rsidRPr="0016536A">
        <w:rPr>
          <w:rFonts w:eastAsia="Calibri"/>
          <w:b/>
          <w:bCs/>
          <w:rtl/>
        </w:rPr>
        <w:t xml:space="preserve"> </w:t>
      </w:r>
      <w:r w:rsidRPr="0016536A">
        <w:rPr>
          <w:rFonts w:eastAsia="Calibri" w:hint="eastAsia"/>
          <w:b/>
          <w:bCs/>
          <w:rtl/>
        </w:rPr>
        <w:t>כך</w:t>
      </w:r>
      <w:r w:rsidRPr="0016536A">
        <w:rPr>
          <w:rFonts w:eastAsia="Calibri"/>
          <w:b/>
          <w:bCs/>
          <w:rtl/>
        </w:rPr>
        <w:t xml:space="preserve"> </w:t>
      </w:r>
      <w:r w:rsidRPr="0016536A">
        <w:rPr>
          <w:rFonts w:eastAsia="Calibri" w:hint="eastAsia"/>
          <w:b/>
          <w:bCs/>
          <w:rtl/>
        </w:rPr>
        <w:t>לדוגמה</w:t>
      </w:r>
      <w:r w:rsidRPr="0016536A">
        <w:rPr>
          <w:rFonts w:eastAsia="Calibri"/>
          <w:b/>
          <w:bCs/>
          <w:rtl/>
        </w:rPr>
        <w:t xml:space="preserve"> </w:t>
      </w:r>
      <w:r w:rsidRPr="0016536A">
        <w:rPr>
          <w:rFonts w:eastAsia="Calibri" w:hint="eastAsia"/>
          <w:b/>
          <w:bCs/>
          <w:rtl/>
        </w:rPr>
        <w:t>מספר</w:t>
      </w:r>
      <w:r w:rsidRPr="0016536A">
        <w:rPr>
          <w:rFonts w:eastAsia="Calibri"/>
          <w:b/>
          <w:bCs/>
          <w:rtl/>
        </w:rPr>
        <w:t xml:space="preserve"> </w:t>
      </w:r>
      <w:r w:rsidRPr="0016536A">
        <w:rPr>
          <w:rFonts w:eastAsia="Calibri" w:hint="eastAsia"/>
          <w:b/>
          <w:bCs/>
          <w:rtl/>
        </w:rPr>
        <w:t>שנות</w:t>
      </w:r>
      <w:r w:rsidRPr="0016536A">
        <w:rPr>
          <w:rFonts w:eastAsia="Calibri"/>
          <w:b/>
          <w:bCs/>
          <w:rtl/>
        </w:rPr>
        <w:t xml:space="preserve"> </w:t>
      </w:r>
      <w:r w:rsidRPr="0016536A">
        <w:rPr>
          <w:rFonts w:eastAsia="Calibri" w:hint="eastAsia"/>
          <w:b/>
          <w:bCs/>
          <w:rtl/>
        </w:rPr>
        <w:t>החיים</w:t>
      </w:r>
      <w:r w:rsidRPr="0016536A">
        <w:rPr>
          <w:rFonts w:eastAsia="Calibri" w:hint="cs"/>
          <w:b/>
          <w:bCs/>
          <w:rtl/>
        </w:rPr>
        <w:t xml:space="preserve"> </w:t>
      </w:r>
      <w:r w:rsidRPr="0016536A">
        <w:rPr>
          <w:rFonts w:eastAsia="Calibri" w:hint="eastAsia"/>
          <w:b/>
          <w:bCs/>
          <w:rtl/>
        </w:rPr>
        <w:t>הבריאים</w:t>
      </w:r>
      <w:r w:rsidRPr="0016536A">
        <w:rPr>
          <w:rFonts w:eastAsia="Calibri"/>
          <w:b/>
          <w:bCs/>
          <w:rtl/>
        </w:rPr>
        <w:t xml:space="preserve"> של גברים עלה ב</w:t>
      </w:r>
      <w:r w:rsidRPr="0016536A">
        <w:rPr>
          <w:rFonts w:eastAsia="Calibri" w:hint="cs"/>
          <w:b/>
          <w:bCs/>
          <w:rtl/>
        </w:rPr>
        <w:t>כ</w:t>
      </w:r>
      <w:r w:rsidRPr="0016536A">
        <w:rPr>
          <w:rFonts w:eastAsia="Calibri"/>
          <w:b/>
          <w:bCs/>
          <w:rtl/>
        </w:rPr>
        <w:t>שנה וח</w:t>
      </w:r>
      <w:r w:rsidRPr="0016536A">
        <w:rPr>
          <w:rFonts w:eastAsia="Calibri" w:hint="cs"/>
          <w:b/>
          <w:bCs/>
          <w:rtl/>
        </w:rPr>
        <w:t>ודש</w:t>
      </w:r>
      <w:r w:rsidRPr="0016536A">
        <w:rPr>
          <w:rFonts w:eastAsia="Calibri"/>
          <w:b/>
          <w:bCs/>
          <w:rtl/>
        </w:rPr>
        <w:t xml:space="preserve"> בשנים אלה</w:t>
      </w:r>
      <w:r w:rsidRPr="0016536A">
        <w:rPr>
          <w:rFonts w:eastAsia="Calibri" w:hint="cs"/>
          <w:b/>
          <w:bCs/>
          <w:rtl/>
        </w:rPr>
        <w:t xml:space="preserve"> (מ-10.3 בשנת 2015 ל-11.4 בשנת 2024)</w:t>
      </w:r>
      <w:r w:rsidRPr="0016536A">
        <w:rPr>
          <w:rFonts w:eastAsia="Calibri"/>
          <w:b/>
          <w:bCs/>
          <w:rtl/>
        </w:rPr>
        <w:t>, ושיעור</w:t>
      </w:r>
      <w:r w:rsidRPr="0016536A">
        <w:rPr>
          <w:rFonts w:eastAsia="Calibri" w:hint="eastAsia"/>
          <w:b/>
          <w:bCs/>
          <w:rtl/>
        </w:rPr>
        <w:t>ן</w:t>
      </w:r>
      <w:r w:rsidRPr="0016536A">
        <w:rPr>
          <w:rFonts w:eastAsia="Calibri"/>
          <w:b/>
          <w:bCs/>
          <w:rtl/>
        </w:rPr>
        <w:t xml:space="preserve"> מתוך כלל תוחלת החיים עלה ב</w:t>
      </w:r>
      <w:r w:rsidRPr="0016536A">
        <w:rPr>
          <w:rFonts w:eastAsia="Calibri" w:hint="cs"/>
          <w:b/>
          <w:bCs/>
          <w:rtl/>
        </w:rPr>
        <w:t xml:space="preserve">-2 נקודות אחוז (מ-55% ל-57). עוד עולה כי מספרן של שנות החיים הבריאים בקרב גברים, ובפרט שיעורן מתוך תוחלת החיים, גדולים </w:t>
      </w:r>
      <w:r w:rsidRPr="0016536A">
        <w:rPr>
          <w:rFonts w:eastAsia="Calibri" w:hint="cs"/>
          <w:b/>
          <w:bCs/>
          <w:rtl/>
        </w:rPr>
        <w:t xml:space="preserve">מאלו של נשים. כך לדוגמה, בשנת 2022 מספר שנות החיים הבריאים של גברים היה גבוה </w:t>
      </w:r>
      <w:r w:rsidR="00BC1CF5">
        <w:rPr>
          <w:rFonts w:eastAsia="Calibri"/>
          <w:b/>
          <w:bCs/>
          <w:rtl/>
        </w:rPr>
        <w:br/>
      </w:r>
      <w:r w:rsidRPr="0016536A">
        <w:rPr>
          <w:rFonts w:eastAsia="Calibri" w:hint="cs"/>
          <w:b/>
          <w:bCs/>
          <w:rtl/>
        </w:rPr>
        <w:t>ב-0.7 מזה של נשים, ושיעורן גבוה בכ-11 נקודות אחוז.</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אולם מהתרשים עולה עוד כי בשנת 2024 מספרן של שנות החיים בחולי שהיה צפוי לנשים ולגברים בני 65 היה גבוה ועמד על כ-11 וכ-9 שנים בהתאמה, וכי שנים אלה היוו 43% - 50% מחייהם שהיו צפויים בגיל זה</w:t>
      </w:r>
      <w:r>
        <w:rPr>
          <w:rFonts w:eastAsia="Calibri"/>
          <w:b/>
          <w:bCs/>
          <w:vertAlign w:val="superscript"/>
          <w:rtl/>
        </w:rPr>
        <w:footnoteReference w:id="49"/>
      </w:r>
      <w:r w:rsidRPr="0016536A">
        <w:rPr>
          <w:rFonts w:eastAsia="Calibri" w:hint="cs"/>
          <w:b/>
          <w:bCs/>
          <w:rtl/>
        </w:rPr>
        <w:t xml:space="preserve">. </w:t>
      </w:r>
    </w:p>
    <w:p w:rsidR="0016536A" w:rsidRPr="0016536A" w:rsidP="004614AF">
      <w:pPr>
        <w:spacing w:line="269" w:lineRule="auto"/>
        <w:rPr>
          <w:rFonts w:eastAsia="Calibri"/>
          <w:b/>
          <w:bCs/>
          <w:rtl/>
        </w:rPr>
      </w:pPr>
    </w:p>
    <w:p w:rsidR="0016536A" w:rsidRPr="0016536A" w:rsidP="004614AF">
      <w:pPr>
        <w:keepNext/>
        <w:keepLines/>
        <w:spacing w:line="269" w:lineRule="auto"/>
        <w:jc w:val="left"/>
        <w:outlineLvl w:val="3"/>
        <w:rPr>
          <w:rFonts w:eastAsia="Times New Roman"/>
          <w:bCs/>
          <w:szCs w:val="26"/>
          <w:rtl/>
        </w:rPr>
      </w:pPr>
      <w:r w:rsidRPr="0016536A">
        <w:rPr>
          <w:rFonts w:eastAsia="Times New Roman" w:hint="cs"/>
          <w:bCs/>
          <w:szCs w:val="26"/>
          <w:rtl/>
        </w:rPr>
        <w:t>הגדרת יעדים להארכת תוחלת חיים בריאים ולצמצום תוחלת חיים לא-בריאים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bookmarkStart w:id="9" w:name="_Hlk222727278"/>
      <w:r w:rsidRPr="0016536A">
        <w:rPr>
          <w:rFonts w:eastAsia="Calibri" w:hint="cs"/>
          <w:rtl/>
        </w:rPr>
        <w:t>התוכנית הלאומית להיערכות מערכת הבריאות להזדקנות האוכלוסייה</w:t>
      </w:r>
      <w:r>
        <w:rPr>
          <w:rFonts w:eastAsia="Calibri"/>
          <w:vertAlign w:val="superscript"/>
          <w:rtl/>
        </w:rPr>
        <w:footnoteReference w:id="50"/>
      </w:r>
      <w:r w:rsidRPr="0016536A">
        <w:rPr>
          <w:rFonts w:eastAsia="Calibri" w:hint="cs"/>
          <w:rtl/>
        </w:rPr>
        <w:t xml:space="preserve"> סימנה כעיקרון אסטרטגי את העלאת תוחלת החיים הבריאים לשם צמצום התחלואה והמוגבלות והקטנת הביקוש לשירותי בריאות.</w:t>
      </w:r>
      <w:bookmarkEnd w:id="9"/>
      <w:r w:rsidRPr="0016536A">
        <w:rPr>
          <w:rFonts w:eastAsia="Calibri" w:hint="cs"/>
          <w:rtl/>
        </w:rPr>
        <w:t xml:space="preserve"> כדי להתמודד עם האתגר של הארכת תוחלת החיים הבריאים, מפת המדדים</w:t>
      </w:r>
      <w:r w:rsidRPr="0016536A">
        <w:rPr>
          <w:rFonts w:eastAsia="Calibri"/>
          <w:rtl/>
        </w:rPr>
        <w:t xml:space="preserve"> כוללת </w:t>
      </w:r>
      <w:r w:rsidRPr="0016536A">
        <w:rPr>
          <w:rFonts w:eastAsia="Calibri" w:hint="cs"/>
          <w:rtl/>
        </w:rPr>
        <w:t>קריטריונים</w:t>
      </w:r>
      <w:r w:rsidRPr="0016536A">
        <w:rPr>
          <w:rFonts w:eastAsia="Calibri"/>
          <w:rtl/>
        </w:rPr>
        <w:t xml:space="preserve"> בתחום הבריאות, אשר נוגעים לשיעור</w:t>
      </w:r>
      <w:r w:rsidRPr="0016536A">
        <w:rPr>
          <w:rFonts w:eastAsia="Calibri" w:hint="cs"/>
          <w:rtl/>
        </w:rPr>
        <w:t xml:space="preserve"> </w:t>
      </w:r>
      <w:r w:rsidRPr="0016536A">
        <w:rPr>
          <w:rFonts w:eastAsia="Calibri"/>
          <w:rtl/>
        </w:rPr>
        <w:t>השנים הבריאות</w:t>
      </w:r>
      <w:r w:rsidRPr="0016536A">
        <w:rPr>
          <w:rFonts w:eastAsia="Calibri" w:hint="cs"/>
          <w:rtl/>
        </w:rPr>
        <w:t xml:space="preserve"> ולמספרן</w:t>
      </w:r>
      <w:r w:rsidRPr="0016536A">
        <w:rPr>
          <w:rFonts w:eastAsia="Calibri"/>
          <w:rtl/>
        </w:rPr>
        <w:t xml:space="preserve"> מתוך תוחלת החיים הצפויה בגיל 65</w:t>
      </w:r>
      <w:r w:rsidRPr="0016536A">
        <w:rPr>
          <w:rFonts w:eastAsia="Calibri" w:hint="cs"/>
          <w:rtl/>
        </w:rPr>
        <w:t>,</w:t>
      </w:r>
      <w:r w:rsidRPr="0016536A">
        <w:rPr>
          <w:rFonts w:eastAsia="Calibri"/>
          <w:rtl/>
        </w:rPr>
        <w:t xml:space="preserve"> ולשיעור בני ה-85 ומעלה המתקשים בתפקוד יומיומי (</w:t>
      </w:r>
      <w:r w:rsidRPr="0016536A">
        <w:rPr>
          <w:rFonts w:eastAsia="Calibri"/>
        </w:rPr>
        <w:t>ADL</w:t>
      </w:r>
      <w:r w:rsidRPr="0016536A">
        <w:rPr>
          <w:rFonts w:eastAsia="Calibri"/>
          <w:rtl/>
        </w:rPr>
        <w:t xml:space="preserve"> ו-</w:t>
      </w:r>
      <w:r w:rsidRPr="0016536A">
        <w:rPr>
          <w:rFonts w:eastAsia="Calibri"/>
        </w:rPr>
        <w:t>IADL</w:t>
      </w:r>
      <w:r>
        <w:rPr>
          <w:rFonts w:eastAsia="Calibri"/>
          <w:vertAlign w:val="superscript"/>
          <w:rtl/>
        </w:rPr>
        <w:footnoteReference w:id="51"/>
      </w:r>
      <w:r w:rsidRPr="0016536A">
        <w:rPr>
          <w:rFonts w:eastAsia="Calibri"/>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ב-2022 הגישה הוועדה הבין-משרדית לקידום בריאות ומניעת תחלואה כרונית את המלצותיה למשרד הבריאות, ובמסגרתן הגדירה את הארכת תוחלת החיים בבריאות מיטבית כמטרת-העל של מדיניות הזדקנות בריאה</w:t>
      </w:r>
      <w:r>
        <w:rPr>
          <w:rFonts w:eastAsia="Calibri"/>
          <w:vertAlign w:val="superscript"/>
          <w:rtl/>
        </w:rPr>
        <w:footnoteReference w:id="52"/>
      </w:r>
      <w:r w:rsidRPr="0016536A">
        <w:rPr>
          <w:rFonts w:eastAsia="Calibri" w:hint="cs"/>
          <w:rtl/>
        </w:rPr>
        <w:t xml:space="preserve">, וזאת נוכח התרומה הפוטנציאלית לשיפור איכות חייו של הזקן ולצמצום העלויות למערכת הבריאות.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בביקורת עלה כי אומנם </w:t>
      </w:r>
      <w:r w:rsidRPr="0016536A">
        <w:rPr>
          <w:rFonts w:eastAsia="Calibri" w:hint="eastAsia"/>
          <w:b/>
          <w:bCs/>
          <w:rtl/>
        </w:rPr>
        <w:t>משרד</w:t>
      </w:r>
      <w:r w:rsidRPr="0016536A">
        <w:rPr>
          <w:rFonts w:eastAsia="Calibri"/>
          <w:b/>
          <w:bCs/>
          <w:rtl/>
        </w:rPr>
        <w:t xml:space="preserve"> הבריאות קבע </w:t>
      </w:r>
      <w:r w:rsidRPr="0016536A">
        <w:rPr>
          <w:rFonts w:eastAsia="Calibri" w:hint="eastAsia"/>
          <w:b/>
          <w:bCs/>
          <w:rtl/>
        </w:rPr>
        <w:t>יעד</w:t>
      </w:r>
      <w:r w:rsidRPr="0016536A">
        <w:rPr>
          <w:rFonts w:eastAsia="Calibri"/>
          <w:b/>
          <w:bCs/>
          <w:rtl/>
        </w:rPr>
        <w:t xml:space="preserve"> לשנות חיים בריאים לכלל האוכלוסייה ב</w:t>
      </w:r>
      <w:r w:rsidRPr="0016536A">
        <w:rPr>
          <w:rFonts w:eastAsia="Calibri" w:hint="cs"/>
          <w:b/>
          <w:bCs/>
          <w:rtl/>
        </w:rPr>
        <w:t xml:space="preserve">עיקרי </w:t>
      </w:r>
      <w:r w:rsidRPr="0016536A">
        <w:rPr>
          <w:rFonts w:eastAsia="Calibri"/>
          <w:b/>
          <w:bCs/>
          <w:rtl/>
        </w:rPr>
        <w:t xml:space="preserve">תוכנית העבודה </w:t>
      </w:r>
      <w:r w:rsidRPr="0016536A">
        <w:rPr>
          <w:rFonts w:eastAsia="Calibri" w:hint="cs"/>
          <w:b/>
          <w:bCs/>
          <w:rtl/>
        </w:rPr>
        <w:t xml:space="preserve">למשרדי הממשלה ויחידות הסמך </w:t>
      </w:r>
      <w:r w:rsidRPr="0016536A">
        <w:rPr>
          <w:rFonts w:eastAsia="Calibri" w:hint="eastAsia"/>
          <w:b/>
          <w:bCs/>
          <w:rtl/>
        </w:rPr>
        <w:t>ל</w:t>
      </w:r>
      <w:r w:rsidRPr="0016536A">
        <w:rPr>
          <w:rFonts w:eastAsia="Calibri"/>
          <w:b/>
          <w:bCs/>
          <w:rtl/>
        </w:rPr>
        <w:t>-2025</w:t>
      </w:r>
      <w:r>
        <w:rPr>
          <w:rFonts w:eastAsia="Calibri"/>
          <w:b/>
          <w:bCs/>
          <w:vertAlign w:val="superscript"/>
          <w:rtl/>
        </w:rPr>
        <w:footnoteReference w:id="53"/>
      </w:r>
      <w:r w:rsidRPr="0016536A">
        <w:rPr>
          <w:rFonts w:eastAsia="Calibri" w:hint="cs"/>
          <w:b/>
          <w:bCs/>
          <w:rtl/>
        </w:rPr>
        <w:t>,</w:t>
      </w:r>
      <w:r w:rsidRPr="0016536A">
        <w:rPr>
          <w:rFonts w:eastAsia="Calibri"/>
          <w:b/>
          <w:bCs/>
          <w:rtl/>
        </w:rPr>
        <w:t xml:space="preserve"> </w:t>
      </w:r>
      <w:r w:rsidRPr="0016536A">
        <w:rPr>
          <w:rFonts w:eastAsia="Calibri" w:hint="eastAsia"/>
          <w:b/>
          <w:bCs/>
          <w:rtl/>
        </w:rPr>
        <w:t>אך</w:t>
      </w:r>
      <w:r w:rsidRPr="0016536A">
        <w:rPr>
          <w:rFonts w:eastAsia="Calibri"/>
          <w:b/>
          <w:bCs/>
          <w:rtl/>
        </w:rPr>
        <w:t xml:space="preserve"> </w:t>
      </w:r>
      <w:r w:rsidRPr="0016536A">
        <w:rPr>
          <w:rFonts w:eastAsia="Calibri" w:hint="cs"/>
          <w:b/>
          <w:bCs/>
          <w:rtl/>
        </w:rPr>
        <w:t xml:space="preserve">הוא לא קבע יעדים מדידים להארכת תוחלת חיים בריאים עבור זקנים. כמו כן לא גזר מהם פעולות שתכליתן הארכת שנות חיים בריאים, למשל, קביעת יעד של עלייה של מספר חודשים בשנות חיים בריאים באמצעות העלאת שיעור הזקנים שמבצעים פעולות של רפואה מונעת. עוד נמצא כי משרד הבריאות לא גיבש תוכנית לשיפור במדד תוחלת חיים בריאים שבמפת המדדים להזדקנות מיטבית.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בהקשר</w:t>
      </w:r>
      <w:r w:rsidRPr="0016536A">
        <w:rPr>
          <w:rFonts w:eastAsia="Calibri"/>
          <w:b/>
          <w:bCs/>
          <w:rtl/>
        </w:rPr>
        <w:t xml:space="preserve"> </w:t>
      </w:r>
      <w:r w:rsidRPr="0016536A">
        <w:rPr>
          <w:rFonts w:eastAsia="Calibri" w:hint="eastAsia"/>
          <w:b/>
          <w:bCs/>
          <w:rtl/>
        </w:rPr>
        <w:t>זה</w:t>
      </w:r>
      <w:r w:rsidRPr="0016536A">
        <w:rPr>
          <w:rFonts w:eastAsia="Calibri"/>
          <w:b/>
          <w:bCs/>
          <w:rtl/>
        </w:rPr>
        <w:t xml:space="preserve"> </w:t>
      </w:r>
      <w:r w:rsidRPr="0016536A">
        <w:rPr>
          <w:rFonts w:eastAsia="Calibri" w:hint="cs"/>
          <w:b/>
          <w:bCs/>
          <w:rtl/>
        </w:rPr>
        <w:t>עלה בסקר רופאי משפחה כי אף שרוב רופאי המשפחה (53%) שהשיבו עליו סבורים כי ניתן להאריך את שנות החיים הבריאים של מטופליהם במידה רבה או רבה מאוד, רובם (</w:t>
      </w:r>
      <w:r w:rsidRPr="0016536A">
        <w:rPr>
          <w:rFonts w:eastAsia="Calibri"/>
          <w:b/>
          <w:bCs/>
          <w:rtl/>
        </w:rPr>
        <w:t>54%</w:t>
      </w:r>
      <w:r w:rsidRPr="0016536A">
        <w:rPr>
          <w:rFonts w:eastAsia="Calibri" w:hint="cs"/>
          <w:b/>
          <w:bCs/>
          <w:rtl/>
        </w:rPr>
        <w:t>)</w:t>
      </w:r>
      <w:r w:rsidRPr="0016536A">
        <w:rPr>
          <w:rFonts w:eastAsia="Calibri"/>
          <w:b/>
          <w:bCs/>
          <w:rtl/>
        </w:rPr>
        <w:t xml:space="preserve"> </w:t>
      </w:r>
      <w:r w:rsidRPr="0016536A">
        <w:rPr>
          <w:rFonts w:eastAsia="Calibri" w:hint="cs"/>
          <w:b/>
          <w:bCs/>
          <w:rtl/>
        </w:rPr>
        <w:t>גם ציינו כי</w:t>
      </w:r>
      <w:r w:rsidRPr="0016536A">
        <w:rPr>
          <w:rFonts w:eastAsia="Calibri"/>
          <w:b/>
          <w:bCs/>
          <w:rtl/>
        </w:rPr>
        <w:t xml:space="preserve"> </w:t>
      </w:r>
      <w:r w:rsidRPr="0016536A">
        <w:rPr>
          <w:rFonts w:eastAsia="Calibri" w:hint="cs"/>
          <w:b/>
          <w:bCs/>
          <w:rtl/>
        </w:rPr>
        <w:t xml:space="preserve">משרד הבריאות, </w:t>
      </w:r>
      <w:r w:rsidRPr="0016536A">
        <w:rPr>
          <w:rFonts w:eastAsia="Calibri" w:hint="eastAsia"/>
          <w:b/>
          <w:bCs/>
          <w:rtl/>
        </w:rPr>
        <w:t>קופות</w:t>
      </w:r>
      <w:r w:rsidRPr="0016536A">
        <w:rPr>
          <w:rFonts w:eastAsia="Calibri"/>
          <w:b/>
          <w:bCs/>
          <w:rtl/>
        </w:rPr>
        <w:t xml:space="preserve"> החולים </w:t>
      </w:r>
      <w:r w:rsidRPr="0016536A">
        <w:rPr>
          <w:rFonts w:eastAsia="Calibri" w:hint="eastAsia"/>
          <w:b/>
          <w:bCs/>
          <w:rtl/>
        </w:rPr>
        <w:t>והר</w:t>
      </w:r>
      <w:r w:rsidRPr="0016536A">
        <w:rPr>
          <w:rFonts w:eastAsia="Calibri"/>
          <w:b/>
          <w:bCs/>
          <w:rtl/>
        </w:rPr>
        <w:t xml:space="preserve">"י </w:t>
      </w:r>
      <w:r w:rsidRPr="0016536A">
        <w:rPr>
          <w:rFonts w:eastAsia="Calibri" w:hint="cs"/>
          <w:b/>
          <w:bCs/>
          <w:rtl/>
        </w:rPr>
        <w:t xml:space="preserve">אינם </w:t>
      </w:r>
      <w:r w:rsidRPr="0016536A">
        <w:rPr>
          <w:rFonts w:eastAsia="Calibri"/>
          <w:b/>
          <w:bCs/>
          <w:rtl/>
        </w:rPr>
        <w:t>שמ</w:t>
      </w:r>
      <w:r w:rsidRPr="0016536A">
        <w:rPr>
          <w:rFonts w:eastAsia="Calibri" w:hint="cs"/>
          <w:b/>
          <w:bCs/>
          <w:rtl/>
        </w:rPr>
        <w:t>ים</w:t>
      </w:r>
      <w:r w:rsidRPr="0016536A">
        <w:rPr>
          <w:rFonts w:eastAsia="Calibri"/>
          <w:b/>
          <w:bCs/>
          <w:rtl/>
        </w:rPr>
        <w:t xml:space="preserve"> </w:t>
      </w:r>
      <w:r w:rsidRPr="0016536A">
        <w:rPr>
          <w:rFonts w:eastAsia="Calibri" w:hint="cs"/>
          <w:b/>
          <w:bCs/>
          <w:rtl/>
        </w:rPr>
        <w:t xml:space="preserve">מספיק </w:t>
      </w:r>
      <w:r w:rsidRPr="0016536A">
        <w:rPr>
          <w:rFonts w:eastAsia="Calibri"/>
          <w:b/>
          <w:bCs/>
          <w:rtl/>
        </w:rPr>
        <w:t xml:space="preserve">דגש על </w:t>
      </w:r>
      <w:r w:rsidRPr="0016536A">
        <w:rPr>
          <w:rFonts w:eastAsia="Calibri" w:hint="eastAsia"/>
          <w:b/>
          <w:bCs/>
          <w:rtl/>
        </w:rPr>
        <w:t>הארכת</w:t>
      </w:r>
      <w:r w:rsidRPr="0016536A">
        <w:rPr>
          <w:rFonts w:eastAsia="Calibri"/>
          <w:b/>
          <w:bCs/>
          <w:rtl/>
        </w:rPr>
        <w:t xml:space="preserve"> שנות חיים בריאים</w:t>
      </w:r>
      <w:r w:rsidRPr="0016536A">
        <w:rPr>
          <w:rFonts w:eastAsia="Calibri" w:hint="cs"/>
          <w:b/>
          <w:bCs/>
          <w:rtl/>
        </w:rPr>
        <w:t>, וכי הם עושים כן במידה בינונית ומטה</w:t>
      </w:r>
      <w:r>
        <w:rPr>
          <w:rFonts w:eastAsia="Calibri"/>
          <w:b/>
          <w:bCs/>
          <w:vertAlign w:val="superscript"/>
          <w:rtl/>
        </w:rPr>
        <w:footnoteReference w:id="54"/>
      </w:r>
      <w:r w:rsidRPr="0016536A">
        <w:rPr>
          <w:rFonts w:eastAsia="Calibri"/>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rtl/>
        </w:rPr>
        <w:t xml:space="preserve">משרד הבריאות מסר בתשובתו מיוני 2026 (להלן - תשובת משרד הבריאות) כי </w:t>
      </w:r>
      <w:r w:rsidRPr="0016536A">
        <w:rPr>
          <w:rFonts w:eastAsia="Calibri"/>
          <w:rtl/>
        </w:rPr>
        <w:t xml:space="preserve">אכן נדרשים יעדים מדידים ברורים </w:t>
      </w:r>
      <w:r w:rsidRPr="0016536A">
        <w:rPr>
          <w:rFonts w:eastAsia="Calibri" w:hint="cs"/>
          <w:rtl/>
        </w:rPr>
        <w:t>כדי</w:t>
      </w:r>
      <w:r w:rsidRPr="0016536A">
        <w:rPr>
          <w:rFonts w:eastAsia="Calibri"/>
          <w:rtl/>
        </w:rPr>
        <w:t xml:space="preserve"> למדוד הצלחה ולכוון את פעילות המשרד</w:t>
      </w:r>
      <w:r w:rsidRPr="0016536A">
        <w:rPr>
          <w:rFonts w:eastAsia="Calibri" w:hint="cs"/>
          <w:rtl/>
        </w:rPr>
        <w:t xml:space="preserve">; וכי הוא </w:t>
      </w:r>
      <w:r w:rsidRPr="0016536A">
        <w:rPr>
          <w:rFonts w:eastAsia="Calibri"/>
          <w:rtl/>
        </w:rPr>
        <w:t>מבצע עבודת מטה לקביעת מפת מדדים לפעילות המשרד, ובתוך כך בניית מודל למדידה ו</w:t>
      </w:r>
      <w:r w:rsidRPr="0016536A">
        <w:rPr>
          <w:rFonts w:eastAsia="Calibri" w:hint="cs"/>
          <w:rtl/>
        </w:rPr>
        <w:t xml:space="preserve">להתוויית </w:t>
      </w:r>
      <w:r w:rsidRPr="0016536A">
        <w:rPr>
          <w:rFonts w:eastAsia="Calibri"/>
          <w:rtl/>
        </w:rPr>
        <w:t>יעדים ל</w:t>
      </w:r>
      <w:r w:rsidRPr="0016536A">
        <w:rPr>
          <w:rFonts w:eastAsia="Calibri" w:hint="cs"/>
          <w:rtl/>
        </w:rPr>
        <w:t>שלוש שנים,</w:t>
      </w:r>
      <w:r w:rsidRPr="0016536A">
        <w:rPr>
          <w:rFonts w:eastAsia="Calibri"/>
          <w:rtl/>
        </w:rPr>
        <w:t xml:space="preserve"> </w:t>
      </w:r>
      <w:r w:rsidRPr="0016536A">
        <w:rPr>
          <w:rFonts w:eastAsia="Calibri" w:hint="cs"/>
          <w:rtl/>
        </w:rPr>
        <w:t xml:space="preserve">חמש </w:t>
      </w:r>
      <w:r w:rsidRPr="0016536A">
        <w:rPr>
          <w:rFonts w:eastAsia="Calibri" w:hint="cs"/>
          <w:rtl/>
        </w:rPr>
        <w:t xml:space="preserve">שנים </w:t>
      </w:r>
      <w:r w:rsidRPr="0016536A">
        <w:rPr>
          <w:rFonts w:eastAsia="Calibri"/>
          <w:rtl/>
        </w:rPr>
        <w:t>ו</w:t>
      </w:r>
      <w:r w:rsidRPr="0016536A">
        <w:rPr>
          <w:rFonts w:eastAsia="Calibri" w:hint="cs"/>
          <w:rtl/>
        </w:rPr>
        <w:t>עשר</w:t>
      </w:r>
      <w:r w:rsidRPr="0016536A">
        <w:rPr>
          <w:rFonts w:eastAsia="Calibri"/>
          <w:rtl/>
        </w:rPr>
        <w:t xml:space="preserve"> שנים לנושאים הבאים, הקיימים במפת המדידה להזדקנות מיטבית: תחלואה בסרטן, ס</w:t>
      </w:r>
      <w:r w:rsidRPr="0016536A">
        <w:rPr>
          <w:rFonts w:eastAsia="Calibri" w:hint="cs"/>
          <w:rtl/>
        </w:rPr>
        <w:t>ו</w:t>
      </w:r>
      <w:r w:rsidRPr="0016536A">
        <w:rPr>
          <w:rFonts w:eastAsia="Calibri"/>
          <w:rtl/>
        </w:rPr>
        <w:t xml:space="preserve">כרת, שבץ </w:t>
      </w:r>
      <w:r w:rsidRPr="0016536A">
        <w:rPr>
          <w:rFonts w:eastAsia="Calibri" w:hint="cs"/>
          <w:rtl/>
        </w:rPr>
        <w:t>ו</w:t>
      </w:r>
      <w:r w:rsidRPr="0016536A">
        <w:rPr>
          <w:rFonts w:eastAsia="Calibri"/>
          <w:rtl/>
        </w:rPr>
        <w:t>מצב תפקודי.</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מומלץ כי משרד הבריאות ישלים את עבודת המטה ויקבע יעדים לטווח הבינוני והארוך להארכת תוחלת חיים בריאים בקרב זקנים, יגבש תוכנית לצמצום תוחלת חיים לא-בריאים במקביל להארכת תוחלת חיים בריאים ויכין תוכנית עבודה רב-שנתית הכוללת משימות למימוש היעדים.</w:t>
      </w:r>
    </w:p>
    <w:p w:rsidR="0016536A" w:rsidRPr="0016536A" w:rsidP="004614AF">
      <w:pPr>
        <w:spacing w:line="269" w:lineRule="auto"/>
        <w:rPr>
          <w:rFonts w:eastAsia="Calibri"/>
          <w:rtl/>
        </w:rPr>
      </w:pPr>
    </w:p>
    <w:p w:rsidR="0016536A" w:rsidRPr="0016536A" w:rsidP="004614AF">
      <w:pPr>
        <w:keepNext/>
        <w:keepLines/>
        <w:spacing w:line="269" w:lineRule="auto"/>
        <w:outlineLvl w:val="2"/>
        <w:rPr>
          <w:rFonts w:eastAsia="Times New Roman"/>
          <w:bCs/>
          <w:szCs w:val="28"/>
          <w:u w:val="single"/>
          <w:rtl/>
        </w:rPr>
      </w:pPr>
      <w:r w:rsidRPr="0016536A">
        <w:rPr>
          <w:rFonts w:eastAsia="Times New Roman" w:hint="cs"/>
          <w:bCs/>
          <w:szCs w:val="28"/>
          <w:u w:val="single"/>
          <w:rtl/>
        </w:rPr>
        <w:t>שבריריות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rtl/>
        </w:rPr>
        <w:t xml:space="preserve">שבריריות </w:t>
      </w:r>
      <w:r w:rsidRPr="0016536A">
        <w:rPr>
          <w:rFonts w:eastAsia="Calibri" w:hint="cs"/>
          <w:rtl/>
        </w:rPr>
        <w:t>(</w:t>
      </w:r>
      <w:r w:rsidRPr="0016536A">
        <w:rPr>
          <w:rFonts w:eastAsia="Calibri"/>
        </w:rPr>
        <w:t>frailty</w:t>
      </w:r>
      <w:r w:rsidRPr="0016536A">
        <w:rPr>
          <w:rFonts w:eastAsia="Calibri" w:hint="cs"/>
          <w:rtl/>
        </w:rPr>
        <w:t xml:space="preserve">) </w:t>
      </w:r>
      <w:r w:rsidRPr="0016536A">
        <w:rPr>
          <w:rFonts w:eastAsia="Calibri"/>
          <w:rtl/>
        </w:rPr>
        <w:t xml:space="preserve">היא מצב הקשור לגיל, </w:t>
      </w:r>
      <w:r w:rsidRPr="0016536A">
        <w:rPr>
          <w:rFonts w:eastAsia="Calibri" w:hint="cs"/>
          <w:rtl/>
        </w:rPr>
        <w:t>והיא מתבטאת בהידרדרו</w:t>
      </w:r>
      <w:r w:rsidRPr="0016536A">
        <w:rPr>
          <w:rFonts w:eastAsia="Calibri" w:hint="eastAsia"/>
          <w:rtl/>
        </w:rPr>
        <w:t>ת</w:t>
      </w:r>
      <w:r w:rsidRPr="0016536A">
        <w:rPr>
          <w:rFonts w:eastAsia="Calibri" w:hint="cs"/>
          <w:rtl/>
        </w:rPr>
        <w:t xml:space="preserve"> תפקודית עקב ירידה רב-מערכתית במאגרים הפיזיולוגיים של האדם. </w:t>
      </w:r>
      <w:r w:rsidRPr="0016536A">
        <w:rPr>
          <w:rFonts w:eastAsia="Calibri" w:hint="eastAsia"/>
          <w:b/>
          <w:bCs/>
          <w:rtl/>
        </w:rPr>
        <w:t>מחקרים</w:t>
      </w:r>
      <w:r>
        <w:rPr>
          <w:rFonts w:eastAsia="Calibri"/>
          <w:b/>
          <w:bCs/>
          <w:vertAlign w:val="superscript"/>
          <w:rtl/>
        </w:rPr>
        <w:footnoteReference w:id="55"/>
      </w:r>
      <w:r w:rsidRPr="0016536A">
        <w:rPr>
          <w:rFonts w:eastAsia="Calibri"/>
          <w:b/>
          <w:bCs/>
          <w:rtl/>
        </w:rPr>
        <w:t xml:space="preserve"> בארץ ובעולם מצאו כי לכ-45% - 50% מבני 65 ומעלה שבריריות ברמה בינונית או חמורה</w:t>
      </w:r>
      <w:r>
        <w:rPr>
          <w:rFonts w:eastAsia="Calibri"/>
          <w:b/>
          <w:bCs/>
          <w:vertAlign w:val="superscript"/>
          <w:rtl/>
        </w:rPr>
        <w:footnoteReference w:id="56"/>
      </w:r>
      <w:r w:rsidRPr="0016536A">
        <w:rPr>
          <w:rFonts w:eastAsia="Calibri"/>
          <w:b/>
          <w:bCs/>
          <w:rtl/>
        </w:rPr>
        <w:t>.</w:t>
      </w:r>
      <w:r w:rsidRPr="0016536A">
        <w:rPr>
          <w:rFonts w:eastAsia="Calibri" w:hint="cs"/>
          <w:rtl/>
        </w:rPr>
        <w:t xml:space="preserve"> שבריריות אינה מצב קבוע, והיא עשויה להחמיר עם הגיל</w:t>
      </w:r>
      <w:r>
        <w:rPr>
          <w:rFonts w:eastAsia="Calibri"/>
          <w:vertAlign w:val="superscript"/>
          <w:rtl/>
        </w:rPr>
        <w:footnoteReference w:id="57"/>
      </w:r>
      <w:r w:rsidRPr="0016536A">
        <w:rPr>
          <w:rFonts w:eastAsia="Calibri" w:hint="cs"/>
          <w:rtl/>
        </w:rPr>
        <w:t>. השבריריות מזוהה עם שימוש מוגבר בשירותי בריאות</w:t>
      </w:r>
      <w:r>
        <w:rPr>
          <w:rFonts w:eastAsia="Calibri"/>
          <w:vertAlign w:val="superscript"/>
          <w:rtl/>
        </w:rPr>
        <w:footnoteReference w:id="58"/>
      </w:r>
      <w:r w:rsidRPr="0016536A">
        <w:rPr>
          <w:rFonts w:eastAsia="Calibri" w:hint="cs"/>
          <w:rtl/>
        </w:rPr>
        <w:t xml:space="preserve"> ועם תוצאות בריאותיות שליליות, כדוגמת נפילות</w:t>
      </w:r>
      <w:r>
        <w:rPr>
          <w:rFonts w:eastAsia="Calibri"/>
          <w:vertAlign w:val="superscript"/>
          <w:rtl/>
        </w:rPr>
        <w:footnoteReference w:id="59"/>
      </w:r>
      <w:r w:rsidRPr="0016536A">
        <w:rPr>
          <w:rFonts w:eastAsia="Calibri" w:hint="cs"/>
          <w:rtl/>
        </w:rPr>
        <w:t>, ביקורים בחדרי מיון</w:t>
      </w:r>
      <w:r>
        <w:rPr>
          <w:rFonts w:eastAsia="Calibri"/>
          <w:vertAlign w:val="superscript"/>
          <w:rtl/>
        </w:rPr>
        <w:footnoteReference w:id="60"/>
      </w:r>
      <w:r w:rsidRPr="0016536A">
        <w:rPr>
          <w:rFonts w:eastAsia="Calibri" w:hint="cs"/>
          <w:rtl/>
        </w:rPr>
        <w:t>, אשפוזים</w:t>
      </w:r>
      <w:r>
        <w:rPr>
          <w:rFonts w:eastAsia="Calibri"/>
          <w:vertAlign w:val="superscript"/>
          <w:rtl/>
        </w:rPr>
        <w:footnoteReference w:id="61"/>
      </w:r>
      <w:r w:rsidRPr="0016536A">
        <w:rPr>
          <w:rFonts w:eastAsia="Calibri" w:hint="cs"/>
          <w:rtl/>
        </w:rPr>
        <w:t>, השלכות</w:t>
      </w:r>
      <w:r w:rsidRPr="0016536A">
        <w:rPr>
          <w:rFonts w:eastAsia="Calibri"/>
          <w:rtl/>
        </w:rPr>
        <w:t xml:space="preserve"> שליליות לאחר ניתוח</w:t>
      </w:r>
      <w:r>
        <w:rPr>
          <w:rFonts w:eastAsia="Calibri"/>
          <w:vertAlign w:val="superscript"/>
          <w:rtl/>
        </w:rPr>
        <w:footnoteReference w:id="62"/>
      </w:r>
      <w:r w:rsidRPr="0016536A">
        <w:rPr>
          <w:rFonts w:eastAsia="Calibri" w:hint="cs"/>
          <w:rtl/>
        </w:rPr>
        <w:t>, מחלות כרוניות של זקנה וסיכוי מוגבר לתמותה</w:t>
      </w:r>
      <w:r>
        <w:rPr>
          <w:rFonts w:eastAsia="Calibri"/>
          <w:vertAlign w:val="superscript"/>
          <w:rtl/>
        </w:rPr>
        <w:footnoteReference w:id="63"/>
      </w:r>
      <w:r w:rsidRPr="0016536A">
        <w:rPr>
          <w:rFonts w:eastAsia="Calibri" w:hint="cs"/>
          <w:rtl/>
        </w:rPr>
        <w:t>. למדידת השבריריות חשיבות ברמת הפרט בכל הקשור לאיתור זקנים עם סיכון מוגבר לתוצאות בריאותיות שליליות, מניעת תוצאות אלו או דחיית היארעותן (</w:t>
      </w:r>
      <w:r w:rsidRPr="0016536A">
        <w:rPr>
          <w:rFonts w:eastAsia="Calibri"/>
          <w:sz w:val="22"/>
          <w:szCs w:val="28"/>
        </w:rPr>
        <w:t>Incidence</w:t>
      </w:r>
      <w:r w:rsidRPr="0016536A">
        <w:rPr>
          <w:rFonts w:eastAsia="Calibri" w:hint="cs"/>
          <w:rtl/>
        </w:rPr>
        <w:t>)</w:t>
      </w:r>
      <w:r>
        <w:rPr>
          <w:rFonts w:eastAsia="Calibri"/>
          <w:vertAlign w:val="superscript"/>
          <w:rtl/>
        </w:rPr>
        <w:footnoteReference w:id="64"/>
      </w:r>
      <w:r w:rsidRPr="0016536A">
        <w:rPr>
          <w:rFonts w:eastAsia="Calibri" w:hint="cs"/>
          <w:rtl/>
        </w:rPr>
        <w:t>, וכן לשם ניהול אפקטיבי של שירותי הבריאות.</w:t>
      </w:r>
    </w:p>
    <w:p w:rsidR="0016536A" w:rsidRPr="0016536A" w:rsidP="004614AF">
      <w:pPr>
        <w:spacing w:line="269" w:lineRule="auto"/>
        <w:rPr>
          <w:rFonts w:eastAsia="Calibri"/>
          <w:rtl/>
        </w:rPr>
      </w:pPr>
    </w:p>
    <w:p w:rsidR="0016536A" w:rsidRPr="0016536A" w:rsidP="004614AF">
      <w:pPr>
        <w:keepNext/>
        <w:keepLines/>
        <w:spacing w:line="269" w:lineRule="auto"/>
        <w:outlineLvl w:val="2"/>
        <w:rPr>
          <w:rFonts w:eastAsia="Times New Roman"/>
          <w:bCs/>
          <w:szCs w:val="28"/>
          <w:rtl/>
        </w:rPr>
      </w:pPr>
      <w:r w:rsidRPr="0016536A">
        <w:rPr>
          <w:rFonts w:eastAsia="Times New Roman" w:hint="cs"/>
          <w:bCs/>
          <w:szCs w:val="28"/>
          <w:rtl/>
        </w:rPr>
        <w:t xml:space="preserve">מדידת </w:t>
      </w:r>
      <w:r w:rsidR="003D4322">
        <w:rPr>
          <w:rFonts w:eastAsia="Times New Roman" w:hint="cs"/>
          <w:bCs/>
          <w:szCs w:val="28"/>
          <w:rtl/>
        </w:rPr>
        <w:t>ה</w:t>
      </w:r>
      <w:r w:rsidRPr="0016536A">
        <w:rPr>
          <w:rFonts w:eastAsia="Times New Roman" w:hint="cs"/>
          <w:bCs/>
          <w:szCs w:val="28"/>
          <w:rtl/>
        </w:rPr>
        <w:t>שבריריות ברמה לאומית ובאופן אחיד</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rtl/>
        </w:rPr>
        <w:t>היכולת למדוד איכות</w:t>
      </w:r>
      <w:r>
        <w:rPr>
          <w:rFonts w:eastAsia="Calibri"/>
          <w:vertAlign w:val="superscript"/>
          <w:rtl/>
        </w:rPr>
        <w:footnoteReference w:id="65"/>
      </w:r>
      <w:r w:rsidRPr="0016536A">
        <w:rPr>
          <w:rFonts w:eastAsia="Calibri"/>
          <w:rtl/>
        </w:rPr>
        <w:t xml:space="preserve"> באמצעות מערך מדדים</w:t>
      </w:r>
      <w:r w:rsidRPr="0016536A">
        <w:rPr>
          <w:rFonts w:eastAsia="Calibri" w:hint="cs"/>
          <w:rtl/>
        </w:rPr>
        <w:t xml:space="preserve"> מוסכם </w:t>
      </w:r>
      <w:r w:rsidRPr="0016536A">
        <w:rPr>
          <w:rFonts w:eastAsia="Calibri"/>
          <w:rtl/>
        </w:rPr>
        <w:t>היא מהכלים החשובים לשיפור איכות הטיפול ברמה הלאומית</w:t>
      </w:r>
      <w:r w:rsidRPr="0016536A">
        <w:rPr>
          <w:rFonts w:eastAsia="Calibri" w:hint="cs"/>
          <w:rtl/>
        </w:rPr>
        <w:t>, שכן מדידה זו</w:t>
      </w:r>
      <w:r w:rsidRPr="0016536A">
        <w:rPr>
          <w:rFonts w:eastAsia="Calibri"/>
          <w:rtl/>
        </w:rPr>
        <w:t xml:space="preserve"> </w:t>
      </w:r>
      <w:r w:rsidRPr="0016536A">
        <w:rPr>
          <w:rFonts w:eastAsia="Calibri" w:hint="cs"/>
          <w:rtl/>
        </w:rPr>
        <w:t>מאפשרת</w:t>
      </w:r>
      <w:r w:rsidRPr="0016536A">
        <w:rPr>
          <w:rFonts w:eastAsia="Calibri"/>
          <w:rtl/>
        </w:rPr>
        <w:t xml:space="preserve"> לקבוע יעדים, לפתח</w:t>
      </w:r>
      <w:r w:rsidRPr="0016536A">
        <w:rPr>
          <w:rFonts w:eastAsia="Calibri" w:hint="cs"/>
          <w:rtl/>
        </w:rPr>
        <w:t xml:space="preserve"> </w:t>
      </w:r>
      <w:r w:rsidRPr="0016536A">
        <w:rPr>
          <w:rFonts w:eastAsia="Calibri"/>
          <w:rtl/>
        </w:rPr>
        <w:t xml:space="preserve">תוכניות ולקבל החלטות </w:t>
      </w:r>
      <w:r w:rsidRPr="0016536A">
        <w:rPr>
          <w:rFonts w:eastAsia="Calibri" w:hint="cs"/>
          <w:rtl/>
        </w:rPr>
        <w:t xml:space="preserve">על בסיס נתונים </w:t>
      </w:r>
      <w:r w:rsidRPr="0016536A">
        <w:rPr>
          <w:rFonts w:eastAsia="Calibri"/>
          <w:rtl/>
        </w:rPr>
        <w:t>לצורך קידום הזדקנות בריאה</w:t>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התוכנית להזדקנות מיטבית של משרד הבריאות מציינת מדדי איכות בזקנה כבסיס אמין לקבלת החלטות</w:t>
      </w:r>
      <w:r>
        <w:rPr>
          <w:rFonts w:eastAsia="Calibri"/>
          <w:vertAlign w:val="superscript"/>
          <w:rtl/>
        </w:rPr>
        <w:footnoteReference w:id="66"/>
      </w:r>
      <w:r w:rsidRPr="0016536A">
        <w:rPr>
          <w:rFonts w:eastAsia="Calibri" w:hint="cs"/>
          <w:rtl/>
        </w:rPr>
        <w:t>. הוועדה הבין-משרדית לקידום בריאות ומניעת תחלואה כרונית המליצה לקדם מדד איכות של שבריריות ברמה הלאומית</w:t>
      </w:r>
      <w:r>
        <w:rPr>
          <w:rFonts w:eastAsia="Calibri"/>
          <w:vertAlign w:val="superscript"/>
          <w:rtl/>
        </w:rPr>
        <w:footnoteReference w:id="67"/>
      </w:r>
      <w:r w:rsidRPr="0016536A">
        <w:rPr>
          <w:rFonts w:eastAsia="Calibri" w:hint="cs"/>
          <w:rtl/>
        </w:rPr>
        <w:t>, בשל החשיבות של</w:t>
      </w:r>
      <w:r w:rsidRPr="0016536A">
        <w:rPr>
          <w:rFonts w:eastAsia="Calibri"/>
          <w:rtl/>
        </w:rPr>
        <w:t xml:space="preserve"> מדד הכולל גורמי סיכון תפקודיים, תזונתיים, קוגניטיביים </w:t>
      </w:r>
      <w:r w:rsidRPr="0016536A">
        <w:rPr>
          <w:rFonts w:eastAsia="Calibri" w:hint="cs"/>
          <w:rtl/>
        </w:rPr>
        <w:t>ו</w:t>
      </w:r>
      <w:r w:rsidRPr="0016536A">
        <w:rPr>
          <w:rFonts w:eastAsia="Calibri"/>
          <w:rtl/>
        </w:rPr>
        <w:t xml:space="preserve">חברתיים </w:t>
      </w:r>
      <w:r w:rsidRPr="0016536A">
        <w:rPr>
          <w:rFonts w:eastAsia="Calibri" w:hint="cs"/>
          <w:rtl/>
        </w:rPr>
        <w:t>לשם ניטור</w:t>
      </w:r>
      <w:r w:rsidRPr="0016536A">
        <w:rPr>
          <w:rFonts w:eastAsia="Calibri"/>
          <w:rtl/>
        </w:rPr>
        <w:t xml:space="preserve"> ו</w:t>
      </w:r>
      <w:r w:rsidRPr="0016536A">
        <w:rPr>
          <w:rFonts w:eastAsia="Calibri" w:hint="cs"/>
          <w:rtl/>
        </w:rPr>
        <w:t>מעקב</w:t>
      </w:r>
      <w:r w:rsidRPr="0016536A">
        <w:rPr>
          <w:rFonts w:eastAsia="Calibri"/>
          <w:rtl/>
        </w:rPr>
        <w:t xml:space="preserve"> אחר </w:t>
      </w:r>
      <w:r w:rsidRPr="0016536A">
        <w:rPr>
          <w:rFonts w:eastAsia="Calibri" w:hint="cs"/>
          <w:rtl/>
        </w:rPr>
        <w:t>האפקטיביות של</w:t>
      </w:r>
      <w:r w:rsidRPr="0016536A">
        <w:rPr>
          <w:rFonts w:eastAsia="Calibri"/>
          <w:rtl/>
        </w:rPr>
        <w:t xml:space="preserve"> אבחון מוקדם</w:t>
      </w:r>
      <w:r w:rsidRPr="0016536A">
        <w:rPr>
          <w:rFonts w:eastAsia="Calibri" w:hint="cs"/>
          <w:rtl/>
        </w:rPr>
        <w:t xml:space="preserve"> ורפואה מונעת בקרב זקנים.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משרד הבריאות הבריטי הטמיע ברפואה בקהילה מדד אחיד למדידת שבריריות בקרב כל הזקנים. המדד הוא אלקטרוני (</w:t>
      </w:r>
      <w:r w:rsidRPr="0016536A">
        <w:rPr>
          <w:rFonts w:eastAsia="Calibri"/>
          <w:sz w:val="24"/>
        </w:rPr>
        <w:t>eFI - electronic Frailty Index</w:t>
      </w:r>
      <w:r w:rsidRPr="0016536A">
        <w:rPr>
          <w:rFonts w:eastAsia="Calibri" w:hint="cs"/>
          <w:rtl/>
        </w:rPr>
        <w:t>), והוא אוסף נתונים מהתיק הרפואי של כל מטופל, ובהם כ-40 ליקויים בריאותיים, ומחשב לכל מטופל את ציון השבריריות שלו. משרד הבריאות הבריטי מחייב את כל הרופאים הראשוניים בקהילה לזהות באמצעות מדד השבריריות את המטופלים שלהם, בני ה-65 ומעלה, שיש להם שבריריות בדרגה בינונית או חמורה, ובהתאם לדרגת השבריריות לבצע סקירת תרופות והערכת סיכון לנפילות. כמו כן ליצור סיכום נרחב של מידע רפואי שיספק תמונה קלינית שלמה לצוותים רפואיים שאינם מכירים את המטופל</w:t>
      </w:r>
      <w:r>
        <w:rPr>
          <w:rFonts w:eastAsia="Calibri"/>
          <w:vertAlign w:val="superscript"/>
          <w:rtl/>
        </w:rPr>
        <w:footnoteReference w:id="68"/>
      </w:r>
      <w:r w:rsidRPr="0016536A">
        <w:rPr>
          <w:rFonts w:eastAsia="Calibri" w:hint="cs"/>
          <w:rtl/>
        </w:rPr>
        <w:t>. מדד שבריריות אלקטרוני נמצא בתהליך הטמעה גם בבתי החולים בבריטניה ומסייע בזיהוי מאושפזים בסיכון גדול יותר ובניהול עומסים בבתי החולים</w:t>
      </w:r>
      <w:r>
        <w:rPr>
          <w:rFonts w:eastAsia="Calibri"/>
          <w:vertAlign w:val="superscript"/>
          <w:rtl/>
        </w:rPr>
        <w:footnoteReference w:id="69"/>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גם בישראל החלו קופות החולים לפתח מדד למדידת השבריריות של המטופלים - קופות החולים מכבי ומאוחדת פיתחו מדדי שבריריות פנימיים, כל אחת על פי צרכיה.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בסקר רופאי משפחה שערך צוות הביקורת עלה כי רוב הרופאים (58%) סבורים שמדד שבריריות המציג את מצב בריאותו הכולל של הזקן יכול לסייע להם בייזום של פעולות מניעה במידה רבה או רבה מאוד. עם זאת, מה</w:t>
      </w:r>
      <w:r w:rsidRPr="0016536A">
        <w:rPr>
          <w:rFonts w:eastAsia="Calibri" w:hint="eastAsia"/>
          <w:b/>
          <w:bCs/>
          <w:rtl/>
        </w:rPr>
        <w:t>סקר</w:t>
      </w:r>
      <w:r w:rsidRPr="0016536A">
        <w:rPr>
          <w:rFonts w:eastAsia="Calibri" w:hint="cs"/>
          <w:b/>
          <w:bCs/>
          <w:rtl/>
        </w:rPr>
        <w:t xml:space="preserve"> גם עלה</w:t>
      </w:r>
      <w:r w:rsidRPr="0016536A">
        <w:rPr>
          <w:rFonts w:eastAsia="Calibri"/>
          <w:b/>
          <w:bCs/>
          <w:rtl/>
        </w:rPr>
        <w:t xml:space="preserve"> כי </w:t>
      </w:r>
      <w:r w:rsidRPr="0016536A">
        <w:rPr>
          <w:rFonts w:eastAsia="Calibri" w:hint="cs"/>
          <w:b/>
          <w:bCs/>
          <w:rtl/>
        </w:rPr>
        <w:t xml:space="preserve">44% </w:t>
      </w:r>
      <w:r w:rsidRPr="0016536A">
        <w:rPr>
          <w:rFonts w:eastAsia="Calibri" w:hint="eastAsia"/>
          <w:b/>
          <w:bCs/>
          <w:rtl/>
        </w:rPr>
        <w:t>מהרופאים</w:t>
      </w:r>
      <w:r w:rsidRPr="0016536A">
        <w:rPr>
          <w:rFonts w:eastAsia="Calibri"/>
          <w:b/>
          <w:bCs/>
          <w:rtl/>
        </w:rPr>
        <w:t xml:space="preserve"> העובדים עם מכבי</w:t>
      </w:r>
      <w:r w:rsidRPr="0016536A">
        <w:rPr>
          <w:rFonts w:eastAsia="Calibri" w:hint="cs"/>
          <w:b/>
          <w:bCs/>
          <w:rtl/>
        </w:rPr>
        <w:t xml:space="preserve"> ו-62% מהרופאים העובדים עם מאוחדת, קופות אשר פיתחו, כאמור, מדד שבריריות,</w:t>
      </w:r>
      <w:r w:rsidRPr="0016536A">
        <w:rPr>
          <w:rFonts w:eastAsia="Calibri"/>
          <w:b/>
          <w:bCs/>
          <w:rtl/>
        </w:rPr>
        <w:t xml:space="preserve"> </w:t>
      </w:r>
      <w:r w:rsidRPr="0016536A">
        <w:rPr>
          <w:rFonts w:eastAsia="Calibri" w:hint="eastAsia"/>
          <w:b/>
          <w:bCs/>
          <w:rtl/>
        </w:rPr>
        <w:t>אינם</w:t>
      </w:r>
      <w:r w:rsidRPr="0016536A">
        <w:rPr>
          <w:rFonts w:eastAsia="Calibri"/>
          <w:b/>
          <w:bCs/>
          <w:rtl/>
        </w:rPr>
        <w:t xml:space="preserve"> מכירים כלל את </w:t>
      </w:r>
      <w:r w:rsidRPr="0016536A">
        <w:rPr>
          <w:rFonts w:eastAsia="Calibri" w:hint="cs"/>
          <w:b/>
          <w:bCs/>
          <w:rtl/>
        </w:rPr>
        <w:t>ה</w:t>
      </w:r>
      <w:r w:rsidRPr="0016536A">
        <w:rPr>
          <w:rFonts w:eastAsia="Calibri"/>
          <w:b/>
          <w:bCs/>
          <w:rtl/>
        </w:rPr>
        <w:t xml:space="preserve">מדד </w:t>
      </w:r>
      <w:r w:rsidRPr="0016536A">
        <w:rPr>
          <w:rFonts w:eastAsia="Calibri" w:hint="eastAsia"/>
          <w:b/>
          <w:bCs/>
          <w:rtl/>
        </w:rPr>
        <w:t>או</w:t>
      </w:r>
      <w:r w:rsidRPr="0016536A">
        <w:rPr>
          <w:rFonts w:eastAsia="Calibri"/>
          <w:b/>
          <w:bCs/>
          <w:rtl/>
        </w:rPr>
        <w:t xml:space="preserve"> אינם משתמשים </w:t>
      </w:r>
      <w:r w:rsidRPr="0016536A">
        <w:rPr>
          <w:rFonts w:eastAsia="Calibri" w:hint="eastAsia"/>
          <w:b/>
          <w:bCs/>
          <w:rtl/>
        </w:rPr>
        <w:t>בו</w:t>
      </w:r>
      <w:r w:rsidRPr="0016536A">
        <w:rPr>
          <w:rFonts w:eastAsia="Calibri"/>
          <w:b/>
          <w:bCs/>
          <w:rtl/>
        </w:rPr>
        <w:t xml:space="preserve">, </w:t>
      </w:r>
      <w:r w:rsidRPr="0016536A">
        <w:rPr>
          <w:rFonts w:eastAsia="Calibri" w:hint="eastAsia"/>
          <w:b/>
          <w:bCs/>
          <w:rtl/>
        </w:rPr>
        <w:t>וכי</w:t>
      </w:r>
      <w:r w:rsidRPr="0016536A">
        <w:rPr>
          <w:rFonts w:eastAsia="Calibri"/>
          <w:b/>
          <w:bCs/>
          <w:rtl/>
        </w:rPr>
        <w:t xml:space="preserve"> </w:t>
      </w:r>
      <w:r w:rsidRPr="0016536A">
        <w:rPr>
          <w:rFonts w:eastAsia="Calibri" w:hint="cs"/>
          <w:b/>
          <w:bCs/>
          <w:rtl/>
        </w:rPr>
        <w:t xml:space="preserve">21% </w:t>
      </w:r>
      <w:r w:rsidRPr="0016536A">
        <w:rPr>
          <w:rFonts w:eastAsia="Calibri" w:hint="eastAsia"/>
          <w:b/>
          <w:bCs/>
          <w:rtl/>
        </w:rPr>
        <w:t>נוספים</w:t>
      </w:r>
      <w:r w:rsidRPr="0016536A">
        <w:rPr>
          <w:rFonts w:eastAsia="Calibri" w:hint="cs"/>
          <w:b/>
          <w:bCs/>
          <w:rtl/>
        </w:rPr>
        <w:t xml:space="preserve"> במכבי ו-12% במאוחדת</w:t>
      </w:r>
      <w:r w:rsidRPr="0016536A">
        <w:rPr>
          <w:rFonts w:eastAsia="Calibri"/>
          <w:b/>
          <w:bCs/>
          <w:rtl/>
        </w:rPr>
        <w:t xml:space="preserve"> </w:t>
      </w:r>
      <w:r w:rsidRPr="0016536A">
        <w:rPr>
          <w:rFonts w:eastAsia="Calibri" w:hint="eastAsia"/>
          <w:b/>
          <w:bCs/>
          <w:rtl/>
        </w:rPr>
        <w:t>ממעטים</w:t>
      </w:r>
      <w:r w:rsidRPr="0016536A">
        <w:rPr>
          <w:rFonts w:eastAsia="Calibri"/>
          <w:b/>
          <w:bCs/>
          <w:rtl/>
        </w:rPr>
        <w:t xml:space="preserve"> </w:t>
      </w:r>
      <w:r w:rsidRPr="0016536A">
        <w:rPr>
          <w:rFonts w:eastAsia="Calibri" w:hint="eastAsia"/>
          <w:b/>
          <w:bCs/>
          <w:rtl/>
        </w:rPr>
        <w:t>להשתמש</w:t>
      </w:r>
      <w:r w:rsidRPr="0016536A">
        <w:rPr>
          <w:rFonts w:eastAsia="Calibri"/>
          <w:b/>
          <w:bCs/>
          <w:rtl/>
        </w:rPr>
        <w:t xml:space="preserve"> </w:t>
      </w:r>
      <w:r w:rsidRPr="0016536A">
        <w:rPr>
          <w:rFonts w:eastAsia="Calibri" w:hint="eastAsia"/>
          <w:b/>
          <w:bCs/>
          <w:rtl/>
        </w:rPr>
        <w:t>בו</w:t>
      </w:r>
      <w:r w:rsidRPr="0016536A">
        <w:rPr>
          <w:rFonts w:eastAsia="Calibri"/>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b/>
          <w:bCs/>
          <w:rtl/>
        </w:rPr>
        <w:t>בביקורת עלה כי למרות החשיבות של קביעת מדד איכות של שבריריות ברמה הלאומית ומדידתו ברמה הפרטנית, והמלצות הוועדה הבין-משרדית לקידום בריאות ומניעת תחלואה כרונית,</w:t>
      </w:r>
      <w:r w:rsidRPr="0016536A">
        <w:rPr>
          <w:rFonts w:eastAsia="Calibri" w:hint="cs"/>
          <w:rtl/>
        </w:rPr>
        <w:t xml:space="preserve"> </w:t>
      </w:r>
      <w:r w:rsidRPr="0016536A">
        <w:rPr>
          <w:rFonts w:eastAsia="Calibri" w:hint="cs"/>
          <w:b/>
          <w:bCs/>
          <w:rtl/>
        </w:rPr>
        <w:t>משרד הבריאות לא הוביל מהלך לגיבוש מדד שבריריות לאומי.</w:t>
      </w:r>
      <w:r w:rsidRPr="0016536A">
        <w:rPr>
          <w:rFonts w:eastAsia="Calibri" w:hint="cs"/>
          <w:rtl/>
        </w:rPr>
        <w:t xml:space="preserve"> </w:t>
      </w:r>
      <w:bookmarkStart w:id="10" w:name="_Hlk207105952"/>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b/>
          <w:bCs/>
          <w:rtl/>
        </w:rPr>
        <w:t>משרד מבקר המדינה מציין לחיוב את קופות החולים מכבי ומאוחדת שפיתחו מדדי שבריריות להערכת מצב הבריאות של חברי הקופות הזקנים. עם זאת, בביקורת עלה כי קופת חולים לאומית וקופת חולים כללית, שבה חברים מרבית הזקנים (55%) - לא עשו כן.</w:t>
      </w:r>
    </w:p>
    <w:p w:rsidR="0016536A" w:rsidRPr="0016536A" w:rsidP="004614AF">
      <w:pPr>
        <w:spacing w:line="269" w:lineRule="auto"/>
        <w:rPr>
          <w:rFonts w:eastAsia="Calibri"/>
        </w:rPr>
      </w:pPr>
    </w:p>
    <w:p w:rsidR="0016536A" w:rsidRPr="0016536A" w:rsidP="004614AF">
      <w:pPr>
        <w:spacing w:line="269" w:lineRule="auto"/>
        <w:rPr>
          <w:rFonts w:eastAsia="Calibri"/>
          <w:b/>
          <w:bCs/>
          <w:rtl/>
        </w:rPr>
      </w:pPr>
      <w:r w:rsidRPr="0016536A">
        <w:rPr>
          <w:rFonts w:eastAsia="Calibri" w:hint="cs"/>
          <w:b/>
          <w:bCs/>
          <w:rtl/>
        </w:rPr>
        <w:t>בביקורת עלה כי בהיעדר מדד אחיד, ובהיעדר איסוף של נתוני שבריריות על ידי כל הקופות, משרד הבריאות לא אוסף נתונים על שיעורי השבריריות בקרב זקנים. כמו כן הוא אינו עושה שימוש במדד השבריריות כדי להעריך את אפקטיביות המדיניות והתוכניות שהוא מקדם בתחום בריאות הזקנים, למשל באמצעות מבחני תמיכה בקופות, והשפעתן על דחיית גיל תחילת השבריריות של חברי הקופות הזקנים.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משרד הבריאות מסר בתשובתו כי קיימות דרכים שונות למדידת שבריריות, וכי לכל קופות החולים יש מדד כזה, אף שאצל חלקן הוא אינו נקרא כך; עוד הדגיש כי</w:t>
      </w:r>
      <w:r w:rsidRPr="0016536A">
        <w:rPr>
          <w:rFonts w:eastAsia="Calibri"/>
          <w:rtl/>
        </w:rPr>
        <w:t xml:space="preserve"> לכל אחד מהמדדים של הקופות צור</w:t>
      </w:r>
      <w:r w:rsidRPr="0016536A">
        <w:rPr>
          <w:rFonts w:eastAsia="Calibri" w:hint="cs"/>
          <w:rtl/>
        </w:rPr>
        <w:t>ה שונה</w:t>
      </w:r>
      <w:r w:rsidRPr="0016536A">
        <w:rPr>
          <w:rFonts w:eastAsia="Calibri"/>
          <w:rtl/>
        </w:rPr>
        <w:t xml:space="preserve"> </w:t>
      </w:r>
      <w:r w:rsidRPr="0016536A">
        <w:rPr>
          <w:rFonts w:eastAsia="Calibri" w:hint="cs"/>
          <w:rtl/>
        </w:rPr>
        <w:t xml:space="preserve">של </w:t>
      </w:r>
      <w:r w:rsidRPr="0016536A">
        <w:rPr>
          <w:rFonts w:eastAsia="Calibri"/>
          <w:rtl/>
        </w:rPr>
        <w:t xml:space="preserve">כריית נתונים וחישוב </w:t>
      </w:r>
      <w:r w:rsidRPr="0016536A">
        <w:rPr>
          <w:rFonts w:eastAsia="Calibri" w:hint="cs"/>
          <w:rtl/>
        </w:rPr>
        <w:t xml:space="preserve">וכן </w:t>
      </w:r>
      <w:r w:rsidRPr="0016536A">
        <w:rPr>
          <w:rFonts w:eastAsia="Calibri"/>
          <w:rtl/>
        </w:rPr>
        <w:t>סולם אחר, ולכן לא ניתן להשוות ביניהם ישירות.</w:t>
      </w:r>
      <w:r w:rsidRPr="0016536A">
        <w:rPr>
          <w:rFonts w:eastAsia="Calibri" w:hint="cs"/>
          <w:rtl/>
        </w:rPr>
        <w:t xml:space="preserve"> </w:t>
      </w:r>
      <w:r w:rsidRPr="0016536A">
        <w:rPr>
          <w:rFonts w:eastAsia="Calibri" w:hint="cs"/>
          <w:rtl/>
        </w:rPr>
        <w:t>כמו כן מסר משרד הבריאות בתשובתו כי הוא מקיים מאמץ לייצר מדד אחיד של תפקוד, שבאמצעותו יהיה ניתן לבחור מטרות טיפוליות ולבחון תוצאות של התערבויות.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מכבי בתשובתה ממאי 2026 (להלן - תשובת מכבי) ומאוחדת בתשובתה ממאי 2026 (להלן - תשובת מאוחדת) </w:t>
      </w:r>
      <w:r w:rsidRPr="0016536A">
        <w:rPr>
          <w:rFonts w:eastAsia="Calibri"/>
          <w:rtl/>
        </w:rPr>
        <w:t xml:space="preserve">הביעו את הערכתן לבחירה להתמקד בנושא היערכות המערכת להזדקנות האוכלוסייה </w:t>
      </w:r>
      <w:r w:rsidRPr="0016536A">
        <w:rPr>
          <w:rFonts w:eastAsia="Calibri" w:hint="cs"/>
          <w:rtl/>
        </w:rPr>
        <w:t>ועמדו על</w:t>
      </w:r>
      <w:r w:rsidRPr="0016536A">
        <w:rPr>
          <w:rFonts w:eastAsia="Calibri"/>
          <w:rtl/>
        </w:rPr>
        <w:t xml:space="preserve"> חשיבותו</w:t>
      </w:r>
      <w:r w:rsidRPr="0016536A">
        <w:rPr>
          <w:rFonts w:eastAsia="Calibri" w:hint="cs"/>
          <w:rtl/>
        </w:rPr>
        <w:t>. מאוחדת גם מסרה בתשובתה כי חשוב לגבש מדד שבריריות לאומי אחיד לכלל מערכת הבריאות בישראל.</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כללית מסרה בתשובתה למשרד מבקר המדינה ממאי 2026 (להלן - תשובת כללית) כי הקופה מפעילה מודל טכנולוגי מובנה לאיתור קשישים בסיכון להידרדרות תפקודית, שנתוניו מובאים לידיעת הצוותים המטפלים לשם הפניה למקצועות הבריאות ומעקב שוטף.</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לאומית מסרה בתשובתה ממאי 2026 (להלן - תשובת לאומית) כי היא</w:t>
      </w:r>
      <w:r w:rsidRPr="0016536A">
        <w:rPr>
          <w:rFonts w:eastAsia="Calibri"/>
          <w:rtl/>
        </w:rPr>
        <w:t xml:space="preserve"> מזהה ערך רב בפיתוח מדד שבריריות אחיד, מתוקף ומקובל על כל אנשי המקצוע בתחום</w:t>
      </w:r>
      <w:r w:rsidRPr="0016536A">
        <w:rPr>
          <w:rFonts w:eastAsia="Calibri" w:hint="cs"/>
          <w:rtl/>
        </w:rPr>
        <w:t>,</w:t>
      </w:r>
      <w:r w:rsidRPr="0016536A">
        <w:rPr>
          <w:rFonts w:eastAsia="Calibri"/>
          <w:rtl/>
        </w:rPr>
        <w:t xml:space="preserve"> שיהיה קל למדידה לאורך זמן</w:t>
      </w:r>
      <w:r w:rsidRPr="0016536A">
        <w:rPr>
          <w:rFonts w:eastAsia="Calibri" w:hint="cs"/>
          <w:rtl/>
        </w:rPr>
        <w:t>.</w:t>
      </w:r>
    </w:p>
    <w:p w:rsidR="0016536A" w:rsidRPr="0016536A" w:rsidP="004614AF">
      <w:pPr>
        <w:spacing w:line="269" w:lineRule="auto"/>
        <w:rPr>
          <w:rFonts w:eastAsia="Calibri"/>
          <w:rtl/>
        </w:rPr>
      </w:pPr>
      <w:bookmarkStart w:id="11" w:name="_Hlk231374310"/>
    </w:p>
    <w:p w:rsidR="0016536A" w:rsidRPr="0016536A" w:rsidP="004614AF">
      <w:pPr>
        <w:spacing w:line="269" w:lineRule="auto"/>
        <w:rPr>
          <w:rFonts w:eastAsia="Calibri"/>
          <w:b/>
          <w:bCs/>
          <w:rtl/>
        </w:rPr>
      </w:pPr>
      <w:r w:rsidRPr="0016536A">
        <w:rPr>
          <w:rFonts w:eastAsia="Calibri" w:hint="cs"/>
          <w:b/>
          <w:bCs/>
          <w:rtl/>
        </w:rPr>
        <w:t>משרד מבקר המדינה ממליץ כי כל ארבע קופות החולים יאספו נתוני שבריריות על אודות מטופליהן וכך יוכלו לקבל החלטות מיטביות בנוגע לקביעת הטיפול הרפואי. מבלי לגרוע מכך, וכדי לאפשר ניטור קבוע של מצב הבריאות של אוכלוסיית הזקנים, מומלץ כי משרד הבריאות יגבש יחד עם קופות החולים מדד איכות לאומי אחיד - בין שמדד שבריריות כהמלצת חלק מהקופות ובין שמדד תפקוד כפי שהחל לקדם משרד הבריאות - שאותו ימדדו כל קופות החולים. כן מומלץ כי משרד הבריאות יאסוף את נתוני המדד ברמה הלאומית ויציג אותם אחת לשנה, בדומה למדדי איכות אחרים שאותם הוא אוסף, וכן ייעזר במדד זה לצורך גיבוש מדיניות והערכת האפקטיביות של המדיניות והתוכניות שהוא מקדם. כמו כן מומלץ כי קופות החולים מכבי ומאוחדת יטמיעו אצל רופאי המשפחה את השימוש במדד השבריריות שפיתחו, וכי עם קביעת המדד הלאומי האחיד, כל קופות החולים יטמיעו אותו.</w:t>
      </w:r>
    </w:p>
    <w:bookmarkEnd w:id="11"/>
    <w:p w:rsidR="0016536A" w:rsidRPr="0016536A" w:rsidP="004614AF">
      <w:pPr>
        <w:spacing w:line="269" w:lineRule="auto"/>
        <w:rPr>
          <w:rFonts w:eastAsia="Calibri"/>
          <w:b/>
          <w:bCs/>
          <w:rtl/>
        </w:rPr>
      </w:pPr>
    </w:p>
    <w:bookmarkEnd w:id="10"/>
    <w:p w:rsidR="0016536A" w:rsidRPr="0016536A" w:rsidP="004614AF">
      <w:pPr>
        <w:keepNext/>
        <w:keepLines/>
        <w:spacing w:line="269" w:lineRule="auto"/>
        <w:outlineLvl w:val="2"/>
        <w:rPr>
          <w:rFonts w:eastAsia="Times New Roman"/>
          <w:bCs/>
          <w:szCs w:val="28"/>
          <w:u w:val="single"/>
          <w:rtl/>
        </w:rPr>
      </w:pPr>
      <w:r w:rsidRPr="0016536A">
        <w:rPr>
          <w:rFonts w:eastAsia="Times New Roman" w:hint="cs"/>
          <w:bCs/>
          <w:szCs w:val="28"/>
          <w:u w:val="single"/>
          <w:rtl/>
        </w:rPr>
        <w:t>מדידת שבריריות בקופות החולים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כאמור, </w:t>
      </w:r>
      <w:r w:rsidRPr="0016536A">
        <w:rPr>
          <w:rFonts w:eastAsia="Calibri"/>
          <w:rtl/>
        </w:rPr>
        <w:t>מכבי ומאוחדת מודדות שבריריות</w:t>
      </w:r>
      <w:r w:rsidRPr="0016536A">
        <w:rPr>
          <w:rFonts w:eastAsia="Calibri" w:hint="cs"/>
          <w:rtl/>
        </w:rPr>
        <w:t>:</w:t>
      </w:r>
      <w:r w:rsidRPr="0016536A">
        <w:rPr>
          <w:rFonts w:eastAsia="Calibri"/>
          <w:rtl/>
        </w:rPr>
        <w:t xml:space="preserve"> </w:t>
      </w:r>
    </w:p>
    <w:p w:rsidR="0016536A" w:rsidRPr="0016536A" w:rsidP="004614AF">
      <w:pPr>
        <w:spacing w:line="269" w:lineRule="auto"/>
        <w:rPr>
          <w:rFonts w:eastAsia="Calibri"/>
          <w:rtl/>
        </w:rPr>
      </w:pPr>
    </w:p>
    <w:p w:rsidR="0016536A" w:rsidRPr="0016536A" w:rsidP="004614AF">
      <w:pPr>
        <w:numPr>
          <w:ilvl w:val="0"/>
          <w:numId w:val="22"/>
        </w:numPr>
        <w:spacing w:line="269" w:lineRule="auto"/>
        <w:contextualSpacing/>
        <w:rPr>
          <w:rFonts w:eastAsia="Calibri"/>
        </w:rPr>
      </w:pPr>
      <w:r w:rsidRPr="0016536A">
        <w:rPr>
          <w:rFonts w:eastAsia="Calibri" w:hint="cs"/>
          <w:rtl/>
        </w:rPr>
        <w:t xml:space="preserve">החל מ-2024 </w:t>
      </w:r>
      <w:r w:rsidRPr="0016536A">
        <w:rPr>
          <w:rFonts w:eastAsia="Calibri"/>
          <w:rtl/>
        </w:rPr>
        <w:t xml:space="preserve">מאוחדת עושה שימוש במדד השבריריות לפי המודל הבריטי, והמדד </w:t>
      </w:r>
      <w:r w:rsidRPr="0016536A">
        <w:rPr>
          <w:rFonts w:eastAsia="Calibri" w:hint="cs"/>
          <w:rtl/>
        </w:rPr>
        <w:t>ש</w:t>
      </w:r>
      <w:r w:rsidRPr="0016536A">
        <w:rPr>
          <w:rFonts w:eastAsia="Calibri"/>
          <w:rtl/>
        </w:rPr>
        <w:t>בו היא עושה שימוש מורכב מ-36 ליקויים</w:t>
      </w:r>
      <w:r w:rsidRPr="0016536A">
        <w:rPr>
          <w:rFonts w:eastAsia="Calibri" w:hint="cs"/>
          <w:rtl/>
        </w:rPr>
        <w:t>,</w:t>
      </w:r>
      <w:r w:rsidRPr="0016536A">
        <w:rPr>
          <w:rFonts w:eastAsia="Calibri"/>
          <w:rtl/>
        </w:rPr>
        <w:t xml:space="preserve"> כגון אי-ספיקת לב, דיכאון, דמנציה, סוכרת, אי</w:t>
      </w:r>
      <w:r w:rsidRPr="0016536A">
        <w:rPr>
          <w:rFonts w:eastAsia="Calibri" w:hint="cs"/>
          <w:rtl/>
        </w:rPr>
        <w:t>-</w:t>
      </w:r>
      <w:r w:rsidRPr="0016536A">
        <w:rPr>
          <w:rFonts w:eastAsia="Calibri"/>
          <w:rtl/>
        </w:rPr>
        <w:t xml:space="preserve">שליטה בסוגרים, נפילות וריבוי תרופות. </w:t>
      </w:r>
      <w:r w:rsidRPr="0016536A">
        <w:rPr>
          <w:rFonts w:eastAsia="Calibri" w:hint="cs"/>
          <w:rtl/>
        </w:rPr>
        <w:t xml:space="preserve">קיומו של </w:t>
      </w:r>
      <w:r w:rsidRPr="0016536A">
        <w:rPr>
          <w:rFonts w:eastAsia="Calibri"/>
          <w:rtl/>
        </w:rPr>
        <w:t xml:space="preserve">כל ליקוי מקנה נקודה, והמדד </w:t>
      </w:r>
      <w:r w:rsidRPr="0016536A">
        <w:rPr>
          <w:rFonts w:eastAsia="Calibri" w:hint="cs"/>
          <w:rtl/>
        </w:rPr>
        <w:t xml:space="preserve">של חבר הקופה </w:t>
      </w:r>
      <w:r w:rsidRPr="0016536A">
        <w:rPr>
          <w:rFonts w:eastAsia="Calibri"/>
          <w:rtl/>
        </w:rPr>
        <w:t>הוא סכום הליקויים</w:t>
      </w:r>
      <w:r w:rsidRPr="0016536A">
        <w:rPr>
          <w:rFonts w:eastAsia="Calibri" w:hint="cs"/>
          <w:rtl/>
        </w:rPr>
        <w:t xml:space="preserve"> שנמצאו אצלו,</w:t>
      </w:r>
      <w:r w:rsidRPr="0016536A">
        <w:rPr>
          <w:rFonts w:eastAsia="Calibri"/>
          <w:rtl/>
        </w:rPr>
        <w:t xml:space="preserve"> ויכול לנוע בין 0 (אין ליקויים כלל) ל-36 (ליקויים בכל התחומים שהמדד אוסף)</w:t>
      </w:r>
      <w:r>
        <w:rPr>
          <w:rFonts w:eastAsia="Calibri"/>
          <w:vertAlign w:val="superscript"/>
          <w:rtl/>
        </w:rPr>
        <w:footnoteReference w:id="70"/>
      </w:r>
      <w:r w:rsidRPr="0016536A">
        <w:rPr>
          <w:rFonts w:eastAsia="Calibri"/>
          <w:rtl/>
        </w:rPr>
        <w:t xml:space="preserve">. </w:t>
      </w:r>
    </w:p>
    <w:p w:rsidR="0016536A" w:rsidRPr="0016536A" w:rsidP="004614AF">
      <w:pPr>
        <w:spacing w:line="269" w:lineRule="auto"/>
        <w:rPr>
          <w:rFonts w:eastAsia="Calibri"/>
          <w:rtl/>
        </w:rPr>
      </w:pPr>
    </w:p>
    <w:p w:rsidR="0016536A" w:rsidRPr="0016536A" w:rsidP="004614AF">
      <w:pPr>
        <w:numPr>
          <w:ilvl w:val="0"/>
          <w:numId w:val="22"/>
        </w:numPr>
        <w:spacing w:line="269" w:lineRule="auto"/>
        <w:contextualSpacing/>
        <w:rPr>
          <w:rFonts w:eastAsia="Calibri"/>
        </w:rPr>
      </w:pPr>
      <w:r w:rsidRPr="0016536A">
        <w:rPr>
          <w:rFonts w:eastAsia="Calibri" w:hint="cs"/>
          <w:rtl/>
        </w:rPr>
        <w:t xml:space="preserve">החל בשנת 2019 </w:t>
      </w:r>
      <w:r w:rsidRPr="0016536A">
        <w:rPr>
          <w:rFonts w:eastAsia="Calibri"/>
          <w:rtl/>
        </w:rPr>
        <w:t xml:space="preserve">מכבי עושה שימוש במדד שבריריות המתייחס למספר </w:t>
      </w:r>
      <w:r w:rsidRPr="0016536A">
        <w:rPr>
          <w:rFonts w:eastAsia="Calibri" w:hint="cs"/>
          <w:rtl/>
        </w:rPr>
        <w:t>ה</w:t>
      </w:r>
      <w:r w:rsidRPr="0016536A">
        <w:rPr>
          <w:rFonts w:eastAsia="Calibri"/>
          <w:rtl/>
        </w:rPr>
        <w:t xml:space="preserve">מחלות </w:t>
      </w:r>
      <w:r w:rsidRPr="0016536A">
        <w:rPr>
          <w:rFonts w:eastAsia="Calibri" w:hint="cs"/>
          <w:rtl/>
        </w:rPr>
        <w:t>ה</w:t>
      </w:r>
      <w:r w:rsidRPr="0016536A">
        <w:rPr>
          <w:rFonts w:eastAsia="Calibri"/>
          <w:rtl/>
        </w:rPr>
        <w:t>כרוניות, אשפוזים חוזרים, ריבוי תרופות, מצב תזונתי, תפקוד קוגניטיבי, מצב תפקודי, נפילות, עלות שנתית ומצב סוציו-אקונומי</w:t>
      </w:r>
      <w:r w:rsidRPr="0016536A">
        <w:rPr>
          <w:rFonts w:eastAsia="Calibri" w:hint="cs"/>
          <w:rtl/>
        </w:rPr>
        <w:t xml:space="preserve"> של חבר הקופה</w:t>
      </w:r>
      <w:r w:rsidRPr="0016536A">
        <w:rPr>
          <w:rFonts w:eastAsia="Calibri"/>
          <w:rtl/>
        </w:rPr>
        <w:t xml:space="preserve">, וציון השבריריות המצטבר </w:t>
      </w:r>
      <w:r w:rsidRPr="0016536A">
        <w:rPr>
          <w:rFonts w:eastAsia="Calibri" w:hint="cs"/>
          <w:rtl/>
        </w:rPr>
        <w:t xml:space="preserve">שלו </w:t>
      </w:r>
      <w:r w:rsidRPr="0016536A">
        <w:rPr>
          <w:rFonts w:eastAsia="Calibri"/>
          <w:rtl/>
        </w:rPr>
        <w:t xml:space="preserve">נע בין 0 ל-32. </w:t>
      </w:r>
    </w:p>
    <w:p w:rsidR="0016536A" w:rsidRPr="0016536A" w:rsidP="004614AF">
      <w:pPr>
        <w:spacing w:line="269" w:lineRule="auto"/>
        <w:rPr>
          <w:rFonts w:eastAsia="Calibri"/>
          <w:rtl/>
        </w:rPr>
      </w:pPr>
    </w:p>
    <w:p w:rsidR="0016536A" w:rsidRPr="0016536A" w:rsidP="004614AF">
      <w:pPr>
        <w:spacing w:line="269" w:lineRule="auto"/>
        <w:rPr>
          <w:rFonts w:eastAsia="Calibri"/>
        </w:rPr>
      </w:pPr>
      <w:r w:rsidRPr="0016536A">
        <w:rPr>
          <w:rFonts w:eastAsia="Calibri" w:hint="cs"/>
          <w:rtl/>
        </w:rPr>
        <w:t>כפי שניתן לראות, מדדי השבריריות של מכבי ומאוחדת שונים בשני מובנים. האחד, מרכיבי המדד שונים, כך שלדוגמה במדד שעל פיו פועלת מכבי יש התייחסות לעלות שנתית של חבר הקופה, מרכיב שאינו קיים במדד שעל פיו פועלת מאוחדת; האחר, הסולם שבו הקופות משתמשות שונה אף הוא (0 - 36 במאוחדת ו-0 - 32 במכבי).</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rtl/>
        </w:rPr>
        <w:t xml:space="preserve">המדד </w:t>
      </w:r>
      <w:r w:rsidRPr="0016536A">
        <w:rPr>
          <w:rFonts w:eastAsia="Calibri" w:hint="cs"/>
          <w:rtl/>
        </w:rPr>
        <w:t xml:space="preserve">בשתי הקופות </w:t>
      </w:r>
      <w:r w:rsidRPr="0016536A">
        <w:rPr>
          <w:rFonts w:eastAsia="Calibri"/>
          <w:rtl/>
        </w:rPr>
        <w:t>רציף</w:t>
      </w:r>
      <w:r w:rsidRPr="0016536A">
        <w:rPr>
          <w:rFonts w:eastAsia="Calibri" w:hint="cs"/>
          <w:rtl/>
        </w:rPr>
        <w:t>,</w:t>
      </w:r>
      <w:r w:rsidRPr="0016536A">
        <w:rPr>
          <w:rFonts w:eastAsia="Calibri"/>
          <w:rtl/>
        </w:rPr>
        <w:t xml:space="preserve"> אך מקובל לחלק אותו לארבע קטגוריות בהתאם למספר הליקויים שנמצאו אצל האדם: איתן</w:t>
      </w:r>
      <w:r w:rsidRPr="0016536A">
        <w:rPr>
          <w:rFonts w:eastAsia="Calibri" w:hint="cs"/>
          <w:rtl/>
        </w:rPr>
        <w:t xml:space="preserve"> (המצב הבריא ביותר)</w:t>
      </w:r>
      <w:r w:rsidRPr="0016536A">
        <w:rPr>
          <w:rFonts w:eastAsia="Calibri"/>
          <w:rtl/>
        </w:rPr>
        <w:t xml:space="preserve">, </w:t>
      </w:r>
      <w:r w:rsidRPr="0016536A">
        <w:rPr>
          <w:rFonts w:eastAsia="Calibri" w:hint="cs"/>
          <w:rtl/>
        </w:rPr>
        <w:t>קדם-</w:t>
      </w:r>
      <w:r w:rsidRPr="0016536A">
        <w:rPr>
          <w:rFonts w:eastAsia="Calibri"/>
          <w:rtl/>
        </w:rPr>
        <w:t xml:space="preserve">שברירי, שברירי </w:t>
      </w:r>
      <w:r w:rsidRPr="0016536A">
        <w:rPr>
          <w:rFonts w:eastAsia="Calibri" w:hint="cs"/>
          <w:rtl/>
        </w:rPr>
        <w:t>ו</w:t>
      </w:r>
      <w:r w:rsidRPr="0016536A">
        <w:rPr>
          <w:rFonts w:eastAsia="Calibri"/>
          <w:rtl/>
        </w:rPr>
        <w:t>מורכב</w:t>
      </w:r>
      <w:r w:rsidRPr="0016536A">
        <w:rPr>
          <w:rFonts w:eastAsia="Calibri" w:hint="cs"/>
          <w:rtl/>
        </w:rPr>
        <w:t xml:space="preserve"> (המצב השברירי </w:t>
      </w:r>
      <w:r w:rsidRPr="0016536A">
        <w:rPr>
          <w:rFonts w:eastAsia="Calibri" w:hint="cs"/>
          <w:rtl/>
        </w:rPr>
        <w:t>ביותר)</w:t>
      </w:r>
      <w:r w:rsidRPr="0016536A">
        <w:rPr>
          <w:rFonts w:eastAsia="Calibri"/>
          <w:rtl/>
        </w:rPr>
        <w:t xml:space="preserve">. </w:t>
      </w:r>
      <w:r w:rsidRPr="0016536A">
        <w:rPr>
          <w:rFonts w:eastAsia="Calibri" w:hint="cs"/>
          <w:rtl/>
        </w:rPr>
        <w:t xml:space="preserve">מאוחדת ומכבי מגדירות רמות שונות של המדד כתנאי סף לכניסה לקטגוריית שבריריות, כמוצג בלוח שלהלן: </w:t>
      </w: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cs"/>
          <w:rtl/>
        </w:rPr>
        <w:t xml:space="preserve">לוח 3: </w:t>
      </w:r>
      <w:r w:rsidRPr="0016536A">
        <w:rPr>
          <w:rFonts w:eastAsia="Calibri" w:hint="cs"/>
          <w:b/>
          <w:bCs/>
          <w:rtl/>
        </w:rPr>
        <w:t>ציון השבריריות בכל קטגוריית שבריריות, במכבי ובמאוחדת</w:t>
      </w:r>
    </w:p>
    <w:tbl>
      <w:tblPr>
        <w:tblStyle w:val="TableGrid"/>
        <w:bidiVisual/>
        <w:tblW w:w="0" w:type="auto"/>
        <w:tblInd w:w="1407" w:type="dxa"/>
        <w:tblLook w:val="04A0"/>
      </w:tblPr>
      <w:tblGrid>
        <w:gridCol w:w="1330"/>
        <w:gridCol w:w="2101"/>
        <w:gridCol w:w="2102"/>
      </w:tblGrid>
      <w:tr w:rsidTr="0016536A">
        <w:tblPrEx>
          <w:tblW w:w="0" w:type="auto"/>
          <w:tblInd w:w="1407" w:type="dxa"/>
          <w:tblLook w:val="04A0"/>
        </w:tblPrEx>
        <w:tc>
          <w:tcPr>
            <w:tcW w:w="1330" w:type="dxa"/>
          </w:tcPr>
          <w:p w:rsidR="0016536A" w:rsidRPr="0016536A" w:rsidP="004614AF">
            <w:pPr>
              <w:spacing w:line="269" w:lineRule="auto"/>
              <w:rPr>
                <w:rFonts w:eastAsia="Calibri"/>
                <w:b/>
                <w:bCs/>
                <w:sz w:val="22"/>
                <w:szCs w:val="22"/>
                <w:rtl/>
              </w:rPr>
            </w:pPr>
            <w:r w:rsidRPr="0016536A">
              <w:rPr>
                <w:rFonts w:eastAsia="Calibri" w:hint="cs"/>
                <w:b/>
                <w:bCs/>
                <w:sz w:val="22"/>
                <w:szCs w:val="22"/>
                <w:rtl/>
              </w:rPr>
              <w:t>קטגוריית השבריריות</w:t>
            </w:r>
          </w:p>
        </w:tc>
        <w:tc>
          <w:tcPr>
            <w:tcW w:w="2101" w:type="dxa"/>
          </w:tcPr>
          <w:p w:rsidR="0016536A" w:rsidRPr="0016536A" w:rsidP="004614AF">
            <w:pPr>
              <w:spacing w:line="269" w:lineRule="auto"/>
              <w:jc w:val="center"/>
              <w:rPr>
                <w:rFonts w:eastAsia="Calibri"/>
                <w:b/>
                <w:bCs/>
                <w:sz w:val="22"/>
                <w:szCs w:val="22"/>
                <w:rtl/>
              </w:rPr>
            </w:pPr>
            <w:r w:rsidRPr="0016536A">
              <w:rPr>
                <w:rFonts w:eastAsia="Calibri" w:hint="cs"/>
                <w:b/>
                <w:bCs/>
                <w:sz w:val="22"/>
                <w:szCs w:val="22"/>
                <w:rtl/>
              </w:rPr>
              <w:t>ציון השבריריות לפי מכבי</w:t>
            </w:r>
          </w:p>
        </w:tc>
        <w:tc>
          <w:tcPr>
            <w:tcW w:w="2102" w:type="dxa"/>
          </w:tcPr>
          <w:p w:rsidR="0016536A" w:rsidRPr="0016536A" w:rsidP="004614AF">
            <w:pPr>
              <w:spacing w:line="269" w:lineRule="auto"/>
              <w:jc w:val="center"/>
              <w:rPr>
                <w:rFonts w:eastAsia="Calibri"/>
                <w:b/>
                <w:bCs/>
                <w:sz w:val="22"/>
                <w:szCs w:val="22"/>
                <w:rtl/>
              </w:rPr>
            </w:pPr>
            <w:r w:rsidRPr="0016536A">
              <w:rPr>
                <w:rFonts w:eastAsia="Calibri" w:hint="cs"/>
                <w:b/>
                <w:bCs/>
                <w:sz w:val="22"/>
                <w:szCs w:val="22"/>
                <w:rtl/>
              </w:rPr>
              <w:t>ציון השבריריות לפי מאוחדת</w:t>
            </w:r>
          </w:p>
        </w:tc>
      </w:tr>
      <w:tr w:rsidTr="0016536A">
        <w:tblPrEx>
          <w:tblW w:w="0" w:type="auto"/>
          <w:tblInd w:w="1407" w:type="dxa"/>
          <w:tblLook w:val="04A0"/>
        </w:tblPrEx>
        <w:tc>
          <w:tcPr>
            <w:tcW w:w="1330" w:type="dxa"/>
          </w:tcPr>
          <w:p w:rsidR="0016536A" w:rsidRPr="0016536A" w:rsidP="004614AF">
            <w:pPr>
              <w:spacing w:line="269" w:lineRule="auto"/>
              <w:rPr>
                <w:rFonts w:eastAsia="Calibri"/>
                <w:sz w:val="22"/>
                <w:szCs w:val="22"/>
                <w:rtl/>
              </w:rPr>
            </w:pPr>
            <w:r w:rsidRPr="0016536A">
              <w:rPr>
                <w:rFonts w:eastAsia="Calibri" w:hint="cs"/>
                <w:sz w:val="22"/>
                <w:szCs w:val="22"/>
                <w:rtl/>
              </w:rPr>
              <w:t>איתן</w:t>
            </w:r>
          </w:p>
        </w:tc>
        <w:tc>
          <w:tcPr>
            <w:tcW w:w="2101" w:type="dxa"/>
          </w:tcPr>
          <w:p w:rsidR="0016536A" w:rsidRPr="0016536A" w:rsidP="004614AF">
            <w:pPr>
              <w:spacing w:line="269" w:lineRule="auto"/>
              <w:jc w:val="center"/>
              <w:rPr>
                <w:rFonts w:eastAsia="Calibri"/>
                <w:sz w:val="22"/>
                <w:szCs w:val="22"/>
                <w:rtl/>
              </w:rPr>
            </w:pPr>
            <w:r w:rsidRPr="0016536A">
              <w:rPr>
                <w:rFonts w:eastAsia="Calibri" w:hint="cs"/>
                <w:sz w:val="22"/>
                <w:szCs w:val="22"/>
                <w:rtl/>
              </w:rPr>
              <w:t>0 - 9</w:t>
            </w:r>
          </w:p>
        </w:tc>
        <w:tc>
          <w:tcPr>
            <w:tcW w:w="2102" w:type="dxa"/>
          </w:tcPr>
          <w:p w:rsidR="0016536A" w:rsidRPr="0016536A" w:rsidP="004614AF">
            <w:pPr>
              <w:spacing w:line="269" w:lineRule="auto"/>
              <w:jc w:val="center"/>
              <w:rPr>
                <w:rFonts w:eastAsia="Calibri"/>
                <w:sz w:val="22"/>
                <w:szCs w:val="22"/>
                <w:rtl/>
              </w:rPr>
            </w:pPr>
            <w:r w:rsidRPr="0016536A">
              <w:rPr>
                <w:rFonts w:eastAsia="Calibri" w:hint="cs"/>
                <w:sz w:val="22"/>
                <w:szCs w:val="22"/>
                <w:rtl/>
              </w:rPr>
              <w:t>0 - 4</w:t>
            </w:r>
          </w:p>
        </w:tc>
      </w:tr>
      <w:tr w:rsidTr="0016536A">
        <w:tblPrEx>
          <w:tblW w:w="0" w:type="auto"/>
          <w:tblInd w:w="1407" w:type="dxa"/>
          <w:tblLook w:val="04A0"/>
        </w:tblPrEx>
        <w:tc>
          <w:tcPr>
            <w:tcW w:w="1330" w:type="dxa"/>
          </w:tcPr>
          <w:p w:rsidR="0016536A" w:rsidRPr="0016536A" w:rsidP="004614AF">
            <w:pPr>
              <w:spacing w:line="269" w:lineRule="auto"/>
              <w:rPr>
                <w:rFonts w:eastAsia="Calibri"/>
                <w:sz w:val="22"/>
                <w:szCs w:val="22"/>
                <w:rtl/>
              </w:rPr>
            </w:pPr>
            <w:r w:rsidRPr="0016536A">
              <w:rPr>
                <w:rFonts w:eastAsia="Calibri" w:hint="cs"/>
                <w:sz w:val="22"/>
                <w:szCs w:val="22"/>
                <w:rtl/>
              </w:rPr>
              <w:t>קדם-שברירי</w:t>
            </w:r>
          </w:p>
        </w:tc>
        <w:tc>
          <w:tcPr>
            <w:tcW w:w="2101" w:type="dxa"/>
          </w:tcPr>
          <w:p w:rsidR="0016536A" w:rsidRPr="0016536A" w:rsidP="004614AF">
            <w:pPr>
              <w:spacing w:line="269" w:lineRule="auto"/>
              <w:jc w:val="center"/>
              <w:rPr>
                <w:rFonts w:eastAsia="Calibri"/>
                <w:sz w:val="22"/>
                <w:szCs w:val="22"/>
                <w:rtl/>
              </w:rPr>
            </w:pPr>
            <w:r w:rsidRPr="0016536A">
              <w:rPr>
                <w:rFonts w:eastAsia="Calibri" w:hint="cs"/>
                <w:sz w:val="22"/>
                <w:szCs w:val="22"/>
                <w:rtl/>
              </w:rPr>
              <w:t>10 - 15</w:t>
            </w:r>
          </w:p>
        </w:tc>
        <w:tc>
          <w:tcPr>
            <w:tcW w:w="2102" w:type="dxa"/>
          </w:tcPr>
          <w:p w:rsidR="0016536A" w:rsidRPr="0016536A" w:rsidP="004614AF">
            <w:pPr>
              <w:spacing w:line="269" w:lineRule="auto"/>
              <w:jc w:val="center"/>
              <w:rPr>
                <w:rFonts w:eastAsia="Calibri"/>
                <w:sz w:val="22"/>
                <w:szCs w:val="22"/>
                <w:rtl/>
              </w:rPr>
            </w:pPr>
            <w:r w:rsidRPr="0016536A">
              <w:rPr>
                <w:rFonts w:eastAsia="Calibri" w:hint="cs"/>
                <w:sz w:val="22"/>
                <w:szCs w:val="22"/>
                <w:rtl/>
              </w:rPr>
              <w:t>5 - 8</w:t>
            </w:r>
          </w:p>
        </w:tc>
      </w:tr>
      <w:tr w:rsidTr="0016536A">
        <w:tblPrEx>
          <w:tblW w:w="0" w:type="auto"/>
          <w:tblInd w:w="1407" w:type="dxa"/>
          <w:tblLook w:val="04A0"/>
        </w:tblPrEx>
        <w:tc>
          <w:tcPr>
            <w:tcW w:w="1330" w:type="dxa"/>
          </w:tcPr>
          <w:p w:rsidR="0016536A" w:rsidRPr="0016536A" w:rsidP="004614AF">
            <w:pPr>
              <w:spacing w:line="269" w:lineRule="auto"/>
              <w:rPr>
                <w:rFonts w:eastAsia="Calibri"/>
                <w:sz w:val="22"/>
                <w:szCs w:val="22"/>
                <w:rtl/>
              </w:rPr>
            </w:pPr>
            <w:r w:rsidRPr="0016536A">
              <w:rPr>
                <w:rFonts w:eastAsia="Calibri" w:hint="cs"/>
                <w:sz w:val="22"/>
                <w:szCs w:val="22"/>
                <w:rtl/>
              </w:rPr>
              <w:t>שברירי</w:t>
            </w:r>
          </w:p>
        </w:tc>
        <w:tc>
          <w:tcPr>
            <w:tcW w:w="2101" w:type="dxa"/>
          </w:tcPr>
          <w:p w:rsidR="0016536A" w:rsidRPr="0016536A" w:rsidP="004614AF">
            <w:pPr>
              <w:spacing w:line="269" w:lineRule="auto"/>
              <w:jc w:val="center"/>
              <w:rPr>
                <w:rFonts w:eastAsia="Calibri"/>
                <w:sz w:val="22"/>
                <w:szCs w:val="22"/>
                <w:rtl/>
              </w:rPr>
            </w:pPr>
            <w:r w:rsidRPr="0016536A">
              <w:rPr>
                <w:rFonts w:eastAsia="Calibri" w:hint="cs"/>
                <w:sz w:val="22"/>
                <w:szCs w:val="22"/>
                <w:rtl/>
              </w:rPr>
              <w:t>16 - 22</w:t>
            </w:r>
          </w:p>
        </w:tc>
        <w:tc>
          <w:tcPr>
            <w:tcW w:w="2102" w:type="dxa"/>
          </w:tcPr>
          <w:p w:rsidR="0016536A" w:rsidRPr="0016536A" w:rsidP="004614AF">
            <w:pPr>
              <w:spacing w:line="269" w:lineRule="auto"/>
              <w:jc w:val="center"/>
              <w:rPr>
                <w:rFonts w:eastAsia="Calibri"/>
                <w:sz w:val="22"/>
                <w:szCs w:val="22"/>
                <w:rtl/>
              </w:rPr>
            </w:pPr>
            <w:r w:rsidRPr="0016536A">
              <w:rPr>
                <w:rFonts w:eastAsia="Calibri" w:hint="cs"/>
                <w:sz w:val="22"/>
                <w:szCs w:val="22"/>
                <w:rtl/>
              </w:rPr>
              <w:t>9 - 12</w:t>
            </w:r>
          </w:p>
        </w:tc>
      </w:tr>
      <w:tr w:rsidTr="0016536A">
        <w:tblPrEx>
          <w:tblW w:w="0" w:type="auto"/>
          <w:tblInd w:w="1407" w:type="dxa"/>
          <w:tblLook w:val="04A0"/>
        </w:tblPrEx>
        <w:tc>
          <w:tcPr>
            <w:tcW w:w="1330" w:type="dxa"/>
          </w:tcPr>
          <w:p w:rsidR="0016536A" w:rsidRPr="0016536A" w:rsidP="004614AF">
            <w:pPr>
              <w:spacing w:line="269" w:lineRule="auto"/>
              <w:rPr>
                <w:rFonts w:eastAsia="Calibri"/>
                <w:sz w:val="22"/>
                <w:szCs w:val="22"/>
                <w:rtl/>
              </w:rPr>
            </w:pPr>
            <w:r w:rsidRPr="0016536A">
              <w:rPr>
                <w:rFonts w:eastAsia="Calibri" w:hint="cs"/>
                <w:sz w:val="22"/>
                <w:szCs w:val="22"/>
                <w:rtl/>
              </w:rPr>
              <w:t>מורכב</w:t>
            </w:r>
          </w:p>
        </w:tc>
        <w:tc>
          <w:tcPr>
            <w:tcW w:w="2101" w:type="dxa"/>
          </w:tcPr>
          <w:p w:rsidR="0016536A" w:rsidRPr="0016536A" w:rsidP="004614AF">
            <w:pPr>
              <w:spacing w:line="269" w:lineRule="auto"/>
              <w:jc w:val="center"/>
              <w:rPr>
                <w:rFonts w:eastAsia="Calibri"/>
                <w:sz w:val="22"/>
                <w:szCs w:val="22"/>
                <w:rtl/>
              </w:rPr>
            </w:pPr>
            <w:r w:rsidRPr="0016536A">
              <w:rPr>
                <w:rFonts w:eastAsia="Calibri" w:hint="cs"/>
                <w:sz w:val="22"/>
                <w:szCs w:val="22"/>
                <w:rtl/>
              </w:rPr>
              <w:t>23 - 32</w:t>
            </w:r>
          </w:p>
        </w:tc>
        <w:tc>
          <w:tcPr>
            <w:tcW w:w="2102" w:type="dxa"/>
          </w:tcPr>
          <w:p w:rsidR="0016536A" w:rsidRPr="0016536A" w:rsidP="004614AF">
            <w:pPr>
              <w:spacing w:line="269" w:lineRule="auto"/>
              <w:jc w:val="center"/>
              <w:rPr>
                <w:rFonts w:eastAsia="Calibri"/>
                <w:sz w:val="22"/>
                <w:szCs w:val="22"/>
                <w:rtl/>
              </w:rPr>
            </w:pPr>
            <w:r w:rsidRPr="0016536A">
              <w:rPr>
                <w:rFonts w:eastAsia="Calibri" w:hint="cs"/>
                <w:sz w:val="22"/>
                <w:szCs w:val="22"/>
                <w:rtl/>
              </w:rPr>
              <w:t>13 - 36</w:t>
            </w:r>
          </w:p>
        </w:tc>
      </w:tr>
    </w:tbl>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מהלוח עולה כי כדי לעבור בין קטגוריות השבריריות השונות נדרש סף ציון גבוה יותר במכבי מאשר במאוחדת. כך לדוגמה כדי לעבור מ"איתן" לקדם-שברירי" נדרש במכבי ציון 10 לעומת ציון 5 במאוחדת.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חשוב לציין כי הקטגוריות בכל קופה והציונים הנלווים אליהן אינם משקפים בהכרח מצבים בריאותיים זהים אצל זקנים בכל קופה, שכן, כאמור, בכל קופה נכללים רכיבים אחרים במדד. עם זאת, שתי הקופות מתייחסות למעבר מקטגוריית "איתן" לקטגוריות הבאות של שבריריות כאינדיקציה להחמרה במצב הבריאותי.</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צוות הביקורת בדק את רמות השבריריות של הזקנים חברי מכבי ומאוחדת, כמוצג בתרשימים הבאים. </w:t>
      </w: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cs"/>
          <w:rtl/>
        </w:rPr>
        <w:t xml:space="preserve">תרשים 9: </w:t>
      </w:r>
      <w:r w:rsidRPr="0016536A">
        <w:rPr>
          <w:rFonts w:eastAsia="Calibri" w:hint="cs"/>
          <w:b/>
          <w:bCs/>
          <w:rtl/>
        </w:rPr>
        <w:t>שיעור הזקנים</w:t>
      </w:r>
      <w:r w:rsidRPr="0016536A">
        <w:rPr>
          <w:rFonts w:eastAsia="Calibri" w:hint="cs"/>
          <w:rtl/>
        </w:rPr>
        <w:t xml:space="preserve"> </w:t>
      </w:r>
      <w:r w:rsidRPr="0016536A">
        <w:rPr>
          <w:rFonts w:eastAsia="Calibri" w:hint="cs"/>
          <w:b/>
          <w:bCs/>
          <w:rtl/>
        </w:rPr>
        <w:t>חברי מכבי בכל רמת שבריריות, לפי גיל, 2025</w:t>
      </w:r>
    </w:p>
    <w:p w:rsidR="0016536A" w:rsidRPr="0016536A" w:rsidP="004614AF">
      <w:pPr>
        <w:spacing w:line="269" w:lineRule="auto"/>
        <w:jc w:val="center"/>
        <w:rPr>
          <w:rFonts w:eastAsia="Calibri"/>
          <w:b/>
          <w:bCs/>
          <w:rtl/>
        </w:rPr>
      </w:pPr>
      <w:r w:rsidRPr="0016536A">
        <w:rPr>
          <w:rFonts w:eastAsia="Calibri"/>
          <w:b/>
          <w:bCs/>
          <w:noProof/>
        </w:rPr>
        <w:drawing>
          <wp:inline distT="0" distB="0" distL="0" distR="0">
            <wp:extent cx="5231130" cy="2707005"/>
            <wp:effectExtent l="0" t="0" r="7620" b="0"/>
            <wp:docPr id="29" name="תמונה 29" descr="שיעור הזקנים חברי מכבי בכל רמת שבריריות, מגיל 66 -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707005"/>
                    </a:xfrm>
                    <a:prstGeom prst="rect">
                      <a:avLst/>
                    </a:prstGeom>
                    <a:noFill/>
                  </pic:spPr>
                </pic:pic>
              </a:graphicData>
            </a:graphic>
          </wp:inline>
        </w:drawing>
      </w:r>
    </w:p>
    <w:p w:rsidR="0016536A" w:rsidRPr="0016536A" w:rsidP="004614AF">
      <w:pPr>
        <w:spacing w:line="269" w:lineRule="auto"/>
        <w:jc w:val="left"/>
        <w:rPr>
          <w:rFonts w:eastAsia="Calibri"/>
          <w:sz w:val="16"/>
          <w:szCs w:val="20"/>
          <w:rtl/>
        </w:rPr>
      </w:pPr>
      <w:r w:rsidRPr="0016536A">
        <w:rPr>
          <w:rFonts w:eastAsia="Calibri" w:hint="cs"/>
          <w:sz w:val="16"/>
          <w:szCs w:val="20"/>
          <w:rtl/>
        </w:rPr>
        <w:t>על פי נתוני מכבי</w:t>
      </w:r>
      <w:r>
        <w:rPr>
          <w:rFonts w:eastAsia="Calibri"/>
          <w:sz w:val="16"/>
          <w:vertAlign w:val="superscript"/>
          <w:rtl/>
        </w:rPr>
        <w:footnoteReference w:id="71"/>
      </w:r>
      <w:r w:rsidRPr="0016536A">
        <w:rPr>
          <w:rFonts w:eastAsia="Calibri" w:hint="cs"/>
          <w:sz w:val="16"/>
          <w:szCs w:val="20"/>
          <w:rtl/>
        </w:rPr>
        <w:t>,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cs"/>
          <w:rtl/>
        </w:rPr>
        <w:t xml:space="preserve">תרשים 10: </w:t>
      </w:r>
      <w:r w:rsidRPr="0016536A">
        <w:rPr>
          <w:rFonts w:eastAsia="Calibri" w:hint="cs"/>
          <w:b/>
          <w:bCs/>
          <w:rtl/>
        </w:rPr>
        <w:t>שיעור הזקנים</w:t>
      </w:r>
      <w:r w:rsidRPr="0016536A">
        <w:rPr>
          <w:rFonts w:eastAsia="Calibri" w:hint="cs"/>
          <w:rtl/>
        </w:rPr>
        <w:t xml:space="preserve"> </w:t>
      </w:r>
      <w:r w:rsidRPr="0016536A">
        <w:rPr>
          <w:rFonts w:eastAsia="Calibri" w:hint="cs"/>
          <w:b/>
          <w:bCs/>
          <w:rtl/>
        </w:rPr>
        <w:t>חברי מאוחדת בכל רמת שבריריות, לפי גיל, 2025</w:t>
      </w:r>
    </w:p>
    <w:p w:rsidR="0016536A" w:rsidRPr="0016536A" w:rsidP="004614AF">
      <w:pPr>
        <w:spacing w:line="269" w:lineRule="auto"/>
        <w:rPr>
          <w:rFonts w:eastAsia="Calibri"/>
          <w:b/>
          <w:bCs/>
          <w:rtl/>
        </w:rPr>
      </w:pPr>
      <w:r w:rsidRPr="0016536A">
        <w:rPr>
          <w:rFonts w:eastAsia="Calibri"/>
          <w:b/>
          <w:bCs/>
          <w:noProof/>
        </w:rPr>
        <w:drawing>
          <wp:inline distT="0" distB="0" distL="0" distR="0">
            <wp:extent cx="5231130" cy="2749550"/>
            <wp:effectExtent l="0" t="0" r="7620" b="0"/>
            <wp:docPr id="30" name="תמונה 30" descr="שיעור הזקנים חברי מאוחדת בכל רמת שבריריות, מגיל 66 -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749550"/>
                    </a:xfrm>
                    <a:prstGeom prst="rect">
                      <a:avLst/>
                    </a:prstGeom>
                    <a:noFill/>
                  </pic:spPr>
                </pic:pic>
              </a:graphicData>
            </a:graphic>
          </wp:inline>
        </w:drawing>
      </w:r>
    </w:p>
    <w:p w:rsidR="0016536A" w:rsidRPr="0016536A" w:rsidP="004614AF">
      <w:pPr>
        <w:spacing w:line="269" w:lineRule="auto"/>
        <w:jc w:val="left"/>
        <w:rPr>
          <w:rFonts w:eastAsia="Calibri"/>
          <w:sz w:val="16"/>
          <w:szCs w:val="20"/>
          <w:rtl/>
        </w:rPr>
      </w:pPr>
      <w:r w:rsidRPr="0016536A">
        <w:rPr>
          <w:rFonts w:eastAsia="Calibri" w:hint="cs"/>
          <w:sz w:val="16"/>
          <w:szCs w:val="20"/>
          <w:rtl/>
        </w:rPr>
        <w:t>על פי נתוני מאוחדת,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b/>
          <w:bCs/>
          <w:rtl/>
        </w:rPr>
        <w:t>מהתרשימים עולה כי בשתי הקופות, מכבי ומאוחדת, ככל שהחברים הולכים ומזדקנים, כך עולה רמת השבריריות שלהם. כך לדוגמה, בגיל 70 כ-22% מחברי מאוחדת שבריריים ברמה בינונית או חמורה (שבריריים או שבריריים מורכבים), ואילו בגיל 80 מוכפל שיעורם לכ-50%.</w:t>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עולה גם כי הגדרות סף שונות במדדי השבריריות במכבי ובמאוחדת יוצרות פיזור שונה של שיעורי השבריריות בגילי הזקנה, אף שככל הנראה אין שונות כה גדולה בהרכב של חברי הקופות הזקנים. כך לדוגמה, בגיל 75, 76% מחברי מכבי מוגדרים כאיתנים, ואילו רק 17% מחברי מאוחדת מוגדרים כן, וכן כחצי אחוז מחברי מכבי בגיל 75 מוגדרים כמורכבים, אך שיעורם במאוחדת עומד על 8%.</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עולה, אם כן, כי מדד השבריריות נמדד בדרכים שונות בשתי הקופות שמודדות אותו, מכבי ומאוחדת: הן אוספות ליקויים שונים כדי ליצור ציון שבריריות; הסולם שבו הן עושות שימוש שונה - 0 - 32 במכבי, 0 - 36 במאוחדת; והן משתמשות ברף ציון שונה כדי לעבור מקטגוריי</w:t>
      </w:r>
      <w:r w:rsidRPr="0016536A">
        <w:rPr>
          <w:rFonts w:eastAsia="Calibri" w:hint="eastAsia"/>
          <w:b/>
          <w:bCs/>
          <w:rtl/>
        </w:rPr>
        <w:t>ת</w:t>
      </w:r>
      <w:r w:rsidRPr="0016536A">
        <w:rPr>
          <w:rFonts w:eastAsia="Calibri" w:hint="cs"/>
          <w:b/>
          <w:bCs/>
          <w:rtl/>
        </w:rPr>
        <w:t xml:space="preserve"> שבריריות אחת לאחרת. משמעות הדבר היא שלא ניתן להשוות בין ציוני השבריריות של חברי שתי הקופות ובין קטגוריות השבריריות המיוחסות להם כדי לזהות הבדלים ברמת השבריריות של חבריהן.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בהיעדר אפשרות להשוות, משרד הבריאות אינו יכול ליצור תמונת מצב מלאה ואחידה של מצב השבריריות של הזקנים בישראל, לנטר שינויים בו לאורך זמן, להתוות מדיניות כוללת, ולגבש תוכניות שייתנו מענה דיפרנציאלי בכל קופה, דבר המעצים את החשיבות בגיבוש מדד שבריריות לאומי.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בביקורת נמצא גם כי הציון במדד השבריריות בקופות החולים מופק ברגע הבדיקה אך אינו נשמר באופן היסטורי עבור חברי הקופות. מכאן שקופת החולים, כמו גם משרד הבריאות, אינם יכולים לעקוב אחר שינויים ברמת השבריריות אצל אדם ולזהות שיפור או הרעה במצבו, וגם אינם יכולים לבחון את השפעתן של תוכנית או התערבות רפואית מסוימת על מצבו של הזקן, כל שכן לנטר את מצב אוכלוסיית הזקנים חברי הקופות לאורך זמן, כגון אם חלה דחייה של הגיל שבו חברי הקופה מתחילים להיות שבריריים, או עוברים מרמת שבריריות אחת לאחרת.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מאוחדת מסרה בתשובתה כי החל ממאי 2025 נשמרת היסטוריית מדד השבריריות, וכי מאז ניתן לנטר את מצב השבריריות של אוכלוסיי</w:t>
      </w:r>
      <w:r w:rsidRPr="0016536A">
        <w:rPr>
          <w:rFonts w:eastAsia="Calibri" w:hint="eastAsia"/>
          <w:rtl/>
        </w:rPr>
        <w:t>ת</w:t>
      </w:r>
      <w:r w:rsidRPr="0016536A">
        <w:rPr>
          <w:rFonts w:eastAsia="Calibri" w:hint="cs"/>
          <w:rtl/>
        </w:rPr>
        <w:t xml:space="preserve"> המטופלים של הקופה.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bookmarkStart w:id="12" w:name="_Hlk231374325"/>
      <w:r w:rsidRPr="0016536A">
        <w:rPr>
          <w:rFonts w:eastAsia="Calibri" w:hint="cs"/>
          <w:b/>
          <w:bCs/>
          <w:rtl/>
        </w:rPr>
        <w:t>כאמור, מומלץ כי משרד הבריאות יגבש יחד עם קופות החולים מדד איכות אחיד להערכת מצבה הבריאותי של אוכלוסיית הזקנים מבחינת מרכיביו, טווח הציונים והסף לכל קטגוריה. לקופות החולים מומלץ לערוך מדידות עיתיות של המדד עבור חבריהן ולשמור לאורך זמן את המדידות שהן עורכות. זאת כדי לאפשר מעקב אחרי שינויים במדד בקרב אוכלוסיית חברי הקופה ואחר השפעותיהן של התערבויות ותוכניות שמפעילה הקופה. עוד מומלץ כי משרד הבריאות יאסוף את נתוני המדד מהקופות, כדי שיוכל להתוות מדיניות ותוכניות המותאמות למצבה של אוכלוסיית הזקנים ולהעריך את השפעתן.</w:t>
      </w:r>
    </w:p>
    <w:bookmarkEnd w:id="12"/>
    <w:p w:rsidR="0016536A" w:rsidRPr="0016536A" w:rsidP="004614AF">
      <w:pPr>
        <w:spacing w:line="269" w:lineRule="auto"/>
        <w:rPr>
          <w:rFonts w:eastAsia="Calibri"/>
          <w:b/>
          <w:bCs/>
          <w:rtl/>
        </w:rPr>
      </w:pPr>
    </w:p>
    <w:p w:rsidR="0016536A" w:rsidRPr="0016536A" w:rsidP="004614AF">
      <w:pPr>
        <w:keepNext/>
        <w:keepLines/>
        <w:spacing w:line="269" w:lineRule="auto"/>
        <w:outlineLvl w:val="2"/>
        <w:rPr>
          <w:rFonts w:eastAsia="Times New Roman"/>
          <w:bCs/>
          <w:szCs w:val="28"/>
          <w:rtl/>
        </w:rPr>
      </w:pPr>
      <w:r w:rsidRPr="0016536A">
        <w:rPr>
          <w:rFonts w:eastAsia="Times New Roman" w:hint="cs"/>
          <w:bCs/>
          <w:szCs w:val="28"/>
          <w:rtl/>
        </w:rPr>
        <w:t>הפוטנציאל הטמון בשימוש במדד שבריריות למדידת תוחלת חיים בריאים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כאמור, מפת המדדים</w:t>
      </w:r>
      <w:r w:rsidRPr="0016536A">
        <w:rPr>
          <w:rFonts w:eastAsia="Calibri"/>
          <w:rtl/>
        </w:rPr>
        <w:t xml:space="preserve"> כוללת מדדים בתחום הבריאות </w:t>
      </w:r>
      <w:r w:rsidRPr="0016536A">
        <w:rPr>
          <w:rFonts w:eastAsia="Calibri" w:hint="cs"/>
          <w:rtl/>
        </w:rPr>
        <w:t>ה</w:t>
      </w:r>
      <w:r w:rsidRPr="0016536A">
        <w:rPr>
          <w:rFonts w:eastAsia="Calibri"/>
          <w:rtl/>
        </w:rPr>
        <w:t xml:space="preserve">נוגעים </w:t>
      </w:r>
      <w:r w:rsidRPr="0016536A">
        <w:rPr>
          <w:rFonts w:eastAsia="Calibri" w:hint="cs"/>
          <w:rtl/>
        </w:rPr>
        <w:t xml:space="preserve">לתוחלת חיים בריאים, דהיינו, </w:t>
      </w:r>
      <w:r w:rsidRPr="0016536A">
        <w:rPr>
          <w:rFonts w:eastAsia="Calibri"/>
          <w:rtl/>
        </w:rPr>
        <w:t>שיעור השנים הבריאות</w:t>
      </w:r>
      <w:r w:rsidRPr="0016536A">
        <w:rPr>
          <w:rFonts w:eastAsia="Calibri" w:hint="cs"/>
          <w:rtl/>
        </w:rPr>
        <w:t xml:space="preserve"> ומספרן</w:t>
      </w:r>
      <w:r w:rsidRPr="0016536A">
        <w:rPr>
          <w:rFonts w:eastAsia="Calibri"/>
          <w:rtl/>
        </w:rPr>
        <w:t xml:space="preserve"> מתוך תוחלת החיים הצפויה בגיל 65</w:t>
      </w:r>
      <w:r>
        <w:rPr>
          <w:rFonts w:eastAsia="Calibri"/>
          <w:vertAlign w:val="superscript"/>
          <w:rtl/>
        </w:rPr>
        <w:footnoteReference w:id="72"/>
      </w:r>
      <w:r w:rsidRPr="0016536A">
        <w:rPr>
          <w:rFonts w:eastAsia="Calibri" w:hint="cs"/>
          <w:rtl/>
        </w:rPr>
        <w:t xml:space="preserve">. </w:t>
      </w:r>
    </w:p>
    <w:p w:rsidR="0016536A" w:rsidRPr="0016536A" w:rsidP="004614AF">
      <w:pPr>
        <w:spacing w:line="269" w:lineRule="auto"/>
        <w:rPr>
          <w:rFonts w:eastAsia="Times New Roman"/>
          <w:bCs/>
          <w:szCs w:val="26"/>
          <w:rtl/>
        </w:rPr>
      </w:pPr>
    </w:p>
    <w:p w:rsidR="0016536A" w:rsidRPr="0016536A" w:rsidP="004614AF">
      <w:pPr>
        <w:spacing w:line="269" w:lineRule="auto"/>
        <w:rPr>
          <w:rFonts w:eastAsia="Times New Roman"/>
          <w:bCs/>
          <w:szCs w:val="26"/>
          <w:rtl/>
        </w:rPr>
      </w:pPr>
      <w:r w:rsidRPr="0016536A">
        <w:rPr>
          <w:rFonts w:eastAsia="Times New Roman" w:hint="cs"/>
          <w:bCs/>
          <w:szCs w:val="26"/>
          <w:rtl/>
        </w:rPr>
        <w:t>הקושי במדידת תוחלת חיים בריאים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קיימות דרכים רבות למדידת תוחלת חיים בריאים, ואין כיום מדד אחד מוסכם</w:t>
      </w:r>
      <w:r>
        <w:rPr>
          <w:rFonts w:eastAsia="Calibri"/>
          <w:vertAlign w:val="superscript"/>
          <w:rtl/>
        </w:rPr>
        <w:footnoteReference w:id="73"/>
      </w:r>
      <w:r w:rsidRPr="0016536A">
        <w:rPr>
          <w:rFonts w:eastAsia="Calibri" w:hint="cs"/>
          <w:rtl/>
        </w:rPr>
        <w:t xml:space="preserve"> לעשות זאת. להלן דוגמאות לכמה דרכים למדידת תוחלת חיים בריאים:</w:t>
      </w:r>
    </w:p>
    <w:p w:rsidR="0016536A" w:rsidRPr="0016536A" w:rsidP="004614AF">
      <w:pPr>
        <w:spacing w:line="269" w:lineRule="auto"/>
        <w:rPr>
          <w:rFonts w:eastAsia="Calibri"/>
          <w:rtl/>
        </w:rPr>
      </w:pPr>
    </w:p>
    <w:p w:rsidR="0016536A" w:rsidRPr="0016536A" w:rsidP="004614AF">
      <w:pPr>
        <w:numPr>
          <w:ilvl w:val="0"/>
          <w:numId w:val="23"/>
        </w:numPr>
        <w:spacing w:line="269" w:lineRule="auto"/>
        <w:contextualSpacing/>
        <w:rPr>
          <w:rFonts w:eastAsia="Calibri"/>
        </w:rPr>
      </w:pPr>
      <w:r w:rsidRPr="0016536A">
        <w:rPr>
          <w:rFonts w:eastAsia="Calibri" w:hint="cs"/>
          <w:rtl/>
        </w:rPr>
        <w:t>שימוש ב</w:t>
      </w:r>
      <w:r w:rsidRPr="0016536A">
        <w:rPr>
          <w:rFonts w:eastAsia="Calibri"/>
          <w:rtl/>
        </w:rPr>
        <w:t xml:space="preserve">מדד </w:t>
      </w:r>
      <w:r w:rsidRPr="0016536A">
        <w:rPr>
          <w:rFonts w:eastAsia="Calibri" w:hint="cs"/>
          <w:rtl/>
        </w:rPr>
        <w:t>ה</w:t>
      </w:r>
      <w:r w:rsidRPr="0016536A">
        <w:rPr>
          <w:rFonts w:eastAsia="Calibri"/>
          <w:rtl/>
        </w:rPr>
        <w:t>מעריך את ממוצע השנים שאדם היה צפוי לחיות אלמלא היה מת בטרם עת</w:t>
      </w:r>
      <w:r w:rsidRPr="0016536A">
        <w:rPr>
          <w:rFonts w:eastAsia="Calibri" w:hint="cs"/>
          <w:rtl/>
        </w:rPr>
        <w:t xml:space="preserve">; </w:t>
      </w:r>
    </w:p>
    <w:p w:rsidR="0016536A" w:rsidRPr="0016536A" w:rsidP="004614AF">
      <w:pPr>
        <w:spacing w:line="269" w:lineRule="auto"/>
        <w:ind w:left="340"/>
        <w:contextualSpacing/>
        <w:rPr>
          <w:rFonts w:eastAsia="Calibri"/>
        </w:rPr>
      </w:pPr>
    </w:p>
    <w:p w:rsidR="0016536A" w:rsidRPr="0016536A" w:rsidP="004614AF">
      <w:pPr>
        <w:numPr>
          <w:ilvl w:val="0"/>
          <w:numId w:val="23"/>
        </w:numPr>
        <w:spacing w:line="269" w:lineRule="auto"/>
        <w:contextualSpacing/>
        <w:rPr>
          <w:rFonts w:eastAsia="Calibri"/>
        </w:rPr>
      </w:pPr>
      <w:r w:rsidRPr="0016536A">
        <w:rPr>
          <w:rFonts w:eastAsia="Calibri" w:hint="cs"/>
          <w:rtl/>
        </w:rPr>
        <w:t xml:space="preserve">שימוש במדד המחשב </w:t>
      </w:r>
      <w:r w:rsidRPr="0016536A">
        <w:rPr>
          <w:rFonts w:eastAsia="Calibri"/>
          <w:rtl/>
        </w:rPr>
        <w:t>פטירות לפני גיל 75 מסיבות מוות שניתן למנוע באמצעות פעולות יעילות</w:t>
      </w:r>
      <w:r w:rsidRPr="0016536A">
        <w:rPr>
          <w:rFonts w:eastAsia="Calibri" w:hint="cs"/>
          <w:rtl/>
        </w:rPr>
        <w:t xml:space="preserve"> </w:t>
      </w:r>
      <w:r w:rsidRPr="0016536A">
        <w:rPr>
          <w:rFonts w:eastAsia="Calibri"/>
          <w:rtl/>
        </w:rPr>
        <w:t>של בריאות הציבור למניעת הופעת מחלה</w:t>
      </w:r>
      <w:r w:rsidRPr="0016536A">
        <w:rPr>
          <w:rFonts w:eastAsia="Calibri" w:hint="cs"/>
          <w:rtl/>
        </w:rPr>
        <w:t>,</w:t>
      </w:r>
      <w:r w:rsidRPr="0016536A">
        <w:rPr>
          <w:rFonts w:eastAsia="Calibri"/>
          <w:rtl/>
        </w:rPr>
        <w:t xml:space="preserve"> או באמצעות</w:t>
      </w:r>
      <w:r w:rsidRPr="0016536A">
        <w:rPr>
          <w:rFonts w:eastAsia="Calibri" w:hint="cs"/>
          <w:rtl/>
        </w:rPr>
        <w:t xml:space="preserve"> </w:t>
      </w:r>
      <w:r w:rsidRPr="0016536A">
        <w:rPr>
          <w:rFonts w:eastAsia="Calibri"/>
          <w:rtl/>
        </w:rPr>
        <w:t>טיפול רפואי יעיל ובזמן</w:t>
      </w:r>
      <w:r>
        <w:rPr>
          <w:rFonts w:eastAsia="Calibri"/>
          <w:vertAlign w:val="superscript"/>
          <w:rtl/>
        </w:rPr>
        <w:footnoteReference w:id="74"/>
      </w:r>
      <w:r w:rsidRPr="0016536A">
        <w:rPr>
          <w:rFonts w:eastAsia="Calibri" w:hint="cs"/>
          <w:rtl/>
        </w:rPr>
        <w:t xml:space="preserve">; </w:t>
      </w:r>
    </w:p>
    <w:p w:rsidR="0016536A" w:rsidRPr="0016536A" w:rsidP="004614AF">
      <w:pPr>
        <w:spacing w:line="269" w:lineRule="auto"/>
        <w:rPr>
          <w:rFonts w:eastAsia="Calibri"/>
        </w:rPr>
      </w:pPr>
    </w:p>
    <w:p w:rsidR="0016536A" w:rsidRPr="0016536A" w:rsidP="004614AF">
      <w:pPr>
        <w:numPr>
          <w:ilvl w:val="0"/>
          <w:numId w:val="23"/>
        </w:numPr>
        <w:spacing w:line="269" w:lineRule="auto"/>
        <w:contextualSpacing/>
        <w:rPr>
          <w:rFonts w:eastAsia="Calibri"/>
          <w:rtl/>
        </w:rPr>
      </w:pPr>
      <w:r w:rsidRPr="0016536A">
        <w:rPr>
          <w:rFonts w:eastAsia="Calibri" w:hint="cs"/>
          <w:rtl/>
        </w:rPr>
        <w:t xml:space="preserve">האופן שבו </w:t>
      </w:r>
      <w:bookmarkStart w:id="13" w:name="_Hlk220243559"/>
      <w:r w:rsidRPr="0016536A">
        <w:rPr>
          <w:rFonts w:eastAsia="Calibri" w:hint="cs"/>
          <w:rtl/>
        </w:rPr>
        <w:t xml:space="preserve">הלמ"ס מודדת תוחלת חיים בריאים - באמצעות </w:t>
      </w:r>
      <w:r w:rsidRPr="0016536A">
        <w:rPr>
          <w:rFonts w:eastAsia="Calibri"/>
          <w:rtl/>
        </w:rPr>
        <w:t xml:space="preserve">חישוב </w:t>
      </w:r>
      <w:r w:rsidRPr="0016536A">
        <w:rPr>
          <w:rFonts w:eastAsia="Calibri" w:hint="cs"/>
          <w:rtl/>
        </w:rPr>
        <w:t>ה</w:t>
      </w:r>
      <w:r w:rsidRPr="0016536A">
        <w:rPr>
          <w:rFonts w:eastAsia="Calibri"/>
          <w:rtl/>
        </w:rPr>
        <w:t>מבוסס על נתוני תוחלת חיים ותמותה ושאל</w:t>
      </w:r>
      <w:r w:rsidRPr="0016536A">
        <w:rPr>
          <w:rFonts w:eastAsia="Calibri" w:hint="cs"/>
          <w:rtl/>
        </w:rPr>
        <w:t>ו</w:t>
      </w:r>
      <w:r w:rsidRPr="0016536A">
        <w:rPr>
          <w:rFonts w:eastAsia="Calibri"/>
          <w:rtl/>
        </w:rPr>
        <w:t xml:space="preserve">ת </w:t>
      </w:r>
      <w:r w:rsidRPr="0016536A">
        <w:rPr>
          <w:rFonts w:eastAsia="Calibri" w:hint="cs"/>
          <w:rtl/>
        </w:rPr>
        <w:t>דיווח עצמי על מוגבלות בתפקוד יומיומי בעקבות בעיה בריאותית</w:t>
      </w:r>
      <w:bookmarkEnd w:id="13"/>
      <w:r w:rsidRPr="0016536A">
        <w:rPr>
          <w:rFonts w:eastAsia="Calibri" w:hint="cs"/>
          <w:rtl/>
        </w:rPr>
        <w:t xml:space="preserve">. מדידה זו מתבצעת </w:t>
      </w:r>
      <w:r w:rsidRPr="0016536A">
        <w:rPr>
          <w:rFonts w:eastAsia="Calibri"/>
          <w:rtl/>
        </w:rPr>
        <w:t xml:space="preserve">בהתאם למדד המקובל </w:t>
      </w:r>
      <w:r w:rsidRPr="0016536A">
        <w:rPr>
          <w:rFonts w:eastAsia="Calibri" w:hint="cs"/>
          <w:rtl/>
        </w:rPr>
        <w:t>ב</w:t>
      </w:r>
      <w:r w:rsidRPr="0016536A">
        <w:rPr>
          <w:rFonts w:eastAsia="Calibri"/>
          <w:rtl/>
        </w:rPr>
        <w:t>-</w:t>
      </w:r>
      <w:r w:rsidRPr="0016536A">
        <w:rPr>
          <w:rFonts w:eastAsia="Calibri"/>
        </w:rPr>
        <w:t>Eurostat</w:t>
      </w:r>
      <w:r>
        <w:rPr>
          <w:rFonts w:eastAsia="Calibri"/>
          <w:vertAlign w:val="superscript"/>
        </w:rPr>
        <w:footnoteReference w:id="75"/>
      </w:r>
      <w:r w:rsidRPr="0016536A">
        <w:rPr>
          <w:rFonts w:eastAsia="Calibri"/>
          <w:rtl/>
        </w:rPr>
        <w:t xml:space="preserve"> ומבוסס</w:t>
      </w:r>
      <w:r w:rsidRPr="0016536A">
        <w:rPr>
          <w:rFonts w:eastAsia="Calibri" w:hint="cs"/>
          <w:rtl/>
        </w:rPr>
        <w:t>ת</w:t>
      </w:r>
      <w:r w:rsidRPr="0016536A">
        <w:rPr>
          <w:rFonts w:eastAsia="Calibri"/>
          <w:rtl/>
        </w:rPr>
        <w:t xml:space="preserve"> על מקדמים של אחוז החיים ללא מוגבלות לפי גיל, המחושבים מהסקר חברתי. יתרונו של המדד מעבר להיותו דומה למדד הבי</w:t>
      </w:r>
      <w:r w:rsidRPr="0016536A">
        <w:rPr>
          <w:rFonts w:eastAsia="Calibri" w:hint="cs"/>
          <w:rtl/>
        </w:rPr>
        <w:t>ן-</w:t>
      </w:r>
      <w:r w:rsidRPr="0016536A">
        <w:rPr>
          <w:rFonts w:eastAsia="Calibri"/>
          <w:rtl/>
        </w:rPr>
        <w:t>לאומי הוא שהוא מבוסס על הסקר החברתי השנתי של הלמ"ס וכך ניתן לחשבו מדי שנה ברמה לאומית.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חוקרים מציינים</w:t>
      </w:r>
      <w:r>
        <w:rPr>
          <w:rFonts w:eastAsia="Calibri"/>
          <w:vertAlign w:val="superscript"/>
          <w:rtl/>
        </w:rPr>
        <w:footnoteReference w:id="76"/>
      </w:r>
      <w:r w:rsidRPr="0016536A">
        <w:rPr>
          <w:rFonts w:eastAsia="Calibri" w:hint="cs"/>
          <w:rtl/>
        </w:rPr>
        <w:t xml:space="preserve"> כי מדדים סובייקטיביים למדידת תוחלת חיים בריאים, כדוגמת זה שמשתמשת בו הלמ"ס, מעלים את הקשיים האלה: </w:t>
      </w:r>
    </w:p>
    <w:p w:rsidR="0016536A" w:rsidRPr="0016536A" w:rsidP="004614AF">
      <w:pPr>
        <w:spacing w:line="269" w:lineRule="auto"/>
        <w:rPr>
          <w:rFonts w:eastAsia="Calibri"/>
          <w:rtl/>
        </w:rPr>
      </w:pPr>
    </w:p>
    <w:p w:rsidR="0016536A" w:rsidRPr="0016536A" w:rsidP="004614AF">
      <w:pPr>
        <w:numPr>
          <w:ilvl w:val="0"/>
          <w:numId w:val="32"/>
        </w:numPr>
        <w:spacing w:line="269" w:lineRule="auto"/>
        <w:contextualSpacing/>
        <w:rPr>
          <w:rFonts w:eastAsia="Calibri"/>
        </w:rPr>
      </w:pPr>
      <w:r w:rsidRPr="0016536A">
        <w:rPr>
          <w:rFonts w:eastAsia="Calibri" w:hint="cs"/>
          <w:rtl/>
        </w:rPr>
        <w:t xml:space="preserve">התבססות על מדד סובייקטיבי (לדוגמה, אנשים שונים יכולים לתפוס בעיה בריאותית מסוימת כמגבילה אותם במידה שונה); </w:t>
      </w:r>
    </w:p>
    <w:p w:rsidR="0016536A" w:rsidRPr="0016536A" w:rsidP="004614AF">
      <w:pPr>
        <w:spacing w:line="269" w:lineRule="auto"/>
        <w:ind w:left="340"/>
        <w:contextualSpacing/>
        <w:rPr>
          <w:rFonts w:eastAsia="Calibri"/>
        </w:rPr>
      </w:pPr>
    </w:p>
    <w:p w:rsidR="0016536A" w:rsidRPr="0016536A" w:rsidP="004614AF">
      <w:pPr>
        <w:numPr>
          <w:ilvl w:val="0"/>
          <w:numId w:val="32"/>
        </w:numPr>
        <w:spacing w:line="269" w:lineRule="auto"/>
        <w:contextualSpacing/>
        <w:rPr>
          <w:rFonts w:eastAsia="Calibri"/>
        </w:rPr>
      </w:pPr>
      <w:r w:rsidRPr="0016536A">
        <w:rPr>
          <w:rFonts w:eastAsia="Calibri" w:hint="cs"/>
          <w:rtl/>
        </w:rPr>
        <w:t>היעדר הגדרה לסיום תוחלת החיים הבריאים (לדוגמה, האם מספיק שיש בעיה בריאותית אחת שיוצרת מוגבלות? מה המשמעות של כמה בעיות בריאותיו</w:t>
      </w:r>
      <w:r w:rsidRPr="0016536A">
        <w:rPr>
          <w:rFonts w:eastAsia="Calibri" w:hint="eastAsia"/>
          <w:rtl/>
        </w:rPr>
        <w:t>ת</w:t>
      </w:r>
      <w:r w:rsidRPr="0016536A">
        <w:rPr>
          <w:rFonts w:eastAsia="Calibri" w:hint="cs"/>
          <w:rtl/>
        </w:rPr>
        <w:t xml:space="preserve"> שאינן מייצרות מוגבלות?). </w:t>
      </w:r>
    </w:p>
    <w:p w:rsidR="0016536A" w:rsidRPr="0016536A" w:rsidP="004614AF">
      <w:pPr>
        <w:spacing w:line="269" w:lineRule="auto"/>
        <w:rPr>
          <w:rFonts w:eastAsia="Calibri"/>
          <w:rtl/>
        </w:rPr>
      </w:pPr>
    </w:p>
    <w:p w:rsidR="0016536A" w:rsidRPr="0016536A" w:rsidP="004614AF">
      <w:pPr>
        <w:spacing w:line="269" w:lineRule="auto"/>
        <w:rPr>
          <w:rFonts w:eastAsia="Calibri"/>
          <w:b/>
          <w:bCs/>
        </w:rPr>
      </w:pPr>
      <w:r w:rsidRPr="0016536A">
        <w:rPr>
          <w:rFonts w:eastAsia="Calibri" w:hint="cs"/>
          <w:b/>
          <w:bCs/>
          <w:rtl/>
        </w:rPr>
        <w:t xml:space="preserve">נמצא כי המדד שבו הלמ"ס עושה </w:t>
      </w:r>
      <w:bookmarkStart w:id="14" w:name="_Hlk222037803"/>
      <w:r w:rsidRPr="0016536A">
        <w:rPr>
          <w:rFonts w:eastAsia="Calibri" w:hint="cs"/>
          <w:b/>
          <w:bCs/>
          <w:rtl/>
        </w:rPr>
        <w:t>שימוש</w:t>
      </w:r>
      <w:bookmarkEnd w:id="14"/>
      <w:r w:rsidRPr="0016536A">
        <w:rPr>
          <w:rFonts w:eastAsia="Calibri" w:hint="cs"/>
          <w:b/>
          <w:bCs/>
          <w:rtl/>
        </w:rPr>
        <w:t xml:space="preserve"> לצורך מדידת תוחלת חיים בריאים אינו מאפשר למשרד הבריאות ולקופות החולים לזהות גורמים המשפיעים עליו, כגון מחלות או התנהגויות </w:t>
      </w:r>
      <w:r w:rsidRPr="0016536A">
        <w:rPr>
          <w:rFonts w:eastAsia="Calibri" w:hint="cs"/>
          <w:b/>
          <w:bCs/>
          <w:rtl/>
        </w:rPr>
        <w:t>מסוימות; מכאן שגם אינו מאפשר להם להעריך את האפקטיביות של תוכניות המניעה השונות, או לאמוד את העלויות הצפויות למערכת הבריאות משיפור או מירידה במדד.</w:t>
      </w:r>
    </w:p>
    <w:p w:rsidR="0016536A" w:rsidRPr="0016536A" w:rsidP="004614AF">
      <w:pPr>
        <w:spacing w:line="269" w:lineRule="auto"/>
        <w:rPr>
          <w:rFonts w:eastAsia="Times New Roman"/>
          <w:bCs/>
          <w:szCs w:val="26"/>
          <w:rtl/>
        </w:rPr>
      </w:pPr>
    </w:p>
    <w:p w:rsidR="0016536A" w:rsidRPr="0016536A" w:rsidP="004614AF">
      <w:pPr>
        <w:spacing w:line="269" w:lineRule="auto"/>
        <w:rPr>
          <w:rFonts w:eastAsia="Times New Roman"/>
          <w:bCs/>
          <w:szCs w:val="26"/>
          <w:rtl/>
        </w:rPr>
      </w:pPr>
      <w:r w:rsidRPr="0016536A">
        <w:rPr>
          <w:rFonts w:eastAsia="Times New Roman" w:hint="eastAsia"/>
          <w:bCs/>
          <w:szCs w:val="26"/>
          <w:rtl/>
        </w:rPr>
        <w:t>שימוש</w:t>
      </w:r>
      <w:r w:rsidRPr="0016536A">
        <w:rPr>
          <w:rFonts w:eastAsia="Times New Roman"/>
          <w:bCs/>
          <w:szCs w:val="26"/>
          <w:rtl/>
        </w:rPr>
        <w:t xml:space="preserve"> </w:t>
      </w:r>
      <w:r w:rsidRPr="0016536A">
        <w:rPr>
          <w:rFonts w:eastAsia="Times New Roman" w:hint="eastAsia"/>
          <w:bCs/>
          <w:szCs w:val="26"/>
          <w:rtl/>
        </w:rPr>
        <w:t>במדד</w:t>
      </w:r>
      <w:r w:rsidRPr="0016536A">
        <w:rPr>
          <w:rFonts w:eastAsia="Times New Roman"/>
          <w:bCs/>
          <w:szCs w:val="26"/>
          <w:rtl/>
        </w:rPr>
        <w:t xml:space="preserve"> </w:t>
      </w:r>
      <w:r w:rsidRPr="0016536A">
        <w:rPr>
          <w:rFonts w:eastAsia="Times New Roman" w:hint="eastAsia"/>
          <w:bCs/>
          <w:szCs w:val="26"/>
          <w:rtl/>
        </w:rPr>
        <w:t>השבריריות</w:t>
      </w:r>
      <w:r w:rsidRPr="0016536A">
        <w:rPr>
          <w:rFonts w:eastAsia="Times New Roman"/>
          <w:bCs/>
          <w:szCs w:val="26"/>
          <w:rtl/>
        </w:rPr>
        <w:t xml:space="preserve"> </w:t>
      </w:r>
      <w:r w:rsidRPr="0016536A">
        <w:rPr>
          <w:rFonts w:eastAsia="Times New Roman" w:hint="eastAsia"/>
          <w:bCs/>
          <w:szCs w:val="26"/>
          <w:rtl/>
        </w:rPr>
        <w:t>כדי</w:t>
      </w:r>
      <w:r w:rsidRPr="0016536A">
        <w:rPr>
          <w:rFonts w:eastAsia="Times New Roman"/>
          <w:bCs/>
          <w:szCs w:val="26"/>
          <w:rtl/>
        </w:rPr>
        <w:t xml:space="preserve"> </w:t>
      </w:r>
      <w:r w:rsidRPr="0016536A">
        <w:rPr>
          <w:rFonts w:eastAsia="Times New Roman" w:hint="eastAsia"/>
          <w:bCs/>
          <w:szCs w:val="26"/>
          <w:rtl/>
        </w:rPr>
        <w:t>למדוד</w:t>
      </w:r>
      <w:r w:rsidRPr="0016536A">
        <w:rPr>
          <w:rFonts w:eastAsia="Times New Roman"/>
          <w:bCs/>
          <w:szCs w:val="26"/>
          <w:rtl/>
        </w:rPr>
        <w:t xml:space="preserve"> </w:t>
      </w:r>
      <w:r w:rsidRPr="0016536A">
        <w:rPr>
          <w:rFonts w:eastAsia="Times New Roman" w:hint="eastAsia"/>
          <w:bCs/>
          <w:szCs w:val="26"/>
          <w:rtl/>
        </w:rPr>
        <w:t>תוחלת</w:t>
      </w:r>
      <w:r w:rsidRPr="0016536A">
        <w:rPr>
          <w:rFonts w:eastAsia="Times New Roman"/>
          <w:bCs/>
          <w:szCs w:val="26"/>
          <w:rtl/>
        </w:rPr>
        <w:t xml:space="preserve"> </w:t>
      </w:r>
      <w:r w:rsidRPr="0016536A">
        <w:rPr>
          <w:rFonts w:eastAsia="Times New Roman" w:hint="eastAsia"/>
          <w:bCs/>
          <w:szCs w:val="26"/>
          <w:rtl/>
        </w:rPr>
        <w:t>חיים</w:t>
      </w:r>
      <w:r w:rsidRPr="0016536A">
        <w:rPr>
          <w:rFonts w:eastAsia="Times New Roman"/>
          <w:bCs/>
          <w:szCs w:val="26"/>
          <w:rtl/>
        </w:rPr>
        <w:t xml:space="preserve"> </w:t>
      </w:r>
      <w:r w:rsidRPr="0016536A">
        <w:rPr>
          <w:rFonts w:eastAsia="Times New Roman" w:hint="eastAsia"/>
          <w:bCs/>
          <w:szCs w:val="26"/>
          <w:rtl/>
        </w:rPr>
        <w:t>בריאים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כדי להתמודד עם קשיים אלה הציעו חוקרים לעשות שימוש במדד תוחלת חיים בריאים המכמת בריאות כללית, כדוגמת התבססות על מדד שבריריות</w:t>
      </w:r>
      <w:r>
        <w:rPr>
          <w:rFonts w:eastAsia="Calibri"/>
          <w:vertAlign w:val="superscript"/>
          <w:rtl/>
        </w:rPr>
        <w:footnoteReference w:id="77"/>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לשימוש במדד שבריריות כבסיס לחישוב תוחלת חיים בריאים שני יתרונות עיקריים: הוא מדד אובייקטיבי למצב הבריאות של אדם, והוא מאפשר לזהות את הגורמים המשפיעים על תוחלת חיים בריאים כדי למקד מאמצים בטיפול בהם.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משרד הבריאות לא בדק את השימוש במדד השבריריות כדי למדוד תוחלת חיים בריאים; לפיכך, כדי לבחון את הפוטנציאל לעשות שימוש במדד השבריריות לשיקוף תוחלת חיים בריאים, חישב צוות הביקורת לראשונה בישראל את תוחלת החיים הבריאים של בני 65 ומעלה, חברי מכבי ומאוחדת, במתודולוגית החישוב של הלמ"ס (ראו בנספח המתודולוגי) - קרי, במקום להשתמש בנתוני המדד הסובייקטיבי למדידת תוחלת חיים בריאים כפי שעושה הלמ"ס כיום, השתמש צוות הביקורת בנתוני מדד השבריריות של הקופות כדי לחשב את תוחלת החיים הבריאים. יובהר: לצורך חישוב זה מצב בריאות תקין הוגדר "איתן", ומצב של ירידה בבריאות הוגדר "קדם-שברירי", "שברירי" או "מורכב".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 התרשים שלהלן מציג תוחלת חיים בריאים לפי מדד השבריריות של מכבי ולפי מדד השבריריות של מאוחדת, בהשוואה לנתוני הלמ"ס</w:t>
      </w:r>
      <w:r>
        <w:rPr>
          <w:rFonts w:eastAsia="Calibri"/>
          <w:vertAlign w:val="superscript"/>
          <w:rtl/>
        </w:rPr>
        <w:footnoteReference w:id="78"/>
      </w:r>
      <w:r w:rsidRPr="0016536A">
        <w:rPr>
          <w:rFonts w:eastAsia="Calibri" w:hint="cs"/>
          <w:rtl/>
        </w:rPr>
        <w:t>.</w:t>
      </w:r>
    </w:p>
    <w:p w:rsidR="0016536A" w:rsidRPr="0016536A" w:rsidP="004614AF">
      <w:pPr>
        <w:spacing w:line="269" w:lineRule="auto"/>
        <w:rPr>
          <w:rFonts w:eastAsia="Calibri"/>
          <w:rtl/>
        </w:rPr>
      </w:pPr>
    </w:p>
    <w:p w:rsidR="00AF088B" w:rsidP="004614AF">
      <w:pPr>
        <w:bidi w:val="0"/>
        <w:spacing w:line="269" w:lineRule="auto"/>
        <w:rPr>
          <w:rFonts w:eastAsia="Calibri"/>
          <w:rtl/>
        </w:rPr>
      </w:pPr>
      <w:r>
        <w:rPr>
          <w:rFonts w:eastAsia="Calibri"/>
          <w:rtl/>
        </w:rPr>
        <w:br w:type="page"/>
      </w:r>
    </w:p>
    <w:p w:rsidR="0016536A" w:rsidRPr="0016536A" w:rsidP="004614AF">
      <w:pPr>
        <w:spacing w:line="269" w:lineRule="auto"/>
        <w:jc w:val="center"/>
        <w:rPr>
          <w:rFonts w:eastAsia="Calibri"/>
          <w:rtl/>
        </w:rPr>
      </w:pPr>
      <w:r w:rsidRPr="0016536A">
        <w:rPr>
          <w:rFonts w:eastAsia="Calibri" w:hint="cs"/>
          <w:rtl/>
        </w:rPr>
        <w:t xml:space="preserve">תרשים 11: </w:t>
      </w:r>
      <w:r w:rsidRPr="0016536A">
        <w:rPr>
          <w:rFonts w:eastAsia="Calibri" w:hint="cs"/>
          <w:b/>
          <w:bCs/>
          <w:rtl/>
        </w:rPr>
        <w:t xml:space="preserve">תוחלת </w:t>
      </w:r>
      <w:r w:rsidR="00BC1CF5">
        <w:rPr>
          <w:rFonts w:eastAsia="Calibri" w:hint="cs"/>
          <w:b/>
          <w:bCs/>
          <w:rtl/>
        </w:rPr>
        <w:t>ה</w:t>
      </w:r>
      <w:r w:rsidRPr="0016536A">
        <w:rPr>
          <w:rFonts w:eastAsia="Calibri" w:hint="cs"/>
          <w:b/>
          <w:bCs/>
          <w:rtl/>
        </w:rPr>
        <w:t xml:space="preserve">חיים </w:t>
      </w:r>
      <w:r w:rsidR="00BC1CF5">
        <w:rPr>
          <w:rFonts w:eastAsia="Calibri" w:hint="cs"/>
          <w:b/>
          <w:bCs/>
          <w:rtl/>
        </w:rPr>
        <w:t>ה</w:t>
      </w:r>
      <w:r w:rsidRPr="0016536A">
        <w:rPr>
          <w:rFonts w:eastAsia="Calibri" w:hint="cs"/>
          <w:b/>
          <w:bCs/>
          <w:rtl/>
        </w:rPr>
        <w:t>בריאים והחיים בחולי בגיל 65, לפי מגדר, על בסיס מדד השבריריות של מכבי, מאוחדת ונתוני הלשכה המרכזית לסטטיסטיקה, 2025</w:t>
      </w:r>
    </w:p>
    <w:p w:rsidR="0016536A" w:rsidRPr="0016536A" w:rsidP="004614AF">
      <w:pPr>
        <w:spacing w:line="269" w:lineRule="auto"/>
        <w:jc w:val="center"/>
        <w:rPr>
          <w:rFonts w:eastAsia="Calibri"/>
          <w:rtl/>
        </w:rPr>
      </w:pPr>
      <w:r w:rsidRPr="0016536A">
        <w:rPr>
          <w:rFonts w:eastAsia="Calibri"/>
          <w:noProof/>
        </w:rPr>
        <w:drawing>
          <wp:inline distT="0" distB="0" distL="0" distR="0">
            <wp:extent cx="4268470" cy="2472780"/>
            <wp:effectExtent l="0" t="0" r="0" b="0"/>
            <wp:docPr id="41" name="תמונה 41" descr="תרשים עמודות מוערמות של שנות חיים בריאים ושנות חיים בחולי.&#10;&#10;הלמ״ס:&#10;נשים: 11.3 ו-11.4&#10;גברים: 11.4 ו-8.6&#10;&#10;מכבי:&#10;לפי חינוך 5 ומעלה:&#10;נשים: 11.4 ו-10.6&#10;גברים: 11.9 ו-7.4&#10;&#10;לפי חינוך 10 ומעלה:&#10;נשים: 17.4 ו-4.7&#10;גברים: 15.8 ו-3.6&#10;&#10;מאוחדת:&#10;נשים: 3.4 ו-18.7&#10;גברים: 3.5 ו-1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8470" cy="2472780"/>
                    </a:xfrm>
                    <a:prstGeom prst="rect">
                      <a:avLst/>
                    </a:prstGeom>
                    <a:noFill/>
                  </pic:spPr>
                </pic:pic>
              </a:graphicData>
            </a:graphic>
          </wp:inline>
        </w:drawing>
      </w:r>
    </w:p>
    <w:p w:rsidR="0016536A" w:rsidRPr="00BC1CF5" w:rsidP="004614AF">
      <w:pPr>
        <w:spacing w:line="269" w:lineRule="auto"/>
        <w:rPr>
          <w:rFonts w:eastAsia="Calibri"/>
          <w:szCs w:val="20"/>
          <w:rtl/>
        </w:rPr>
      </w:pPr>
      <w:r w:rsidRPr="00BC1CF5">
        <w:rPr>
          <w:rFonts w:eastAsia="Calibri" w:hint="cs"/>
          <w:szCs w:val="20"/>
          <w:rtl/>
        </w:rPr>
        <w:t>על פי נתוני הלמ"ס</w:t>
      </w:r>
      <w:r>
        <w:rPr>
          <w:rFonts w:eastAsia="Calibri"/>
          <w:szCs w:val="20"/>
          <w:vertAlign w:val="superscript"/>
          <w:rtl/>
        </w:rPr>
        <w:footnoteReference w:id="79"/>
      </w:r>
      <w:r w:rsidRPr="00BC1CF5">
        <w:rPr>
          <w:rFonts w:eastAsia="Calibri" w:hint="cs"/>
          <w:szCs w:val="20"/>
          <w:rtl/>
        </w:rPr>
        <w:t>, מכבי</w:t>
      </w:r>
      <w:r>
        <w:rPr>
          <w:rFonts w:eastAsia="Calibri"/>
          <w:szCs w:val="20"/>
          <w:vertAlign w:val="superscript"/>
          <w:rtl/>
        </w:rPr>
        <w:footnoteReference w:id="80"/>
      </w:r>
      <w:r w:rsidRPr="00BC1CF5">
        <w:rPr>
          <w:rFonts w:eastAsia="Calibri" w:hint="cs"/>
          <w:szCs w:val="20"/>
          <w:rtl/>
        </w:rPr>
        <w:t xml:space="preserve"> ומאוחדת</w:t>
      </w:r>
      <w:r>
        <w:rPr>
          <w:rFonts w:eastAsia="Calibri"/>
          <w:szCs w:val="20"/>
          <w:vertAlign w:val="superscript"/>
          <w:rtl/>
        </w:rPr>
        <w:footnoteReference w:id="81"/>
      </w:r>
      <w:r w:rsidRPr="00BC1CF5">
        <w:rPr>
          <w:rFonts w:eastAsia="Calibri" w:hint="cs"/>
          <w:szCs w:val="20"/>
          <w:rtl/>
        </w:rPr>
        <w:t>,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הלמ"ס מודדת תוחלת חיים בריאים באמצעות </w:t>
      </w:r>
      <w:r w:rsidRPr="0016536A">
        <w:rPr>
          <w:rFonts w:eastAsia="Calibri"/>
          <w:b/>
          <w:bCs/>
          <w:rtl/>
        </w:rPr>
        <w:t xml:space="preserve">חישוב </w:t>
      </w:r>
      <w:r w:rsidRPr="0016536A">
        <w:rPr>
          <w:rFonts w:eastAsia="Calibri" w:hint="cs"/>
          <w:b/>
          <w:bCs/>
          <w:rtl/>
        </w:rPr>
        <w:t>ה</w:t>
      </w:r>
      <w:r w:rsidRPr="0016536A">
        <w:rPr>
          <w:rFonts w:eastAsia="Calibri"/>
          <w:b/>
          <w:bCs/>
          <w:rtl/>
        </w:rPr>
        <w:t>מבוסס על נתוני תוחלת חיים ותמותה ושאל</w:t>
      </w:r>
      <w:r w:rsidRPr="0016536A">
        <w:rPr>
          <w:rFonts w:eastAsia="Calibri" w:hint="cs"/>
          <w:b/>
          <w:bCs/>
          <w:rtl/>
        </w:rPr>
        <w:t>ו</w:t>
      </w:r>
      <w:r w:rsidRPr="0016536A">
        <w:rPr>
          <w:rFonts w:eastAsia="Calibri"/>
          <w:b/>
          <w:bCs/>
          <w:rtl/>
        </w:rPr>
        <w:t xml:space="preserve">ת </w:t>
      </w:r>
      <w:r w:rsidRPr="0016536A">
        <w:rPr>
          <w:rFonts w:eastAsia="Calibri" w:hint="cs"/>
          <w:b/>
          <w:bCs/>
          <w:rtl/>
        </w:rPr>
        <w:t>דיווח עצמי על מוגבלות בתפקוד יומיומי בעקבות בעיה בריאותית</w:t>
      </w:r>
      <w:r>
        <w:rPr>
          <w:rFonts w:eastAsia="Calibri"/>
          <w:b/>
          <w:bCs/>
          <w:vertAlign w:val="superscript"/>
          <w:rtl/>
        </w:rPr>
        <w:footnoteReference w:id="82"/>
      </w:r>
      <w:r w:rsidRPr="0016536A">
        <w:rPr>
          <w:rFonts w:eastAsia="Calibri" w:hint="cs"/>
          <w:b/>
          <w:bCs/>
          <w:rtl/>
        </w:rPr>
        <w:t>. אולם מעיבוד שביצע צוות הביקורת לנתוני הלמ"ס, מכבי ומאוחדת, כפי שמשתקף מהתרשים, עולה כי על בסיס מדד השבריריות של מאוחדת - המחושב בדומה למדד שהוטמע במערכת הבריאות בבריטניה וסופר ליקויים בריאותיים טהורים אצל הזקן, כגון אי-ספיקת לב, דיכאון ודמנציה, ועל כן משקף את מצבו הבריאותי - תוחלת החיים הבריאים של גברים ונשים בגיל 65 קצרה מזו שמודדת הלמ"ס בכ-8 שנים, ועומדת על כשלוש שנים וחצי בריאות בלבד עבור גברים ונשים וכ-16 - 18 שנים בחולי עבור גברים ונשים, בהתאמה. ממצא זה מקבל חיזוק ממחקר שהשווה ציוני שבריריות בין המדינות המשתתפות ב-</w:t>
      </w:r>
      <w:r w:rsidRPr="0016536A">
        <w:rPr>
          <w:rFonts w:eastAsia="Calibri" w:hint="cs"/>
          <w:b/>
          <w:bCs/>
        </w:rPr>
        <w:t>SHARE</w:t>
      </w:r>
      <w:r>
        <w:rPr>
          <w:rFonts w:eastAsia="Calibri"/>
          <w:b/>
          <w:bCs/>
          <w:vertAlign w:val="superscript"/>
          <w:rtl/>
        </w:rPr>
        <w:footnoteReference w:id="83"/>
      </w:r>
      <w:r w:rsidRPr="0016536A">
        <w:rPr>
          <w:rFonts w:eastAsia="Calibri" w:hint="cs"/>
          <w:b/>
          <w:bCs/>
          <w:rtl/>
        </w:rPr>
        <w:t xml:space="preserve"> ומצא כי בכל מדדי השבריריות שנבדקו, שיעור השבריריים בישראל גבוה מממוצע המדינות האחרות</w:t>
      </w:r>
      <w:r>
        <w:rPr>
          <w:rFonts w:eastAsia="Calibri"/>
          <w:b/>
          <w:bCs/>
          <w:vertAlign w:val="superscript"/>
          <w:rtl/>
        </w:rPr>
        <w:footnoteReference w:id="84"/>
      </w:r>
      <w:r w:rsidRPr="0016536A">
        <w:rPr>
          <w:rFonts w:eastAsia="Calibri" w:hint="cs"/>
          <w:b/>
          <w:bCs/>
          <w:rtl/>
        </w:rPr>
        <w:t xml:space="preserve">. מנגד, עולה מהתרשים כי על בסיס מדד השבריריות של מכבי, תוחלת החיים הבריאים של גברים ונשים ארוכה מזו שמודדת הלמ"ס בכ-4 - 6 שנים, בהתאמה. בשימוש במדד השבריריות של מכבי, תוך הגדרת סף חולי לפי קטגוריות השבריריות שבהגדרת משרד הבריאות הבריטי, נמצא כי תוחלת החיים הבריאים דומה לזו שמודדת הלמ"ס. </w:t>
      </w:r>
    </w:p>
    <w:p w:rsidR="0016536A" w:rsidRPr="0016536A" w:rsidP="004614AF">
      <w:pPr>
        <w:spacing w:line="269" w:lineRule="auto"/>
        <w:rPr>
          <w:rFonts w:eastAsia="Calibri"/>
          <w:b/>
          <w:bCs/>
          <w:rtl/>
        </w:rPr>
      </w:pPr>
      <w:r w:rsidRPr="0016536A">
        <w:rPr>
          <w:rFonts w:eastAsia="Calibri" w:hint="cs"/>
          <w:b/>
          <w:bCs/>
          <w:rtl/>
        </w:rPr>
        <w:t xml:space="preserve">לממצא זה משמעות גדולה, שכן מדד השבריריות של מאוחדת מגדיר זקן "איתן" כמי שצבר עד ארבעה ליקויים בריאותיים כאלה. העובדה שתוצאות המדידה לפי מדד זה שונות משמעותית מתוצאות המדידה של הלמ"ס, מדגישה את הקושי במדידה סובייקטיבית של תוחלת חיים בריאים ומחדדת את הצורך בבחינה אחידה, וככל הניתן אובייקטיבית ומבוססת נתונים.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עולה אם כן כי מדידה המתייחסת למדדים של בריאות וחולי בלבד (ספירת מספר הליקויים הבריאותיים שיש לאדם), כפי שעושה מאוחדת, לעומת מדידה המתייחסת למדדים של בריאות וחולי בשילוב עם מדדים נוספים כגון מספר אשפוזים ועלויות כספיות לקופת החולים, כפי שעושה מכבי - מביאות לחישוב שונה של תוחלת חיים בריאים ושנות החיים בחולי.</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eastAsia"/>
          <w:rtl/>
        </w:rPr>
        <w:t>חישוב</w:t>
      </w:r>
      <w:r w:rsidRPr="0016536A">
        <w:rPr>
          <w:rFonts w:eastAsia="Calibri"/>
          <w:rtl/>
        </w:rPr>
        <w:t xml:space="preserve"> תוחלת חיים בריאים באמצעות שימוש במדדי שבריריות ובאמצעות תוצאות הסקר החברתי יכול לתמוך </w:t>
      </w:r>
      <w:r w:rsidRPr="0016536A">
        <w:rPr>
          <w:rFonts w:eastAsia="Calibri" w:hint="cs"/>
          <w:rtl/>
        </w:rPr>
        <w:t>בעובדה ש</w:t>
      </w:r>
      <w:r w:rsidRPr="0016536A">
        <w:rPr>
          <w:rFonts w:eastAsia="Calibri"/>
          <w:rtl/>
        </w:rPr>
        <w:t xml:space="preserve">שני סוגי המדידות לתוחלת חיים </w:t>
      </w:r>
      <w:r w:rsidRPr="0016536A">
        <w:rPr>
          <w:rFonts w:eastAsia="Calibri" w:hint="cs"/>
          <w:rtl/>
        </w:rPr>
        <w:t>בריאים</w:t>
      </w:r>
      <w:r w:rsidRPr="0016536A">
        <w:rPr>
          <w:rFonts w:eastAsia="Calibri"/>
          <w:rtl/>
        </w:rPr>
        <w:t xml:space="preserve"> </w:t>
      </w:r>
      <w:r w:rsidRPr="0016536A">
        <w:rPr>
          <w:rFonts w:eastAsia="Calibri" w:hint="cs"/>
          <w:rtl/>
        </w:rPr>
        <w:t>הם</w:t>
      </w:r>
      <w:r w:rsidRPr="0016536A">
        <w:rPr>
          <w:rFonts w:eastAsia="Calibri"/>
          <w:rtl/>
        </w:rPr>
        <w:t xml:space="preserve"> משלימים במפת המדדים להזדקנות מיטבית, </w:t>
      </w:r>
      <w:r w:rsidRPr="0016536A">
        <w:rPr>
          <w:rFonts w:eastAsia="Calibri" w:hint="cs"/>
          <w:rtl/>
        </w:rPr>
        <w:t xml:space="preserve">בהיותם נשענים על </w:t>
      </w:r>
      <w:r w:rsidRPr="0016536A">
        <w:rPr>
          <w:rFonts w:eastAsia="Calibri"/>
          <w:rtl/>
        </w:rPr>
        <w:t xml:space="preserve">נתונים אובייקטיביים של חולי ובריאות ועל דיווח סובייקטיבי של מוגבלות.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eastAsia"/>
          <w:rtl/>
        </w:rPr>
        <w:t>עם</w:t>
      </w:r>
      <w:r w:rsidRPr="0016536A">
        <w:rPr>
          <w:rFonts w:eastAsia="Calibri"/>
          <w:rtl/>
        </w:rPr>
        <w:t xml:space="preserve"> זאת, לשימוש במדד השבריריות יתרון משמעותי עבור מערכת הבריאות משום שהוא </w:t>
      </w:r>
      <w:r w:rsidRPr="0016536A">
        <w:rPr>
          <w:rFonts w:eastAsia="Calibri" w:hint="cs"/>
          <w:rtl/>
        </w:rPr>
        <w:t>תוצר של</w:t>
      </w:r>
      <w:r w:rsidRPr="0016536A">
        <w:rPr>
          <w:rFonts w:eastAsia="Calibri"/>
          <w:rtl/>
        </w:rPr>
        <w:t xml:space="preserve"> מדידה על בסיס נתונים </w:t>
      </w:r>
      <w:r w:rsidRPr="0016536A">
        <w:rPr>
          <w:rFonts w:eastAsia="Calibri" w:hint="eastAsia"/>
          <w:rtl/>
        </w:rPr>
        <w:t>מינהליים</w:t>
      </w:r>
      <w:r w:rsidRPr="0016536A">
        <w:rPr>
          <w:rFonts w:eastAsia="Calibri"/>
          <w:rtl/>
        </w:rPr>
        <w:t xml:space="preserve"> שאוספות הקופות, </w:t>
      </w:r>
      <w:r w:rsidRPr="0016536A">
        <w:rPr>
          <w:rFonts w:eastAsia="Calibri" w:hint="cs"/>
          <w:rtl/>
        </w:rPr>
        <w:t>ומכאן</w:t>
      </w:r>
      <w:r w:rsidRPr="0016536A">
        <w:rPr>
          <w:rFonts w:eastAsia="Calibri"/>
          <w:rtl/>
        </w:rPr>
        <w:t xml:space="preserve"> מאפשר לנתח את הגורמים המשפיעים עליו וכפועל יוצא משפיעים על תוחלת החיים </w:t>
      </w:r>
      <w:r w:rsidRPr="0016536A">
        <w:rPr>
          <w:rFonts w:eastAsia="Calibri" w:hint="cs"/>
          <w:rtl/>
        </w:rPr>
        <w:t>הבריאים</w:t>
      </w:r>
      <w:r w:rsidRPr="0016536A">
        <w:rPr>
          <w:rFonts w:eastAsia="Calibri"/>
          <w:rtl/>
        </w:rPr>
        <w:t>. ניתוח של מרכיבי מדדי השבריריות יכול לאפשר זיהוי של מחלות, מאפייני אורח חיים ופעולות מניעה והתערבות שיש להם השפעה משמעותית על שיפור במדד או החמרה בו. על</w:t>
      </w:r>
      <w:r w:rsidRPr="0016536A">
        <w:rPr>
          <w:rFonts w:eastAsia="Calibri" w:hint="cs"/>
          <w:rtl/>
        </w:rPr>
        <w:t xml:space="preserve"> </w:t>
      </w:r>
      <w:r w:rsidRPr="0016536A">
        <w:rPr>
          <w:rFonts w:eastAsia="Calibri"/>
          <w:rtl/>
        </w:rPr>
        <w:t>כן, מדד תוחלת החיים הבריאה על בסיס מדד שבריריות יכול ל</w:t>
      </w:r>
      <w:r w:rsidRPr="0016536A">
        <w:rPr>
          <w:rFonts w:eastAsia="Calibri" w:hint="cs"/>
          <w:rtl/>
        </w:rPr>
        <w:t>שמש</w:t>
      </w:r>
      <w:r w:rsidRPr="0016536A">
        <w:rPr>
          <w:rFonts w:eastAsia="Calibri"/>
          <w:rtl/>
        </w:rPr>
        <w:t xml:space="preserve"> מדד חשוב לגיבוש מדיניות ולהכנת תוכניות ברמה הלאומית</w:t>
      </w:r>
      <w:r w:rsidRPr="0016536A">
        <w:rPr>
          <w:rFonts w:eastAsia="Calibri" w:hint="cs"/>
          <w:rtl/>
        </w:rPr>
        <w:t>,</w:t>
      </w:r>
      <w:r w:rsidRPr="0016536A">
        <w:rPr>
          <w:rFonts w:eastAsia="Calibri"/>
          <w:rtl/>
        </w:rPr>
        <w:t xml:space="preserve"> שיתמקדו בטיפול בגורמים המרכזיים המשפיעים על תוחלת החיים הבריא</w:t>
      </w:r>
      <w:r w:rsidRPr="0016536A">
        <w:rPr>
          <w:rFonts w:eastAsia="Calibri" w:hint="cs"/>
          <w:rtl/>
        </w:rPr>
        <w:t>ים</w:t>
      </w:r>
      <w:r w:rsidRPr="0016536A">
        <w:rPr>
          <w:rFonts w:eastAsia="Calibri"/>
          <w:rtl/>
        </w:rPr>
        <w:t xml:space="preserve"> של זקנים בישראל.</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eastAsia"/>
          <w:rtl/>
        </w:rPr>
        <w:t>מכיוון</w:t>
      </w:r>
      <w:r w:rsidRPr="0016536A">
        <w:rPr>
          <w:rFonts w:eastAsia="Calibri"/>
          <w:rtl/>
        </w:rPr>
        <w:t xml:space="preserve"> שמדדי השבריריות מבוססים על נתונים </w:t>
      </w:r>
      <w:r w:rsidRPr="0016536A">
        <w:rPr>
          <w:rFonts w:eastAsia="Calibri" w:hint="eastAsia"/>
          <w:rtl/>
        </w:rPr>
        <w:t>מינהליים</w:t>
      </w:r>
      <w:r w:rsidRPr="0016536A">
        <w:rPr>
          <w:rFonts w:eastAsia="Calibri"/>
          <w:rtl/>
        </w:rPr>
        <w:t xml:space="preserve"> של קופות החולים, מדד תוחלת חיים בריאים</w:t>
      </w:r>
      <w:r w:rsidRPr="0016536A">
        <w:rPr>
          <w:rFonts w:eastAsia="Calibri" w:hint="cs"/>
          <w:rtl/>
        </w:rPr>
        <w:t>,</w:t>
      </w:r>
      <w:r w:rsidRPr="0016536A">
        <w:rPr>
          <w:rFonts w:eastAsia="Calibri"/>
          <w:rtl/>
        </w:rPr>
        <w:t xml:space="preserve"> המבוסס על מדד שבריריות</w:t>
      </w:r>
      <w:r w:rsidRPr="0016536A">
        <w:rPr>
          <w:rFonts w:eastAsia="Calibri" w:hint="cs"/>
          <w:rtl/>
        </w:rPr>
        <w:t>,</w:t>
      </w:r>
      <w:r w:rsidRPr="0016536A">
        <w:rPr>
          <w:rFonts w:eastAsia="Calibri"/>
          <w:rtl/>
        </w:rPr>
        <w:t xml:space="preserve"> יכול גם לסייע באומדן העלויות הצפויות למערכת הבריאות כתוצאה משיפור</w:t>
      </w:r>
      <w:r w:rsidRPr="0016536A">
        <w:rPr>
          <w:rFonts w:eastAsia="Calibri" w:hint="cs"/>
          <w:rtl/>
        </w:rPr>
        <w:t xml:space="preserve"> במדד</w:t>
      </w:r>
      <w:r w:rsidRPr="0016536A">
        <w:rPr>
          <w:rFonts w:eastAsia="Calibri"/>
          <w:rtl/>
        </w:rPr>
        <w:t>, יציבות</w:t>
      </w:r>
      <w:r w:rsidRPr="0016536A">
        <w:rPr>
          <w:rFonts w:eastAsia="Calibri" w:hint="cs"/>
          <w:rtl/>
        </w:rPr>
        <w:t xml:space="preserve"> שלו</w:t>
      </w:r>
      <w:r w:rsidRPr="0016536A">
        <w:rPr>
          <w:rFonts w:eastAsia="Calibri"/>
          <w:rtl/>
        </w:rPr>
        <w:t xml:space="preserve"> או החמרה ב</w:t>
      </w:r>
      <w:r w:rsidRPr="0016536A">
        <w:rPr>
          <w:rFonts w:eastAsia="Calibri" w:hint="cs"/>
          <w:rtl/>
        </w:rPr>
        <w:t>ו</w:t>
      </w:r>
      <w:r w:rsidRPr="0016536A">
        <w:rPr>
          <w:rFonts w:eastAsia="Calibri"/>
          <w:rtl/>
        </w:rPr>
        <w:t xml:space="preserve">. כמו כן, האפשרות להגדיר ספים שונים של מדד השבריריות לשם הגדרת חולי (כמו שעושות כיום מכבי ומאוחדת) יכולה לאפשר למקבלי ההחלטות למקד את המאמצים ברמות מסוימות של חולי כדי להאריך את תוחלת החיים הבריאה ולבצע הערכה של תוצאות פעולותיהם. שימוש במדד השבריריות למדידת תוחלת </w:t>
      </w:r>
      <w:r w:rsidRPr="0016536A">
        <w:rPr>
          <w:rFonts w:eastAsia="Calibri" w:hint="cs"/>
          <w:rtl/>
        </w:rPr>
        <w:t>ה</w:t>
      </w:r>
      <w:r w:rsidRPr="0016536A">
        <w:rPr>
          <w:rFonts w:eastAsia="Calibri"/>
          <w:rtl/>
        </w:rPr>
        <w:t xml:space="preserve">חיים </w:t>
      </w:r>
      <w:r w:rsidRPr="0016536A">
        <w:rPr>
          <w:rFonts w:eastAsia="Calibri" w:hint="cs"/>
          <w:rtl/>
        </w:rPr>
        <w:t>ה</w:t>
      </w:r>
      <w:r w:rsidRPr="0016536A">
        <w:rPr>
          <w:rFonts w:eastAsia="Calibri"/>
          <w:rtl/>
        </w:rPr>
        <w:t>בריא</w:t>
      </w:r>
      <w:r w:rsidRPr="0016536A">
        <w:rPr>
          <w:rFonts w:eastAsia="Calibri" w:hint="cs"/>
          <w:rtl/>
        </w:rPr>
        <w:t>ים</w:t>
      </w:r>
      <w:r w:rsidRPr="0016536A">
        <w:rPr>
          <w:rFonts w:eastAsia="Calibri"/>
          <w:rtl/>
        </w:rPr>
        <w:t xml:space="preserve"> מדגיש ביתר שאת את החשיבות שבגיבוש מדד שבריריות ברמה הלאומית.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הלמ"ס מסרה בתשובתה למשרד מבקר המדינה ממאי 2026 כי היא תוכל בהחלט לבחון לעומק את מדד השבריריות המחושב בקופות החולים ולבדוק את תקפותו ומשמעותו, אך הוא יהיה ישים רק אם יהיו נתונים לאומיים מכל ארבע הקופות בלוח זמנים סביר.</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מומלץ כי משרד הבריאות יגבש בשיתוף עם קופות החולים והלמ"ס מדד לתוחלת החיים הבריאים, המבוסס על נתונים מינהליים שאוספות הקופות, כגון מדידת שבריריות בקופות החולים מכבי ומאוחדת, ויטמיע אותו במפת המדדים להזדקנות מיטבית. לשם כך מומלץ שהמשרד יאסוף נתונים מינהליים כאמור לעיל מקופות החולים כדי לאפשר מדידת תוחלת חיים בריאים על בסיס נתוני חולי. עוד מומלץ כי המשרד יערוך יחד עם קופות החולים בדיקה מקיפה בנוגע לגורמים המסייעים לדחיקת שבריריות בקרב זקנים, וזאת כדי לגבש מדיניות, תוכניות ויעדים שיסייעו בהארכת תוחלת החיים הבריאים ובצמצום שנות החיים בחולי, כחלק מהיערכותו להזדקנות האוכלוסייה.</w:t>
      </w:r>
    </w:p>
    <w:p w:rsidR="0016536A" w:rsidRPr="0016536A" w:rsidP="004614AF">
      <w:pPr>
        <w:spacing w:line="269" w:lineRule="auto"/>
        <w:jc w:val="center"/>
        <w:rPr>
          <w:rFonts w:ascii="Arial" w:eastAsia="Calibri" w:hAnsi="Arial" w:cs="Arial"/>
          <w:sz w:val="36"/>
          <w:rtl/>
        </w:rPr>
      </w:pPr>
      <w:r w:rsidRPr="0016536A">
        <w:rPr>
          <w:rFonts w:ascii="Segoe UI Symbol" w:eastAsia="Calibri" w:hAnsi="Segoe UI Symbol" w:cs="Segoe UI Symbol" w:hint="cs"/>
          <w:sz w:val="36"/>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מדידת</w:t>
      </w:r>
      <w:r w:rsidRPr="0016536A">
        <w:rPr>
          <w:rFonts w:eastAsia="Calibri"/>
          <w:b/>
          <w:bCs/>
          <w:rtl/>
        </w:rPr>
        <w:t xml:space="preserve"> איכות באמצעות מערך מדדים</w:t>
      </w:r>
      <w:r w:rsidRPr="0016536A">
        <w:rPr>
          <w:rFonts w:eastAsia="Calibri" w:hint="cs"/>
          <w:b/>
          <w:bCs/>
          <w:rtl/>
        </w:rPr>
        <w:t xml:space="preserve"> מוסכם </w:t>
      </w:r>
      <w:r w:rsidRPr="0016536A">
        <w:rPr>
          <w:rFonts w:eastAsia="Calibri"/>
          <w:b/>
          <w:bCs/>
          <w:rtl/>
        </w:rPr>
        <w:t>היא מהכלים החשובים לשיפור איכות הטיפול ברמה הלאומית</w:t>
      </w:r>
      <w:r w:rsidRPr="0016536A">
        <w:rPr>
          <w:rFonts w:eastAsia="Calibri" w:hint="cs"/>
          <w:b/>
          <w:bCs/>
          <w:rtl/>
        </w:rPr>
        <w:t>, שכן הם</w:t>
      </w:r>
      <w:r w:rsidRPr="0016536A">
        <w:rPr>
          <w:rFonts w:eastAsia="Calibri"/>
          <w:b/>
          <w:bCs/>
          <w:rtl/>
        </w:rPr>
        <w:t xml:space="preserve"> </w:t>
      </w:r>
      <w:r w:rsidRPr="0016536A">
        <w:rPr>
          <w:rFonts w:eastAsia="Calibri" w:hint="cs"/>
          <w:b/>
          <w:bCs/>
          <w:rtl/>
        </w:rPr>
        <w:t>מאפשרים</w:t>
      </w:r>
      <w:r w:rsidRPr="0016536A">
        <w:rPr>
          <w:rFonts w:eastAsia="Calibri"/>
          <w:b/>
          <w:bCs/>
          <w:rtl/>
        </w:rPr>
        <w:t xml:space="preserve"> לקבוע יעדים, לפתח</w:t>
      </w:r>
      <w:r w:rsidRPr="0016536A">
        <w:rPr>
          <w:rFonts w:eastAsia="Calibri" w:hint="cs"/>
          <w:b/>
          <w:bCs/>
          <w:rtl/>
        </w:rPr>
        <w:t xml:space="preserve"> </w:t>
      </w:r>
      <w:r w:rsidRPr="0016536A">
        <w:rPr>
          <w:rFonts w:eastAsia="Calibri"/>
          <w:b/>
          <w:bCs/>
          <w:rtl/>
        </w:rPr>
        <w:t xml:space="preserve">תוכניות ולקבל החלטות </w:t>
      </w:r>
      <w:r w:rsidRPr="0016536A">
        <w:rPr>
          <w:rFonts w:eastAsia="Calibri" w:hint="cs"/>
          <w:b/>
          <w:bCs/>
          <w:rtl/>
        </w:rPr>
        <w:t xml:space="preserve">על בסיס נתונים </w:t>
      </w:r>
      <w:r w:rsidRPr="0016536A">
        <w:rPr>
          <w:rFonts w:eastAsia="Calibri"/>
          <w:b/>
          <w:bCs/>
          <w:rtl/>
        </w:rPr>
        <w:t>לצורך קידום הזדקנות בריאה</w:t>
      </w:r>
      <w:r w:rsidRPr="0016536A">
        <w:rPr>
          <w:rFonts w:eastAsia="Calibri" w:hint="cs"/>
          <w:b/>
          <w:bCs/>
          <w:rtl/>
        </w:rPr>
        <w:t>. על כן יש חשיבות לקדם מדד איכות ברמה הלאומית המודד את מצבם הבריאותי והתפקודי של זקנים, כגון מדד שבריריות שהוא</w:t>
      </w:r>
      <w:r w:rsidRPr="0016536A">
        <w:rPr>
          <w:rFonts w:eastAsia="Calibri"/>
          <w:b/>
          <w:bCs/>
          <w:rtl/>
        </w:rPr>
        <w:t xml:space="preserve"> מדד הכולל גורמי סיכון תפקודיים, תזונתיים, קוגניטיביים </w:t>
      </w:r>
      <w:r w:rsidRPr="0016536A">
        <w:rPr>
          <w:rFonts w:eastAsia="Calibri" w:hint="cs"/>
          <w:b/>
          <w:bCs/>
          <w:rtl/>
        </w:rPr>
        <w:t>ו</w:t>
      </w:r>
      <w:r w:rsidRPr="0016536A">
        <w:rPr>
          <w:rFonts w:eastAsia="Calibri"/>
          <w:b/>
          <w:bCs/>
          <w:rtl/>
        </w:rPr>
        <w:t>חברתיים</w:t>
      </w:r>
      <w:r w:rsidRPr="0016536A">
        <w:rPr>
          <w:rFonts w:eastAsia="Calibri" w:hint="cs"/>
          <w:b/>
          <w:bCs/>
          <w:rtl/>
        </w:rPr>
        <w:t>,</w:t>
      </w:r>
      <w:r w:rsidRPr="0016536A">
        <w:rPr>
          <w:rFonts w:eastAsia="Calibri"/>
          <w:b/>
          <w:bCs/>
          <w:rtl/>
        </w:rPr>
        <w:t xml:space="preserve"> </w:t>
      </w:r>
      <w:r w:rsidRPr="0016536A">
        <w:rPr>
          <w:rFonts w:eastAsia="Calibri" w:hint="cs"/>
          <w:b/>
          <w:bCs/>
          <w:rtl/>
        </w:rPr>
        <w:t>ומאפשר ניטור</w:t>
      </w:r>
      <w:r w:rsidRPr="0016536A">
        <w:rPr>
          <w:rFonts w:eastAsia="Calibri"/>
          <w:b/>
          <w:bCs/>
          <w:rtl/>
        </w:rPr>
        <w:t xml:space="preserve"> ו</w:t>
      </w:r>
      <w:r w:rsidRPr="0016536A">
        <w:rPr>
          <w:rFonts w:eastAsia="Calibri" w:hint="cs"/>
          <w:b/>
          <w:bCs/>
          <w:rtl/>
        </w:rPr>
        <w:t>מעקב</w:t>
      </w:r>
      <w:r w:rsidRPr="0016536A">
        <w:rPr>
          <w:rFonts w:eastAsia="Calibri"/>
          <w:b/>
          <w:bCs/>
          <w:rtl/>
        </w:rPr>
        <w:t xml:space="preserve"> אחר </w:t>
      </w:r>
      <w:r w:rsidRPr="0016536A">
        <w:rPr>
          <w:rFonts w:eastAsia="Calibri" w:hint="cs"/>
          <w:b/>
          <w:bCs/>
          <w:rtl/>
        </w:rPr>
        <w:t>האפקטיביות של</w:t>
      </w:r>
      <w:r w:rsidRPr="0016536A">
        <w:rPr>
          <w:rFonts w:eastAsia="Calibri"/>
          <w:b/>
          <w:bCs/>
          <w:rtl/>
        </w:rPr>
        <w:t xml:space="preserve"> אבחון מוקדם</w:t>
      </w:r>
      <w:r w:rsidRPr="0016536A">
        <w:rPr>
          <w:rFonts w:eastAsia="Calibri" w:hint="cs"/>
          <w:b/>
          <w:bCs/>
          <w:rtl/>
        </w:rPr>
        <w:t xml:space="preserve"> ורפואה מונעת בקרב זקנים.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בביקורת נמצא כי משרד הבריאות לא הוביל מהלך לגיבוש מדד שבריריות לאומי; הוא אינו אוסף נתונים על שיעורי השבריריות בקרב זקנים; ואינו עושה שימוש במדד שבריריות אחיד כדי </w:t>
      </w:r>
      <w:r w:rsidRPr="0016536A">
        <w:rPr>
          <w:rFonts w:eastAsia="Calibri" w:hint="cs"/>
          <w:b/>
          <w:bCs/>
          <w:rtl/>
        </w:rPr>
        <w:t>להעריך את אפקטיביות המדיניות והתוכניות שהוא מקדם בתחום בריאות הזקנים. נמצא גם כי מדד השבריריות לא נמדד בכל ארבע קופות החולים, אלא רק במכבי ובמאוחדת.</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אשר לתוחלת החיים הבריאים המהווה חלק ממפת המדדים, נמצא כי משרד הבריאות לא קבע יעדים להארכת תוחלת החיים הבריאים ולצמצום תוחלת החיים בחולי עבור זקנים, ולא גיבש תוכנית עבודה למימושם.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בביקורת עלה כי המדד שבו הלמ"ס עושה שימוש למדידת תוחלת חיים בריאים אינו מאפשר למשרד הבריאות ולקופות החולים לזהות גורמים המשפיעים עליו, כגון מחלות או התנהגויות מסוימות; מכאן שגם אינו מאפשר להם להעריך את האפקטיביות של תוכניות המניעה השונות, או לאמוד את העלויות הצפויות למערכת הבריאות משיפור או מירידה במדד. </w:t>
      </w:r>
      <w:r w:rsidRPr="0016536A">
        <w:rPr>
          <w:rFonts w:eastAsia="Calibri" w:hint="eastAsia"/>
          <w:b/>
          <w:bCs/>
          <w:rtl/>
        </w:rPr>
        <w:t>על</w:t>
      </w:r>
      <w:r w:rsidRPr="0016536A">
        <w:rPr>
          <w:rFonts w:eastAsia="Calibri"/>
          <w:b/>
          <w:bCs/>
          <w:rtl/>
        </w:rPr>
        <w:t xml:space="preserve"> כן, צוות </w:t>
      </w:r>
      <w:r w:rsidRPr="0016536A">
        <w:rPr>
          <w:rFonts w:eastAsia="Calibri" w:hint="eastAsia"/>
          <w:b/>
          <w:bCs/>
          <w:rtl/>
        </w:rPr>
        <w:t>הביקורת</w:t>
      </w:r>
      <w:r w:rsidRPr="0016536A">
        <w:rPr>
          <w:rFonts w:eastAsia="Calibri" w:hint="cs"/>
          <w:b/>
          <w:bCs/>
          <w:rtl/>
        </w:rPr>
        <w:t xml:space="preserve"> עשה שימוש לראשונה בישראל במדדי השבריריות של קופות החולים כדי למדוד תוחלת חיים בריאים ושנות חיים בחולי בגיל 65, הנשענים על מדדים אובייקטיביים של בריאות וחולי כדוגמת מספר הליקויים הבריאותיים שיש לאדם, אשפוזים ועלויות כספיות לקופת החולים. לשימוש במדד השבריריות, ולא רק במדד סובייקטיבי של מוגבלות, יתרון משמעותי משום שהוא נשען על מדידה על בסיס נתונים מינהליים שאוספות הקופות, ועל כן מאפשר לנתח את הגורמים המשפיעים עליו וכפועל יוצא משפיעים על תוחלת החיים הבריאים.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b/>
          <w:bCs/>
          <w:rtl/>
        </w:rPr>
        <w:t>תוצאות המדידה על בסיס מדד השבריריות של מאוחדת, המחושב בדומה למדד שהוטמע במערכת הבריאות בבריטניה, מצביעות על תוחלת חיים בריאים בגיל 65 שונה מזו שמפרסמת הלמ"ס</w:t>
      </w:r>
      <w:r w:rsidRPr="0016536A">
        <w:rPr>
          <w:rFonts w:eastAsia="Calibri" w:hint="cs"/>
          <w:b/>
          <w:bCs/>
          <w:rtl/>
        </w:rPr>
        <w:t xml:space="preserve"> - 11.4 שנים לגברים ו-11.3 שנים לנשים במדידה שמפרסמת הלמ"ס, לעומת 3.5 שנים לגברים ו-3.4 שנים לנשים במדידה על בסיס מדד השבריריות של מאוחדת</w:t>
      </w:r>
      <w:r w:rsidRPr="0016536A">
        <w:rPr>
          <w:rFonts w:eastAsia="Calibri"/>
          <w:b/>
          <w:bCs/>
          <w:rtl/>
        </w:rPr>
        <w:t>. הבדל זה מדגיש את הקושי במדידה סובייקטיבית של תוחלת חיים בריאים ומחדד את הצורך במדידה אחידה ואובייקטיבית.</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כחלק מהיערכותו להזדקנות האוכלוסייה, מומלץ כי משרד הבריאות יקבע יעדים לטווח הבינוני והארוך להארכת תוחלת החיים הבריאים ולצמצום תוחלת החיים בחולי בקרב זקנים. עוד מומלץ כי משרד הבריאות יגבש יחד עם קופות החולים מדד איכות לאומי אחיד - בין שמדד שבריריות כהמלצת חלק מהקופות ובין שמדד תפקוד כפי שהחל לקדם משרד הבריאות - שאותו ימדדו כל קופות החולים. כן מומלץ כי המשרד יאסוף את נתוני המדד ברמה הלאומית ויציג אותם אחת לשנה. מומלץ גם כי על בסיס הנתונים יעריך משרד הבריאות באופן שוטף את מצבה הבריאותי של כלל אוכלוסיית הזקנים ואת תוחלת החיים הבריאים שלה, ישתמש במדד לצורך הערכת אפקטיביות של המדיניות שלו והתוכניות שהוא מקדם, ויגבש תוכנית פעולה להתמודדות עם השבריריות בהתבסס על תוצאות המדד, וזאת במטרה להאריך את תוחלת החיים הבריאים.</w:t>
      </w:r>
    </w:p>
    <w:p w:rsidR="0016536A" w:rsidRPr="0016536A" w:rsidP="004614AF">
      <w:pPr>
        <w:spacing w:line="269" w:lineRule="auto"/>
        <w:rPr>
          <w:rFonts w:eastAsia="Calibri"/>
          <w:rtl/>
        </w:rPr>
      </w:pPr>
    </w:p>
    <w:p w:rsidR="00C77AC7" w:rsidP="004614AF">
      <w:pPr>
        <w:keepNext/>
        <w:keepLines/>
        <w:spacing w:line="269" w:lineRule="auto"/>
        <w:jc w:val="center"/>
        <w:outlineLvl w:val="1"/>
        <w:rPr>
          <w:rFonts w:eastAsia="Times New Roman"/>
          <w:bCs/>
          <w:szCs w:val="32"/>
          <w:rtl/>
        </w:rPr>
      </w:pPr>
    </w:p>
    <w:p w:rsidR="0016536A" w:rsidRPr="0016536A" w:rsidP="004614AF">
      <w:pPr>
        <w:keepNext/>
        <w:keepLines/>
        <w:spacing w:line="269" w:lineRule="auto"/>
        <w:jc w:val="center"/>
        <w:outlineLvl w:val="1"/>
        <w:rPr>
          <w:rFonts w:eastAsia="Times New Roman"/>
          <w:bCs/>
          <w:szCs w:val="32"/>
          <w:rtl/>
        </w:rPr>
      </w:pPr>
      <w:r w:rsidRPr="0016536A">
        <w:rPr>
          <w:rFonts w:eastAsia="Times New Roman" w:hint="cs"/>
          <w:bCs/>
          <w:szCs w:val="32"/>
          <w:rtl/>
        </w:rPr>
        <w:t>קידום בריאות ורפואה מונעת אצל זקנים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חוק ביטוח בריאות ממלכתי מעגן את הזכות של תושבי ישראל לקבלת שירותי רפואה מונעת ובכלל זה שירות מונע לזקנים, ומטיל את האחריות לאספקתם על משרד הבריאות</w:t>
      </w:r>
      <w:r>
        <w:rPr>
          <w:rFonts w:eastAsia="Calibri"/>
          <w:vertAlign w:val="superscript"/>
          <w:rtl/>
        </w:rPr>
        <w:footnoteReference w:id="85"/>
      </w:r>
      <w:r w:rsidRPr="0016536A">
        <w:rPr>
          <w:rFonts w:eastAsia="Calibri" w:hint="cs"/>
          <w:rtl/>
        </w:rPr>
        <w:t>. התוכנית הרב-שנתית למערכת הבריאות של משרד הבריאות הגדירה מניעת תחלואה וקידום בריאות כתחומי ליבה באסטרטגיית המשרד</w:t>
      </w:r>
      <w:r>
        <w:rPr>
          <w:rFonts w:eastAsia="Calibri"/>
          <w:vertAlign w:val="superscript"/>
          <w:rtl/>
        </w:rPr>
        <w:footnoteReference w:id="86"/>
      </w:r>
      <w:r w:rsidRPr="0016536A">
        <w:rPr>
          <w:rFonts w:eastAsia="Calibri" w:hint="cs"/>
          <w:rtl/>
        </w:rPr>
        <w:t>. תוכנית ההזדקנות המיטבית</w:t>
      </w:r>
      <w:r>
        <w:rPr>
          <w:rFonts w:eastAsia="Calibri"/>
          <w:vertAlign w:val="superscript"/>
          <w:rtl/>
        </w:rPr>
        <w:footnoteReference w:id="87"/>
      </w:r>
      <w:r w:rsidRPr="0016536A">
        <w:rPr>
          <w:rFonts w:eastAsia="Calibri" w:hint="cs"/>
          <w:rtl/>
        </w:rPr>
        <w:t xml:space="preserve"> והתוכנית הלאומית להיערכות מערכת הבריאות להזדקנות האוכלוסייה</w:t>
      </w:r>
      <w:r>
        <w:rPr>
          <w:rFonts w:eastAsia="Calibri"/>
          <w:vertAlign w:val="superscript"/>
          <w:rtl/>
        </w:rPr>
        <w:footnoteReference w:id="88"/>
      </w:r>
      <w:r w:rsidRPr="0016536A">
        <w:rPr>
          <w:rFonts w:eastAsia="Calibri" w:hint="cs"/>
          <w:rtl/>
        </w:rPr>
        <w:t xml:space="preserve"> מגדירות את מניעת התחלואה וקידום הבריאות כאבני </w:t>
      </w:r>
      <w:r w:rsidRPr="0016536A">
        <w:rPr>
          <w:rFonts w:eastAsia="Calibri" w:hint="cs"/>
          <w:rtl/>
        </w:rPr>
        <w:t xml:space="preserve">יסוד בהיערכות להזדקנות מיטבית של האוכלוסייה. מפת המדדים אף היא מגדירה מדדים הכוללים פעולות שתכליתן שמירה על הבריאות ומניעת הידרדרות כגון קבלת חיסונים, וכן פעולות שתכליתן שמירה על אורח חיים בריא, כגון הימנעות מעישון והקפדה על תזונה מתאימה ופעילות גופנית.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eastAsia"/>
          <w:bCs/>
          <w:spacing w:val="40"/>
          <w:rtl/>
        </w:rPr>
        <w:t>רפואה</w:t>
      </w:r>
      <w:r w:rsidRPr="0016536A">
        <w:rPr>
          <w:rFonts w:eastAsia="Times New Roman"/>
          <w:bCs/>
          <w:spacing w:val="40"/>
          <w:rtl/>
        </w:rPr>
        <w:t xml:space="preserve"> </w:t>
      </w:r>
      <w:r w:rsidRPr="0016536A">
        <w:rPr>
          <w:rFonts w:eastAsia="Times New Roman" w:hint="eastAsia"/>
          <w:bCs/>
          <w:spacing w:val="40"/>
          <w:rtl/>
        </w:rPr>
        <w:t>מונעת</w:t>
      </w:r>
      <w:r w:rsidRPr="0016536A">
        <w:rPr>
          <w:rFonts w:eastAsia="Times New Roman" w:hint="cs"/>
          <w:bCs/>
          <w:spacing w:val="40"/>
          <w:rtl/>
        </w:rPr>
        <w:t>:</w:t>
      </w:r>
      <w:r w:rsidRPr="0016536A">
        <w:rPr>
          <w:rFonts w:eastAsia="Calibri" w:hint="cs"/>
          <w:rtl/>
        </w:rPr>
        <w:t xml:space="preserve"> קיימים שלושה סוגים של מניעה: </w:t>
      </w:r>
    </w:p>
    <w:p w:rsidR="0016536A" w:rsidRPr="0016536A" w:rsidP="004614AF">
      <w:pPr>
        <w:spacing w:line="269" w:lineRule="auto"/>
        <w:rPr>
          <w:rFonts w:eastAsia="Calibri"/>
          <w:rtl/>
        </w:rPr>
      </w:pPr>
    </w:p>
    <w:p w:rsidR="0016536A" w:rsidRPr="0016536A" w:rsidP="004614AF">
      <w:pPr>
        <w:numPr>
          <w:ilvl w:val="0"/>
          <w:numId w:val="24"/>
        </w:numPr>
        <w:spacing w:line="269" w:lineRule="auto"/>
        <w:contextualSpacing/>
        <w:rPr>
          <w:rFonts w:eastAsia="Calibri"/>
        </w:rPr>
      </w:pPr>
      <w:r w:rsidRPr="0016536A">
        <w:rPr>
          <w:rFonts w:eastAsia="Times New Roman" w:hint="eastAsia"/>
          <w:spacing w:val="40"/>
          <w:rtl/>
        </w:rPr>
        <w:t>מניעה</w:t>
      </w:r>
      <w:r w:rsidRPr="0016536A">
        <w:rPr>
          <w:rFonts w:eastAsia="Times New Roman"/>
          <w:spacing w:val="40"/>
          <w:rtl/>
        </w:rPr>
        <w:t xml:space="preserve"> </w:t>
      </w:r>
      <w:r w:rsidRPr="0016536A">
        <w:rPr>
          <w:rFonts w:eastAsia="Times New Roman" w:hint="eastAsia"/>
          <w:spacing w:val="40"/>
          <w:rtl/>
        </w:rPr>
        <w:t>ראשונית</w:t>
      </w:r>
      <w:r w:rsidRPr="0016536A">
        <w:rPr>
          <w:rFonts w:eastAsia="Times New Roman" w:hint="cs"/>
          <w:spacing w:val="40"/>
          <w:rtl/>
        </w:rPr>
        <w:t>:</w:t>
      </w:r>
      <w:r w:rsidRPr="0016536A">
        <w:rPr>
          <w:rFonts w:eastAsia="Calibri" w:hint="cs"/>
          <w:rtl/>
        </w:rPr>
        <w:t xml:space="preserve"> מטרתה הפחתת החשיפה לגורמי סיכון או יצירת חסינות כלפיהם כדי למנוע הופעה של מחלה או נזק. מניעה זו כוללת בין היתר שמירה על אורח חיים בריא, נטילת חיסונים וקבלת טיפול תרופתי מונע; </w:t>
      </w:r>
    </w:p>
    <w:p w:rsidR="0016536A" w:rsidRPr="0016536A" w:rsidP="004614AF">
      <w:pPr>
        <w:spacing w:line="269" w:lineRule="auto"/>
        <w:ind w:left="340"/>
        <w:contextualSpacing/>
        <w:rPr>
          <w:rFonts w:eastAsia="Calibri"/>
        </w:rPr>
      </w:pPr>
    </w:p>
    <w:p w:rsidR="0016536A" w:rsidRPr="0016536A" w:rsidP="004614AF">
      <w:pPr>
        <w:numPr>
          <w:ilvl w:val="0"/>
          <w:numId w:val="24"/>
        </w:numPr>
        <w:spacing w:line="269" w:lineRule="auto"/>
        <w:contextualSpacing/>
        <w:rPr>
          <w:rFonts w:eastAsia="Calibri"/>
        </w:rPr>
      </w:pPr>
      <w:r w:rsidRPr="0016536A">
        <w:rPr>
          <w:rFonts w:eastAsia="Times New Roman" w:hint="eastAsia"/>
          <w:spacing w:val="40"/>
          <w:rtl/>
        </w:rPr>
        <w:t>מניעה</w:t>
      </w:r>
      <w:r w:rsidRPr="0016536A">
        <w:rPr>
          <w:rFonts w:eastAsia="Times New Roman"/>
          <w:spacing w:val="40"/>
          <w:rtl/>
        </w:rPr>
        <w:t xml:space="preserve"> </w:t>
      </w:r>
      <w:r w:rsidRPr="0016536A">
        <w:rPr>
          <w:rFonts w:eastAsia="Times New Roman" w:hint="eastAsia"/>
          <w:spacing w:val="40"/>
          <w:rtl/>
        </w:rPr>
        <w:t>שניונית</w:t>
      </w:r>
      <w:r w:rsidRPr="0016536A">
        <w:rPr>
          <w:rFonts w:eastAsia="Times New Roman" w:hint="cs"/>
          <w:spacing w:val="40"/>
          <w:rtl/>
        </w:rPr>
        <w:t>:</w:t>
      </w:r>
      <w:r w:rsidRPr="0016536A">
        <w:rPr>
          <w:rFonts w:eastAsia="Calibri" w:hint="cs"/>
          <w:rtl/>
        </w:rPr>
        <w:t xml:space="preserve"> מטרתה גילוי מוקדם של מחלה או גורם סיכון וטיפול בהם בשלב מוקדם ככל האפשר כדי לשנות את מהלך המחלה. מניעה זו מתבצעת באמצעות זימון יזום של האוכלוסייה למגוון בדיקות ולבדיקות סקר כלליות, לדוגמה, באמצעות סיקור לסרטן וסיקור לסוכרת; </w:t>
      </w:r>
    </w:p>
    <w:p w:rsidR="0016536A" w:rsidRPr="0016536A" w:rsidP="004614AF">
      <w:pPr>
        <w:spacing w:line="269" w:lineRule="auto"/>
        <w:rPr>
          <w:rFonts w:eastAsia="Calibri"/>
        </w:rPr>
      </w:pPr>
    </w:p>
    <w:p w:rsidR="0016536A" w:rsidRPr="0016536A" w:rsidP="004614AF">
      <w:pPr>
        <w:numPr>
          <w:ilvl w:val="0"/>
          <w:numId w:val="24"/>
        </w:numPr>
        <w:spacing w:line="269" w:lineRule="auto"/>
        <w:contextualSpacing/>
        <w:rPr>
          <w:rFonts w:eastAsia="Calibri"/>
        </w:rPr>
      </w:pPr>
      <w:r w:rsidRPr="0016536A">
        <w:rPr>
          <w:rFonts w:eastAsia="Times New Roman" w:hint="eastAsia"/>
          <w:spacing w:val="40"/>
          <w:rtl/>
        </w:rPr>
        <w:t>מניעה</w:t>
      </w:r>
      <w:r w:rsidRPr="0016536A">
        <w:rPr>
          <w:rFonts w:eastAsia="Times New Roman"/>
          <w:spacing w:val="40"/>
          <w:rtl/>
        </w:rPr>
        <w:t xml:space="preserve"> </w:t>
      </w:r>
      <w:r w:rsidRPr="0016536A">
        <w:rPr>
          <w:rFonts w:eastAsia="Times New Roman" w:hint="eastAsia"/>
          <w:spacing w:val="40"/>
          <w:rtl/>
        </w:rPr>
        <w:t>שלישונית</w:t>
      </w:r>
      <w:r w:rsidRPr="0016536A">
        <w:rPr>
          <w:rFonts w:eastAsia="Times New Roman" w:hint="cs"/>
          <w:spacing w:val="40"/>
          <w:rtl/>
        </w:rPr>
        <w:t>:</w:t>
      </w:r>
      <w:r w:rsidRPr="0016536A">
        <w:rPr>
          <w:rFonts w:eastAsia="Calibri" w:hint="cs"/>
          <w:rtl/>
        </w:rPr>
        <w:t xml:space="preserve"> מטרתה הפחתת סיבוכים וצמצום השלכות של מחלה לאחר שכבר הופיעה, והיא מתבצעת באמצעות התערבות טיפולית, לדוגמה, שיקום לנפגעי שבץ מוחי ושיקום לחולי לב</w:t>
      </w:r>
      <w:r>
        <w:rPr>
          <w:rFonts w:eastAsia="Calibri"/>
          <w:vertAlign w:val="superscript"/>
          <w:rtl/>
        </w:rPr>
        <w:footnoteReference w:id="89"/>
      </w:r>
      <w:r w:rsidRPr="0016536A">
        <w:rPr>
          <w:rFonts w:eastAsia="Calibri" w:hint="cs"/>
          <w:rtl/>
        </w:rPr>
        <w:t xml:space="preserve">. </w:t>
      </w:r>
    </w:p>
    <w:p w:rsidR="0016536A" w:rsidRPr="0016536A" w:rsidP="004614AF">
      <w:pPr>
        <w:spacing w:line="269" w:lineRule="auto"/>
        <w:ind w:left="340"/>
        <w:contextualSpacing/>
        <w:rPr>
          <w:rFonts w:eastAsia="Calibri"/>
        </w:rPr>
      </w:pPr>
    </w:p>
    <w:p w:rsidR="0016536A" w:rsidRPr="0016536A" w:rsidP="004614AF">
      <w:pPr>
        <w:spacing w:line="269" w:lineRule="auto"/>
        <w:rPr>
          <w:rFonts w:eastAsia="Calibri"/>
          <w:rtl/>
        </w:rPr>
      </w:pPr>
      <w:r w:rsidRPr="0016536A">
        <w:rPr>
          <w:rFonts w:eastAsia="Calibri" w:hint="cs"/>
          <w:rtl/>
        </w:rPr>
        <w:t xml:space="preserve">פרק זה עוסק במניעה ראשונית ושניונית (להלן - רפואה מונעת או פעולות מניעה).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eastAsia"/>
          <w:bCs/>
          <w:spacing w:val="40"/>
          <w:rtl/>
        </w:rPr>
        <w:t>קידום</w:t>
      </w:r>
      <w:r w:rsidRPr="0016536A">
        <w:rPr>
          <w:rFonts w:eastAsia="Times New Roman"/>
          <w:bCs/>
          <w:spacing w:val="40"/>
          <w:rtl/>
        </w:rPr>
        <w:t xml:space="preserve"> </w:t>
      </w:r>
      <w:r w:rsidRPr="0016536A">
        <w:rPr>
          <w:rFonts w:eastAsia="Times New Roman" w:hint="eastAsia"/>
          <w:bCs/>
          <w:spacing w:val="40"/>
          <w:rtl/>
        </w:rPr>
        <w:t>בריאות</w:t>
      </w:r>
      <w:r w:rsidRPr="0016536A">
        <w:rPr>
          <w:rFonts w:eastAsia="Times New Roman" w:hint="cs"/>
          <w:bCs/>
          <w:spacing w:val="40"/>
          <w:rtl/>
        </w:rPr>
        <w:t>:</w:t>
      </w:r>
      <w:r w:rsidRPr="0016536A">
        <w:rPr>
          <w:rFonts w:eastAsia="Calibri" w:hint="cs"/>
          <w:rtl/>
        </w:rPr>
        <w:t xml:space="preserve"> קידום בריאות הוא תהליך של העצמת אנשים לשם קבלת אחריות על בריאותם ועל הגורמים המשפיעים עליה, באמצעות קידום אוריינות בריאותית</w:t>
      </w:r>
      <w:r>
        <w:rPr>
          <w:rFonts w:eastAsia="Calibri"/>
          <w:vertAlign w:val="superscript"/>
          <w:rtl/>
        </w:rPr>
        <w:footnoteReference w:id="90"/>
      </w:r>
      <w:r w:rsidRPr="0016536A">
        <w:rPr>
          <w:rFonts w:eastAsia="Calibri" w:hint="cs"/>
          <w:rtl/>
        </w:rPr>
        <w:t xml:space="preserve"> ופעולות לקידום התנהגויו</w:t>
      </w:r>
      <w:r w:rsidRPr="0016536A">
        <w:rPr>
          <w:rFonts w:eastAsia="Calibri" w:hint="eastAsia"/>
          <w:rtl/>
        </w:rPr>
        <w:t>ת</w:t>
      </w:r>
      <w:r w:rsidRPr="0016536A">
        <w:rPr>
          <w:rFonts w:eastAsia="Calibri" w:hint="cs"/>
          <w:rtl/>
        </w:rPr>
        <w:t xml:space="preserve"> בריאות. קידום בריאות מתמקד בדרך כלל בגורמי סיכון התנהגותיים כעישון, השמנת יתר, היעדר פעילות גופנית ותזונה לא נאותה</w:t>
      </w:r>
      <w:r>
        <w:rPr>
          <w:rFonts w:eastAsia="Calibri"/>
          <w:vertAlign w:val="superscript"/>
          <w:rtl/>
        </w:rPr>
        <w:footnoteReference w:id="91"/>
      </w:r>
      <w:r w:rsidRPr="0016536A">
        <w:rPr>
          <w:rFonts w:eastAsia="Calibri" w:hint="cs"/>
          <w:rtl/>
        </w:rPr>
        <w:t xml:space="preserve"> (להלן - קידום בריאות או פעולות מניעה).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כמה ועדות ממשלתיות עמדו על החשיבות שברפואה מונעת וקידום בריאות בקרב זקנים, כחלק מהיערכות מערכת הבריאות להזדקנות האוכלוסייה: הוועדה הבין-משרדית לקידום בריאות ומניעת תחלואה כרונית (להלן - הוועדה הבין-משרדית) ציינה כי הזדקנות האוכלוסייה הינה בין הגורמים המרכזיים לעלייה בשנות חיים המלוות במחלה, וכי </w:t>
      </w:r>
      <w:r w:rsidRPr="0016536A">
        <w:rPr>
          <w:rFonts w:eastAsia="Calibri"/>
          <w:rtl/>
        </w:rPr>
        <w:t>בעוד בני 65 עד 75 סובלים בממוצע מ-1.9 מחלות כרוניות, ממוצע המחלות</w:t>
      </w:r>
      <w:r w:rsidRPr="0016536A">
        <w:rPr>
          <w:rFonts w:eastAsia="Calibri" w:hint="cs"/>
          <w:rtl/>
        </w:rPr>
        <w:t xml:space="preserve"> </w:t>
      </w:r>
      <w:r w:rsidRPr="0016536A">
        <w:rPr>
          <w:rFonts w:eastAsia="Calibri"/>
          <w:rtl/>
        </w:rPr>
        <w:t>הכרוניות עומד על 2.6 בקרב בני 75 ויותר</w:t>
      </w:r>
      <w:r w:rsidRPr="0016536A">
        <w:rPr>
          <w:rFonts w:eastAsia="Calibri" w:hint="cs"/>
          <w:rtl/>
        </w:rPr>
        <w:t>, מצב המשית עלויות משמעותיות על מערכת הבריאות והמדינה</w:t>
      </w:r>
      <w:r>
        <w:rPr>
          <w:rFonts w:eastAsia="Calibri"/>
          <w:vertAlign w:val="superscript"/>
          <w:rtl/>
        </w:rPr>
        <w:footnoteReference w:id="92"/>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כדי למתן את העלייה הצפויה בשיעורי האשפוז הכללי והגריאטרי עם הזדקנות האוכלוסייה, המליצה הוועדה לתכנון המערך הגריאטרי הלאומי ל-2010 - 2020 ול-2020 - 2030 (להלן - ועדת שטסמן)</w:t>
      </w:r>
      <w:r>
        <w:rPr>
          <w:rFonts w:eastAsia="Calibri"/>
          <w:vertAlign w:val="superscript"/>
          <w:rtl/>
        </w:rPr>
        <w:footnoteReference w:id="93"/>
      </w:r>
      <w:r w:rsidRPr="0016536A">
        <w:rPr>
          <w:rFonts w:eastAsia="Calibri" w:hint="cs"/>
          <w:rtl/>
        </w:rPr>
        <w:t>, בין היתר, כי יש לשפר התערבויות בריאותיות שתכליתן קידום בריאות ומניעת מחלות בקרב זקנים</w:t>
      </w:r>
      <w:r>
        <w:rPr>
          <w:rFonts w:eastAsia="Calibri"/>
          <w:vertAlign w:val="superscript"/>
          <w:rtl/>
        </w:rPr>
        <w:footnoteReference w:id="94"/>
      </w:r>
      <w:r w:rsidRPr="0016536A">
        <w:rPr>
          <w:rFonts w:eastAsia="Calibri" w:hint="cs"/>
          <w:rtl/>
        </w:rPr>
        <w:t xml:space="preserve">. הוועדה הבין-משרדית ציינה כי </w:t>
      </w:r>
      <w:r w:rsidRPr="0016536A">
        <w:rPr>
          <w:rFonts w:eastAsia="Calibri"/>
          <w:rtl/>
        </w:rPr>
        <w:t>הדרך היעילה ביותר לצמצום תחלואה קשה ולהארכת שנות החיים הבריא</w:t>
      </w:r>
      <w:r w:rsidRPr="0016536A">
        <w:rPr>
          <w:rFonts w:eastAsia="Calibri" w:hint="cs"/>
          <w:rtl/>
        </w:rPr>
        <w:t>ים</w:t>
      </w:r>
      <w:r w:rsidRPr="0016536A">
        <w:rPr>
          <w:rFonts w:eastAsia="Calibri"/>
          <w:rtl/>
        </w:rPr>
        <w:t xml:space="preserve"> בקרב כל</w:t>
      </w:r>
      <w:r w:rsidRPr="0016536A">
        <w:rPr>
          <w:rFonts w:eastAsia="Calibri" w:hint="cs"/>
          <w:rtl/>
        </w:rPr>
        <w:t>ל</w:t>
      </w:r>
      <w:r w:rsidRPr="0016536A">
        <w:rPr>
          <w:rFonts w:eastAsia="Calibri"/>
          <w:rtl/>
        </w:rPr>
        <w:t xml:space="preserve"> האוכלוסייה היא השקעה</w:t>
      </w:r>
      <w:r w:rsidRPr="0016536A">
        <w:rPr>
          <w:rFonts w:eastAsia="Calibri" w:hint="cs"/>
          <w:rtl/>
        </w:rPr>
        <w:t xml:space="preserve"> </w:t>
      </w:r>
      <w:r w:rsidRPr="0016536A">
        <w:rPr>
          <w:rFonts w:eastAsia="Calibri"/>
          <w:rtl/>
        </w:rPr>
        <w:t xml:space="preserve">במניעתן של מחלות </w:t>
      </w:r>
      <w:r w:rsidRPr="0016536A">
        <w:rPr>
          <w:rFonts w:eastAsia="Calibri" w:hint="cs"/>
          <w:rtl/>
        </w:rPr>
        <w:t xml:space="preserve">קשות </w:t>
      </w:r>
      <w:r w:rsidRPr="0016536A">
        <w:rPr>
          <w:rFonts w:eastAsia="Calibri" w:hint="cs"/>
          <w:rtl/>
        </w:rPr>
        <w:t>ובאיתור מוקדם שלהן</w:t>
      </w:r>
      <w:r w:rsidRPr="0016536A">
        <w:rPr>
          <w:rFonts w:eastAsia="Calibri"/>
          <w:rtl/>
        </w:rPr>
        <w:t xml:space="preserve"> </w:t>
      </w:r>
      <w:r w:rsidRPr="0016536A">
        <w:rPr>
          <w:rFonts w:eastAsia="Calibri" w:hint="cs"/>
          <w:rtl/>
        </w:rPr>
        <w:t>ו</w:t>
      </w:r>
      <w:r w:rsidRPr="0016536A">
        <w:rPr>
          <w:rFonts w:eastAsia="Calibri"/>
          <w:rtl/>
        </w:rPr>
        <w:t>בקידום בריאות</w:t>
      </w:r>
      <w:r w:rsidRPr="0016536A">
        <w:rPr>
          <w:rFonts w:eastAsia="Calibri" w:hint="cs"/>
          <w:rtl/>
        </w:rPr>
        <w:t>. גם הצוות למניעת הידרדרות של אזרחים ותיקים</w:t>
      </w:r>
      <w:r>
        <w:rPr>
          <w:rFonts w:eastAsia="Calibri"/>
          <w:vertAlign w:val="superscript"/>
          <w:rtl/>
        </w:rPr>
        <w:footnoteReference w:id="95"/>
      </w:r>
      <w:r w:rsidRPr="0016536A">
        <w:rPr>
          <w:rFonts w:eastAsia="Calibri" w:hint="cs"/>
          <w:rtl/>
        </w:rPr>
        <w:t xml:space="preserve"> הצביע על החשיבות בהשקעה משמעותית במניעת הידרדרות בקרב זקנים, בין היתר באמצעות </w:t>
      </w:r>
      <w:r w:rsidRPr="0016536A">
        <w:rPr>
          <w:rFonts w:eastAsia="Calibri"/>
          <w:rtl/>
        </w:rPr>
        <w:t>קופות החולים</w:t>
      </w:r>
      <w:r w:rsidRPr="0016536A">
        <w:rPr>
          <w:rFonts w:eastAsia="Calibri" w:hint="cs"/>
          <w:rtl/>
        </w:rPr>
        <w:t>,</w:t>
      </w:r>
      <w:r w:rsidRPr="0016536A">
        <w:rPr>
          <w:rFonts w:eastAsia="Calibri"/>
          <w:rtl/>
        </w:rPr>
        <w:t xml:space="preserve"> </w:t>
      </w:r>
      <w:r w:rsidRPr="0016536A">
        <w:rPr>
          <w:rFonts w:eastAsia="Calibri" w:hint="cs"/>
          <w:rtl/>
        </w:rPr>
        <w:t>לשם</w:t>
      </w:r>
      <w:r w:rsidRPr="0016536A">
        <w:rPr>
          <w:rFonts w:eastAsia="Calibri"/>
          <w:rtl/>
        </w:rPr>
        <w:t xml:space="preserve"> מניע</w:t>
      </w:r>
      <w:r w:rsidRPr="0016536A">
        <w:rPr>
          <w:rFonts w:eastAsia="Calibri" w:hint="cs"/>
          <w:rtl/>
        </w:rPr>
        <w:t xml:space="preserve">ה ודחייה של </w:t>
      </w:r>
      <w:r w:rsidRPr="0016536A">
        <w:rPr>
          <w:rFonts w:eastAsia="Calibri"/>
          <w:rtl/>
        </w:rPr>
        <w:t>ה</w:t>
      </w:r>
      <w:r w:rsidRPr="0016536A">
        <w:rPr>
          <w:rFonts w:eastAsia="Calibri" w:hint="cs"/>
          <w:rtl/>
        </w:rPr>
        <w:t>י</w:t>
      </w:r>
      <w:r w:rsidRPr="0016536A">
        <w:rPr>
          <w:rFonts w:eastAsia="Calibri"/>
          <w:rtl/>
        </w:rPr>
        <w:t xml:space="preserve">דרדרות תפקודית </w:t>
      </w:r>
      <w:r w:rsidRPr="0016536A">
        <w:rPr>
          <w:rFonts w:eastAsia="Calibri" w:hint="cs"/>
          <w:rtl/>
        </w:rPr>
        <w:t xml:space="preserve">בקרב </w:t>
      </w:r>
      <w:r w:rsidRPr="0016536A">
        <w:rPr>
          <w:rFonts w:eastAsia="Calibri"/>
          <w:rtl/>
        </w:rPr>
        <w:t xml:space="preserve">אזרחים ותיקים שטרם הגיעו למצב סיעודי; </w:t>
      </w:r>
      <w:r w:rsidRPr="0016536A">
        <w:rPr>
          <w:rFonts w:eastAsia="Calibri" w:hint="cs"/>
          <w:rtl/>
        </w:rPr>
        <w:t>ו</w:t>
      </w:r>
      <w:r w:rsidRPr="0016536A">
        <w:rPr>
          <w:rFonts w:eastAsia="Calibri"/>
          <w:rtl/>
        </w:rPr>
        <w:t>שימור תפקוד ודחיית</w:t>
      </w:r>
      <w:r w:rsidRPr="0016536A">
        <w:rPr>
          <w:rFonts w:eastAsia="Calibri" w:hint="cs"/>
          <w:rtl/>
        </w:rPr>
        <w:t xml:space="preserve"> </w:t>
      </w:r>
      <w:r w:rsidRPr="0016536A">
        <w:rPr>
          <w:rFonts w:eastAsia="Calibri"/>
          <w:rtl/>
        </w:rPr>
        <w:t>ה</w:t>
      </w:r>
      <w:r w:rsidRPr="0016536A">
        <w:rPr>
          <w:rFonts w:eastAsia="Calibri" w:hint="cs"/>
          <w:rtl/>
        </w:rPr>
        <w:t>י</w:t>
      </w:r>
      <w:r w:rsidRPr="0016536A">
        <w:rPr>
          <w:rFonts w:eastAsia="Calibri"/>
          <w:rtl/>
        </w:rPr>
        <w:t>דרדרות של אזרחים ותיקים ברמות</w:t>
      </w:r>
      <w:r w:rsidRPr="0016536A">
        <w:rPr>
          <w:rFonts w:eastAsia="Calibri" w:hint="cs"/>
          <w:rtl/>
        </w:rPr>
        <w:t xml:space="preserve"> הנמוכות של </w:t>
      </w:r>
      <w:r w:rsidRPr="0016536A">
        <w:rPr>
          <w:rFonts w:eastAsia="Calibri"/>
          <w:rtl/>
        </w:rPr>
        <w:t>גמלת הסיעוד</w:t>
      </w:r>
      <w:r>
        <w:rPr>
          <w:rFonts w:eastAsia="Calibri"/>
          <w:vertAlign w:val="superscript"/>
          <w:rtl/>
        </w:rPr>
        <w:footnoteReference w:id="96"/>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לפיכך, קידום בריאות ורפואה מונעת הם בין היעדים החשובים של מערכת הבריאות משום שהם מאפשרים להאריך את תוחלת החיים ולהגדיל את מספר השנים הבריאות, כלומר השנים הפנויות ממחלות וממוגבלויות</w:t>
      </w:r>
      <w:r>
        <w:rPr>
          <w:rFonts w:eastAsia="Calibri"/>
          <w:vertAlign w:val="superscript"/>
          <w:rtl/>
        </w:rPr>
        <w:footnoteReference w:id="97"/>
      </w:r>
      <w:r w:rsidRPr="0016536A">
        <w:rPr>
          <w:rFonts w:eastAsia="Calibri" w:hint="cs"/>
          <w:rtl/>
        </w:rPr>
        <w:t xml:space="preserve">, ובכך יש כדי לשפר את איכות החיים של הזקנים ולצמצם את העומס הצפוי על מערכת הבריאות בשל הזדקנות האוכלוסייה. </w:t>
      </w:r>
    </w:p>
    <w:p w:rsidR="0016536A" w:rsidRPr="0016536A" w:rsidP="004614AF">
      <w:pPr>
        <w:spacing w:line="269" w:lineRule="auto"/>
        <w:rPr>
          <w:rFonts w:eastAsia="Calibri"/>
          <w:rtl/>
        </w:rPr>
      </w:pPr>
    </w:p>
    <w:p w:rsidR="0016536A" w:rsidRPr="0016536A" w:rsidP="004614AF">
      <w:pPr>
        <w:keepNext/>
        <w:keepLines/>
        <w:spacing w:line="269" w:lineRule="auto"/>
        <w:outlineLvl w:val="2"/>
        <w:rPr>
          <w:rFonts w:eastAsia="Times New Roman"/>
          <w:bCs/>
          <w:szCs w:val="28"/>
          <w:u w:val="single"/>
          <w:rtl/>
        </w:rPr>
      </w:pPr>
      <w:r w:rsidRPr="0016536A">
        <w:rPr>
          <w:rFonts w:eastAsia="Times New Roman" w:hint="cs"/>
          <w:bCs/>
          <w:szCs w:val="28"/>
          <w:u w:val="single"/>
          <w:rtl/>
        </w:rPr>
        <w:t>המשמעות הכלכלית של הזדקנות בריאה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בריאות טובה של זקנים היא מניע חשוב לכלכלות של מדינות, המושג באמצעות השתתפותם בפעילות לא מתוגמלת</w:t>
      </w:r>
      <w:r>
        <w:rPr>
          <w:rFonts w:eastAsia="Calibri"/>
          <w:vertAlign w:val="superscript"/>
          <w:rtl/>
        </w:rPr>
        <w:footnoteReference w:id="98"/>
      </w:r>
      <w:r w:rsidRPr="0016536A">
        <w:rPr>
          <w:rFonts w:eastAsia="Calibri" w:hint="cs"/>
          <w:rtl/>
        </w:rPr>
        <w:t>, כגון פעילות התנדבות, סיוע בטיפול בנכדים ועבודה במשק הבית</w:t>
      </w:r>
      <w:r>
        <w:rPr>
          <w:rFonts w:eastAsia="Calibri"/>
          <w:vertAlign w:val="superscript"/>
          <w:rtl/>
        </w:rPr>
        <w:footnoteReference w:id="99"/>
      </w:r>
      <w:r w:rsidRPr="0016536A">
        <w:rPr>
          <w:rFonts w:eastAsia="Calibri" w:hint="cs"/>
          <w:rtl/>
        </w:rPr>
        <w:t>. במחקר שנערך בבריטניה נמצא כי זקנים שבריאותם טובה משקיעים יותר זמן בפעילויות אלו, וכי שיפור בריאותי של 10% בקרב זקנים עם בריאות ירודה עשוי לתרום כ-280 מיליון ליש"ט לכלכלה</w:t>
      </w:r>
      <w:r>
        <w:rPr>
          <w:rFonts w:eastAsia="Calibri"/>
          <w:vertAlign w:val="superscript"/>
          <w:rtl/>
        </w:rPr>
        <w:footnoteReference w:id="100"/>
      </w:r>
      <w:r w:rsidRPr="0016536A">
        <w:rPr>
          <w:rFonts w:eastAsia="Calibri" w:hint="cs"/>
          <w:rtl/>
        </w:rPr>
        <w:t>. במחקר אחר נמצא כי כל דולר המושקע בהזדקנות בריאה מניב שלושה דולר בתועלות כלכליות ובריאותיות</w:t>
      </w:r>
      <w:r>
        <w:rPr>
          <w:rFonts w:eastAsia="Calibri"/>
          <w:vertAlign w:val="superscript"/>
          <w:rtl/>
        </w:rPr>
        <w:footnoteReference w:id="101"/>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כ-1.5% מתקציב משרד הבריאות בשנת 2025 (כ-930 מיליון ש"ח מתוך כלל התקציב העומד כאמור על כ-62 מיליארד ש"ח) מושקעים ברפואה מונעת עבור כלל הציבור</w:t>
      </w:r>
      <w:r>
        <w:rPr>
          <w:rFonts w:eastAsia="Calibri"/>
          <w:b/>
          <w:bCs/>
          <w:vertAlign w:val="superscript"/>
          <w:rtl/>
        </w:rPr>
        <w:footnoteReference w:id="102"/>
      </w:r>
      <w:r w:rsidRPr="0016536A">
        <w:rPr>
          <w:rFonts w:eastAsia="Calibri" w:hint="cs"/>
          <w:b/>
          <w:bCs/>
          <w:rtl/>
        </w:rPr>
        <w:t>. בביקורת עלה כי למשרד הבריאות אין נתונים מהימנים על עלות ההשקעה התקציבית במניעה לעומת טיפול בקרב זקנים</w:t>
      </w:r>
      <w:r>
        <w:rPr>
          <w:rFonts w:eastAsia="Calibri"/>
          <w:b/>
          <w:bCs/>
          <w:vertAlign w:val="superscript"/>
          <w:rtl/>
        </w:rPr>
        <w:footnoteReference w:id="103"/>
      </w:r>
      <w:r w:rsidRPr="0016536A">
        <w:rPr>
          <w:rFonts w:eastAsia="Calibri" w:hint="cs"/>
          <w:b/>
          <w:bCs/>
          <w:rtl/>
        </w:rPr>
        <w:t>, כאמצעי לגיבוש מדיניות והטמעתה בתחום זה.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מומלץ כי משרד הבריאות יגבש בסיס נתונים מהימן של עלות ההשקעה התקציבית במניעה לעומת טיפול בקרב זקנים, כבסיס לגיבוש מדיניות בתחום הרפואה המונעת לזקנים. עוד מומלץ, כי יבחן את מסקנות דוח זה, ויוודא כי העלות התקציבית המושקעת במניעה בפועל, תואמת למדיניות זו ומאפשרת לקדם פעולות מניעה יעילות להזדקנות בריאה. </w:t>
      </w:r>
    </w:p>
    <w:p w:rsidR="0016536A" w:rsidRPr="0016536A" w:rsidP="004614AF">
      <w:pPr>
        <w:spacing w:line="269" w:lineRule="auto"/>
        <w:rPr>
          <w:rFonts w:eastAsia="Calibri"/>
        </w:rPr>
      </w:pPr>
    </w:p>
    <w:p w:rsidR="0016536A" w:rsidRPr="0016536A" w:rsidP="004614AF">
      <w:pPr>
        <w:spacing w:line="269" w:lineRule="auto"/>
        <w:rPr>
          <w:rFonts w:eastAsia="Calibri"/>
          <w:rtl/>
        </w:rPr>
      </w:pPr>
      <w:r w:rsidRPr="0016536A">
        <w:rPr>
          <w:rFonts w:eastAsia="Calibri" w:hint="cs"/>
          <w:rtl/>
        </w:rPr>
        <w:t>צוות הביקורת בחן את הקשר בין ביצוע פעולות המניעה לבין רמת הבריאות של זקנים, כדי לבדוק את ההשפעה של ההשקעה של משרד הבריאות וקופות החולים בפעולות המניעה על שימור הבריאות של הזקנים.</w:t>
      </w:r>
    </w:p>
    <w:p w:rsidR="0016536A" w:rsidRPr="0016536A" w:rsidP="004614AF">
      <w:pPr>
        <w:spacing w:line="269" w:lineRule="auto"/>
        <w:rPr>
          <w:rFonts w:eastAsia="Calibri"/>
          <w:b/>
          <w:bCs/>
          <w:rtl/>
        </w:rPr>
      </w:pPr>
    </w:p>
    <w:p w:rsidR="0016536A" w:rsidRPr="0016536A" w:rsidP="004614AF">
      <w:pPr>
        <w:keepNext/>
        <w:keepLines/>
        <w:spacing w:line="269" w:lineRule="auto"/>
        <w:outlineLvl w:val="2"/>
        <w:rPr>
          <w:rFonts w:eastAsia="Times New Roman"/>
          <w:bCs/>
          <w:szCs w:val="28"/>
          <w:rtl/>
        </w:rPr>
      </w:pPr>
      <w:r w:rsidRPr="0016536A">
        <w:rPr>
          <w:rFonts w:eastAsia="Times New Roman" w:hint="cs"/>
          <w:bCs/>
          <w:szCs w:val="28"/>
          <w:rtl/>
        </w:rPr>
        <w:t xml:space="preserve">השפעתן של פעולות רפואה מונעת וקידום בריאות של משרד הבריאות ושל קופות החולים על שימור בריאות בקרב זקנים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משרד הבריאות מפעיל תוכניות מניעה וקידום בריאות כדוגמת "אפשריבריא"</w:t>
      </w:r>
      <w:r>
        <w:rPr>
          <w:rFonts w:eastAsia="Calibri"/>
          <w:vertAlign w:val="superscript"/>
          <w:rtl/>
        </w:rPr>
        <w:footnoteReference w:id="104"/>
      </w:r>
      <w:r w:rsidRPr="0016536A">
        <w:rPr>
          <w:rFonts w:eastAsia="Calibri" w:hint="cs"/>
          <w:rtl/>
        </w:rPr>
        <w:t xml:space="preserve"> ותוכנית למניעת נפילות</w:t>
      </w:r>
      <w:r>
        <w:rPr>
          <w:rFonts w:eastAsia="Calibri"/>
          <w:vertAlign w:val="superscript"/>
          <w:rtl/>
        </w:rPr>
        <w:footnoteReference w:id="105"/>
      </w:r>
      <w:r w:rsidRPr="0016536A">
        <w:rPr>
          <w:rFonts w:eastAsia="Calibri" w:hint="cs"/>
          <w:rtl/>
        </w:rPr>
        <w:t>; ומפרסם מבחני תמיכה</w:t>
      </w:r>
      <w:r>
        <w:rPr>
          <w:rFonts w:eastAsia="Calibri"/>
          <w:vertAlign w:val="superscript"/>
          <w:rtl/>
        </w:rPr>
        <w:footnoteReference w:id="106"/>
      </w:r>
      <w:r w:rsidRPr="0016536A">
        <w:rPr>
          <w:rFonts w:eastAsia="Calibri" w:hint="cs"/>
          <w:rtl/>
        </w:rPr>
        <w:t xml:space="preserve"> הכוללים, בין היתר, התייחסות למניעת מחלות וקידום בריאות</w:t>
      </w:r>
      <w:r>
        <w:rPr>
          <w:rFonts w:eastAsia="Calibri"/>
          <w:vertAlign w:val="superscript"/>
          <w:rtl/>
        </w:rPr>
        <w:footnoteReference w:id="107"/>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כמו כן, הוועדה הבין-משרדית</w:t>
      </w:r>
      <w:r>
        <w:rPr>
          <w:rFonts w:eastAsia="Calibri"/>
          <w:vertAlign w:val="superscript"/>
          <w:rtl/>
        </w:rPr>
        <w:footnoteReference w:id="108"/>
      </w:r>
      <w:r w:rsidRPr="0016536A">
        <w:rPr>
          <w:rFonts w:eastAsia="Calibri" w:hint="cs"/>
          <w:rtl/>
        </w:rPr>
        <w:t xml:space="preserve"> וכוח המשימה הישראלי בנושא קידום בריאות ורפואה מונעת (להלן - כוח המשימה)</w:t>
      </w:r>
      <w:r>
        <w:rPr>
          <w:rFonts w:eastAsia="Calibri"/>
          <w:vertAlign w:val="superscript"/>
          <w:rtl/>
        </w:rPr>
        <w:footnoteReference w:id="109"/>
      </w:r>
      <w:r w:rsidRPr="0016536A">
        <w:rPr>
          <w:rFonts w:eastAsia="Calibri" w:hint="cs"/>
          <w:rtl/>
        </w:rPr>
        <w:t xml:space="preserve"> גיבשו סדרה של פעולות מומלצות בתחומי המניעה הראשונית והשניונית וקידום הבריאות לאוכלוסיית הזקנים, המכוונות לאנשי מקצוע בתחום הרפואה הראשונית, כדוגמת רופאי משפחה ואחיות במרפאות קופות החולים. הפעולות המומלצות כוללות: </w:t>
      </w:r>
    </w:p>
    <w:p w:rsidR="0016536A" w:rsidRPr="0016536A" w:rsidP="004614AF">
      <w:pPr>
        <w:spacing w:line="269" w:lineRule="auto"/>
        <w:rPr>
          <w:rFonts w:eastAsia="Calibri"/>
          <w:rtl/>
        </w:rPr>
      </w:pPr>
    </w:p>
    <w:p w:rsidR="0016536A" w:rsidRPr="0016536A" w:rsidP="004614AF">
      <w:pPr>
        <w:numPr>
          <w:ilvl w:val="0"/>
          <w:numId w:val="33"/>
        </w:numPr>
        <w:spacing w:line="269" w:lineRule="auto"/>
        <w:contextualSpacing/>
        <w:rPr>
          <w:rFonts w:eastAsia="Calibri"/>
        </w:rPr>
      </w:pPr>
      <w:r w:rsidRPr="0016536A">
        <w:rPr>
          <w:rFonts w:eastAsia="Times New Roman"/>
          <w:bCs/>
          <w:spacing w:val="40"/>
          <w:rtl/>
        </w:rPr>
        <w:t>ביקור יזום</w:t>
      </w:r>
      <w:r w:rsidRPr="0016536A">
        <w:rPr>
          <w:rFonts w:eastAsia="Times New Roman" w:hint="cs"/>
          <w:bCs/>
          <w:spacing w:val="40"/>
          <w:rtl/>
        </w:rPr>
        <w:t>:</w:t>
      </w:r>
      <w:r w:rsidRPr="0016536A">
        <w:rPr>
          <w:rFonts w:eastAsia="Calibri"/>
          <w:rtl/>
        </w:rPr>
        <w:t xml:space="preserve"> </w:t>
      </w:r>
      <w:r w:rsidRPr="0016536A">
        <w:rPr>
          <w:rFonts w:eastAsia="Calibri" w:hint="cs"/>
          <w:rtl/>
        </w:rPr>
        <w:t xml:space="preserve">מפגש שיוזמים אנשי הצוות הרפואי עם מטופלים זקנים </w:t>
      </w:r>
      <w:r w:rsidRPr="0016536A">
        <w:rPr>
          <w:rFonts w:eastAsia="Calibri"/>
          <w:rtl/>
        </w:rPr>
        <w:t>לשם הערכה של גורמי סיכון פיזיים, קוגניטיביים ונפשיים ובניית תוכנית מניעה בהתאם</w:t>
      </w:r>
      <w:r>
        <w:rPr>
          <w:rFonts w:eastAsia="Calibri"/>
          <w:vertAlign w:val="superscript"/>
          <w:rtl/>
        </w:rPr>
        <w:footnoteReference w:id="110"/>
      </w:r>
      <w:r w:rsidRPr="0016536A">
        <w:rPr>
          <w:rFonts w:eastAsia="Calibri" w:hint="cs"/>
          <w:rtl/>
        </w:rPr>
        <w:t>.</w:t>
      </w:r>
      <w:r w:rsidRPr="0016536A">
        <w:rPr>
          <w:rFonts w:eastAsia="Calibri"/>
          <w:rtl/>
        </w:rPr>
        <w:t xml:space="preserve"> </w:t>
      </w:r>
      <w:r w:rsidRPr="0016536A">
        <w:rPr>
          <w:rFonts w:eastAsia="Calibri" w:hint="cs"/>
          <w:rtl/>
        </w:rPr>
        <w:t>ביקור יזום הוא חלק מצירי הפעולה שהתוותה התוכנית להזדקנות מיטבית של משרד הבריאות בתחום קידום המניעה בקופות החולים</w:t>
      </w:r>
      <w:r>
        <w:rPr>
          <w:rFonts w:eastAsia="Calibri"/>
          <w:vertAlign w:val="superscript"/>
          <w:rtl/>
        </w:rPr>
        <w:footnoteReference w:id="111"/>
      </w:r>
      <w:r w:rsidRPr="0016536A">
        <w:rPr>
          <w:rFonts w:eastAsia="Calibri" w:hint="cs"/>
          <w:rtl/>
        </w:rPr>
        <w:t>.</w:t>
      </w:r>
    </w:p>
    <w:p w:rsidR="0016536A" w:rsidRPr="0016536A" w:rsidP="004614AF">
      <w:pPr>
        <w:spacing w:line="269" w:lineRule="auto"/>
        <w:rPr>
          <w:rFonts w:eastAsia="Calibri"/>
          <w:rtl/>
        </w:rPr>
      </w:pPr>
    </w:p>
    <w:p w:rsidR="0016536A" w:rsidRPr="0016536A" w:rsidP="004614AF">
      <w:pPr>
        <w:numPr>
          <w:ilvl w:val="0"/>
          <w:numId w:val="33"/>
        </w:numPr>
        <w:spacing w:line="269" w:lineRule="auto"/>
        <w:contextualSpacing/>
        <w:rPr>
          <w:rFonts w:eastAsia="Calibri"/>
        </w:rPr>
      </w:pPr>
      <w:r w:rsidRPr="0016536A">
        <w:rPr>
          <w:rFonts w:eastAsia="Times New Roman" w:hint="cs"/>
          <w:bCs/>
          <w:spacing w:val="40"/>
          <w:rtl/>
        </w:rPr>
        <w:t>קידום אורח חיים בריא:</w:t>
      </w:r>
      <w:r w:rsidRPr="0016536A">
        <w:rPr>
          <w:rFonts w:eastAsia="Calibri" w:hint="cs"/>
          <w:rtl/>
        </w:rPr>
        <w:t xml:space="preserve"> </w:t>
      </w:r>
      <w:r w:rsidRPr="0016536A">
        <w:rPr>
          <w:rFonts w:eastAsia="Calibri"/>
          <w:rtl/>
        </w:rPr>
        <w:t xml:space="preserve">ביצוע פעילות גופנית מותאמת לרמת הכושר הגופני ולרמת התפקוד; תזונה נאותה המתבססת על תזונה ים תיכונית וכוללת ויטמין </w:t>
      </w:r>
      <w:r w:rsidRPr="0016536A">
        <w:rPr>
          <w:rFonts w:eastAsia="Calibri"/>
        </w:rPr>
        <w:t>D</w:t>
      </w:r>
      <w:r w:rsidRPr="0016536A">
        <w:rPr>
          <w:rFonts w:eastAsia="Calibri"/>
          <w:rtl/>
        </w:rPr>
        <w:t xml:space="preserve">, סידן, </w:t>
      </w:r>
      <w:r w:rsidRPr="0016536A">
        <w:rPr>
          <w:rFonts w:eastAsia="Calibri"/>
        </w:rPr>
        <w:t>B12</w:t>
      </w:r>
      <w:r w:rsidRPr="0016536A">
        <w:rPr>
          <w:rFonts w:eastAsia="Calibri"/>
          <w:rtl/>
        </w:rPr>
        <w:t>, סיבים תזונתיים</w:t>
      </w:r>
      <w:r w:rsidRPr="0016536A">
        <w:rPr>
          <w:rFonts w:eastAsia="Calibri" w:hint="cs"/>
          <w:rtl/>
        </w:rPr>
        <w:t>,</w:t>
      </w:r>
      <w:r w:rsidRPr="0016536A">
        <w:rPr>
          <w:rFonts w:eastAsia="Calibri"/>
          <w:rtl/>
        </w:rPr>
        <w:t xml:space="preserve"> שתייה מרובה ומיעוט נתרן ושומן רווי וטראנס; שמירה על משקל תקין</w:t>
      </w:r>
      <w:r w:rsidRPr="0016536A">
        <w:rPr>
          <w:rFonts w:eastAsia="Calibri" w:hint="cs"/>
          <w:rtl/>
        </w:rPr>
        <w:t xml:space="preserve"> ובכלל זה</w:t>
      </w:r>
      <w:r w:rsidRPr="0016536A">
        <w:rPr>
          <w:rFonts w:eastAsia="Calibri"/>
          <w:rtl/>
        </w:rPr>
        <w:t xml:space="preserve"> מעקב אחרי </w:t>
      </w:r>
      <w:r w:rsidRPr="0016536A">
        <w:rPr>
          <w:rFonts w:eastAsia="Calibri" w:hint="cs"/>
          <w:rtl/>
        </w:rPr>
        <w:t>מסת הגוף</w:t>
      </w:r>
      <w:r w:rsidRPr="0016536A">
        <w:rPr>
          <w:rFonts w:eastAsia="Calibri"/>
          <w:rtl/>
        </w:rPr>
        <w:t xml:space="preserve"> (</w:t>
      </w:r>
      <w:r w:rsidRPr="0016536A">
        <w:rPr>
          <w:rFonts w:eastAsia="Calibri"/>
        </w:rPr>
        <w:t>BMI</w:t>
      </w:r>
      <w:r w:rsidRPr="0016536A">
        <w:rPr>
          <w:rFonts w:eastAsia="Calibri"/>
          <w:rtl/>
        </w:rPr>
        <w:t>)</w:t>
      </w:r>
      <w:r w:rsidRPr="0016536A">
        <w:rPr>
          <w:rFonts w:eastAsia="Calibri" w:hint="cs"/>
          <w:rtl/>
        </w:rPr>
        <w:t>,</w:t>
      </w:r>
      <w:r w:rsidRPr="0016536A">
        <w:rPr>
          <w:rFonts w:eastAsia="Calibri"/>
          <w:rtl/>
        </w:rPr>
        <w:t xml:space="preserve"> תוך התייחסות לתת-משקל ולעודף משקל; גמילה מעישון; איתור הפרעות שינה והתערבויות לשיפור</w:t>
      </w:r>
      <w:r w:rsidRPr="0016536A">
        <w:rPr>
          <w:rFonts w:eastAsia="Calibri" w:hint="cs"/>
          <w:rtl/>
        </w:rPr>
        <w:t xml:space="preserve"> השינה</w:t>
      </w:r>
      <w:r w:rsidRPr="0016536A">
        <w:rPr>
          <w:rFonts w:eastAsia="Calibri"/>
          <w:rtl/>
        </w:rPr>
        <w:t>.</w:t>
      </w:r>
    </w:p>
    <w:p w:rsidR="0016536A" w:rsidRPr="0016536A" w:rsidP="004614AF">
      <w:pPr>
        <w:spacing w:line="269" w:lineRule="auto"/>
        <w:rPr>
          <w:rFonts w:eastAsia="Calibri"/>
        </w:rPr>
      </w:pPr>
    </w:p>
    <w:p w:rsidR="0016536A" w:rsidRPr="0016536A" w:rsidP="004614AF">
      <w:pPr>
        <w:numPr>
          <w:ilvl w:val="0"/>
          <w:numId w:val="33"/>
        </w:numPr>
        <w:spacing w:line="269" w:lineRule="auto"/>
        <w:contextualSpacing/>
        <w:rPr>
          <w:rFonts w:eastAsia="Calibri"/>
        </w:rPr>
      </w:pPr>
      <w:r w:rsidRPr="0016536A">
        <w:rPr>
          <w:rFonts w:eastAsia="Times New Roman" w:hint="cs"/>
          <w:bCs/>
          <w:spacing w:val="40"/>
          <w:rtl/>
        </w:rPr>
        <w:t>חיסונים:</w:t>
      </w:r>
      <w:r w:rsidRPr="0016536A">
        <w:rPr>
          <w:rFonts w:eastAsia="Calibri" w:hint="cs"/>
          <w:rtl/>
        </w:rPr>
        <w:t xml:space="preserve"> נטילת</w:t>
      </w:r>
      <w:r w:rsidRPr="0016536A">
        <w:rPr>
          <w:rFonts w:eastAsia="Calibri"/>
          <w:rtl/>
        </w:rPr>
        <w:t xml:space="preserve"> חיסון למניעת שפעת; חיסון למניעת דלקת ריאות (פנאומוקוק); חיסון למניעת שלבקת חוגרת</w:t>
      </w:r>
      <w:r w:rsidRPr="0016536A">
        <w:rPr>
          <w:rFonts w:eastAsia="Calibri" w:hint="cs"/>
          <w:rtl/>
        </w:rPr>
        <w:t xml:space="preserve"> וחיסון נגד טטנוס.</w:t>
      </w:r>
    </w:p>
    <w:p w:rsidR="0016536A" w:rsidRPr="0016536A" w:rsidP="004614AF">
      <w:pPr>
        <w:spacing w:line="269" w:lineRule="auto"/>
        <w:rPr>
          <w:rFonts w:eastAsia="Calibri"/>
        </w:rPr>
      </w:pPr>
    </w:p>
    <w:p w:rsidR="0016536A" w:rsidRPr="0016536A" w:rsidP="004614AF">
      <w:pPr>
        <w:numPr>
          <w:ilvl w:val="0"/>
          <w:numId w:val="33"/>
        </w:numPr>
        <w:spacing w:line="269" w:lineRule="auto"/>
        <w:contextualSpacing/>
        <w:rPr>
          <w:rFonts w:eastAsia="Calibri"/>
        </w:rPr>
      </w:pPr>
      <w:r w:rsidRPr="0016536A">
        <w:rPr>
          <w:rFonts w:eastAsia="Times New Roman" w:hint="cs"/>
          <w:bCs/>
          <w:spacing w:val="40"/>
          <w:rtl/>
        </w:rPr>
        <w:t>בדיקות:</w:t>
      </w:r>
      <w:r w:rsidRPr="0016536A">
        <w:rPr>
          <w:rFonts w:eastAsia="Calibri" w:hint="cs"/>
          <w:rtl/>
        </w:rPr>
        <w:t xml:space="preserve"> </w:t>
      </w:r>
      <w:r w:rsidRPr="0016536A">
        <w:rPr>
          <w:rFonts w:eastAsia="Calibri"/>
          <w:rtl/>
        </w:rPr>
        <w:t>מדידת לחץ דם לאיתור יתר לחץ דם; איתור יתר כולסטרול בדם; איתור סוכרת; בדיקות סקר לסרטן המעי הגס; בדיקות סקר לסרטן השד</w:t>
      </w:r>
      <w:r w:rsidRPr="0016536A">
        <w:rPr>
          <w:rFonts w:eastAsia="Calibri" w:hint="cs"/>
          <w:rtl/>
        </w:rPr>
        <w:t>.</w:t>
      </w:r>
      <w:r w:rsidRPr="0016536A">
        <w:rPr>
          <w:rFonts w:eastAsia="Calibri"/>
          <w:rtl/>
        </w:rPr>
        <w:t xml:space="preserve"> </w:t>
      </w:r>
    </w:p>
    <w:p w:rsidR="0016536A" w:rsidRPr="0016536A" w:rsidP="004614AF">
      <w:pPr>
        <w:spacing w:line="269" w:lineRule="auto"/>
        <w:ind w:left="720"/>
        <w:contextualSpacing/>
        <w:rPr>
          <w:rFonts w:eastAsia="Calibri"/>
          <w:rtl/>
        </w:rPr>
      </w:pPr>
    </w:p>
    <w:p w:rsidR="0016536A" w:rsidRPr="0016536A" w:rsidP="004614AF">
      <w:pPr>
        <w:spacing w:line="269" w:lineRule="auto"/>
        <w:ind w:left="340"/>
        <w:contextualSpacing/>
        <w:rPr>
          <w:rFonts w:eastAsia="Calibri"/>
        </w:rPr>
      </w:pPr>
    </w:p>
    <w:p w:rsidR="0016536A" w:rsidRPr="0016536A" w:rsidP="004614AF">
      <w:pPr>
        <w:numPr>
          <w:ilvl w:val="0"/>
          <w:numId w:val="33"/>
        </w:numPr>
        <w:spacing w:line="269" w:lineRule="auto"/>
        <w:contextualSpacing/>
        <w:rPr>
          <w:rFonts w:eastAsia="Calibri"/>
        </w:rPr>
      </w:pPr>
      <w:r w:rsidRPr="0016536A">
        <w:rPr>
          <w:rFonts w:eastAsia="Times New Roman" w:hint="cs"/>
          <w:bCs/>
          <w:spacing w:val="40"/>
          <w:rtl/>
        </w:rPr>
        <w:t>איתור:</w:t>
      </w:r>
      <w:r w:rsidRPr="0016536A">
        <w:rPr>
          <w:rFonts w:eastAsia="Calibri" w:hint="cs"/>
          <w:rtl/>
        </w:rPr>
        <w:t xml:space="preserve"> </w:t>
      </w:r>
      <w:r w:rsidRPr="0016536A">
        <w:rPr>
          <w:rFonts w:eastAsia="Calibri"/>
          <w:rtl/>
        </w:rPr>
        <w:t xml:space="preserve">סקר להערכת הסיכון לנפילות; איתור דיכאון; איתור השימוש </w:t>
      </w:r>
      <w:r w:rsidRPr="0016536A">
        <w:rPr>
          <w:rFonts w:eastAsia="Calibri" w:hint="cs"/>
          <w:rtl/>
        </w:rPr>
        <w:t>ב</w:t>
      </w:r>
      <w:r w:rsidRPr="0016536A">
        <w:rPr>
          <w:rFonts w:eastAsia="Calibri"/>
          <w:rtl/>
        </w:rPr>
        <w:t>ריבוי תרופות; איתור דמנציה; איתור אי</w:t>
      </w:r>
      <w:r w:rsidRPr="0016536A">
        <w:rPr>
          <w:rFonts w:eastAsia="Calibri" w:hint="cs"/>
          <w:rtl/>
        </w:rPr>
        <w:t>-</w:t>
      </w:r>
      <w:r w:rsidRPr="0016536A">
        <w:rPr>
          <w:rFonts w:eastAsia="Calibri"/>
          <w:rtl/>
        </w:rPr>
        <w:t>נקיטת שתן (דליפת שתן) בקרב נשים</w:t>
      </w:r>
      <w:r w:rsidRPr="0016536A">
        <w:rPr>
          <w:rFonts w:eastAsia="Calibri" w:hint="cs"/>
          <w:rtl/>
        </w:rPr>
        <w:t>.</w:t>
      </w:r>
    </w:p>
    <w:p w:rsidR="0016536A" w:rsidRPr="0016536A" w:rsidP="004614AF">
      <w:pPr>
        <w:spacing w:line="269" w:lineRule="auto"/>
        <w:ind w:left="340"/>
        <w:contextualSpacing/>
        <w:rPr>
          <w:rFonts w:eastAsia="Calibri"/>
        </w:rPr>
      </w:pPr>
    </w:p>
    <w:p w:rsidR="00C77AC7">
      <w:pPr>
        <w:bidi w:val="0"/>
        <w:spacing w:after="200" w:line="276" w:lineRule="auto"/>
        <w:rPr>
          <w:rFonts w:eastAsia="Times New Roman"/>
          <w:bCs/>
          <w:szCs w:val="28"/>
          <w:rtl/>
        </w:rPr>
      </w:pPr>
      <w:r>
        <w:rPr>
          <w:rFonts w:eastAsia="Times New Roman"/>
          <w:bCs/>
          <w:szCs w:val="28"/>
          <w:rtl/>
        </w:rPr>
        <w:br w:type="page"/>
      </w:r>
    </w:p>
    <w:p w:rsidR="0016536A" w:rsidRPr="0016536A" w:rsidP="004614AF">
      <w:pPr>
        <w:keepNext/>
        <w:keepLines/>
        <w:spacing w:line="269" w:lineRule="auto"/>
        <w:outlineLvl w:val="2"/>
        <w:rPr>
          <w:rFonts w:eastAsia="Times New Roman"/>
          <w:bCs/>
          <w:szCs w:val="28"/>
          <w:rtl/>
        </w:rPr>
      </w:pPr>
      <w:r w:rsidRPr="0016536A">
        <w:rPr>
          <w:rFonts w:eastAsia="Times New Roman" w:hint="cs"/>
          <w:bCs/>
          <w:szCs w:val="28"/>
          <w:rtl/>
        </w:rPr>
        <w:t>ביצוע פעולות מניעה לצורך שימור בריאות ומניעת שבריריות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תכליתן של פעולות המניעה וקידום הבריאות היא לשמר את בריאותם של זקנים ולדחוק ככל הניתן את הגיל שבו הם מתחילים לפתח מחלות ולהידרדר בריאותית. בכך יש כדי לסייע בהארכת תוחלת החיים הבריאים שלהם ולהקל את העומס הצפוי על מערכת הבריאות.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כדי לעמוד על הקשר בין ביצוע פעולות המניעה לבין רמת הבריאות של זקנים ניתח צוות הביקורת את הקשר בין מספר פעולות המניעה שביצעו הזקנים חברי אחת הקופות בשנים 2019 - 2024</w:t>
      </w:r>
      <w:r>
        <w:rPr>
          <w:rFonts w:eastAsia="Calibri"/>
          <w:vertAlign w:val="superscript"/>
          <w:rtl/>
        </w:rPr>
        <w:footnoteReference w:id="112"/>
      </w:r>
      <w:r w:rsidRPr="0016536A">
        <w:rPr>
          <w:rFonts w:eastAsia="Calibri" w:hint="cs"/>
          <w:rtl/>
        </w:rPr>
        <w:t xml:space="preserve">, לבין ציון השבריריות שלהם בשנת 2025, כאשר </w:t>
      </w:r>
      <w:r w:rsidRPr="0016536A">
        <w:rPr>
          <w:rFonts w:eastAsia="Calibri"/>
          <w:rtl/>
        </w:rPr>
        <w:t xml:space="preserve">ציון שבריריות גבוה מעיד על מצב בריאותי </w:t>
      </w:r>
      <w:r w:rsidRPr="0016536A">
        <w:rPr>
          <w:rFonts w:eastAsia="Calibri" w:hint="cs"/>
          <w:rtl/>
        </w:rPr>
        <w:t>ירוד</w:t>
      </w:r>
      <w:r w:rsidRPr="0016536A">
        <w:rPr>
          <w:rFonts w:eastAsia="Calibri"/>
          <w:rtl/>
        </w:rPr>
        <w:t xml:space="preserve"> יותר</w:t>
      </w:r>
      <w:r w:rsidRPr="0016536A">
        <w:rPr>
          <w:rFonts w:eastAsia="Calibri" w:hint="cs"/>
          <w:rtl/>
        </w:rPr>
        <w:t>,</w:t>
      </w:r>
      <w:r w:rsidRPr="0016536A">
        <w:rPr>
          <w:rFonts w:eastAsia="Calibri"/>
          <w:rtl/>
        </w:rPr>
        <w:t xml:space="preserve"> וציון נמוך מעיד על מצב בריאותי טוב יותר</w:t>
      </w:r>
      <w:r w:rsidRPr="0016536A">
        <w:rPr>
          <w:rFonts w:eastAsia="Calibri" w:hint="cs"/>
          <w:sz w:val="16"/>
          <w:szCs w:val="20"/>
          <w:rtl/>
        </w:rPr>
        <w:t xml:space="preserve">. </w:t>
      </w:r>
      <w:r w:rsidRPr="0016536A">
        <w:rPr>
          <w:rFonts w:eastAsia="Calibri" w:hint="cs"/>
          <w:rtl/>
        </w:rPr>
        <w:t xml:space="preserve">הקשר מוצג בתרשים שלהלן. </w:t>
      </w: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cs"/>
          <w:rtl/>
        </w:rPr>
        <w:t xml:space="preserve">תרשים 12: </w:t>
      </w:r>
      <w:r w:rsidRPr="0016536A">
        <w:rPr>
          <w:rFonts w:eastAsia="Calibri" w:hint="cs"/>
          <w:b/>
          <w:bCs/>
          <w:rtl/>
        </w:rPr>
        <w:t>הקשר בין מספר פעולות המניעה לציון השבריריות, 2019 - 2025</w:t>
      </w:r>
    </w:p>
    <w:p w:rsidR="0016536A" w:rsidRPr="0016536A" w:rsidP="004614AF">
      <w:pPr>
        <w:spacing w:line="269" w:lineRule="auto"/>
        <w:jc w:val="center"/>
        <w:rPr>
          <w:rFonts w:eastAsia="Calibri"/>
        </w:rPr>
      </w:pPr>
      <w:r w:rsidRPr="0016536A">
        <w:rPr>
          <w:rFonts w:eastAsia="Calibri"/>
          <w:noProof/>
        </w:rPr>
        <w:drawing>
          <wp:inline distT="0" distB="0" distL="0" distR="0">
            <wp:extent cx="3714750" cy="3372238"/>
            <wp:effectExtent l="0" t="0" r="0" b="0"/>
            <wp:docPr id="214" name="תמונה 214" descr="תרשים קו המציג קשר בין מספר פעולות מניעה לבין ציון שבירויות.&#10;&#10;ציר אופקי: מספר פעולות מניעה, מ-0 עד מעל 30.&#10;&#10;ציר אנכי: ציון שבירויות, ממצב בריאות טוב למצב בריאות גרע.&#10;&#10;הקו עולה בהדרגה: ככל שמספר פעולות המניעה גבוה יותר, ציון השבירויות גבוה יותר. בקצה הימני מופיע טווח רחב סביב הקו.&#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pic:nvPicPr>
                  <pic:blipFill>
                    <a:blip xmlns:r="http://schemas.openxmlformats.org/officeDocument/2006/relationships" r:embed="rId28"/>
                    <a:stretch>
                      <a:fillRect/>
                    </a:stretch>
                  </pic:blipFill>
                  <pic:spPr>
                    <a:xfrm>
                      <a:off x="0" y="0"/>
                      <a:ext cx="3745467" cy="3400123"/>
                    </a:xfrm>
                    <a:prstGeom prst="rect">
                      <a:avLst/>
                    </a:prstGeom>
                  </pic:spPr>
                </pic:pic>
              </a:graphicData>
            </a:graphic>
          </wp:inline>
        </w:drawing>
      </w:r>
    </w:p>
    <w:p w:rsidR="0016536A" w:rsidRPr="0016536A" w:rsidP="004614AF">
      <w:pPr>
        <w:spacing w:line="269" w:lineRule="auto"/>
        <w:rPr>
          <w:rFonts w:eastAsia="Calibri"/>
          <w:sz w:val="16"/>
          <w:szCs w:val="20"/>
          <w:rtl/>
        </w:rPr>
      </w:pPr>
      <w:r w:rsidRPr="0016536A">
        <w:rPr>
          <w:rFonts w:eastAsia="Calibri" w:hint="cs"/>
          <w:sz w:val="16"/>
          <w:szCs w:val="20"/>
          <w:rtl/>
        </w:rPr>
        <w:t>על פי נתוני אחת הקופות, בעיבוד משרד מבקר המדינה.</w:t>
      </w:r>
    </w:p>
    <w:p w:rsidR="0016536A" w:rsidP="004614AF">
      <w:pPr>
        <w:spacing w:line="269" w:lineRule="auto"/>
        <w:rPr>
          <w:rFonts w:eastAsia="Calibri"/>
          <w:sz w:val="16"/>
          <w:szCs w:val="20"/>
          <w:rtl/>
        </w:rPr>
      </w:pPr>
      <w:r w:rsidRPr="0016536A">
        <w:rPr>
          <w:rFonts w:eastAsia="Calibri" w:hint="cs"/>
          <w:sz w:val="16"/>
          <w:szCs w:val="20"/>
          <w:rtl/>
        </w:rPr>
        <w:t>* ה</w:t>
      </w:r>
      <w:r w:rsidRPr="0016536A">
        <w:rPr>
          <w:rFonts w:eastAsia="Calibri"/>
          <w:sz w:val="16"/>
          <w:szCs w:val="20"/>
          <w:rtl/>
        </w:rPr>
        <w:t xml:space="preserve">קו הכחול בתרשים הוא קו החלקה, שמתאר את המגמה הכללית בקשר </w:t>
      </w:r>
      <w:r w:rsidRPr="0016536A">
        <w:rPr>
          <w:rFonts w:eastAsia="Calibri" w:hint="cs"/>
          <w:sz w:val="16"/>
          <w:szCs w:val="20"/>
          <w:rtl/>
        </w:rPr>
        <w:t>ש</w:t>
      </w:r>
      <w:r w:rsidRPr="0016536A">
        <w:rPr>
          <w:rFonts w:eastAsia="Calibri"/>
          <w:sz w:val="16"/>
          <w:szCs w:val="20"/>
          <w:rtl/>
        </w:rPr>
        <w:t xml:space="preserve">בין מספר פעולות המניעה לבין </w:t>
      </w:r>
      <w:r w:rsidRPr="0016536A">
        <w:rPr>
          <w:rFonts w:eastAsia="Calibri" w:hint="cs"/>
          <w:sz w:val="16"/>
          <w:szCs w:val="20"/>
          <w:rtl/>
        </w:rPr>
        <w:t>ציון השבריריות</w:t>
      </w:r>
      <w:r w:rsidRPr="0016536A">
        <w:rPr>
          <w:rFonts w:eastAsia="Calibri"/>
          <w:sz w:val="16"/>
          <w:szCs w:val="20"/>
          <w:rtl/>
        </w:rPr>
        <w:t xml:space="preserve">. הקו מחליק את השינויים במקום להציג כל תנודה קטנה בנתונים, ומציג את הכיוון הממוצע </w:t>
      </w:r>
      <w:r w:rsidRPr="0016536A">
        <w:rPr>
          <w:rFonts w:eastAsia="Calibri" w:hint="cs"/>
          <w:sz w:val="16"/>
          <w:szCs w:val="20"/>
          <w:rtl/>
        </w:rPr>
        <w:t>-</w:t>
      </w:r>
      <w:r w:rsidRPr="0016536A">
        <w:rPr>
          <w:rFonts w:eastAsia="Calibri"/>
          <w:sz w:val="16"/>
          <w:szCs w:val="20"/>
          <w:rtl/>
        </w:rPr>
        <w:t xml:space="preserve"> כך שאפשר לראות בצורה ברורה אם יש שיפור, החמרה או יציבות ככל שמספר פעולות </w:t>
      </w:r>
      <w:r w:rsidRPr="0016536A">
        <w:rPr>
          <w:rFonts w:eastAsia="Calibri" w:hint="cs"/>
          <w:sz w:val="16"/>
          <w:szCs w:val="20"/>
          <w:rtl/>
        </w:rPr>
        <w:t xml:space="preserve">המניעה </w:t>
      </w:r>
      <w:r w:rsidRPr="0016536A">
        <w:rPr>
          <w:rFonts w:eastAsia="Calibri"/>
          <w:sz w:val="16"/>
          <w:szCs w:val="20"/>
          <w:rtl/>
        </w:rPr>
        <w:t>עולה.</w:t>
      </w:r>
      <w:r w:rsidRPr="0016536A">
        <w:rPr>
          <w:rFonts w:eastAsia="Calibri" w:hint="cs"/>
          <w:sz w:val="16"/>
          <w:szCs w:val="20"/>
          <w:rtl/>
        </w:rPr>
        <w:t xml:space="preserve"> ה</w:t>
      </w:r>
      <w:r w:rsidRPr="0016536A">
        <w:rPr>
          <w:rFonts w:eastAsia="Calibri"/>
          <w:sz w:val="16"/>
          <w:szCs w:val="20"/>
          <w:rtl/>
        </w:rPr>
        <w:t xml:space="preserve">שטח האפור סביב הקו מראה את מידת </w:t>
      </w:r>
      <w:r w:rsidRPr="0016536A">
        <w:rPr>
          <w:rFonts w:eastAsia="Calibri" w:hint="cs"/>
          <w:sz w:val="16"/>
          <w:szCs w:val="20"/>
          <w:rtl/>
        </w:rPr>
        <w:t>אי-הוודאות</w:t>
      </w:r>
      <w:r w:rsidRPr="0016536A">
        <w:rPr>
          <w:rFonts w:eastAsia="Calibri"/>
          <w:sz w:val="16"/>
          <w:szCs w:val="20"/>
          <w:rtl/>
        </w:rPr>
        <w:t xml:space="preserve">: כשהוא צר </w:t>
      </w:r>
      <w:r w:rsidRPr="0016536A">
        <w:rPr>
          <w:rFonts w:eastAsia="Calibri" w:hint="cs"/>
          <w:sz w:val="16"/>
          <w:szCs w:val="20"/>
          <w:rtl/>
        </w:rPr>
        <w:t xml:space="preserve">יש </w:t>
      </w:r>
      <w:r w:rsidRPr="0016536A">
        <w:rPr>
          <w:rFonts w:eastAsia="Calibri"/>
          <w:sz w:val="16"/>
          <w:szCs w:val="20"/>
          <w:rtl/>
        </w:rPr>
        <w:t xml:space="preserve">יותר </w:t>
      </w:r>
      <w:r w:rsidRPr="0016536A">
        <w:rPr>
          <w:rFonts w:eastAsia="Calibri" w:hint="cs"/>
          <w:sz w:val="16"/>
          <w:szCs w:val="20"/>
          <w:rtl/>
        </w:rPr>
        <w:t xml:space="preserve">ביטחון </w:t>
      </w:r>
      <w:r w:rsidRPr="0016536A">
        <w:rPr>
          <w:rFonts w:eastAsia="Calibri"/>
          <w:sz w:val="16"/>
          <w:szCs w:val="20"/>
          <w:rtl/>
        </w:rPr>
        <w:t xml:space="preserve">במגמה, וכשהוא רחב </w:t>
      </w:r>
      <w:r w:rsidRPr="0016536A">
        <w:rPr>
          <w:rFonts w:eastAsia="Calibri" w:hint="cs"/>
          <w:sz w:val="16"/>
          <w:szCs w:val="20"/>
          <w:rtl/>
        </w:rPr>
        <w:t>-</w:t>
      </w:r>
      <w:r w:rsidRPr="0016536A">
        <w:rPr>
          <w:rFonts w:eastAsia="Calibri"/>
          <w:sz w:val="16"/>
          <w:szCs w:val="20"/>
          <w:rtl/>
        </w:rPr>
        <w:t xml:space="preserve"> </w:t>
      </w:r>
      <w:r w:rsidRPr="0016536A">
        <w:rPr>
          <w:rFonts w:eastAsia="Calibri" w:hint="cs"/>
          <w:sz w:val="16"/>
          <w:szCs w:val="20"/>
          <w:rtl/>
        </w:rPr>
        <w:t>בקצה הימני של התרשים -</w:t>
      </w:r>
      <w:r w:rsidRPr="0016536A">
        <w:rPr>
          <w:rFonts w:eastAsia="Calibri"/>
          <w:sz w:val="16"/>
          <w:szCs w:val="20"/>
          <w:rtl/>
        </w:rPr>
        <w:t xml:space="preserve"> יש פחות ביטחון בגלל מיעוט נתונים</w:t>
      </w:r>
      <w:r w:rsidRPr="0016536A">
        <w:rPr>
          <w:rFonts w:eastAsia="Calibri" w:hint="cs"/>
          <w:sz w:val="16"/>
          <w:szCs w:val="20"/>
          <w:rtl/>
        </w:rPr>
        <w:t>.</w:t>
      </w:r>
    </w:p>
    <w:p w:rsidR="004614AF" w:rsidRPr="00AF088B" w:rsidP="004614AF">
      <w:pPr>
        <w:spacing w:line="269" w:lineRule="auto"/>
        <w:rPr>
          <w:rFonts w:eastAsia="Calibri"/>
          <w:sz w:val="16"/>
          <w:szCs w:val="20"/>
          <w:rtl/>
        </w:rPr>
      </w:pPr>
    </w:p>
    <w:p w:rsidR="0016536A" w:rsidRPr="0016536A" w:rsidP="004614AF">
      <w:pPr>
        <w:spacing w:line="269" w:lineRule="auto"/>
        <w:rPr>
          <w:rFonts w:eastAsia="Calibri"/>
          <w:b/>
          <w:bCs/>
          <w:rtl/>
        </w:rPr>
      </w:pPr>
      <w:r w:rsidRPr="0016536A">
        <w:rPr>
          <w:rFonts w:eastAsia="Calibri" w:hint="cs"/>
          <w:b/>
          <w:bCs/>
          <w:rtl/>
        </w:rPr>
        <w:t xml:space="preserve">היה </w:t>
      </w:r>
      <w:r w:rsidRPr="0016536A">
        <w:rPr>
          <w:rFonts w:eastAsia="Calibri"/>
          <w:b/>
          <w:bCs/>
          <w:rtl/>
        </w:rPr>
        <w:t xml:space="preserve">ניתן </w:t>
      </w:r>
      <w:r w:rsidRPr="0016536A">
        <w:rPr>
          <w:rFonts w:eastAsia="Calibri" w:hint="cs"/>
          <w:b/>
          <w:bCs/>
          <w:rtl/>
        </w:rPr>
        <w:t>להניח לכאורה</w:t>
      </w:r>
      <w:r w:rsidRPr="0016536A">
        <w:rPr>
          <w:rFonts w:eastAsia="Calibri"/>
          <w:b/>
          <w:bCs/>
          <w:rtl/>
        </w:rPr>
        <w:t xml:space="preserve"> שככל שיש יותר פעולות מניעה מתועדות, כך ציון השבריריות יהיה נמוך יותר</w:t>
      </w:r>
      <w:r w:rsidRPr="0016536A">
        <w:rPr>
          <w:rFonts w:eastAsia="Calibri" w:hint="cs"/>
          <w:b/>
          <w:bCs/>
          <w:rtl/>
        </w:rPr>
        <w:t>, אולם בניגוד לכך מהתרשים עולה כי קיים קשר סטטיסטי (מתאם) ולפיו ככל שאדם ביצע פעולות מניעה רבות יותר בשנים 2019 - 2024, כך ציון השבריריות שלו בשנת 2025 היה גבוה יותר, כלומר מצבו הבריאותי היה ירוד יותר. לדוגמה, ציון השבריריות של אנשים שביצעו עד עשר פעולות מניעה עומד בממוצע על 0 - 12, ואילו ציון השבריריות של מי שביצעו 20 פעולות מניעה ויותר עומד על יותר מ-15.</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rtl/>
        </w:rPr>
        <w:t xml:space="preserve">כדי לבחון את הקשר בין מצב בריאותו של המטופל לבין היקף טיפולי המניעה שהוא מקבל, צוות הביקורת ביצע ניתוח רגרסיה לינארית. שיטה סטטיסטית זו מאפשרת לבחון ולכמת את הקשר </w:t>
      </w:r>
      <w:r w:rsidRPr="0016536A">
        <w:rPr>
          <w:rFonts w:eastAsia="Calibri"/>
          <w:rtl/>
        </w:rPr>
        <w:t>בין משתנים שונים, במקרה זה, בין ציון השבריריות של המטופל למספר טיפולי המניעה שבוצעו</w:t>
      </w:r>
      <w:r>
        <w:rPr>
          <w:rFonts w:eastAsia="Calibri"/>
          <w:vertAlign w:val="superscript"/>
          <w:rtl/>
        </w:rPr>
        <w:footnoteReference w:id="113"/>
      </w:r>
      <w:r w:rsidRPr="0016536A">
        <w:rPr>
          <w:rFonts w:eastAsia="Calibri"/>
          <w:rtl/>
        </w:rPr>
        <w:t>.</w:t>
      </w:r>
      <w:r w:rsidRPr="0016536A">
        <w:rPr>
          <w:rFonts w:eastAsia="Calibri" w:hint="cs"/>
          <w:rtl/>
        </w:rPr>
        <w:t xml:space="preserve"> </w:t>
      </w:r>
    </w:p>
    <w:p w:rsidR="0016536A" w:rsidRPr="0016536A" w:rsidP="004614AF">
      <w:pPr>
        <w:spacing w:line="269" w:lineRule="auto"/>
        <w:rPr>
          <w:rFonts w:eastAsia="Calibri"/>
          <w:b/>
          <w:bCs/>
          <w:rtl/>
        </w:rPr>
      </w:pPr>
      <w:r w:rsidRPr="0016536A">
        <w:rPr>
          <w:rFonts w:eastAsia="Calibri" w:hint="eastAsia"/>
          <w:b/>
          <w:bCs/>
          <w:rtl/>
        </w:rPr>
        <w:t>מניתוח</w:t>
      </w:r>
      <w:r w:rsidRPr="0016536A">
        <w:rPr>
          <w:rFonts w:eastAsia="Calibri"/>
          <w:b/>
          <w:bCs/>
          <w:rtl/>
        </w:rPr>
        <w:t xml:space="preserve"> </w:t>
      </w:r>
      <w:r w:rsidRPr="0016536A">
        <w:rPr>
          <w:rFonts w:eastAsia="Calibri" w:hint="eastAsia"/>
          <w:b/>
          <w:bCs/>
          <w:rtl/>
        </w:rPr>
        <w:t>הרגרסיה</w:t>
      </w:r>
      <w:r w:rsidRPr="0016536A">
        <w:rPr>
          <w:rFonts w:eastAsia="Calibri"/>
          <w:b/>
          <w:bCs/>
          <w:rtl/>
        </w:rPr>
        <w:t xml:space="preserve"> </w:t>
      </w:r>
      <w:r w:rsidRPr="0016536A">
        <w:rPr>
          <w:rFonts w:eastAsia="Calibri" w:hint="eastAsia"/>
          <w:b/>
          <w:bCs/>
          <w:rtl/>
        </w:rPr>
        <w:t>עלה</w:t>
      </w:r>
      <w:r w:rsidRPr="0016536A">
        <w:rPr>
          <w:rFonts w:eastAsia="Calibri" w:hint="cs"/>
          <w:b/>
          <w:bCs/>
          <w:rtl/>
        </w:rPr>
        <w:t xml:space="preserve"> כי לטיפולי מניעה יש קשר חיובי מובהק לציון השבריריות</w:t>
      </w:r>
      <w:r>
        <w:rPr>
          <w:rFonts w:eastAsia="Calibri"/>
          <w:b/>
          <w:bCs/>
          <w:vertAlign w:val="superscript"/>
          <w:rtl/>
        </w:rPr>
        <w:footnoteReference w:id="114"/>
      </w:r>
      <w:r w:rsidRPr="0016536A">
        <w:rPr>
          <w:rFonts w:eastAsia="Calibri" w:hint="cs"/>
          <w:b/>
          <w:bCs/>
          <w:rtl/>
        </w:rPr>
        <w:t>, באופן שכל טיפול מניעה שמבצע אדם מעלה את ציון השבריריות שלו ב-1.4 נקודות (בסולם של 0 - 32).</w:t>
      </w:r>
      <w:r w:rsidRPr="0016536A">
        <w:rPr>
          <w:rFonts w:eastAsia="Calibri"/>
          <w:b/>
          <w:bCs/>
          <w:rtl/>
        </w:rPr>
        <w:t xml:space="preserve"> </w:t>
      </w:r>
      <w:r w:rsidRPr="0016536A">
        <w:rPr>
          <w:rFonts w:eastAsia="Calibri" w:hint="cs"/>
          <w:b/>
          <w:bCs/>
          <w:rtl/>
        </w:rPr>
        <w:t>קשר זה מלמד כי</w:t>
      </w:r>
      <w:r w:rsidRPr="0016536A">
        <w:rPr>
          <w:rFonts w:eastAsia="Calibri"/>
          <w:b/>
          <w:bCs/>
          <w:rtl/>
        </w:rPr>
        <w:t xml:space="preserve"> פעולות </w:t>
      </w:r>
      <w:r w:rsidRPr="0016536A">
        <w:rPr>
          <w:rFonts w:eastAsia="Calibri" w:hint="cs"/>
          <w:b/>
          <w:bCs/>
          <w:rtl/>
        </w:rPr>
        <w:t>ה</w:t>
      </w:r>
      <w:r w:rsidRPr="0016536A">
        <w:rPr>
          <w:rFonts w:eastAsia="Calibri"/>
          <w:b/>
          <w:bCs/>
          <w:rtl/>
        </w:rPr>
        <w:t>מניעה ניתנות בתדירות גבוהה יותר בקרב זקנים חולים ושבריריים, ולעיתים משמשות כחלק ממעקב אחר מחלה קיימת או סיכון גבוה, ולא כאמצעי רחב המופנה לזקנים בריאים ל</w:t>
      </w:r>
      <w:r w:rsidRPr="0016536A">
        <w:rPr>
          <w:rFonts w:eastAsia="Calibri" w:hint="eastAsia"/>
          <w:b/>
          <w:bCs/>
          <w:rtl/>
        </w:rPr>
        <w:t>שם</w:t>
      </w:r>
      <w:r w:rsidRPr="0016536A">
        <w:rPr>
          <w:rFonts w:eastAsia="Calibri"/>
          <w:b/>
          <w:bCs/>
          <w:rtl/>
        </w:rPr>
        <w:t xml:space="preserve"> </w:t>
      </w:r>
      <w:r w:rsidRPr="0016536A">
        <w:rPr>
          <w:rFonts w:eastAsia="Calibri" w:hint="eastAsia"/>
          <w:b/>
          <w:bCs/>
          <w:rtl/>
        </w:rPr>
        <w:t>מניעת</w:t>
      </w:r>
      <w:r w:rsidRPr="0016536A">
        <w:rPr>
          <w:rFonts w:eastAsia="Calibri"/>
          <w:b/>
          <w:bCs/>
          <w:rtl/>
        </w:rPr>
        <w:t xml:space="preserve"> </w:t>
      </w:r>
      <w:r w:rsidRPr="0016536A">
        <w:rPr>
          <w:rFonts w:eastAsia="Calibri" w:hint="eastAsia"/>
          <w:b/>
          <w:bCs/>
          <w:rtl/>
        </w:rPr>
        <w:t>מחלות</w:t>
      </w:r>
      <w:r w:rsidRPr="0016536A">
        <w:rPr>
          <w:rFonts w:eastAsia="Calibri"/>
          <w:b/>
          <w:bCs/>
          <w:rtl/>
        </w:rPr>
        <w:t>, הארכ</w:t>
      </w:r>
      <w:r w:rsidRPr="0016536A">
        <w:rPr>
          <w:rFonts w:eastAsia="Calibri" w:hint="eastAsia"/>
          <w:b/>
          <w:bCs/>
          <w:rtl/>
        </w:rPr>
        <w:t>ת</w:t>
      </w:r>
      <w:r w:rsidRPr="0016536A">
        <w:rPr>
          <w:rFonts w:eastAsia="Calibri"/>
          <w:b/>
          <w:bCs/>
          <w:rtl/>
        </w:rPr>
        <w:t xml:space="preserve"> תוחלת החיים הבריא</w:t>
      </w:r>
      <w:r w:rsidRPr="0016536A">
        <w:rPr>
          <w:rFonts w:eastAsia="Calibri" w:hint="cs"/>
          <w:b/>
          <w:bCs/>
          <w:rtl/>
        </w:rPr>
        <w:t>ים</w:t>
      </w:r>
      <w:r w:rsidRPr="0016536A">
        <w:rPr>
          <w:rFonts w:eastAsia="Calibri"/>
          <w:b/>
          <w:bCs/>
          <w:rtl/>
        </w:rPr>
        <w:t xml:space="preserve"> ושימור הבריאות </w:t>
      </w:r>
      <w:r w:rsidRPr="0016536A">
        <w:rPr>
          <w:rFonts w:eastAsia="Calibri" w:hint="cs"/>
          <w:b/>
          <w:bCs/>
          <w:rtl/>
        </w:rPr>
        <w:t>שלהם</w:t>
      </w:r>
      <w:r w:rsidRPr="0016536A">
        <w:rPr>
          <w:rFonts w:eastAsia="Calibri"/>
          <w:b/>
          <w:bCs/>
          <w:rtl/>
        </w:rPr>
        <w:t>. עם זאת לא ניתן לשלול השפעה של גורמים נוספים שלא נמדדו, כגון מצב בריאות התחלתי ומידת השימוש הכללית בשירותי בריאות</w:t>
      </w:r>
      <w:r w:rsidRPr="0016536A">
        <w:rPr>
          <w:rFonts w:eastAsia="Calibri"/>
          <w:b/>
          <w:bCs/>
        </w:rPr>
        <w:t>.</w:t>
      </w:r>
      <w:r w:rsidRPr="0016536A">
        <w:rPr>
          <w:rFonts w:eastAsia="Calibri" w:hint="cs"/>
          <w:b/>
          <w:b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בתשובת כללית נמסר כי פעולות המניעה מבוצעות הן בקרב זקנים חולים והן בקרב זקנים בריאים, וכי השפעת פעולות המניעה בקרב זקנים חולים אינה חד-ערכית, שכן קיימים גורמים מתערבים רבים העלולים להשפיע על מצבם הבריאותי והתפקודי מעבר לפעולות המניעה.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חיזוק</w:t>
      </w:r>
      <w:r w:rsidRPr="0016536A">
        <w:rPr>
          <w:rFonts w:eastAsia="Calibri"/>
          <w:b/>
          <w:bCs/>
          <w:rtl/>
        </w:rPr>
        <w:t xml:space="preserve"> לכך שפעולות המניעה אינן מופנות באופן אחיד לכלל אוכלוסיי</w:t>
      </w:r>
      <w:r w:rsidRPr="0016536A">
        <w:rPr>
          <w:rFonts w:eastAsia="Calibri" w:hint="eastAsia"/>
          <w:b/>
          <w:bCs/>
          <w:rtl/>
        </w:rPr>
        <w:t>ת</w:t>
      </w:r>
      <w:r w:rsidRPr="0016536A">
        <w:rPr>
          <w:rFonts w:eastAsia="Calibri"/>
          <w:b/>
          <w:bCs/>
          <w:rtl/>
        </w:rPr>
        <w:t xml:space="preserve"> </w:t>
      </w:r>
      <w:r w:rsidRPr="0016536A">
        <w:rPr>
          <w:rFonts w:eastAsia="Calibri" w:hint="eastAsia"/>
          <w:b/>
          <w:bCs/>
          <w:rtl/>
        </w:rPr>
        <w:t>הזקנים</w:t>
      </w:r>
      <w:r w:rsidRPr="0016536A">
        <w:rPr>
          <w:rFonts w:eastAsia="Calibri"/>
          <w:b/>
          <w:bCs/>
          <w:rtl/>
        </w:rPr>
        <w:t xml:space="preserve"> על</w:t>
      </w:r>
      <w:r w:rsidRPr="0016536A">
        <w:rPr>
          <w:rFonts w:eastAsia="Calibri" w:hint="cs"/>
          <w:b/>
          <w:bCs/>
          <w:rtl/>
        </w:rPr>
        <w:t>ה</w:t>
      </w:r>
      <w:r w:rsidRPr="0016536A">
        <w:rPr>
          <w:rFonts w:eastAsia="Calibri"/>
          <w:b/>
          <w:bCs/>
          <w:rtl/>
        </w:rPr>
        <w:t xml:space="preserve"> </w:t>
      </w:r>
      <w:r w:rsidRPr="0016536A">
        <w:rPr>
          <w:rFonts w:eastAsia="Calibri" w:hint="cs"/>
          <w:b/>
          <w:bCs/>
          <w:rtl/>
        </w:rPr>
        <w:t xml:space="preserve">גם </w:t>
      </w:r>
      <w:r w:rsidRPr="0016536A">
        <w:rPr>
          <w:rFonts w:eastAsia="Calibri"/>
          <w:b/>
          <w:bCs/>
          <w:rtl/>
        </w:rPr>
        <w:t xml:space="preserve">מניתוח התיקים הרפואיים, </w:t>
      </w:r>
      <w:r w:rsidRPr="0016536A">
        <w:rPr>
          <w:rFonts w:eastAsia="Calibri" w:hint="cs"/>
          <w:b/>
          <w:bCs/>
          <w:rtl/>
        </w:rPr>
        <w:t>ו</w:t>
      </w:r>
      <w:r w:rsidRPr="0016536A">
        <w:rPr>
          <w:rFonts w:eastAsia="Calibri"/>
          <w:b/>
          <w:bCs/>
          <w:rtl/>
        </w:rPr>
        <w:t>לפיו בקרב חברי קופה בני 75 ומעלה תועדו יותר פעולות מניעה (34% בממוצע) מאשר בקרב בני 65</w:t>
      </w:r>
      <w:r w:rsidRPr="0016536A">
        <w:rPr>
          <w:rFonts w:eastAsia="Calibri" w:hint="cs"/>
          <w:b/>
          <w:bCs/>
          <w:rtl/>
        </w:rPr>
        <w:t xml:space="preserve"> - </w:t>
      </w:r>
      <w:r w:rsidRPr="0016536A">
        <w:rPr>
          <w:rFonts w:eastAsia="Calibri"/>
          <w:b/>
          <w:bCs/>
          <w:rtl/>
        </w:rPr>
        <w:t>75 (11% בממוצע)</w:t>
      </w:r>
      <w:r w:rsidRPr="0016536A">
        <w:rPr>
          <w:rFonts w:eastAsia="Calibri"/>
          <w:b/>
          <w:bCs/>
          <w:vertAlign w:val="superscript"/>
          <w:rtl/>
        </w:rPr>
        <w:t xml:space="preserve"> </w:t>
      </w:r>
      <w:r>
        <w:rPr>
          <w:rFonts w:eastAsia="Calibri"/>
          <w:b/>
          <w:bCs/>
          <w:vertAlign w:val="superscript"/>
          <w:rtl/>
        </w:rPr>
        <w:footnoteReference w:id="115"/>
      </w:r>
      <w:r w:rsidRPr="0016536A">
        <w:rPr>
          <w:rFonts w:eastAsia="Calibri"/>
          <w:b/>
          <w:bCs/>
          <w:rtl/>
        </w:rPr>
        <w:t xml:space="preserve">. ממצא זה עשוי להעיד על כך שמערכת </w:t>
      </w:r>
      <w:r w:rsidRPr="0016536A">
        <w:rPr>
          <w:rFonts w:eastAsia="Calibri" w:hint="cs"/>
          <w:b/>
          <w:bCs/>
          <w:rtl/>
        </w:rPr>
        <w:t xml:space="preserve">הבריאות </w:t>
      </w:r>
      <w:r w:rsidRPr="0016536A">
        <w:rPr>
          <w:rFonts w:eastAsia="Calibri"/>
          <w:b/>
          <w:bCs/>
          <w:rtl/>
        </w:rPr>
        <w:t>מפנה יותר פעולות מ</w:t>
      </w:r>
      <w:r w:rsidRPr="0016536A">
        <w:rPr>
          <w:rFonts w:eastAsia="Calibri" w:hint="cs"/>
          <w:b/>
          <w:bCs/>
          <w:rtl/>
        </w:rPr>
        <w:t>ניעה</w:t>
      </w:r>
      <w:r w:rsidRPr="0016536A">
        <w:rPr>
          <w:rFonts w:eastAsia="Calibri"/>
          <w:b/>
          <w:bCs/>
          <w:rtl/>
        </w:rPr>
        <w:t xml:space="preserve"> לזקנים מבוגרים, ש</w:t>
      </w:r>
      <w:r w:rsidRPr="0016536A">
        <w:rPr>
          <w:rFonts w:eastAsia="Calibri" w:hint="cs"/>
          <w:b/>
          <w:bCs/>
          <w:rtl/>
        </w:rPr>
        <w:t>אצלם</w:t>
      </w:r>
      <w:r w:rsidRPr="0016536A">
        <w:rPr>
          <w:rFonts w:eastAsia="Calibri"/>
          <w:b/>
          <w:bCs/>
          <w:rtl/>
        </w:rPr>
        <w:t xml:space="preserve"> הסיכון או נטל המחלה גבוהים יותר</w:t>
      </w:r>
      <w:r w:rsidRPr="0016536A">
        <w:rPr>
          <w:rFonts w:eastAsia="Calibri" w:hint="cs"/>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מהמקובץ עולה כי </w:t>
      </w:r>
      <w:r w:rsidRPr="0016536A">
        <w:rPr>
          <w:rFonts w:eastAsia="Calibri"/>
          <w:b/>
          <w:bCs/>
          <w:rtl/>
        </w:rPr>
        <w:t xml:space="preserve">בפועל </w:t>
      </w:r>
      <w:r w:rsidRPr="0016536A">
        <w:rPr>
          <w:rFonts w:eastAsia="Calibri" w:hint="cs"/>
          <w:b/>
          <w:bCs/>
          <w:rtl/>
        </w:rPr>
        <w:t xml:space="preserve">קופות החולים מבצעות </w:t>
      </w:r>
      <w:r w:rsidRPr="0016536A">
        <w:rPr>
          <w:rFonts w:eastAsia="Calibri"/>
          <w:b/>
          <w:bCs/>
          <w:rtl/>
        </w:rPr>
        <w:t xml:space="preserve">חלק ניכר מהפעולות המתועדות כפעולות מניעה בקרב זקנים חולים ושבריריים או </w:t>
      </w:r>
      <w:r w:rsidRPr="0016536A">
        <w:rPr>
          <w:rFonts w:eastAsia="Calibri" w:hint="cs"/>
          <w:b/>
          <w:bCs/>
          <w:rtl/>
        </w:rPr>
        <w:t xml:space="preserve">בקרב כאלו המצויים </w:t>
      </w:r>
      <w:r w:rsidRPr="0016536A">
        <w:rPr>
          <w:rFonts w:eastAsia="Calibri"/>
          <w:b/>
          <w:bCs/>
          <w:rtl/>
        </w:rPr>
        <w:t>בסיכון גבוה ואינ</w:t>
      </w:r>
      <w:r w:rsidRPr="0016536A">
        <w:rPr>
          <w:rFonts w:eastAsia="Calibri" w:hint="cs"/>
          <w:b/>
          <w:bCs/>
          <w:rtl/>
        </w:rPr>
        <w:t>ן</w:t>
      </w:r>
      <w:r w:rsidRPr="0016536A">
        <w:rPr>
          <w:rFonts w:eastAsia="Calibri"/>
          <w:b/>
          <w:bCs/>
          <w:rtl/>
        </w:rPr>
        <w:t xml:space="preserve"> </w:t>
      </w:r>
      <w:r w:rsidRPr="0016536A">
        <w:rPr>
          <w:rFonts w:eastAsia="Calibri" w:hint="cs"/>
          <w:b/>
          <w:bCs/>
          <w:rtl/>
        </w:rPr>
        <w:t>מכוונות</w:t>
      </w:r>
      <w:r w:rsidRPr="0016536A">
        <w:rPr>
          <w:rFonts w:eastAsia="Calibri"/>
          <w:b/>
          <w:bCs/>
          <w:rtl/>
        </w:rPr>
        <w:t xml:space="preserve"> </w:t>
      </w:r>
      <w:r w:rsidRPr="0016536A">
        <w:rPr>
          <w:rFonts w:eastAsia="Calibri" w:hint="cs"/>
          <w:b/>
          <w:bCs/>
          <w:rtl/>
        </w:rPr>
        <w:t xml:space="preserve">אותן </w:t>
      </w:r>
      <w:r w:rsidRPr="0016536A">
        <w:rPr>
          <w:rFonts w:eastAsia="Calibri"/>
          <w:b/>
          <w:bCs/>
          <w:rtl/>
        </w:rPr>
        <w:t>במידה מספקת גם לזקנים שמצבם הבריאותי טוב יחסית, לצורך מניעת מחלות ושימור בריאותם לאורך זמן</w:t>
      </w:r>
      <w:r w:rsidRPr="0016536A">
        <w:rPr>
          <w:rFonts w:eastAsia="Calibri" w:hint="cs"/>
          <w:b/>
          <w:bCs/>
          <w:rtl/>
        </w:rPr>
        <w:t>.</w:t>
      </w:r>
    </w:p>
    <w:p w:rsidR="0016536A" w:rsidRPr="0016536A" w:rsidP="004614AF">
      <w:pPr>
        <w:spacing w:line="269" w:lineRule="auto"/>
        <w:rPr>
          <w:rFonts w:eastAsia="Calibri"/>
          <w:rtl/>
        </w:rPr>
      </w:pPr>
    </w:p>
    <w:p w:rsidR="0016536A" w:rsidP="004614AF">
      <w:pPr>
        <w:spacing w:line="269" w:lineRule="auto"/>
        <w:rPr>
          <w:rFonts w:eastAsia="Calibri"/>
          <w:b/>
          <w:bCs/>
          <w:rtl/>
        </w:rPr>
      </w:pPr>
      <w:r w:rsidRPr="0016536A">
        <w:rPr>
          <w:rFonts w:eastAsia="Calibri" w:hint="cs"/>
          <w:b/>
          <w:bCs/>
          <w:rtl/>
        </w:rPr>
        <w:t xml:space="preserve">בשל החשיבות של פעולות מניעה וקידום בריאות בקרב זקנים בכל הקשור למניעת חולי וסבל ולצמצום העלויות הצפויות למערכת הבריאות, והיות שנמצא כי מערכת הבריאות מפנה יותר משאבים לזקנים שבהם נטל הסיכון או המחלה גבוהים יותר ולא לכלל הזקנים, מומלץ כי משרד הבריאות יגבש יחד עם קופות החולים מדיניות של רפואה מונעת בקרב זקנים, שתכליתה שימור של בריאותם והארכת שנות חיים בריאים. במסגרת המדיניות מומלץ שהמשרד ידגיש את החשיבות של ביצוע פעולות מונעות בקרב כלל הזקנים, לרבות בקרב אלו שמצבם הבריאותי טוב ואצלם המטרה תהיה לשמרו ככזה, וכי יקבע יעדים לביצוע פעולות מניעה בקרב אוכלוסייה זו. לצורך גיבוש המדיניות מומלץ כי משרד הבריאות יאסוף נתונים מהימנים על עלות ההשקעה במניעה לעומת עלות הטיפול בחולי בקרב זקנים; ויבחן את אופן הקצאת המשאבים המועטים של פעולות המניעה וימקד אותם גם בקרב אלו שניתן למנוע את המחלות שלהם ולהאריך את שנות החיים הבריאים שלהם. </w:t>
      </w:r>
    </w:p>
    <w:p w:rsidR="004614AF" w:rsidRPr="0016536A" w:rsidP="004614AF">
      <w:pPr>
        <w:spacing w:line="269" w:lineRule="auto"/>
        <w:rPr>
          <w:rFonts w:eastAsia="Calibri"/>
          <w:b/>
          <w:bCs/>
          <w:rtl/>
        </w:rPr>
      </w:pPr>
    </w:p>
    <w:p w:rsidR="0016536A" w:rsidRPr="0016536A" w:rsidP="004614AF">
      <w:pPr>
        <w:keepNext/>
        <w:keepLines/>
        <w:spacing w:line="269" w:lineRule="auto"/>
        <w:outlineLvl w:val="2"/>
        <w:rPr>
          <w:rFonts w:eastAsia="Times New Roman"/>
          <w:bCs/>
          <w:szCs w:val="28"/>
          <w:u w:val="single"/>
          <w:rtl/>
        </w:rPr>
      </w:pPr>
      <w:r w:rsidRPr="0016536A">
        <w:rPr>
          <w:rFonts w:eastAsia="Times New Roman" w:hint="cs"/>
          <w:bCs/>
          <w:szCs w:val="28"/>
          <w:u w:val="single"/>
          <w:rtl/>
        </w:rPr>
        <w:t>היקף פעולות המניעה</w:t>
      </w:r>
    </w:p>
    <w:p w:rsidR="0016536A" w:rsidRPr="0016536A" w:rsidP="004614AF">
      <w:pPr>
        <w:spacing w:line="269" w:lineRule="auto"/>
        <w:rPr>
          <w:rFonts w:eastAsia="Calibri"/>
          <w:rtl/>
        </w:rPr>
      </w:pPr>
    </w:p>
    <w:p w:rsidR="0016536A" w:rsidRPr="0016536A" w:rsidP="004614AF">
      <w:pPr>
        <w:spacing w:line="269" w:lineRule="auto"/>
        <w:rPr>
          <w:rFonts w:eastAsia="Calibri"/>
          <w:szCs w:val="20"/>
          <w:rtl/>
        </w:rPr>
      </w:pPr>
      <w:r w:rsidRPr="0016536A">
        <w:rPr>
          <w:rFonts w:eastAsia="Calibri" w:hint="cs"/>
          <w:rtl/>
        </w:rPr>
        <w:t>בביקורת נבדק שיעור הזקנים שקופות החולים נתנו להם טיפול או בדיקה, בהתאם להמלצות שתוארו לעיל, בהתבסס על שלושה מקורות: מדדים שמשרד הבריאות אוסף ומפרסם; נתוני קופות החולים בשדות ממוחשבים עבור מדדים שמשרד הבריאות אינו אוסף ומפרסם; ותיקים רפואיים עבור מדדים שאינם מופיעים בשדות ממוחשבים אלא בטקסט חופשי, כמוצג בתרשים שלהלן:</w:t>
      </w:r>
    </w:p>
    <w:p w:rsidR="0016536A" w:rsidRPr="0016536A" w:rsidP="004614AF">
      <w:pPr>
        <w:spacing w:line="269" w:lineRule="auto"/>
        <w:rPr>
          <w:rFonts w:eastAsia="Calibri"/>
          <w:szCs w:val="20"/>
          <w:rtl/>
        </w:rPr>
      </w:pPr>
    </w:p>
    <w:p w:rsidR="0016536A" w:rsidRPr="0016536A" w:rsidP="00BC1CF5">
      <w:pPr>
        <w:keepNext/>
        <w:keepLines/>
        <w:spacing w:after="120" w:line="269" w:lineRule="auto"/>
        <w:jc w:val="center"/>
        <w:rPr>
          <w:rFonts w:eastAsia="Calibri"/>
          <w:rtl/>
        </w:rPr>
      </w:pPr>
      <w:r w:rsidRPr="0016536A">
        <w:rPr>
          <w:rFonts w:eastAsia="Calibri" w:hint="eastAsia"/>
          <w:sz w:val="24"/>
          <w:rtl/>
        </w:rPr>
        <w:t>תרשים</w:t>
      </w:r>
      <w:r w:rsidRPr="0016536A">
        <w:rPr>
          <w:rFonts w:eastAsia="Calibri" w:hint="cs"/>
          <w:sz w:val="24"/>
          <w:rtl/>
        </w:rPr>
        <w:t xml:space="preserve"> 13</w:t>
      </w:r>
      <w:r w:rsidRPr="0016536A">
        <w:rPr>
          <w:rFonts w:eastAsia="Calibri"/>
          <w:sz w:val="24"/>
          <w:rtl/>
        </w:rPr>
        <w:t xml:space="preserve">: </w:t>
      </w:r>
      <w:r w:rsidRPr="0016536A">
        <w:rPr>
          <w:rFonts w:eastAsia="Calibri" w:hint="eastAsia"/>
          <w:b/>
          <w:bCs/>
          <w:sz w:val="24"/>
          <w:rtl/>
        </w:rPr>
        <w:t>מקורות</w:t>
      </w:r>
      <w:r w:rsidRPr="0016536A">
        <w:rPr>
          <w:rFonts w:eastAsia="Calibri"/>
          <w:b/>
          <w:bCs/>
          <w:sz w:val="24"/>
          <w:rtl/>
        </w:rPr>
        <w:t xml:space="preserve"> </w:t>
      </w:r>
      <w:r w:rsidRPr="0016536A">
        <w:rPr>
          <w:rFonts w:eastAsia="Calibri" w:hint="eastAsia"/>
          <w:b/>
          <w:bCs/>
          <w:sz w:val="24"/>
          <w:rtl/>
        </w:rPr>
        <w:t>המידע</w:t>
      </w:r>
      <w:r w:rsidRPr="0016536A">
        <w:rPr>
          <w:rFonts w:eastAsia="Calibri"/>
          <w:b/>
          <w:bCs/>
          <w:sz w:val="24"/>
          <w:rtl/>
        </w:rPr>
        <w:t xml:space="preserve"> </w:t>
      </w:r>
      <w:r w:rsidRPr="0016536A">
        <w:rPr>
          <w:rFonts w:eastAsia="Calibri" w:hint="cs"/>
          <w:b/>
          <w:bCs/>
          <w:sz w:val="24"/>
          <w:rtl/>
        </w:rPr>
        <w:t>ש</w:t>
      </w:r>
      <w:r w:rsidRPr="0016536A">
        <w:rPr>
          <w:rFonts w:eastAsia="Calibri" w:hint="eastAsia"/>
          <w:b/>
          <w:bCs/>
          <w:sz w:val="24"/>
          <w:rtl/>
        </w:rPr>
        <w:t>בהם</w:t>
      </w:r>
      <w:r w:rsidRPr="0016536A">
        <w:rPr>
          <w:rFonts w:eastAsia="Calibri"/>
          <w:b/>
          <w:bCs/>
          <w:sz w:val="24"/>
          <w:rtl/>
        </w:rPr>
        <w:t xml:space="preserve"> </w:t>
      </w:r>
      <w:r w:rsidRPr="0016536A">
        <w:rPr>
          <w:rFonts w:eastAsia="Calibri" w:hint="eastAsia"/>
          <w:b/>
          <w:bCs/>
          <w:sz w:val="24"/>
          <w:rtl/>
        </w:rPr>
        <w:t>מדווחות</w:t>
      </w:r>
      <w:r w:rsidRPr="0016536A">
        <w:rPr>
          <w:rFonts w:eastAsia="Calibri"/>
          <w:b/>
          <w:bCs/>
          <w:sz w:val="24"/>
          <w:rtl/>
        </w:rPr>
        <w:t xml:space="preserve"> </w:t>
      </w:r>
      <w:r w:rsidRPr="0016536A">
        <w:rPr>
          <w:rFonts w:eastAsia="Calibri" w:hint="eastAsia"/>
          <w:b/>
          <w:bCs/>
          <w:sz w:val="24"/>
          <w:rtl/>
        </w:rPr>
        <w:t>פעולות</w:t>
      </w:r>
      <w:r w:rsidRPr="0016536A">
        <w:rPr>
          <w:rFonts w:eastAsia="Calibri"/>
          <w:b/>
          <w:bCs/>
          <w:sz w:val="24"/>
          <w:rtl/>
        </w:rPr>
        <w:t xml:space="preserve"> </w:t>
      </w:r>
      <w:r w:rsidRPr="0016536A">
        <w:rPr>
          <w:rFonts w:eastAsia="Calibri" w:hint="eastAsia"/>
          <w:b/>
          <w:bCs/>
          <w:sz w:val="24"/>
          <w:rtl/>
        </w:rPr>
        <w:t>המניעה</w:t>
      </w:r>
      <w:r w:rsidRPr="0016536A">
        <w:rPr>
          <w:rFonts w:eastAsia="Calibri"/>
          <w:b/>
          <w:bCs/>
          <w:sz w:val="24"/>
          <w:rtl/>
        </w:rPr>
        <w:t xml:space="preserve"> </w:t>
      </w:r>
      <w:r w:rsidRPr="0016536A">
        <w:rPr>
          <w:rFonts w:eastAsia="Calibri" w:hint="eastAsia"/>
          <w:b/>
          <w:bCs/>
          <w:sz w:val="24"/>
          <w:rtl/>
        </w:rPr>
        <w:t>שנבדקו</w:t>
      </w:r>
    </w:p>
    <w:p w:rsidR="0016536A" w:rsidRPr="0016536A" w:rsidP="004614AF">
      <w:pPr>
        <w:spacing w:line="269" w:lineRule="auto"/>
        <w:jc w:val="center"/>
        <w:rPr>
          <w:rFonts w:eastAsia="Calibri"/>
          <w:rtl/>
        </w:rPr>
      </w:pPr>
      <w:r w:rsidRPr="0016536A">
        <w:rPr>
          <w:rFonts w:eastAsia="Calibri"/>
          <w:noProof/>
        </w:rPr>
        <w:drawing>
          <wp:inline distT="0" distB="0" distL="0" distR="0">
            <wp:extent cx="3804285" cy="1359535"/>
            <wp:effectExtent l="0" t="0" r="5715" b="0"/>
            <wp:docPr id="497" name="תמונה 497" descr="מקורות המידע שבהם מדווחות פעולות המניעה שנבדקו:&#10;*מדדים שמשרד הבריאות אוסף ומפרסם&#10;*שדות ממוחשבים בתיק הרפואי&#10;*שדה פתוח (טקסטואלי) בתיק הרפוא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7"/>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4285" cy="1359535"/>
                    </a:xfrm>
                    <a:prstGeom prst="rect">
                      <a:avLst/>
                    </a:prstGeom>
                    <a:noFill/>
                  </pic:spPr>
                </pic:pic>
              </a:graphicData>
            </a:graphic>
          </wp:inline>
        </w:drawing>
      </w:r>
    </w:p>
    <w:p w:rsidR="00BC1CF5" w:rsidP="004614AF">
      <w:pPr>
        <w:keepNext/>
        <w:keepLines/>
        <w:spacing w:line="269" w:lineRule="auto"/>
        <w:outlineLvl w:val="3"/>
        <w:rPr>
          <w:rFonts w:eastAsia="Times New Roman"/>
          <w:bCs/>
          <w:szCs w:val="26"/>
          <w:rtl/>
        </w:rPr>
      </w:pPr>
    </w:p>
    <w:p w:rsidR="0016536A" w:rsidRPr="0016536A" w:rsidP="004614AF">
      <w:pPr>
        <w:keepNext/>
        <w:keepLines/>
        <w:spacing w:line="269" w:lineRule="auto"/>
        <w:outlineLvl w:val="3"/>
        <w:rPr>
          <w:rFonts w:eastAsia="Times New Roman"/>
          <w:bCs/>
          <w:szCs w:val="26"/>
          <w:rtl/>
        </w:rPr>
      </w:pPr>
      <w:r w:rsidRPr="0016536A">
        <w:rPr>
          <w:rFonts w:eastAsia="Times New Roman" w:hint="cs"/>
          <w:bCs/>
          <w:szCs w:val="26"/>
          <w:rtl/>
        </w:rPr>
        <w:t xml:space="preserve">היקף פעולות הרפואה המונעת וקידום הבריאות במדדים שמשרד הבריאות אוסף ומפרסם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מדד איכות הוא כלי הערכה המשמש למדידת הביצועים והשירותים בתחום מסוים. בהקשר הרפואי - מדד איכות מייצג באופן מהימן ותקף את ההיקף של טיפול רפואי או של שירות בריאות ואת רמת איכותם. מדד זה מאפשר לנטר את ביצועי מערכת הבריאות, לזהות אזורים הדורשים שיפור ולשפר את איכות הטיפול באופן מתמיד</w:t>
      </w:r>
      <w:r>
        <w:rPr>
          <w:rFonts w:eastAsia="Calibri"/>
          <w:vertAlign w:val="superscript"/>
          <w:rtl/>
        </w:rPr>
        <w:footnoteReference w:id="116"/>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בבסיס המוטיבציה למדוד את איכות הביצועים והשירותים במגזר הציבורי עומדת ההנחה כי מה שנמדד - מנוהל. בהתאם לכך, מחקרים מראים כי למדדים תפקיד משמעותי בשיפור איכות השירות הציבורי</w:t>
      </w:r>
      <w:r>
        <w:rPr>
          <w:rFonts w:eastAsia="Calibri"/>
          <w:vertAlign w:val="superscript"/>
          <w:rtl/>
        </w:rPr>
        <w:footnoteReference w:id="117"/>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תקנות ביטוח בריאות ממלכתי (מדדי איכות ומסירת מידע), התשע"ב-2012, מסדירות את חובתם של בתי החולים וקופות החולים למסור למשרד הבריאות מידע הנחוץ לשם מדידת הטיפול הרפואי או שירות הבריאות ביחס למדדי איכות שהגדיר משרד הבריאות. התקנות קובעות כי על משרד הבריאות לפרסם מפעם לפעם את ממצאי המדידה לציבור הרחב</w:t>
      </w:r>
      <w:r>
        <w:rPr>
          <w:rFonts w:eastAsia="Calibri"/>
          <w:vertAlign w:val="superscript"/>
          <w:rtl/>
        </w:rPr>
        <w:footnoteReference w:id="118"/>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התוכנית הלאומית למדדי איכות לרפואת הקהילה של משרד הבריאות (להלן - תוכנית מדדי האיכות או תוכנית מדדי האיכות בקהילה), שהחלה לפעול עוד לפני פרסום התקנות, מפרסמת מדי שנה נתונים מקיפים על מדדים הנוגעים לשימוש בשירותי בריאות בקופות החולים, קבלת טיפול ושכיחותם של התנהגויות בריאות ומצבי בריאות. הפרסום נועד לספק לציבור ולקובעי המדיניות מידע על איכות הטיפול הרפואי הניתן על ידי קופות החולים כדי לשפר את השירות שהן מספקות לחבריהן. הנתונים שמפרסמת תוכנית המדדים מבוססים על מידע המצוי במערכות המידע של ארבע קופות החולים</w:t>
      </w:r>
      <w:r>
        <w:rPr>
          <w:rFonts w:eastAsia="Calibri"/>
          <w:vertAlign w:val="superscript"/>
          <w:rtl/>
        </w:rPr>
        <w:footnoteReference w:id="119"/>
      </w:r>
      <w:r w:rsidRPr="0016536A">
        <w:rPr>
          <w:rFonts w:eastAsia="Calibri" w:hint="cs"/>
          <w:rtl/>
        </w:rPr>
        <w:t>, ומתייחסים, בין היתר, למדדים בתחום קידום הבריאות ובתחום מניעת המחלות בקרב בני 65 ומעלה.</w:t>
      </w:r>
    </w:p>
    <w:p w:rsidR="0016536A" w:rsidRPr="0016536A" w:rsidP="004614AF">
      <w:pPr>
        <w:spacing w:line="269" w:lineRule="auto"/>
        <w:rPr>
          <w:rFonts w:eastAsia="Calibri"/>
          <w:rtl/>
        </w:rPr>
      </w:pPr>
    </w:p>
    <w:p w:rsidR="0016536A" w:rsidRPr="0016536A" w:rsidP="004614AF">
      <w:pPr>
        <w:keepNext/>
        <w:keepLines/>
        <w:spacing w:line="269" w:lineRule="auto"/>
        <w:outlineLvl w:val="4"/>
        <w:rPr>
          <w:rFonts w:eastAsia="Times New Roman"/>
          <w:bCs/>
          <w:spacing w:val="40"/>
          <w:rtl/>
        </w:rPr>
      </w:pPr>
      <w:r w:rsidRPr="0016536A">
        <w:rPr>
          <w:rFonts w:eastAsia="Times New Roman" w:hint="cs"/>
          <w:bCs/>
          <w:spacing w:val="40"/>
          <w:rtl/>
        </w:rPr>
        <w:t>היקף הביצוע של פעולות מניעה וקידום בריאות הנמדדות במסגרת התוכנית הלאומית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במסגרת הביקורת בחן צוות הביקורת את שיעור הביצוע של פעולות המניעה וקידום הבריאות בקרב בני 65 ומעלה בשנת 2024, כפי שפורסמו במסגרת תוכנית מדדי האיכות. בתרשים שלהלן מוצגים הנתונים. </w:t>
      </w:r>
    </w:p>
    <w:p w:rsidR="0016536A" w:rsidRPr="0016536A" w:rsidP="004614AF">
      <w:pPr>
        <w:spacing w:line="269" w:lineRule="auto"/>
        <w:rPr>
          <w:rFonts w:eastAsia="Calibri"/>
          <w:rtl/>
        </w:rPr>
      </w:pPr>
    </w:p>
    <w:p w:rsidR="0016536A" w:rsidRPr="0016536A" w:rsidP="004614AF">
      <w:pPr>
        <w:keepNext/>
        <w:keepLines/>
        <w:spacing w:line="269" w:lineRule="auto"/>
        <w:jc w:val="center"/>
        <w:rPr>
          <w:rFonts w:eastAsia="Calibri"/>
          <w:b/>
          <w:bCs/>
          <w:rtl/>
        </w:rPr>
      </w:pPr>
      <w:r w:rsidRPr="0016536A">
        <w:rPr>
          <w:rFonts w:eastAsia="Calibri" w:hint="cs"/>
          <w:rtl/>
        </w:rPr>
        <w:t xml:space="preserve">תרשים 14: </w:t>
      </w:r>
      <w:r w:rsidRPr="0016536A">
        <w:rPr>
          <w:rFonts w:eastAsia="Calibri" w:hint="cs"/>
          <w:b/>
          <w:bCs/>
          <w:rtl/>
        </w:rPr>
        <w:t>שיעור הביצוע של פעולות מניעה בקרב בני 65 ומעלה בתוכנית מדדי האיכות, 2024, ושיעור השינוי בנקודות אחוז בביצוע הפעולות ביחס ל-2019</w:t>
      </w:r>
    </w:p>
    <w:p w:rsidR="0016536A" w:rsidRPr="0016536A" w:rsidP="004614AF">
      <w:pPr>
        <w:spacing w:line="269" w:lineRule="auto"/>
        <w:rPr>
          <w:rFonts w:eastAsia="Calibri"/>
          <w:sz w:val="18"/>
          <w:szCs w:val="22"/>
          <w:rtl/>
        </w:rPr>
      </w:pPr>
      <w:r w:rsidRPr="0016536A">
        <w:rPr>
          <w:rFonts w:eastAsia="Calibri"/>
          <w:noProof/>
          <w:sz w:val="18"/>
          <w:szCs w:val="22"/>
        </w:rPr>
        <w:drawing>
          <wp:inline distT="0" distB="0" distL="0" distR="0">
            <wp:extent cx="5474970" cy="3145790"/>
            <wp:effectExtent l="0" t="0" r="0" b="0"/>
            <wp:docPr id="79" name="תמונה 79" descr="תיעוד מצב העישון: ביצעו 91%, לא ביצעו 9%, שינוי -3.4%&#10;ביצוע מדידת לחץ דם: ביצעו 81%, לא ביצעו 19%, שינוי 1.0%&#10;ביצוע בדיקת כולסטרול: ביצעו 81%, לא ביצעו 19%, שינוי -5.6%&#10;תיעוד BMI: ביצעו 74%, לא ביצעו 26%, שינוי -4.7%&#10;חיסון נגד דלקת ריאות: ביצעו 74%, לא ביצעו 26%, שינוי -5.5%&#10;גילוי מוקדם של סרטן המעי הגס: ביצעו 72%, לא ביצעו 28%, שינוי -0.1%&#10;ביצוע ממוגרפיה (נשים): ביצעו 71%, לא ביצעו 29%, שינוי -2.9%&#10;ביצוע בדיקת קולונוסקופיה: ביצעו 64%, לא ביצעו 36%, שינוי -1.8%&#10;חיסון נגד שפעת: ביצעו 56%, לא ביצעו 44%, שינוי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9"/>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4970" cy="3145790"/>
                    </a:xfrm>
                    <a:prstGeom prst="rect">
                      <a:avLst/>
                    </a:prstGeom>
                    <a:noFill/>
                  </pic:spPr>
                </pic:pic>
              </a:graphicData>
            </a:graphic>
          </wp:inline>
        </w:drawing>
      </w:r>
    </w:p>
    <w:p w:rsidR="0016536A" w:rsidRPr="0016536A" w:rsidP="004614AF">
      <w:pPr>
        <w:spacing w:line="269" w:lineRule="auto"/>
        <w:rPr>
          <w:rFonts w:eastAsia="Calibri"/>
          <w:sz w:val="16"/>
          <w:szCs w:val="20"/>
          <w:rtl/>
        </w:rPr>
      </w:pPr>
      <w:r w:rsidRPr="0016536A">
        <w:rPr>
          <w:rFonts w:eastAsia="Calibri" w:hint="eastAsia"/>
          <w:sz w:val="16"/>
          <w:szCs w:val="20"/>
          <w:rtl/>
        </w:rPr>
        <w:t>על</w:t>
      </w:r>
      <w:r w:rsidRPr="0016536A">
        <w:rPr>
          <w:rFonts w:eastAsia="Calibri"/>
          <w:sz w:val="16"/>
          <w:szCs w:val="20"/>
          <w:rtl/>
        </w:rPr>
        <w:t xml:space="preserve"> פי נתוני משרד </w:t>
      </w:r>
      <w:r w:rsidRPr="0016536A">
        <w:rPr>
          <w:rFonts w:eastAsia="Calibri" w:hint="eastAsia"/>
          <w:sz w:val="16"/>
          <w:szCs w:val="20"/>
          <w:rtl/>
        </w:rPr>
        <w:t>הבריאות</w:t>
      </w:r>
      <w:r>
        <w:rPr>
          <w:rFonts w:eastAsia="Calibri"/>
          <w:sz w:val="16"/>
          <w:vertAlign w:val="superscript"/>
          <w:rtl/>
        </w:rPr>
        <w:footnoteReference w:id="120"/>
      </w:r>
      <w:r w:rsidRPr="0016536A">
        <w:rPr>
          <w:rFonts w:eastAsia="Calibri"/>
          <w:sz w:val="16"/>
          <w:szCs w:val="20"/>
          <w:rtl/>
        </w:rPr>
        <w:t xml:space="preserve">, </w:t>
      </w:r>
      <w:r w:rsidRPr="0016536A">
        <w:rPr>
          <w:rFonts w:eastAsia="Calibri" w:hint="eastAsia"/>
          <w:sz w:val="16"/>
          <w:szCs w:val="20"/>
          <w:rtl/>
        </w:rPr>
        <w:t>בעיבוד</w:t>
      </w:r>
      <w:r w:rsidRPr="0016536A">
        <w:rPr>
          <w:rFonts w:eastAsia="Calibri"/>
          <w:sz w:val="16"/>
          <w:szCs w:val="20"/>
          <w:rtl/>
        </w:rPr>
        <w:t xml:space="preserve"> </w:t>
      </w:r>
      <w:r w:rsidRPr="0016536A">
        <w:rPr>
          <w:rFonts w:eastAsia="Calibri" w:hint="eastAsia"/>
          <w:sz w:val="16"/>
          <w:szCs w:val="20"/>
          <w:rtl/>
        </w:rPr>
        <w:t>משרד</w:t>
      </w:r>
      <w:r w:rsidRPr="0016536A">
        <w:rPr>
          <w:rFonts w:eastAsia="Calibri"/>
          <w:sz w:val="16"/>
          <w:szCs w:val="20"/>
          <w:rtl/>
        </w:rPr>
        <w:t xml:space="preserve"> </w:t>
      </w:r>
      <w:r w:rsidRPr="0016536A">
        <w:rPr>
          <w:rFonts w:eastAsia="Calibri" w:hint="eastAsia"/>
          <w:sz w:val="16"/>
          <w:szCs w:val="20"/>
          <w:rtl/>
        </w:rPr>
        <w:t>מבקר</w:t>
      </w:r>
      <w:r w:rsidRPr="0016536A">
        <w:rPr>
          <w:rFonts w:eastAsia="Calibri"/>
          <w:sz w:val="16"/>
          <w:szCs w:val="20"/>
          <w:rtl/>
        </w:rPr>
        <w:t xml:space="preserve"> </w:t>
      </w:r>
      <w:r w:rsidRPr="0016536A">
        <w:rPr>
          <w:rFonts w:eastAsia="Calibri" w:hint="eastAsia"/>
          <w:sz w:val="16"/>
          <w:szCs w:val="20"/>
          <w:rtl/>
        </w:rPr>
        <w:t>המדינה</w:t>
      </w:r>
      <w:r w:rsidRPr="0016536A">
        <w:rPr>
          <w:rFonts w:eastAsia="Calibri" w:hint="cs"/>
          <w:sz w:val="16"/>
          <w:szCs w:val="20"/>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מהתרשים עולה כי שיעורי פעולות המניעה וקידום הבריאות שבוצעו בקרב בני 65 ומעלה עומדים בממוצע על כ-74%, ונעים בין 91% (תיעוד מצב העישון) ל-56% (חיסון נגד שפעת). עוד עולה מהתרשים כי חרף חשיבות הביצוע של בדיקות וטיפולים לשם מניעת מחלות וקידום בריאות, בכל המדדים שנבדקו, פרט לאחד (ביצוע מדידת לחץ דם), יש ירידה בשיעור הביצוע בשנת 2024 בהשוואה לשנת 2019, בשיעורים של 6 נקודות אחוז (חיסון נגד שפעת) עד עשירית נקודת אחוז (גילוי מוקדם של סרטן המעי הגס).</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על החשיבות שבביצוע בדיקות לשם מניעת מחלות וקידום בריאות ניתן ללמוד מכמה דוגמאות: דוגמה אחת הינה שהירידה בתיעוד מצב העישון בקרב בני 65 ומעלה מקבילה לעלייה בעישון אצלם בכ-17% בשנים 2019 - 2024</w:t>
      </w:r>
      <w:r>
        <w:rPr>
          <w:rFonts w:eastAsia="Calibri"/>
          <w:b/>
          <w:bCs/>
          <w:vertAlign w:val="superscript"/>
          <w:rtl/>
        </w:rPr>
        <w:footnoteReference w:id="121"/>
      </w:r>
      <w:r w:rsidRPr="0016536A">
        <w:rPr>
          <w:rFonts w:eastAsia="Calibri" w:hint="cs"/>
          <w:b/>
          <w:bCs/>
          <w:rtl/>
        </w:rPr>
        <w:t>; דוגמה נוספת היא שהירידה בביצוע בדיקת ממוגרפיה מקבילה לעלייה בשיעור ההיארעות של סרטן השד בכ-7% משנת 2019 לשנת 2022</w:t>
      </w:r>
      <w:r>
        <w:rPr>
          <w:rFonts w:eastAsia="Calibri"/>
          <w:b/>
          <w:bCs/>
          <w:vertAlign w:val="superscript"/>
          <w:rtl/>
        </w:rPr>
        <w:footnoteReference w:id="122"/>
      </w:r>
      <w:r w:rsidRPr="0016536A">
        <w:rPr>
          <w:rFonts w:eastAsia="Calibri" w:hint="cs"/>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אומנם בשנים האחרונות התמודדה מדינת ישראל עם מגפת הקורונה ועם מלחמת "חרבות ברזל", דבר שיכול להסביר חלק מהירידה בשיעור הביצוע של בדיקות וטיפולים לשם מניעת מחלות וקידום בריאות; עם זאת מומלץ כי משרד הבריאות יבחן לעומק יחד עם קופות החולים אם קיימות סיבות נוספות לכך ששיעורי הביצוע של פעולות המניעה אינם חוזרים לרמתם בשנת 2019. עוד מומלץ כי המשרד יפעל מול קופות החולים להעלאת שיעור ביצוע פעולות המניעה.</w:t>
      </w:r>
    </w:p>
    <w:p w:rsidR="0016536A" w:rsidRPr="0016536A" w:rsidP="004614AF">
      <w:pPr>
        <w:keepNext/>
        <w:keepLines/>
        <w:spacing w:line="269" w:lineRule="auto"/>
        <w:outlineLvl w:val="4"/>
        <w:rPr>
          <w:rFonts w:eastAsia="Times New Roman"/>
          <w:bCs/>
          <w:spacing w:val="40"/>
          <w:rtl/>
        </w:rPr>
      </w:pPr>
      <w:r w:rsidRPr="0016536A">
        <w:rPr>
          <w:rFonts w:eastAsia="Times New Roman" w:hint="cs"/>
          <w:bCs/>
          <w:spacing w:val="40"/>
          <w:rtl/>
        </w:rPr>
        <w:t>היעדר יעדים ותוכנית פעולה לשיפור במדדי האיכות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כאמור, לשם יצירת שינוי נדרשים יעדים לשיפור ותוכניות פעולה לשם השגתם</w:t>
      </w:r>
      <w:r>
        <w:rPr>
          <w:rFonts w:eastAsia="Calibri"/>
          <w:vertAlign w:val="superscript"/>
          <w:rtl/>
        </w:rPr>
        <w:footnoteReference w:id="123"/>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במקביל לתוכנית מדדי האיכות בקהילה, משרד הבריאות מפעיל את התוכנית הלאומית למדדי איכות בבתי חולים כלליים (להלן - תוכנית מדדי האיכות בבתי חולים). תוכנית זו נועדה לתרום לשיפור איכות הטיפול בבתי החולים ובטיפות החלב (שפועלות בחלקן במסגרת קופות החולים</w:t>
      </w:r>
      <w:r>
        <w:rPr>
          <w:rFonts w:eastAsia="Calibri"/>
          <w:vertAlign w:val="superscript"/>
          <w:rtl/>
        </w:rPr>
        <w:footnoteReference w:id="124"/>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במסגרת תוכנית מדדי האיכות בבתי חולים נמדדת איכות הטיפול, אך במקביל לכך, התוכנית קובעת יעדים לשיפור, ומגדירה תוכניות פעולה כדי להגיע להישגים הנדרשים</w:t>
      </w:r>
      <w:r>
        <w:rPr>
          <w:rFonts w:eastAsia="Calibri"/>
          <w:vertAlign w:val="superscript"/>
          <w:rtl/>
        </w:rPr>
        <w:footnoteReference w:id="125"/>
      </w:r>
      <w:r w:rsidRPr="0016536A">
        <w:rPr>
          <w:rFonts w:eastAsia="Calibri" w:hint="cs"/>
          <w:rtl/>
        </w:rPr>
        <w:t>. כך לדוגמה במדד הבוחן שיעור ביצוע בדיקת סקר לאיתור דיכאון בקרב מאושפזים במחלקות תת-אקוטיות</w:t>
      </w:r>
      <w:r>
        <w:rPr>
          <w:rFonts w:eastAsia="Calibri"/>
          <w:vertAlign w:val="superscript"/>
          <w:rtl/>
        </w:rPr>
        <w:footnoteReference w:id="126"/>
      </w:r>
      <w:r w:rsidRPr="0016536A">
        <w:rPr>
          <w:rFonts w:eastAsia="Calibri" w:hint="cs"/>
          <w:rtl/>
        </w:rPr>
        <w:t xml:space="preserve"> בבתי חולים גריאטריים בשבעת הימים הראשונים לאשפוז, הגדירה התוכנית למדדי האיכות בבתי חולים יעד של 90% לשנת 2023. ואכן, בפועל עמד המדד בשנה זו על 94%, שיפור של 6 נקודות אחוז לעומת שנת 2019</w:t>
      </w:r>
      <w:r>
        <w:rPr>
          <w:rFonts w:eastAsia="Calibri"/>
          <w:vertAlign w:val="superscript"/>
          <w:rtl/>
        </w:rPr>
        <w:footnoteReference w:id="127"/>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נוסף על ההגדרות בתוכנית עצמה, צוות תוכנית מדדי האיכות בבתי החולים פועל לצמצום הפערים בין היעדים שהוצבו לבין המצב בפועל בכמה דרכים, ובהן הנעת תהליכי שיפור במוסדות הבריאות, עדכון נהלים וקיום ימי עיון ובניית לומדות</w:t>
      </w:r>
      <w:r>
        <w:rPr>
          <w:rFonts w:eastAsia="Calibri"/>
          <w:vertAlign w:val="superscript"/>
          <w:rtl/>
        </w:rPr>
        <w:footnoteReference w:id="128"/>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בביקורת נמצא כי בשונה מהאופן שבו משרד הבריאות פועל בתוכנית מדדי האיכות בבתי החולים, בתוכנית מדדי האיכות בקהילה המשרד לא הגדיר לקופות החולים יעדים, לא קבע תוכנית פעולה שתכליתה שיפור במדדים, וגם לא ביצע הכשרות לאנשי מקצוע בעקבות תוצאות המדדים ולא הניע תהליכי שיפור</w:t>
      </w:r>
      <w:r>
        <w:rPr>
          <w:rFonts w:eastAsia="Calibri"/>
          <w:b/>
          <w:bCs/>
          <w:vertAlign w:val="superscript"/>
          <w:rtl/>
        </w:rPr>
        <w:footnoteReference w:id="129"/>
      </w:r>
      <w:r w:rsidRPr="0016536A">
        <w:rPr>
          <w:rFonts w:eastAsia="Calibri" w:hint="cs"/>
          <w:b/>
          <w:b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בהיעדר יעדים לשיפור ותוכניות פעולה הנגזרות מהם, יתקשו משרד הבריאות וקופות החולים להביא לשיפור המדדים, ובפרט בנוגע למקרים שבהם יש ירידה במדדים או שהמדדים אינם עומדים על שיעורי ביצוע רצויים.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מומלץ כי משרד הבריאות יקבע יעדים למדדים הנכללים בתוכנית מדדי האיכות בקהילה, וכי ינקוט פעולות לצמצום הפערים במדדים, כדוגמת הנעת תהליכי שיפור מול קופות החולים, עדכון נהלים והכשרה. </w:t>
      </w:r>
    </w:p>
    <w:p w:rsidR="0016536A" w:rsidRPr="0016536A" w:rsidP="004614AF">
      <w:pPr>
        <w:spacing w:line="269" w:lineRule="auto"/>
        <w:rPr>
          <w:rFonts w:eastAsia="Calibri"/>
          <w:b/>
          <w:bCs/>
          <w:rtl/>
        </w:rPr>
      </w:pPr>
    </w:p>
    <w:p w:rsidR="0016536A" w:rsidRPr="0016536A" w:rsidP="004614AF">
      <w:pPr>
        <w:keepNext/>
        <w:keepLines/>
        <w:spacing w:line="269" w:lineRule="auto"/>
        <w:outlineLvl w:val="3"/>
        <w:rPr>
          <w:rFonts w:eastAsia="Times New Roman"/>
          <w:bCs/>
          <w:szCs w:val="26"/>
          <w:rtl/>
        </w:rPr>
      </w:pPr>
      <w:r w:rsidRPr="0016536A">
        <w:rPr>
          <w:rFonts w:eastAsia="Times New Roman" w:hint="cs"/>
          <w:bCs/>
          <w:szCs w:val="26"/>
          <w:rtl/>
        </w:rPr>
        <w:t>היקפן של פעולות מניעה וקידום בריאות שאינן חלק מתוכנית מדדי האיכות, ואשר נאספות בשדות ממוחשבים ובטקסט פתוח בתיקים רפואיים בקופות החולים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חוק זכויות החולה, התשנ"ו-1996, וחוזר מנכ"ל משרד הבריאות בנושא הרשומה הרפואית קובעים כי על מטפל לתעד את מהלך הטיפול הרפואי ברשומה רפואית ועל המוסד הרפואי לשמור אותה</w:t>
      </w:r>
      <w:r>
        <w:rPr>
          <w:rFonts w:eastAsia="Calibri"/>
          <w:vertAlign w:val="superscript"/>
          <w:rtl/>
        </w:rPr>
        <w:footnoteReference w:id="130"/>
      </w:r>
      <w:r w:rsidRPr="0016536A">
        <w:rPr>
          <w:rFonts w:eastAsia="Calibri" w:hint="cs"/>
          <w:rtl/>
        </w:rPr>
        <w:t>. בהתאם לכך, קופות החולים מתעדות בדיקות וטיפולים מונעים במערכות המידע שלהן, על בסיס שדות ממוחשבים בתיקים הרפואיים של המטופלים חברי הקופה, ובשדות שממלא הגורם המטפל בטקסט חופשי. תיעוד זה הוא נוסף על המדדים שמדווחות קופות החולים לתוכנית מדדי האיכות.</w:t>
      </w:r>
    </w:p>
    <w:p w:rsidR="0016536A" w:rsidRPr="0016536A" w:rsidP="004614AF">
      <w:pPr>
        <w:spacing w:line="269" w:lineRule="auto"/>
        <w:rPr>
          <w:rFonts w:eastAsia="Calibri"/>
          <w:rtl/>
        </w:rPr>
      </w:pPr>
    </w:p>
    <w:p w:rsidR="004614AF">
      <w:pPr>
        <w:bidi w:val="0"/>
        <w:spacing w:after="200" w:line="276" w:lineRule="auto"/>
        <w:rPr>
          <w:rFonts w:eastAsia="Times New Roman"/>
          <w:bCs/>
          <w:spacing w:val="40"/>
          <w:rtl/>
        </w:rPr>
      </w:pPr>
      <w:r>
        <w:rPr>
          <w:rFonts w:eastAsia="Times New Roman"/>
          <w:bCs/>
          <w:spacing w:val="40"/>
          <w:rtl/>
        </w:rPr>
        <w:br w:type="page"/>
      </w:r>
    </w:p>
    <w:p w:rsidR="0016536A" w:rsidRPr="0016536A" w:rsidP="004614AF">
      <w:pPr>
        <w:keepNext/>
        <w:keepLines/>
        <w:spacing w:line="269" w:lineRule="auto"/>
        <w:outlineLvl w:val="4"/>
        <w:rPr>
          <w:rFonts w:eastAsia="Times New Roman"/>
          <w:bCs/>
          <w:spacing w:val="40"/>
          <w:rtl/>
        </w:rPr>
      </w:pPr>
      <w:r w:rsidRPr="0016536A">
        <w:rPr>
          <w:rFonts w:eastAsia="Times New Roman" w:hint="cs"/>
          <w:bCs/>
          <w:spacing w:val="40"/>
          <w:rtl/>
        </w:rPr>
        <w:t>פעולות מניעה המתועדות בשדות ממוחשבים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חוזר מנכ"ל משרד הבריאות בנושא חובת תיעוד של גורמי סיכון ואורחות חיים בתיק הרפואי הממוחשב קובע כי משנת 2012 על קופות החולים לתעד בשדה ממוחשב בתיקים הרפואיים של חבריהן, אם חבר הקופה מעשן, ואם כן - אם קיבל ייעוץ להפסקת עישון; עוד הן נדרשות לתעד משקל, גובה ואת מדד מסת הגוף (</w:t>
      </w:r>
      <w:r w:rsidRPr="0016536A">
        <w:rPr>
          <w:rFonts w:eastAsia="Calibri" w:hint="cs"/>
        </w:rPr>
        <w:t>BMI</w:t>
      </w:r>
      <w:r w:rsidRPr="0016536A">
        <w:rPr>
          <w:rFonts w:eastAsia="Calibri" w:hint="cs"/>
          <w:rtl/>
        </w:rPr>
        <w:t>); וכן אם חבר הקופה מבצע פעילות גופנית, את תדירותה ואם הומלץ לו לבצעה</w:t>
      </w:r>
      <w:r>
        <w:rPr>
          <w:rFonts w:eastAsia="Calibri"/>
          <w:vertAlign w:val="superscript"/>
          <w:rtl/>
        </w:rPr>
        <w:footnoteReference w:id="131"/>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בביקורת נבדקו היקפן ושיעורן של פעולות המניעה וקידום הבריאות שמבצעים חברי הקופות בני 65 ומעלה, ושקופות החולים מתעדות בשדות ממוחשבים בלבד (לא במסגרת המלל החופשי)</w:t>
      </w:r>
      <w:r>
        <w:rPr>
          <w:rFonts w:eastAsia="Calibri"/>
          <w:vertAlign w:val="superscript"/>
          <w:rtl/>
        </w:rPr>
        <w:footnoteReference w:id="132"/>
      </w:r>
      <w:r w:rsidRPr="0016536A">
        <w:rPr>
          <w:rFonts w:eastAsia="Calibri" w:hint="cs"/>
          <w:rtl/>
        </w:rPr>
        <w:t xml:space="preserve"> אך הן אינן בתוכנית המדדים, כמוצג בתרשים שלהלן</w:t>
      </w:r>
      <w:r>
        <w:rPr>
          <w:rFonts w:eastAsia="Calibri"/>
          <w:vertAlign w:val="superscript"/>
          <w:rtl/>
        </w:rPr>
        <w:footnoteReference w:id="133"/>
      </w:r>
      <w:r w:rsidRPr="0016536A">
        <w:rPr>
          <w:rFonts w:eastAsia="Calibri" w:hint="cs"/>
          <w:rtl/>
        </w:rPr>
        <w:t>.</w:t>
      </w:r>
    </w:p>
    <w:p w:rsidR="0016536A" w:rsidRPr="0016536A" w:rsidP="004614AF">
      <w:pPr>
        <w:spacing w:line="269" w:lineRule="auto"/>
        <w:rPr>
          <w:rFonts w:eastAsia="Calibri"/>
          <w:rtl/>
        </w:rPr>
      </w:pPr>
    </w:p>
    <w:p w:rsidR="0016536A" w:rsidRPr="0016536A" w:rsidP="004614AF">
      <w:pPr>
        <w:keepNext/>
        <w:keepLines/>
        <w:spacing w:line="269" w:lineRule="auto"/>
        <w:jc w:val="center"/>
        <w:rPr>
          <w:rFonts w:eastAsia="Calibri"/>
          <w:b/>
          <w:bCs/>
          <w:rtl/>
        </w:rPr>
      </w:pPr>
      <w:bookmarkStart w:id="16" w:name="_Hlk212480146"/>
      <w:r w:rsidRPr="0016536A">
        <w:rPr>
          <w:rFonts w:eastAsia="Calibri" w:hint="eastAsia"/>
          <w:rtl/>
        </w:rPr>
        <w:t>תרשים</w:t>
      </w:r>
      <w:r w:rsidRPr="0016536A">
        <w:rPr>
          <w:rFonts w:eastAsia="Calibri" w:hint="cs"/>
          <w:rtl/>
        </w:rPr>
        <w:t xml:space="preserve"> 15</w:t>
      </w:r>
      <w:r w:rsidRPr="0016536A">
        <w:rPr>
          <w:rFonts w:eastAsia="Calibri"/>
          <w:rtl/>
        </w:rPr>
        <w:t>:</w:t>
      </w:r>
      <w:r w:rsidRPr="0016536A">
        <w:rPr>
          <w:rFonts w:eastAsia="Calibri" w:hint="cs"/>
          <w:b/>
          <w:bCs/>
          <w:rtl/>
        </w:rPr>
        <w:t xml:space="preserve"> שיעור הביצוע של פעולות מניעה וקידום בריאות בקרב בני 65 ומעלה, בשדות הממוחשבים, 2024</w:t>
      </w:r>
    </w:p>
    <w:bookmarkEnd w:id="16"/>
    <w:p w:rsidR="0016536A" w:rsidRPr="0016536A" w:rsidP="004614AF">
      <w:pPr>
        <w:spacing w:line="269" w:lineRule="auto"/>
        <w:jc w:val="center"/>
        <w:rPr>
          <w:rFonts w:ascii="Almoni ML v5 AAA Light" w:eastAsia="Times New Roman" w:hAnsi="Almoni ML v5 AAA Light" w:cs="Almoni ML v5 AAA Light"/>
          <w:color w:val="000000"/>
          <w:sz w:val="21"/>
          <w:szCs w:val="21"/>
          <w:rtl/>
        </w:rPr>
      </w:pPr>
      <w:r w:rsidRPr="0016536A">
        <w:rPr>
          <w:rFonts w:ascii="Almoni ML v5 AAA Light" w:eastAsia="Times New Roman" w:hAnsi="Almoni ML v5 AAA Light" w:cs="Almoni ML v5 AAA Light"/>
          <w:noProof/>
          <w:color w:val="000000"/>
          <w:sz w:val="21"/>
          <w:szCs w:val="21"/>
        </w:rPr>
        <w:drawing>
          <wp:inline distT="0" distB="0" distL="0" distR="0">
            <wp:extent cx="5236845" cy="3822700"/>
            <wp:effectExtent l="0" t="0" r="1905" b="6350"/>
            <wp:docPr id="450" name="תמונה 450" descr="התאמת הבית לנפילות: לא ביצעו 99%, ביצעו 1%&#10;בדיקת שמיעה: לא ביצעו 98%, ביצעו 2%&#10;אבחון אי-נקיטת שתן: לא ביצעו 96%, ביצעו 4%&#10;איתור ריבוי תרופות: לא ביצעו 96%, ביצעו 4%&#10;ביקור אצל תזונאית: לא ביצעו 95%, ביצעו 5%&#10;איתור ירידה פיזית: לא ביצעו 95%, ביצעו 5%&#10;חיסון שלבקת חוגרת: לא ביצעו 94%, ביצעו 6%&#10;איתור דמנציה: לא ביצעו 94%, ביצעו 6%&#10;איתור דיכאון: לא ביצעו 92%, ביצעו 8%&#10;בדיקת צפיפות עצם: לא ביצעו 91%, ביצעו 9%&#10;חיסון טטנוס: לא ביצעו 91%, ביצעו 9%&#10;תוספת סידן וויטמין D: לא ביצעו 75%, ביצעו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6"/>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6845" cy="3822700"/>
                    </a:xfrm>
                    <a:prstGeom prst="rect">
                      <a:avLst/>
                    </a:prstGeom>
                    <a:noFill/>
                  </pic:spPr>
                </pic:pic>
              </a:graphicData>
            </a:graphic>
          </wp:inline>
        </w:drawing>
      </w:r>
    </w:p>
    <w:p w:rsidR="0016536A" w:rsidRPr="0016536A" w:rsidP="004614AF">
      <w:pPr>
        <w:spacing w:line="269" w:lineRule="auto"/>
        <w:rPr>
          <w:rFonts w:eastAsia="Calibri"/>
          <w:szCs w:val="20"/>
          <w:rtl/>
        </w:rPr>
      </w:pPr>
      <w:r w:rsidRPr="0016536A">
        <w:rPr>
          <w:rFonts w:eastAsia="Calibri" w:hint="cs"/>
          <w:szCs w:val="20"/>
          <w:rtl/>
        </w:rPr>
        <w:t>על פי נתוני כללית, מכבי ומאוחדת</w:t>
      </w:r>
      <w:r>
        <w:rPr>
          <w:rFonts w:eastAsia="Calibri"/>
          <w:vertAlign w:val="superscript"/>
          <w:rtl/>
        </w:rPr>
        <w:footnoteReference w:id="134"/>
      </w:r>
      <w:r w:rsidRPr="0016536A">
        <w:rPr>
          <w:rFonts w:eastAsia="Calibri" w:hint="cs"/>
          <w:szCs w:val="20"/>
          <w:rtl/>
        </w:rPr>
        <w:t>,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מהתרשים עולה כי בממוצע כ-93% מפעולות המניעה וקידום הבריאות המתועדות בשדות הממוחשבים לא בוצעו - שיעור פעולות המניעה בקרב בני 65 ומעלה שלא בוצעו נע בין 99% (התאמת הבית למניעת נפילות) ל-75% (נטילת תוספת סידן וויטמין </w:t>
      </w:r>
      <w:r w:rsidRPr="0016536A">
        <w:rPr>
          <w:rFonts w:eastAsia="Calibri" w:hint="cs"/>
          <w:b/>
          <w:bCs/>
        </w:rPr>
        <w:t>D</w:t>
      </w:r>
      <w:r w:rsidRPr="0016536A">
        <w:rPr>
          <w:rFonts w:eastAsia="Calibri" w:hint="cs"/>
          <w:b/>
          <w:bCs/>
          <w:rtl/>
        </w:rPr>
        <w:t>)</w:t>
      </w:r>
      <w:r>
        <w:rPr>
          <w:rFonts w:eastAsia="Calibri"/>
          <w:b/>
          <w:bCs/>
          <w:vertAlign w:val="superscript"/>
          <w:rtl/>
        </w:rPr>
        <w:footnoteReference w:id="135"/>
      </w:r>
      <w:r w:rsidRPr="0016536A">
        <w:rPr>
          <w:rFonts w:eastAsia="Calibri" w:hint="cs"/>
          <w:b/>
          <w:bCs/>
          <w:rtl/>
        </w:rPr>
        <w:t xml:space="preserve">. </w:t>
      </w:r>
    </w:p>
    <w:p w:rsidR="0016536A" w:rsidRPr="0016536A" w:rsidP="004614AF">
      <w:pPr>
        <w:spacing w:line="269" w:lineRule="auto"/>
        <w:rPr>
          <w:rFonts w:eastAsia="Calibri"/>
          <w:b/>
          <w:bCs/>
          <w:rtl/>
        </w:rPr>
      </w:pPr>
      <w:r w:rsidRPr="0016536A">
        <w:rPr>
          <w:rFonts w:eastAsia="Calibri" w:hint="eastAsia"/>
          <w:b/>
          <w:bCs/>
          <w:rtl/>
        </w:rPr>
        <w:t>שיעור</w:t>
      </w:r>
      <w:r w:rsidRPr="0016536A">
        <w:rPr>
          <w:rFonts w:eastAsia="Calibri"/>
          <w:b/>
          <w:bCs/>
          <w:rtl/>
        </w:rPr>
        <w:t xml:space="preserve"> </w:t>
      </w:r>
      <w:r w:rsidRPr="0016536A">
        <w:rPr>
          <w:rFonts w:eastAsia="Calibri" w:hint="cs"/>
          <w:b/>
          <w:bCs/>
          <w:rtl/>
        </w:rPr>
        <w:t xml:space="preserve">הביצוע של פעולות שאינן נמדדות בתוכנית הלאומית למדדי איכות ומתועדות בשדות ממחושבים (7% בממוצע) </w:t>
      </w:r>
      <w:r w:rsidRPr="0016536A">
        <w:rPr>
          <w:rFonts w:eastAsia="Calibri"/>
          <w:b/>
          <w:bCs/>
          <w:rtl/>
        </w:rPr>
        <w:t xml:space="preserve">נמוך באופן משמעותי משיעור </w:t>
      </w:r>
      <w:r w:rsidRPr="0016536A">
        <w:rPr>
          <w:rFonts w:eastAsia="Calibri" w:hint="cs"/>
          <w:b/>
          <w:bCs/>
          <w:rtl/>
        </w:rPr>
        <w:t>הביצוע</w:t>
      </w:r>
      <w:r w:rsidRPr="0016536A">
        <w:rPr>
          <w:rFonts w:eastAsia="Calibri"/>
          <w:b/>
          <w:bCs/>
          <w:rtl/>
        </w:rPr>
        <w:t xml:space="preserve"> של פעולות המניעה </w:t>
      </w:r>
      <w:r w:rsidRPr="0016536A">
        <w:rPr>
          <w:rFonts w:eastAsia="Calibri" w:hint="cs"/>
          <w:b/>
          <w:bCs/>
          <w:rtl/>
        </w:rPr>
        <w:t xml:space="preserve">וקידום הבריאות </w:t>
      </w:r>
      <w:r w:rsidRPr="0016536A">
        <w:rPr>
          <w:rFonts w:eastAsia="Calibri"/>
          <w:b/>
          <w:bCs/>
          <w:rtl/>
        </w:rPr>
        <w:t>בתוכנית הלאומית למדדי איכות (</w:t>
      </w:r>
      <w:r w:rsidRPr="0016536A">
        <w:rPr>
          <w:rFonts w:eastAsia="Calibri" w:hint="cs"/>
          <w:b/>
          <w:bCs/>
          <w:rtl/>
        </w:rPr>
        <w:t xml:space="preserve">שעומד על </w:t>
      </w:r>
      <w:r w:rsidRPr="0016536A">
        <w:rPr>
          <w:rFonts w:eastAsia="Calibri"/>
          <w:b/>
          <w:bCs/>
          <w:rtl/>
        </w:rPr>
        <w:t>74%</w:t>
      </w:r>
      <w:r w:rsidRPr="0016536A">
        <w:rPr>
          <w:rFonts w:eastAsia="Calibri" w:hint="cs"/>
          <w:b/>
          <w:bCs/>
          <w:rtl/>
        </w:rPr>
        <w:t xml:space="preserve"> בממוצע</w:t>
      </w:r>
      <w:r w:rsidRPr="0016536A">
        <w:rPr>
          <w:rFonts w:eastAsia="Calibri"/>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בביקורת</w:t>
      </w:r>
      <w:r w:rsidRPr="0016536A">
        <w:rPr>
          <w:rFonts w:eastAsia="Calibri"/>
          <w:b/>
          <w:bCs/>
          <w:rtl/>
        </w:rPr>
        <w:t xml:space="preserve"> </w:t>
      </w:r>
      <w:r w:rsidRPr="0016536A">
        <w:rPr>
          <w:rFonts w:eastAsia="Calibri" w:hint="eastAsia"/>
          <w:b/>
          <w:bCs/>
          <w:rtl/>
        </w:rPr>
        <w:t>עלה</w:t>
      </w:r>
      <w:r w:rsidRPr="0016536A">
        <w:rPr>
          <w:rFonts w:eastAsia="Calibri"/>
          <w:b/>
          <w:bCs/>
          <w:rtl/>
        </w:rPr>
        <w:t xml:space="preserve"> </w:t>
      </w:r>
      <w:r w:rsidRPr="0016536A">
        <w:rPr>
          <w:rFonts w:eastAsia="Calibri" w:hint="eastAsia"/>
          <w:b/>
          <w:bCs/>
          <w:rtl/>
        </w:rPr>
        <w:t>גם</w:t>
      </w:r>
      <w:r w:rsidRPr="0016536A">
        <w:rPr>
          <w:rFonts w:eastAsia="Calibri"/>
          <w:b/>
          <w:bCs/>
          <w:rtl/>
        </w:rPr>
        <w:t xml:space="preserve"> </w:t>
      </w:r>
      <w:r w:rsidRPr="0016536A">
        <w:rPr>
          <w:rFonts w:eastAsia="Calibri" w:hint="eastAsia"/>
          <w:b/>
          <w:bCs/>
          <w:rtl/>
        </w:rPr>
        <w:t>כי</w:t>
      </w:r>
      <w:r w:rsidRPr="0016536A">
        <w:rPr>
          <w:rFonts w:eastAsia="Calibri"/>
          <w:b/>
          <w:bCs/>
          <w:rtl/>
        </w:rPr>
        <w:t xml:space="preserve"> </w:t>
      </w:r>
      <w:r w:rsidRPr="0016536A">
        <w:rPr>
          <w:rFonts w:eastAsia="Calibri" w:hint="eastAsia"/>
          <w:b/>
          <w:bCs/>
          <w:rtl/>
        </w:rPr>
        <w:t>על</w:t>
      </w:r>
      <w:r w:rsidRPr="0016536A">
        <w:rPr>
          <w:rFonts w:eastAsia="Calibri"/>
          <w:b/>
          <w:bCs/>
          <w:rtl/>
        </w:rPr>
        <w:t xml:space="preserve"> </w:t>
      </w:r>
      <w:r w:rsidRPr="0016536A">
        <w:rPr>
          <w:rFonts w:eastAsia="Calibri" w:hint="eastAsia"/>
          <w:b/>
          <w:bCs/>
          <w:rtl/>
        </w:rPr>
        <w:t>פי</w:t>
      </w:r>
      <w:r w:rsidRPr="0016536A">
        <w:rPr>
          <w:rFonts w:eastAsia="Calibri"/>
          <w:b/>
          <w:bCs/>
          <w:rtl/>
        </w:rPr>
        <w:t xml:space="preserve"> </w:t>
      </w:r>
      <w:r w:rsidRPr="0016536A">
        <w:rPr>
          <w:rFonts w:eastAsia="Calibri" w:hint="eastAsia"/>
          <w:b/>
          <w:bCs/>
          <w:rtl/>
        </w:rPr>
        <w:t>נתוני</w:t>
      </w:r>
      <w:r w:rsidRPr="0016536A">
        <w:rPr>
          <w:rFonts w:eastAsia="Calibri"/>
          <w:b/>
          <w:bCs/>
          <w:rtl/>
        </w:rPr>
        <w:t xml:space="preserve"> </w:t>
      </w:r>
      <w:r w:rsidRPr="0016536A">
        <w:rPr>
          <w:rFonts w:eastAsia="Calibri" w:hint="eastAsia"/>
          <w:b/>
          <w:bCs/>
          <w:rtl/>
        </w:rPr>
        <w:t>אחת</w:t>
      </w:r>
      <w:r w:rsidRPr="0016536A">
        <w:rPr>
          <w:rFonts w:eastAsia="Calibri"/>
          <w:b/>
          <w:bCs/>
          <w:rtl/>
        </w:rPr>
        <w:t xml:space="preserve"> </w:t>
      </w:r>
      <w:r w:rsidRPr="0016536A">
        <w:rPr>
          <w:rFonts w:eastAsia="Calibri" w:hint="eastAsia"/>
          <w:b/>
          <w:bCs/>
          <w:rtl/>
        </w:rPr>
        <w:t>הקופות</w:t>
      </w:r>
      <w:r w:rsidRPr="0016536A">
        <w:rPr>
          <w:rFonts w:eastAsia="Calibri" w:hint="cs"/>
          <w:b/>
          <w:bCs/>
          <w:rtl/>
        </w:rPr>
        <w:t>,</w:t>
      </w:r>
      <w:r w:rsidRPr="0016536A">
        <w:rPr>
          <w:rFonts w:eastAsia="Calibri"/>
          <w:b/>
          <w:bCs/>
          <w:rtl/>
        </w:rPr>
        <w:t xml:space="preserve"> 54% מהמטופלים בני 65 ומעלה לא ביצעו </w:t>
      </w:r>
      <w:r w:rsidRPr="0016536A">
        <w:rPr>
          <w:rFonts w:eastAsia="Calibri" w:hint="cs"/>
          <w:b/>
          <w:bCs/>
          <w:rtl/>
        </w:rPr>
        <w:t>כל</w:t>
      </w:r>
      <w:r w:rsidRPr="0016536A">
        <w:rPr>
          <w:rFonts w:eastAsia="Calibri"/>
          <w:b/>
          <w:bCs/>
          <w:rtl/>
        </w:rPr>
        <w:t xml:space="preserve"> </w:t>
      </w:r>
      <w:r w:rsidRPr="0016536A">
        <w:rPr>
          <w:rFonts w:eastAsia="Calibri" w:hint="eastAsia"/>
          <w:b/>
          <w:bCs/>
          <w:rtl/>
        </w:rPr>
        <w:t>פעולת</w:t>
      </w:r>
      <w:r w:rsidRPr="0016536A">
        <w:rPr>
          <w:rFonts w:eastAsia="Calibri"/>
          <w:b/>
          <w:bCs/>
          <w:rtl/>
        </w:rPr>
        <w:t xml:space="preserve"> מניעה </w:t>
      </w:r>
      <w:r w:rsidRPr="0016536A">
        <w:rPr>
          <w:rFonts w:eastAsia="Calibri" w:hint="eastAsia"/>
          <w:b/>
          <w:bCs/>
          <w:rtl/>
        </w:rPr>
        <w:t>המתועדת</w:t>
      </w:r>
      <w:r w:rsidRPr="0016536A">
        <w:rPr>
          <w:rFonts w:eastAsia="Calibri"/>
          <w:b/>
          <w:bCs/>
          <w:rtl/>
        </w:rPr>
        <w:t xml:space="preserve"> </w:t>
      </w:r>
      <w:r w:rsidRPr="0016536A">
        <w:rPr>
          <w:rFonts w:eastAsia="Calibri" w:hint="eastAsia"/>
          <w:b/>
          <w:bCs/>
          <w:rtl/>
        </w:rPr>
        <w:t>בשדות</w:t>
      </w:r>
      <w:r w:rsidRPr="0016536A">
        <w:rPr>
          <w:rFonts w:eastAsia="Calibri"/>
          <w:b/>
          <w:bCs/>
          <w:rtl/>
        </w:rPr>
        <w:t xml:space="preserve"> </w:t>
      </w:r>
      <w:r w:rsidRPr="0016536A">
        <w:rPr>
          <w:rFonts w:eastAsia="Calibri" w:hint="eastAsia"/>
          <w:b/>
          <w:bCs/>
          <w:rtl/>
        </w:rPr>
        <w:t>הממוחשבים</w:t>
      </w:r>
      <w:r w:rsidRPr="0016536A">
        <w:rPr>
          <w:rFonts w:eastAsia="Calibri"/>
          <w:b/>
          <w:bCs/>
          <w:rtl/>
        </w:rPr>
        <w:t xml:space="preserve"> </w:t>
      </w:r>
      <w:r w:rsidRPr="0016536A">
        <w:rPr>
          <w:rFonts w:eastAsia="Calibri" w:hint="eastAsia"/>
          <w:b/>
          <w:bCs/>
          <w:rtl/>
        </w:rPr>
        <w:t>באף</w:t>
      </w:r>
      <w:r w:rsidRPr="0016536A">
        <w:rPr>
          <w:rFonts w:eastAsia="Calibri"/>
          <w:b/>
          <w:bCs/>
          <w:rtl/>
        </w:rPr>
        <w:t xml:space="preserve"> </w:t>
      </w:r>
      <w:r w:rsidRPr="0016536A">
        <w:rPr>
          <w:rFonts w:eastAsia="Calibri" w:hint="eastAsia"/>
          <w:b/>
          <w:bCs/>
          <w:rtl/>
        </w:rPr>
        <w:t>אחת</w:t>
      </w:r>
      <w:r w:rsidRPr="0016536A">
        <w:rPr>
          <w:rFonts w:eastAsia="Calibri"/>
          <w:b/>
          <w:bCs/>
          <w:rtl/>
        </w:rPr>
        <w:t xml:space="preserve"> </w:t>
      </w:r>
      <w:r w:rsidRPr="0016536A">
        <w:rPr>
          <w:rFonts w:eastAsia="Calibri" w:hint="eastAsia"/>
          <w:b/>
          <w:bCs/>
          <w:rtl/>
        </w:rPr>
        <w:t>מהשנים</w:t>
      </w:r>
      <w:r w:rsidRPr="0016536A">
        <w:rPr>
          <w:rFonts w:eastAsia="Calibri"/>
          <w:b/>
          <w:bCs/>
          <w:rtl/>
        </w:rPr>
        <w:t xml:space="preserve"> 2019 - 2024.</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b/>
          <w:bCs/>
          <w:rtl/>
        </w:rPr>
        <w:t xml:space="preserve">ביצוע מועט של פעולות </w:t>
      </w:r>
      <w:r w:rsidRPr="0016536A">
        <w:rPr>
          <w:rFonts w:eastAsia="Calibri" w:hint="eastAsia"/>
          <w:b/>
          <w:bCs/>
          <w:rtl/>
        </w:rPr>
        <w:t>ה</w:t>
      </w:r>
      <w:r w:rsidRPr="0016536A">
        <w:rPr>
          <w:rFonts w:eastAsia="Calibri"/>
          <w:b/>
          <w:bCs/>
          <w:rtl/>
        </w:rPr>
        <w:t xml:space="preserve">מניעה בתחומים שנבדקו עשוי להעיד על שימוש לא מספק של קופות החולים בכלים שעליהם המליצו הוועדה הבין-משרדית וכוח המשימה, ואשר נועדו לסייע </w:t>
      </w:r>
      <w:r w:rsidRPr="0016536A">
        <w:rPr>
          <w:rFonts w:eastAsia="Calibri" w:hint="eastAsia"/>
          <w:b/>
          <w:bCs/>
          <w:rtl/>
        </w:rPr>
        <w:t>ב</w:t>
      </w:r>
      <w:r w:rsidRPr="0016536A">
        <w:rPr>
          <w:rFonts w:eastAsia="Calibri"/>
          <w:b/>
          <w:bCs/>
          <w:rtl/>
        </w:rPr>
        <w:t xml:space="preserve">שימור בריאות </w:t>
      </w:r>
      <w:r w:rsidRPr="0016536A">
        <w:rPr>
          <w:rFonts w:eastAsia="Calibri" w:hint="eastAsia"/>
          <w:b/>
          <w:bCs/>
          <w:rtl/>
        </w:rPr>
        <w:t>המטופלים</w:t>
      </w:r>
      <w:r w:rsidRPr="0016536A">
        <w:rPr>
          <w:rFonts w:eastAsia="Calibri"/>
          <w:b/>
          <w:bCs/>
          <w:rtl/>
        </w:rPr>
        <w:t xml:space="preserve"> הזקנים.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להלן כמה דוגמאות:</w:t>
      </w:r>
    </w:p>
    <w:p w:rsidR="0016536A" w:rsidRPr="0016536A" w:rsidP="004614AF">
      <w:pPr>
        <w:spacing w:line="269" w:lineRule="auto"/>
        <w:rPr>
          <w:rFonts w:eastAsia="Calibri"/>
          <w:rtl/>
        </w:rPr>
      </w:pPr>
    </w:p>
    <w:p w:rsidR="0016536A" w:rsidRPr="0016536A" w:rsidP="004614AF">
      <w:pPr>
        <w:numPr>
          <w:ilvl w:val="0"/>
          <w:numId w:val="25"/>
        </w:numPr>
        <w:spacing w:line="269" w:lineRule="auto"/>
        <w:contextualSpacing/>
        <w:rPr>
          <w:rFonts w:eastAsia="Calibri"/>
          <w:rtl/>
        </w:rPr>
      </w:pPr>
      <w:r w:rsidRPr="0016536A">
        <w:rPr>
          <w:rFonts w:eastAsia="Times New Roman" w:hint="cs"/>
          <w:bCs/>
          <w:spacing w:val="40"/>
          <w:rtl/>
        </w:rPr>
        <w:t>בדיקת שמיעה:</w:t>
      </w:r>
      <w:r w:rsidRPr="0016536A">
        <w:rPr>
          <w:rFonts w:eastAsia="Calibri" w:hint="cs"/>
          <w:b/>
          <w:rtl/>
        </w:rPr>
        <w:t xml:space="preserve"> </w:t>
      </w:r>
      <w:r w:rsidRPr="0016536A">
        <w:rPr>
          <w:rFonts w:eastAsia="Calibri" w:hint="eastAsia"/>
          <w:rtl/>
        </w:rPr>
        <w:t>מחקרים</w:t>
      </w:r>
      <w:r w:rsidRPr="0016536A">
        <w:rPr>
          <w:rFonts w:eastAsia="Calibri"/>
          <w:rtl/>
        </w:rPr>
        <w:t xml:space="preserve"> </w:t>
      </w:r>
      <w:r w:rsidRPr="0016536A">
        <w:rPr>
          <w:rFonts w:eastAsia="Calibri" w:hint="eastAsia"/>
          <w:rtl/>
        </w:rPr>
        <w:t>מעידים</w:t>
      </w:r>
      <w:r w:rsidRPr="0016536A">
        <w:rPr>
          <w:rFonts w:eastAsia="Calibri"/>
          <w:rtl/>
        </w:rPr>
        <w:t xml:space="preserve"> </w:t>
      </w:r>
      <w:r w:rsidRPr="0016536A">
        <w:rPr>
          <w:rFonts w:eastAsia="Calibri" w:hint="eastAsia"/>
          <w:rtl/>
        </w:rPr>
        <w:t>על</w:t>
      </w:r>
      <w:r w:rsidRPr="0016536A">
        <w:rPr>
          <w:rFonts w:eastAsia="Calibri"/>
          <w:rtl/>
        </w:rPr>
        <w:t xml:space="preserve"> </w:t>
      </w:r>
      <w:r w:rsidRPr="0016536A">
        <w:rPr>
          <w:rFonts w:eastAsia="Calibri" w:hint="eastAsia"/>
          <w:rtl/>
        </w:rPr>
        <w:t>קשר</w:t>
      </w:r>
      <w:r w:rsidRPr="0016536A">
        <w:rPr>
          <w:rFonts w:eastAsia="Calibri"/>
          <w:rtl/>
        </w:rPr>
        <w:t xml:space="preserve"> </w:t>
      </w:r>
      <w:r w:rsidRPr="0016536A">
        <w:rPr>
          <w:rFonts w:eastAsia="Calibri" w:hint="eastAsia"/>
          <w:rtl/>
        </w:rPr>
        <w:t>בין</w:t>
      </w:r>
      <w:r w:rsidRPr="0016536A">
        <w:rPr>
          <w:rFonts w:eastAsia="Calibri"/>
          <w:rtl/>
        </w:rPr>
        <w:t xml:space="preserve"> </w:t>
      </w:r>
      <w:r w:rsidRPr="0016536A">
        <w:rPr>
          <w:rFonts w:eastAsia="Calibri" w:hint="eastAsia"/>
          <w:rtl/>
        </w:rPr>
        <w:t>ירידה</w:t>
      </w:r>
      <w:r w:rsidRPr="0016536A">
        <w:rPr>
          <w:rFonts w:eastAsia="Calibri"/>
          <w:rtl/>
        </w:rPr>
        <w:t xml:space="preserve"> </w:t>
      </w:r>
      <w:r w:rsidRPr="0016536A">
        <w:rPr>
          <w:rFonts w:eastAsia="Calibri" w:hint="eastAsia"/>
          <w:rtl/>
        </w:rPr>
        <w:t>בשמיעה</w:t>
      </w:r>
      <w:r w:rsidRPr="0016536A">
        <w:rPr>
          <w:rFonts w:eastAsia="Calibri"/>
          <w:rtl/>
        </w:rPr>
        <w:t xml:space="preserve"> </w:t>
      </w:r>
      <w:r w:rsidRPr="0016536A">
        <w:rPr>
          <w:rFonts w:eastAsia="Calibri" w:hint="eastAsia"/>
          <w:rtl/>
        </w:rPr>
        <w:t>לבין</w:t>
      </w:r>
      <w:r w:rsidRPr="0016536A">
        <w:rPr>
          <w:rFonts w:eastAsia="Calibri"/>
          <w:rtl/>
        </w:rPr>
        <w:t xml:space="preserve"> </w:t>
      </w:r>
      <w:r w:rsidRPr="0016536A">
        <w:rPr>
          <w:rFonts w:eastAsia="Calibri" w:hint="eastAsia"/>
          <w:rtl/>
        </w:rPr>
        <w:t>דמנציה</w:t>
      </w:r>
      <w:r w:rsidRPr="0016536A">
        <w:rPr>
          <w:rFonts w:eastAsia="Calibri"/>
          <w:rtl/>
        </w:rPr>
        <w:t xml:space="preserve"> </w:t>
      </w:r>
      <w:r w:rsidRPr="0016536A">
        <w:rPr>
          <w:rFonts w:eastAsia="Calibri" w:hint="eastAsia"/>
          <w:rtl/>
        </w:rPr>
        <w:t>אצל</w:t>
      </w:r>
      <w:r w:rsidRPr="0016536A">
        <w:rPr>
          <w:rFonts w:eastAsia="Calibri"/>
          <w:rtl/>
        </w:rPr>
        <w:t xml:space="preserve"> </w:t>
      </w:r>
      <w:r w:rsidRPr="0016536A">
        <w:rPr>
          <w:rFonts w:eastAsia="Calibri" w:hint="eastAsia"/>
          <w:rtl/>
        </w:rPr>
        <w:t>זקנים</w:t>
      </w:r>
      <w:r>
        <w:rPr>
          <w:rFonts w:eastAsia="Calibri"/>
          <w:vertAlign w:val="superscript"/>
          <w:rtl/>
        </w:rPr>
        <w:footnoteReference w:id="136"/>
      </w:r>
      <w:r w:rsidRPr="0016536A">
        <w:rPr>
          <w:rFonts w:eastAsia="Calibri"/>
          <w:rtl/>
        </w:rPr>
        <w:t xml:space="preserve"> </w:t>
      </w:r>
      <w:r w:rsidRPr="0016536A">
        <w:rPr>
          <w:rFonts w:eastAsia="Calibri" w:hint="eastAsia"/>
          <w:rtl/>
        </w:rPr>
        <w:t>בשל</w:t>
      </w:r>
      <w:r w:rsidRPr="0016536A">
        <w:rPr>
          <w:rFonts w:eastAsia="Calibri"/>
          <w:rtl/>
        </w:rPr>
        <w:t xml:space="preserve"> הקושי בניהול שיחה וצמצום הגרייה</w:t>
      </w:r>
      <w:r>
        <w:rPr>
          <w:rFonts w:eastAsia="Calibri"/>
          <w:vertAlign w:val="superscript"/>
          <w:rtl/>
        </w:rPr>
        <w:footnoteReference w:id="137"/>
      </w:r>
      <w:r w:rsidRPr="0016536A">
        <w:rPr>
          <w:rFonts w:eastAsia="Calibri"/>
          <w:rtl/>
        </w:rPr>
        <w:t xml:space="preserve"> שיוצרת ירידה בשמיעה, </w:t>
      </w:r>
      <w:r w:rsidRPr="0016536A">
        <w:rPr>
          <w:rFonts w:eastAsia="Calibri" w:hint="cs"/>
          <w:rtl/>
        </w:rPr>
        <w:t>ומלמדים</w:t>
      </w:r>
      <w:r w:rsidRPr="0016536A">
        <w:rPr>
          <w:rFonts w:eastAsia="Calibri"/>
          <w:rtl/>
        </w:rPr>
        <w:t xml:space="preserve"> ששימוש במכשירי שמיעה עשוי לסייע בהאטת ירידה קוגניטיבית</w:t>
      </w:r>
      <w:r>
        <w:rPr>
          <w:rFonts w:eastAsia="Calibri"/>
          <w:vertAlign w:val="superscript"/>
          <w:rtl/>
        </w:rPr>
        <w:footnoteReference w:id="138"/>
      </w:r>
      <w:r w:rsidRPr="0016536A">
        <w:rPr>
          <w:rFonts w:eastAsia="Calibri"/>
          <w:rtl/>
        </w:rPr>
        <w:t>.</w:t>
      </w:r>
    </w:p>
    <w:p w:rsidR="0016536A" w:rsidRPr="0016536A" w:rsidP="004614AF">
      <w:pPr>
        <w:spacing w:line="269" w:lineRule="auto"/>
        <w:rPr>
          <w:rFonts w:eastAsia="Calibri"/>
          <w:rtl/>
        </w:rPr>
      </w:pPr>
    </w:p>
    <w:p w:rsidR="0016536A" w:rsidRPr="0016536A" w:rsidP="004614AF">
      <w:pPr>
        <w:spacing w:line="269" w:lineRule="auto"/>
        <w:ind w:left="340"/>
        <w:contextualSpacing/>
        <w:rPr>
          <w:rFonts w:eastAsia="Calibri"/>
          <w:rtl/>
        </w:rPr>
      </w:pPr>
      <w:r w:rsidRPr="0016536A">
        <w:rPr>
          <w:rFonts w:eastAsia="Calibri" w:hint="cs"/>
          <w:rtl/>
        </w:rPr>
        <w:t xml:space="preserve">לפי נתוני הלמ"ס, </w:t>
      </w:r>
      <w:r w:rsidRPr="0016536A">
        <w:rPr>
          <w:rFonts w:eastAsia="Calibri"/>
          <w:rtl/>
        </w:rPr>
        <w:t>ל</w:t>
      </w:r>
      <w:r w:rsidRPr="0016536A">
        <w:rPr>
          <w:rFonts w:eastAsia="Calibri" w:hint="cs"/>
          <w:rtl/>
        </w:rPr>
        <w:t>כרבע מהנשים (23%) וליותר ממחצית מהגברים (56%) בני 60 ומעלה</w:t>
      </w:r>
      <w:r w:rsidRPr="0016536A">
        <w:rPr>
          <w:rFonts w:eastAsia="Calibri"/>
          <w:rtl/>
        </w:rPr>
        <w:t xml:space="preserve"> יש </w:t>
      </w:r>
      <w:r w:rsidRPr="0016536A">
        <w:rPr>
          <w:rFonts w:eastAsia="Calibri" w:hint="cs"/>
          <w:rtl/>
        </w:rPr>
        <w:t>מוגבלות</w:t>
      </w:r>
      <w:r w:rsidRPr="0016536A">
        <w:rPr>
          <w:rFonts w:eastAsia="Calibri"/>
          <w:rtl/>
        </w:rPr>
        <w:t xml:space="preserve"> שמיעה</w:t>
      </w:r>
      <w:r>
        <w:rPr>
          <w:rFonts w:eastAsia="Calibri"/>
          <w:vertAlign w:val="superscript"/>
          <w:rtl/>
        </w:rPr>
        <w:footnoteReference w:id="139"/>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ind w:left="340"/>
        <w:contextualSpacing/>
        <w:rPr>
          <w:rFonts w:eastAsia="Calibri"/>
          <w:b/>
          <w:bCs/>
          <w:rtl/>
        </w:rPr>
      </w:pPr>
      <w:r w:rsidRPr="0016536A">
        <w:rPr>
          <w:rFonts w:eastAsia="Calibri" w:hint="cs"/>
          <w:b/>
          <w:bCs/>
          <w:rtl/>
        </w:rPr>
        <w:t>בביקורת עלה כי על פי רישומי הקופות לפעולות המניעה וקידום הבריאות המתועדות בשדות הממוחשבים רק מיעוט מבני ה-65 ומעלה - פחות מ-2% - ערכו בשנת 2024 בדיקת שמיעה, זאת לעומת 27% ממקביליהם בארה"ב</w:t>
      </w:r>
      <w:r>
        <w:rPr>
          <w:rFonts w:eastAsia="Calibri"/>
          <w:b/>
          <w:bCs/>
          <w:vertAlign w:val="superscript"/>
          <w:rtl/>
        </w:rPr>
        <w:footnoteReference w:id="140"/>
      </w:r>
      <w:r w:rsidRPr="0016536A">
        <w:rPr>
          <w:rFonts w:eastAsia="Calibri" w:hint="cs"/>
          <w:b/>
          <w:bCs/>
          <w:rtl/>
        </w:rPr>
        <w:t>.</w:t>
      </w:r>
    </w:p>
    <w:p w:rsidR="0016536A" w:rsidRPr="0016536A" w:rsidP="004614AF">
      <w:pPr>
        <w:spacing w:line="269" w:lineRule="auto"/>
        <w:rPr>
          <w:rFonts w:eastAsia="Calibri"/>
          <w:rtl/>
        </w:rPr>
      </w:pPr>
    </w:p>
    <w:p w:rsidR="0016536A" w:rsidRPr="0016536A" w:rsidP="004614AF">
      <w:pPr>
        <w:spacing w:line="269" w:lineRule="auto"/>
        <w:ind w:left="283"/>
        <w:rPr>
          <w:rFonts w:eastAsia="Calibri"/>
          <w:rtl/>
        </w:rPr>
      </w:pPr>
      <w:r w:rsidRPr="0016536A">
        <w:rPr>
          <w:rFonts w:eastAsia="Calibri" w:hint="cs"/>
          <w:rtl/>
        </w:rPr>
        <w:t xml:space="preserve">מכבי מסרה בתשובתה כי </w:t>
      </w:r>
      <w:r w:rsidRPr="0016536A">
        <w:rPr>
          <w:rFonts w:eastAsia="Calibri"/>
          <w:rtl/>
        </w:rPr>
        <w:t>נדרש</w:t>
      </w:r>
      <w:r w:rsidRPr="0016536A">
        <w:rPr>
          <w:rFonts w:eastAsia="Calibri" w:hint="cs"/>
          <w:rtl/>
        </w:rPr>
        <w:t>ים</w:t>
      </w:r>
      <w:r w:rsidRPr="0016536A">
        <w:rPr>
          <w:rFonts w:eastAsia="Calibri"/>
          <w:rtl/>
        </w:rPr>
        <w:t xml:space="preserve"> מבח</w:t>
      </w:r>
      <w:r w:rsidRPr="0016536A">
        <w:rPr>
          <w:rFonts w:eastAsia="Calibri" w:hint="cs"/>
          <w:rtl/>
        </w:rPr>
        <w:t>ני</w:t>
      </w:r>
      <w:r w:rsidRPr="0016536A">
        <w:rPr>
          <w:rFonts w:eastAsia="Calibri"/>
          <w:rtl/>
        </w:rPr>
        <w:t xml:space="preserve"> תמיכה או תיעדוף</w:t>
      </w:r>
      <w:r w:rsidRPr="0016536A">
        <w:rPr>
          <w:rFonts w:eastAsia="Calibri" w:hint="cs"/>
          <w:rtl/>
        </w:rPr>
        <w:t xml:space="preserve"> שיעודדו עבודה של קלינאי תקשורת עם אוכלוסיית הזקנים</w:t>
      </w:r>
      <w:r w:rsidRPr="0016536A">
        <w:rPr>
          <w:rFonts w:eastAsia="Calibri"/>
          <w:rtl/>
        </w:rPr>
        <w:t>.</w:t>
      </w:r>
    </w:p>
    <w:p w:rsidR="0016536A" w:rsidRPr="0016536A" w:rsidP="004614AF">
      <w:pPr>
        <w:spacing w:line="269" w:lineRule="auto"/>
        <w:rPr>
          <w:rFonts w:eastAsia="Calibri"/>
          <w:rtl/>
        </w:rPr>
      </w:pPr>
    </w:p>
    <w:p w:rsidR="0016536A" w:rsidRPr="0016536A" w:rsidP="004614AF">
      <w:pPr>
        <w:numPr>
          <w:ilvl w:val="0"/>
          <w:numId w:val="25"/>
        </w:numPr>
        <w:spacing w:line="269" w:lineRule="auto"/>
        <w:contextualSpacing/>
        <w:rPr>
          <w:rFonts w:eastAsia="Calibri"/>
          <w:b/>
          <w:bCs/>
        </w:rPr>
      </w:pPr>
      <w:r w:rsidRPr="0016536A">
        <w:rPr>
          <w:rFonts w:eastAsia="Times New Roman" w:hint="cs"/>
          <w:bCs/>
          <w:spacing w:val="40"/>
          <w:rtl/>
        </w:rPr>
        <w:t>ריבוי תרופות (</w:t>
      </w:r>
      <w:r w:rsidRPr="0016536A">
        <w:rPr>
          <w:rFonts w:eastAsia="Times New Roman"/>
          <w:b/>
          <w:spacing w:val="40"/>
        </w:rPr>
        <w:t>polypharmacy</w:t>
      </w:r>
      <w:r w:rsidRPr="0016536A">
        <w:rPr>
          <w:rFonts w:eastAsia="Times New Roman" w:hint="cs"/>
          <w:bCs/>
          <w:spacing w:val="40"/>
          <w:rtl/>
        </w:rPr>
        <w:t>) - שימוש בו-זמנית בתרופות רבות מסוגים שונים:</w:t>
      </w:r>
      <w:r w:rsidRPr="0016536A">
        <w:rPr>
          <w:rFonts w:eastAsia="Calibri" w:hint="cs"/>
          <w:b/>
          <w:bCs/>
          <w:rtl/>
        </w:rPr>
        <w:t xml:space="preserve"> </w:t>
      </w:r>
      <w:r w:rsidRPr="0016536A">
        <w:rPr>
          <w:rFonts w:eastAsia="Calibri" w:hint="cs"/>
          <w:rtl/>
        </w:rPr>
        <w:t xml:space="preserve">בשל ריבוי מחלות, </w:t>
      </w:r>
      <w:r w:rsidRPr="0016536A">
        <w:rPr>
          <w:rFonts w:eastAsia="Calibri" w:hint="cs"/>
          <w:b/>
          <w:rtl/>
        </w:rPr>
        <w:t>זקנים</w:t>
      </w:r>
      <w:r w:rsidRPr="0016536A">
        <w:rPr>
          <w:rFonts w:eastAsia="Calibri" w:hint="cs"/>
          <w:rtl/>
        </w:rPr>
        <w:t xml:space="preserve"> רבים נוטלים מספר רב של תרופות במקביל. ככל שמספר התרופות עולה, בייחוד מעל שבע-שמונה תרופות, הסיכוי לאינטראקציות שליליות ביניהן ולאירועים בריאותיים בלתי צפויים ולא רצויים עולה משמעותית</w:t>
      </w:r>
      <w:r>
        <w:rPr>
          <w:rFonts w:eastAsia="Calibri"/>
          <w:vertAlign w:val="superscript"/>
          <w:rtl/>
        </w:rPr>
        <w:footnoteReference w:id="141"/>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ind w:left="340"/>
        <w:contextualSpacing/>
        <w:rPr>
          <w:rFonts w:eastAsia="Calibri"/>
          <w:b/>
          <w:bCs/>
          <w:rtl/>
        </w:rPr>
      </w:pPr>
      <w:r w:rsidRPr="0016536A">
        <w:rPr>
          <w:rFonts w:eastAsia="Calibri" w:hint="cs"/>
          <w:rtl/>
        </w:rPr>
        <w:t>בשל חשיבות הנושא המליץ משרד הבריאות בתוכנית להזדקנות מיטבית על תוכנית לאומית לשימוש מושכל בתרופות</w:t>
      </w:r>
      <w:r>
        <w:rPr>
          <w:rFonts w:eastAsia="Calibri"/>
          <w:vertAlign w:val="superscript"/>
          <w:rtl/>
        </w:rPr>
        <w:footnoteReference w:id="142"/>
      </w:r>
      <w:r w:rsidRPr="0016536A">
        <w:rPr>
          <w:rFonts w:eastAsia="Calibri" w:hint="cs"/>
          <w:rtl/>
        </w:rPr>
        <w:t>, ואף פרסם מבחן תמיכה להפעלת תוכניות לייעוץ רוקחי, הכוללות מפגש בין רוקח למטופלים זקנים שנוטלים שש תרופות ומעלה, ומטרתו להדריך כיצד להשתמש בצורה בטוחה ומושכלת בתרופות שרשומות להם</w:t>
      </w:r>
      <w:r>
        <w:rPr>
          <w:rFonts w:eastAsia="Calibri"/>
          <w:vertAlign w:val="superscript"/>
          <w:rtl/>
        </w:rPr>
        <w:footnoteReference w:id="143"/>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ind w:left="312"/>
        <w:rPr>
          <w:rFonts w:eastAsia="Calibri"/>
          <w:rtl/>
        </w:rPr>
      </w:pPr>
      <w:r w:rsidRPr="0016536A">
        <w:rPr>
          <w:rFonts w:eastAsia="Calibri" w:hint="cs"/>
          <w:b/>
          <w:bCs/>
          <w:rtl/>
        </w:rPr>
        <w:t>בביקורת עלה כי בשנת 2024 ביצעו קופות החולים בדיקות לאיתור ריבוי תרופות והתאמתן רק עבור כ-4% מחבריהן בני ה-65 ומעלה. באחת מהקופות נמצא כי ל-16% מהזקנים רשומות יותר משבע תרופות בכל אחת מהשנים 2019 - 2024 (בשנת 2024 בפרט, ל-27% מהזקנים רשומות יותר משבע תרופות).</w:t>
      </w:r>
      <w:r w:rsidRPr="0016536A">
        <w:rPr>
          <w:rFonts w:eastAsia="Calibri"/>
          <w:rtl/>
        </w:rPr>
        <w:t xml:space="preserve"> </w:t>
      </w:r>
    </w:p>
    <w:p w:rsidR="0016536A" w:rsidRPr="0016536A" w:rsidP="004614AF">
      <w:pPr>
        <w:spacing w:line="269" w:lineRule="auto"/>
        <w:rPr>
          <w:rFonts w:eastAsia="Calibri"/>
          <w:rtl/>
        </w:rPr>
      </w:pPr>
    </w:p>
    <w:p w:rsidR="0016536A" w:rsidRPr="0016536A" w:rsidP="004614AF">
      <w:pPr>
        <w:numPr>
          <w:ilvl w:val="0"/>
          <w:numId w:val="25"/>
        </w:numPr>
        <w:spacing w:line="269" w:lineRule="auto"/>
        <w:contextualSpacing/>
        <w:rPr>
          <w:rFonts w:eastAsia="Calibri"/>
        </w:rPr>
      </w:pPr>
      <w:r w:rsidRPr="0016536A">
        <w:rPr>
          <w:rFonts w:eastAsia="Times New Roman" w:hint="cs"/>
          <w:bCs/>
          <w:spacing w:val="40"/>
          <w:rtl/>
        </w:rPr>
        <w:t>חיסון לשלבקת חוגרת:</w:t>
      </w:r>
      <w:r w:rsidRPr="0016536A">
        <w:rPr>
          <w:rFonts w:eastAsia="Calibri" w:hint="cs"/>
          <w:b/>
          <w:rtl/>
        </w:rPr>
        <w:t xml:space="preserve"> </w:t>
      </w:r>
      <w:r w:rsidRPr="0016536A">
        <w:rPr>
          <w:rFonts w:eastAsia="Calibri"/>
          <w:b/>
          <w:rtl/>
        </w:rPr>
        <w:t>שלבקת חוגרת (</w:t>
      </w:r>
      <w:r w:rsidRPr="0016536A">
        <w:rPr>
          <w:rFonts w:eastAsia="Calibri"/>
          <w:bCs/>
        </w:rPr>
        <w:t>Herpes Zoster</w:t>
      </w:r>
      <w:r w:rsidRPr="0016536A">
        <w:rPr>
          <w:rFonts w:eastAsia="Calibri"/>
          <w:bCs/>
          <w:rtl/>
        </w:rPr>
        <w:t>‏</w:t>
      </w:r>
      <w:r w:rsidRPr="0016536A">
        <w:rPr>
          <w:rFonts w:eastAsia="Calibri"/>
          <w:b/>
          <w:rtl/>
        </w:rPr>
        <w:t xml:space="preserve"> ,</w:t>
      </w:r>
      <w:r w:rsidRPr="0016536A">
        <w:rPr>
          <w:rFonts w:eastAsia="Calibri"/>
          <w:bCs/>
        </w:rPr>
        <w:t>Shingles</w:t>
      </w:r>
      <w:r w:rsidRPr="0016536A">
        <w:rPr>
          <w:rFonts w:eastAsia="Calibri"/>
          <w:b/>
          <w:rtl/>
        </w:rPr>
        <w:t>, הרפס זוסטר) היא מחלה</w:t>
      </w:r>
      <w:r w:rsidRPr="0016536A">
        <w:rPr>
          <w:rFonts w:eastAsia="Calibri"/>
          <w:rtl/>
        </w:rPr>
        <w:t xml:space="preserve"> שנגרמת מזיהום נגיפי (ויראלי) ומתבטאת לרוב בשלפוחיות על פני העור ובכאבים עזים.</w:t>
      </w:r>
      <w:r w:rsidRPr="0016536A">
        <w:rPr>
          <w:rFonts w:eastAsia="Calibri" w:hint="cs"/>
          <w:rtl/>
        </w:rPr>
        <w:t xml:space="preserve"> שכיחות המחלה וסיבוכיה, ובהם הגברת הסיכוי לדמנציה</w:t>
      </w:r>
      <w:r>
        <w:rPr>
          <w:rFonts w:eastAsia="Calibri"/>
          <w:vertAlign w:val="superscript"/>
          <w:rtl/>
        </w:rPr>
        <w:footnoteReference w:id="144"/>
      </w:r>
      <w:r w:rsidRPr="0016536A">
        <w:rPr>
          <w:rFonts w:eastAsia="Calibri" w:hint="cs"/>
          <w:rtl/>
        </w:rPr>
        <w:t xml:space="preserve">, עולים עם הגיל, ועל כן מומלץ לבני 65 ומעלה להתחסן נגדה, והחיסון נמצא בסל הבריאות. </w:t>
      </w:r>
    </w:p>
    <w:p w:rsidR="0016536A" w:rsidRPr="0016536A" w:rsidP="004614AF">
      <w:pPr>
        <w:spacing w:line="269" w:lineRule="auto"/>
        <w:rPr>
          <w:rFonts w:eastAsia="Calibri"/>
          <w:rtl/>
        </w:rPr>
      </w:pPr>
    </w:p>
    <w:p w:rsidR="0016536A" w:rsidRPr="0016536A" w:rsidP="004614AF">
      <w:pPr>
        <w:spacing w:line="269" w:lineRule="auto"/>
        <w:ind w:left="340"/>
        <w:contextualSpacing/>
        <w:rPr>
          <w:rFonts w:eastAsia="Calibri"/>
          <w:rtl/>
        </w:rPr>
      </w:pPr>
      <w:r w:rsidRPr="0016536A">
        <w:rPr>
          <w:rFonts w:eastAsia="Calibri" w:hint="cs"/>
          <w:b/>
          <w:bCs/>
          <w:rtl/>
        </w:rPr>
        <w:t>בביקורת עלה כי רק 6% מחברי קופות החולים בני 65 ומעלה קיבלו חיסון נגד שלבקת חוגרת בשנת 2024, זאת לעומת כ-40% בארה"ב</w:t>
      </w:r>
      <w:r>
        <w:rPr>
          <w:rFonts w:eastAsia="Calibri"/>
          <w:b/>
          <w:bCs/>
          <w:vertAlign w:val="superscript"/>
          <w:rtl/>
        </w:rPr>
        <w:footnoteReference w:id="145"/>
      </w:r>
      <w:r w:rsidRPr="0016536A">
        <w:rPr>
          <w:rFonts w:eastAsia="Calibri" w:hint="cs"/>
          <w:b/>
          <w:bCs/>
          <w:rtl/>
        </w:rPr>
        <w:t xml:space="preserve">. </w:t>
      </w:r>
    </w:p>
    <w:p w:rsidR="0016536A" w:rsidRPr="0016536A" w:rsidP="004614AF">
      <w:pPr>
        <w:spacing w:line="269" w:lineRule="auto"/>
        <w:rPr>
          <w:rFonts w:eastAsia="Calibri"/>
          <w:rtl/>
        </w:rPr>
      </w:pPr>
    </w:p>
    <w:p w:rsidR="0016536A" w:rsidRPr="0016536A" w:rsidP="004614AF">
      <w:pPr>
        <w:spacing w:line="269" w:lineRule="auto"/>
        <w:ind w:left="340"/>
        <w:contextualSpacing/>
        <w:rPr>
          <w:rFonts w:eastAsia="Calibri"/>
          <w:b/>
          <w:bCs/>
          <w:rtl/>
        </w:rPr>
      </w:pPr>
      <w:r w:rsidRPr="0016536A">
        <w:rPr>
          <w:rFonts w:eastAsia="Calibri" w:hint="cs"/>
          <w:b/>
          <w:bCs/>
          <w:rtl/>
        </w:rPr>
        <w:t>מחקרים מראים כי כמחצית מהאוכלוסייה מעוניינת להתחסן כנגד שלבקת חוגרת, אולם חסמים ובהם היעדר אמון ביעילות החיסון, חששות לגבי בטיחותו, תחושת סיכון נמוכה במחלה וחוסר מודעות לזמינות החיסון - מעכבים את ההתחסנות. עוד מצביעים המחקרים שהמלצה רפואית של רופא או אחות מגבירה משמעותית את הנכונות להתחסן (מכ-50% לכ-75% בקרב משתתפי המחקר)</w:t>
      </w:r>
      <w:r>
        <w:rPr>
          <w:rFonts w:eastAsia="Calibri"/>
          <w:b/>
          <w:bCs/>
          <w:vertAlign w:val="superscript"/>
          <w:rtl/>
        </w:rPr>
        <w:footnoteReference w:id="146"/>
      </w:r>
      <w:r w:rsidRPr="0016536A">
        <w:rPr>
          <w:rFonts w:eastAsia="Calibri" w:hint="cs"/>
          <w:b/>
          <w:bCs/>
          <w:rtl/>
        </w:rPr>
        <w:t>.</w:t>
      </w:r>
    </w:p>
    <w:p w:rsidR="0016536A" w:rsidRPr="0016536A" w:rsidP="004614AF">
      <w:pPr>
        <w:spacing w:line="269" w:lineRule="auto"/>
        <w:rPr>
          <w:rFonts w:eastAsia="Calibri"/>
          <w:rtl/>
        </w:rPr>
      </w:pPr>
    </w:p>
    <w:p w:rsidR="0016536A" w:rsidRPr="0016536A" w:rsidP="004614AF">
      <w:pPr>
        <w:spacing w:line="269" w:lineRule="auto"/>
        <w:ind w:left="340"/>
        <w:contextualSpacing/>
        <w:rPr>
          <w:rFonts w:eastAsia="Calibri"/>
          <w:rtl/>
        </w:rPr>
      </w:pPr>
      <w:r w:rsidRPr="0016536A">
        <w:rPr>
          <w:rFonts w:eastAsia="Calibri" w:hint="cs"/>
          <w:rtl/>
        </w:rPr>
        <w:t>משרד הבריאות מסר בתשובתו כי החיסון החדש לשלבקת חוגרת נכנס לאחרונה לסל השירותים וכי הוא מתכנן להכלילו בעתיד בתוכנית מדדי האיכות בקהילה.</w:t>
      </w:r>
    </w:p>
    <w:p w:rsidR="0016536A" w:rsidRPr="0016536A" w:rsidP="004614AF">
      <w:pPr>
        <w:spacing w:line="269" w:lineRule="auto"/>
        <w:rPr>
          <w:rFonts w:eastAsia="Calibri"/>
        </w:rPr>
      </w:pPr>
    </w:p>
    <w:p w:rsidR="0016536A" w:rsidRPr="0016536A" w:rsidP="004614AF">
      <w:pPr>
        <w:numPr>
          <w:ilvl w:val="0"/>
          <w:numId w:val="25"/>
        </w:numPr>
        <w:spacing w:line="269" w:lineRule="auto"/>
        <w:contextualSpacing/>
        <w:rPr>
          <w:rFonts w:eastAsia="Calibri"/>
          <w:rtl/>
        </w:rPr>
      </w:pPr>
      <w:r w:rsidRPr="0016536A">
        <w:rPr>
          <w:rFonts w:eastAsia="Times New Roman" w:hint="cs"/>
          <w:bCs/>
          <w:spacing w:val="40"/>
          <w:rtl/>
        </w:rPr>
        <w:t>אבחון של אי-נקיטת שתן:</w:t>
      </w:r>
      <w:r w:rsidRPr="0016536A">
        <w:rPr>
          <w:rFonts w:eastAsia="Calibri" w:hint="cs"/>
          <w:rtl/>
        </w:rPr>
        <w:t xml:space="preserve"> אי -נקיטת שתן (דליפת שתן) נפוצה יותר אצל נשים מאשר אצל גברים. פעמים רבות היא אינה מאובחנת בשל בושה של רופאים ומטופלים לשוחח על כך. מחקרים מראים כי כ-10% מהנשים הבוגרות סובלות מאי-נקיטת שתן, ומעל גיל 70 מגיע שיעורן לכדי 40%</w:t>
      </w:r>
      <w:r>
        <w:rPr>
          <w:rFonts w:eastAsia="Calibri"/>
          <w:vertAlign w:val="superscript"/>
          <w:rtl/>
        </w:rPr>
        <w:footnoteReference w:id="147"/>
      </w:r>
      <w:r w:rsidRPr="0016536A">
        <w:rPr>
          <w:rFonts w:eastAsia="Calibri" w:hint="cs"/>
          <w:rtl/>
        </w:rPr>
        <w:t>. בשל חשיבות הנושא המליץ משרד הבריאות בתוכנית להזדקנות מיטבית על תוכנית לאומית לטיפול בשליטה בסוגרים</w:t>
      </w:r>
      <w:r>
        <w:rPr>
          <w:rFonts w:eastAsia="Calibri"/>
          <w:vertAlign w:val="superscript"/>
          <w:rtl/>
        </w:rPr>
        <w:footnoteReference w:id="148"/>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ind w:left="340"/>
        <w:contextualSpacing/>
        <w:rPr>
          <w:rFonts w:eastAsia="Calibri"/>
          <w:rtl/>
        </w:rPr>
      </w:pPr>
      <w:r w:rsidRPr="0016536A">
        <w:rPr>
          <w:rFonts w:eastAsia="Calibri" w:hint="cs"/>
          <w:b/>
          <w:bCs/>
          <w:rtl/>
        </w:rPr>
        <w:t>בביקורת עלה כי רק כ-4% מהנשים בנות 65 ומעלה נמצאו כמאובחנות באי-נקיטת שתן בשנת 2024.</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מן האמור עולה כי רק מיעוט מחברי קופות החולים הזקנים עוברים פעולות מניעה וקידום בריאות, על פי התיעוד. כך, בממוצע כ-93% מפעולות המניעה וקידום הבריאות המתועדות בשדות הממוחשבים לא בוצעו, </w:t>
      </w:r>
      <w:r w:rsidRPr="0016536A">
        <w:rPr>
          <w:rFonts w:eastAsia="Calibri" w:hint="eastAsia"/>
          <w:b/>
          <w:bCs/>
          <w:rtl/>
        </w:rPr>
        <w:t>ו</w:t>
      </w:r>
      <w:r w:rsidRPr="0016536A">
        <w:rPr>
          <w:rFonts w:eastAsia="Calibri" w:hint="cs"/>
          <w:b/>
          <w:bCs/>
          <w:rtl/>
        </w:rPr>
        <w:t>כך לדוגמה, 99% מהזקנים לא ביצעו התאמות בבית למניעת נפילות, ו-98% לא ביצעו בדיקת שמיעה. מיעוט הפעולות עלול להצביע על כך שקופות החולים עושות שימוש חסר בכלי זה לשימור בריאות חבריהן הזקנים ולמניעת ההידרדרות משזו החלה.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מומלץ כי קופות החולים יערכו הכשרות ופעולות הסברה בקרב רופאי משפחה ואחיות במרפאות קופות החולים כדי לעודד אותם לשוחח על מצבים רפואיים אפשריים של זקנים, להציע טיפולים מונעים, להסביר את חשיבותם ולעודד את חברי הקופה לבצע אותם.</w:t>
      </w:r>
    </w:p>
    <w:p w:rsidR="0016536A" w:rsidRPr="0016536A" w:rsidP="004614AF">
      <w:pPr>
        <w:spacing w:line="269" w:lineRule="auto"/>
        <w:rPr>
          <w:rFonts w:eastAsia="Calibri"/>
          <w:b/>
          <w:bCs/>
          <w:rtl/>
        </w:rPr>
      </w:pPr>
      <w:r w:rsidRPr="0016536A">
        <w:rPr>
          <w:rFonts w:eastAsia="Calibri" w:hint="cs"/>
          <w:b/>
          <w:bCs/>
          <w:rtl/>
        </w:rPr>
        <w:t xml:space="preserve">כדי לעודד הגברה של פעולות המניעה בקרב קופות החולים, מומלץ כי משרד הבריאות יאסוף נתוני ביצוע מהקופות גם על פעולות מניעה שלא נכללו עד כה בתוכנית המדדים הלאומית, כאמצעי להגברת שיעורי הביצוע שלהן. </w:t>
      </w:r>
    </w:p>
    <w:p w:rsidR="0016536A" w:rsidRPr="0016536A" w:rsidP="004614AF">
      <w:pPr>
        <w:spacing w:line="269" w:lineRule="auto"/>
        <w:rPr>
          <w:rFonts w:eastAsia="Calibri"/>
          <w:b/>
          <w:bCs/>
          <w:rtl/>
        </w:rPr>
      </w:pPr>
    </w:p>
    <w:p w:rsidR="0016536A" w:rsidRPr="0016536A" w:rsidP="004614AF">
      <w:pPr>
        <w:keepNext/>
        <w:keepLines/>
        <w:spacing w:line="269" w:lineRule="auto"/>
        <w:outlineLvl w:val="4"/>
        <w:rPr>
          <w:rFonts w:eastAsia="Times New Roman"/>
          <w:bCs/>
          <w:spacing w:val="40"/>
          <w:rtl/>
        </w:rPr>
      </w:pPr>
      <w:r w:rsidRPr="0016536A">
        <w:rPr>
          <w:rFonts w:eastAsia="Times New Roman" w:hint="cs"/>
          <w:bCs/>
          <w:spacing w:val="40"/>
          <w:rtl/>
        </w:rPr>
        <w:t>היקפן של פעולות המניעה וקידום הבריאות המתועדות בטקסט חופשי</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כאמור, חלק מפעולות המניעה שעורך רופא המשפחה אינן מתועדות בשדות ממוחשבים. פעולות אלה כוללות, בין היתר, איתור הידרדרות קוגניטיבית, איתור הידרדרות תפקודית, איתור סיכון לנפילות, בירור מצב הרוח של המטופל כדי לעמוד על חשש לדיכאון, בירור לגבי אי-נקיטת שתן</w:t>
      </w:r>
      <w:r>
        <w:rPr>
          <w:rFonts w:eastAsia="Calibri"/>
          <w:vertAlign w:val="superscript"/>
          <w:rtl/>
        </w:rPr>
        <w:footnoteReference w:id="149"/>
      </w:r>
      <w:r w:rsidRPr="0016536A">
        <w:rPr>
          <w:rFonts w:eastAsia="Calibri" w:hint="cs"/>
          <w:rtl/>
        </w:rPr>
        <w:t xml:space="preserve"> ובדיקה שהמטופל אכן עושה פעילות ספורטיבית.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צוות הביקורת בדק במדגם התיקים הרפואיים את שיעור הבדיקות שרופאי המשפחה מתעדים בטקסט חופשי, בשנים 2022 - 2024, כמוצג בתרשים שלהלן</w:t>
      </w:r>
      <w:r>
        <w:rPr>
          <w:rFonts w:eastAsia="Calibri"/>
          <w:vertAlign w:val="superscript"/>
          <w:rtl/>
        </w:rPr>
        <w:footnoteReference w:id="150"/>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bookmarkStart w:id="17" w:name="_Hlk212480798"/>
      <w:r w:rsidRPr="0016536A">
        <w:rPr>
          <w:rFonts w:eastAsia="Calibri" w:hint="eastAsia"/>
          <w:rtl/>
        </w:rPr>
        <w:t>תרשים</w:t>
      </w:r>
      <w:r w:rsidRPr="0016536A">
        <w:rPr>
          <w:rFonts w:eastAsia="Calibri" w:hint="cs"/>
          <w:rtl/>
        </w:rPr>
        <w:t xml:space="preserve"> 16</w:t>
      </w:r>
      <w:r w:rsidRPr="0016536A">
        <w:rPr>
          <w:rFonts w:eastAsia="Calibri"/>
          <w:rtl/>
        </w:rPr>
        <w:t>:</w:t>
      </w:r>
      <w:r w:rsidRPr="0016536A">
        <w:rPr>
          <w:rFonts w:eastAsia="Calibri"/>
          <w:b/>
          <w:bCs/>
          <w:rtl/>
        </w:rPr>
        <w:t xml:space="preserve"> שיעור </w:t>
      </w:r>
      <w:r w:rsidRPr="0016536A">
        <w:rPr>
          <w:rFonts w:eastAsia="Calibri" w:hint="cs"/>
          <w:b/>
          <w:bCs/>
          <w:rtl/>
        </w:rPr>
        <w:t>ה</w:t>
      </w:r>
      <w:r w:rsidRPr="0016536A">
        <w:rPr>
          <w:rFonts w:eastAsia="Calibri"/>
          <w:b/>
          <w:bCs/>
          <w:rtl/>
        </w:rPr>
        <w:t xml:space="preserve">ביצוע </w:t>
      </w:r>
      <w:r w:rsidRPr="0016536A">
        <w:rPr>
          <w:rFonts w:eastAsia="Calibri" w:hint="cs"/>
          <w:b/>
          <w:bCs/>
          <w:rtl/>
        </w:rPr>
        <w:t xml:space="preserve">של </w:t>
      </w:r>
      <w:r w:rsidRPr="0016536A">
        <w:rPr>
          <w:rFonts w:eastAsia="Calibri"/>
          <w:b/>
          <w:bCs/>
          <w:rtl/>
        </w:rPr>
        <w:t xml:space="preserve">פעולות מניעה </w:t>
      </w:r>
      <w:r w:rsidRPr="0016536A">
        <w:rPr>
          <w:rFonts w:eastAsia="Calibri" w:hint="cs"/>
          <w:b/>
          <w:bCs/>
          <w:rtl/>
        </w:rPr>
        <w:t xml:space="preserve">וקידום בריאות </w:t>
      </w:r>
      <w:r w:rsidRPr="0016536A">
        <w:rPr>
          <w:rFonts w:eastAsia="Calibri"/>
          <w:b/>
          <w:bCs/>
          <w:rtl/>
        </w:rPr>
        <w:t>בקרב בני 65 ומעלה</w:t>
      </w:r>
      <w:r w:rsidRPr="0016536A">
        <w:rPr>
          <w:rFonts w:eastAsia="Calibri" w:hint="cs"/>
          <w:b/>
          <w:bCs/>
          <w:rtl/>
        </w:rPr>
        <w:t>,</w:t>
      </w:r>
      <w:r w:rsidRPr="0016536A">
        <w:rPr>
          <w:rFonts w:eastAsia="Calibri"/>
          <w:b/>
          <w:bCs/>
          <w:rtl/>
        </w:rPr>
        <w:t xml:space="preserve"> המתועדות </w:t>
      </w:r>
      <w:r w:rsidRPr="0016536A">
        <w:rPr>
          <w:rFonts w:eastAsia="Calibri" w:hint="eastAsia"/>
          <w:b/>
          <w:bCs/>
          <w:rtl/>
        </w:rPr>
        <w:t>בטקסט</w:t>
      </w:r>
      <w:r w:rsidRPr="0016536A">
        <w:rPr>
          <w:rFonts w:eastAsia="Calibri"/>
          <w:b/>
          <w:bCs/>
          <w:rtl/>
        </w:rPr>
        <w:t xml:space="preserve"> </w:t>
      </w:r>
      <w:r w:rsidRPr="0016536A">
        <w:rPr>
          <w:rFonts w:eastAsia="Calibri" w:hint="eastAsia"/>
          <w:b/>
          <w:bCs/>
          <w:rtl/>
        </w:rPr>
        <w:t>חופשי</w:t>
      </w:r>
      <w:r w:rsidRPr="0016536A">
        <w:rPr>
          <w:rFonts w:eastAsia="Calibri"/>
          <w:b/>
          <w:bCs/>
          <w:rtl/>
        </w:rPr>
        <w:t>, 2022 - 2024</w:t>
      </w:r>
    </w:p>
    <w:p w:rsidR="0016536A" w:rsidRPr="0016536A" w:rsidP="004614AF">
      <w:pPr>
        <w:spacing w:line="269" w:lineRule="auto"/>
        <w:jc w:val="center"/>
        <w:rPr>
          <w:rFonts w:eastAsia="Calibri"/>
          <w:szCs w:val="20"/>
          <w:rtl/>
        </w:rPr>
      </w:pPr>
      <w:r w:rsidRPr="0016536A">
        <w:rPr>
          <w:rFonts w:eastAsia="Calibri"/>
          <w:noProof/>
          <w:szCs w:val="20"/>
        </w:rPr>
        <w:drawing>
          <wp:inline distT="0" distB="0" distL="0" distR="0">
            <wp:extent cx="4067175" cy="3144791"/>
            <wp:effectExtent l="0" t="0" r="0" b="0"/>
            <wp:docPr id="81" name="תמונה 81" descr="הערכה קוגניטיבית על סמך אבחון (כגון מיני-מנטל): לא ביצעו 89%, ביצעו 11%&#10;&#10;ביקור יזום לטובת הערכה: לא ביצעו 89%, ביצעו 11%&#10;&#10;הערכה גריאטרית: לא ביצעו 84%, ביצעו 16%&#10;&#10;בירור לגבי אי-נקיטת שתן: לא ביצעו 81%, ביצעו 19%&#10;&#10;הערכת תפקוד כללי: לא ביצעו 77%, ביצעו 23%&#10;&#10;הערכה קוגניטיבית ראשונית (באמצעות התרשמות): לא ביצעו 73%, ביצעו 27%&#10;&#10;הערכת סיכון לנפילות: לא ביצעו 73%, ביצעו 27%&#10;&#10;שיחה על פעילות גופנית: לא ביצעו 68%, ביצעו 32%&#10;&#10;ניטור מצב רוח: לא ביצעו 57%, ביצעו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5988" cy="3174802"/>
                    </a:xfrm>
                    <a:prstGeom prst="rect">
                      <a:avLst/>
                    </a:prstGeom>
                    <a:noFill/>
                  </pic:spPr>
                </pic:pic>
              </a:graphicData>
            </a:graphic>
          </wp:inline>
        </w:drawing>
      </w:r>
    </w:p>
    <w:p w:rsidR="0016536A" w:rsidRPr="0016536A" w:rsidP="004614AF">
      <w:pPr>
        <w:spacing w:line="269" w:lineRule="auto"/>
        <w:rPr>
          <w:rFonts w:eastAsia="Calibri"/>
          <w:szCs w:val="20"/>
          <w:rtl/>
        </w:rPr>
      </w:pPr>
      <w:r w:rsidRPr="0016536A">
        <w:rPr>
          <w:rFonts w:eastAsia="Calibri" w:hint="cs"/>
          <w:szCs w:val="20"/>
          <w:rtl/>
        </w:rPr>
        <w:t>על פי נתוני כללית, מכבי ולאומית, בעיבוד משרד מבקר המדינה</w:t>
      </w:r>
    </w:p>
    <w:bookmarkEnd w:id="17"/>
    <w:p w:rsidR="0016536A" w:rsidP="004614AF">
      <w:pPr>
        <w:spacing w:line="269" w:lineRule="auto"/>
        <w:rPr>
          <w:rFonts w:eastAsia="Calibri"/>
          <w:szCs w:val="20"/>
          <w:rtl/>
        </w:rPr>
      </w:pPr>
      <w:r w:rsidRPr="0016536A">
        <w:rPr>
          <w:rFonts w:eastAsia="Calibri" w:hint="cs"/>
          <w:szCs w:val="20"/>
          <w:rtl/>
        </w:rPr>
        <w:t>* נתוני איתור מצב רוח זוהו בחלק מהתיקים הרפואיים באמצעות רישום תרופות, ועל כן אינם משקפים באופן מלא נתונים שאינם בשדה ממוחשב. ניטור מצב הרוח כלל שיחה בנושא או התרשמות כללית של הרופא, וזאת להבדיל מאית</w:t>
      </w:r>
      <w:r w:rsidRPr="0016536A">
        <w:rPr>
          <w:rFonts w:eastAsia="Calibri" w:hint="eastAsia"/>
          <w:szCs w:val="20"/>
          <w:rtl/>
        </w:rPr>
        <w:t>ור</w:t>
      </w:r>
      <w:r w:rsidRPr="0016536A">
        <w:rPr>
          <w:rFonts w:eastAsia="Calibri" w:hint="cs"/>
          <w:szCs w:val="20"/>
          <w:rtl/>
        </w:rPr>
        <w:t xml:space="preserve"> דיכאון בתרשים הקודם שעסק בשדות רפואיים, והתייחס לרישום אבחון דיכאון בשדה ממוחשב.</w:t>
      </w:r>
    </w:p>
    <w:p w:rsidR="004614AF" w:rsidRPr="00AF088B" w:rsidP="004614AF">
      <w:pPr>
        <w:spacing w:line="269" w:lineRule="auto"/>
        <w:rPr>
          <w:rFonts w:eastAsia="Calibri"/>
          <w:szCs w:val="20"/>
          <w:rtl/>
        </w:rPr>
      </w:pPr>
    </w:p>
    <w:p w:rsidR="0016536A" w:rsidRPr="0016536A" w:rsidP="004614AF">
      <w:pPr>
        <w:spacing w:line="269" w:lineRule="auto"/>
        <w:rPr>
          <w:rFonts w:eastAsia="Calibri"/>
          <w:b/>
          <w:bCs/>
          <w:rtl/>
        </w:rPr>
      </w:pPr>
      <w:r w:rsidRPr="0016536A">
        <w:rPr>
          <w:rFonts w:eastAsia="Calibri" w:hint="cs"/>
          <w:b/>
          <w:bCs/>
          <w:rtl/>
        </w:rPr>
        <w:t xml:space="preserve">מהתרשים עולה כי בממוצע כ-77% מפעולות המניעה המתועדות בשדה ממוחשב או בטקסט חופשי לא בוצעו - שיעור זה נע בין 89% (הערכות קוגניטיביות שלא בוצעו) ל-57% (לא בוצעה הערכה של מצב הרוח לשם זיהוי אפשרי של דכאון).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שיעור</w:t>
      </w:r>
      <w:r w:rsidRPr="0016536A">
        <w:rPr>
          <w:rFonts w:eastAsia="Calibri"/>
          <w:b/>
          <w:bCs/>
          <w:rtl/>
        </w:rPr>
        <w:t xml:space="preserve"> </w:t>
      </w:r>
      <w:r w:rsidRPr="0016536A">
        <w:rPr>
          <w:rFonts w:eastAsia="Calibri" w:hint="cs"/>
          <w:b/>
          <w:bCs/>
          <w:rtl/>
        </w:rPr>
        <w:t>הפעולות שבוצעו (23%)</w:t>
      </w:r>
      <w:r w:rsidRPr="0016536A">
        <w:rPr>
          <w:rFonts w:eastAsia="Calibri"/>
          <w:b/>
          <w:bCs/>
          <w:rtl/>
        </w:rPr>
        <w:t xml:space="preserve"> נמוך באופן משמעותי משיעור פעולות המניעה</w:t>
      </w:r>
      <w:r w:rsidRPr="0016536A">
        <w:rPr>
          <w:rFonts w:eastAsia="Calibri" w:hint="cs"/>
          <w:b/>
          <w:bCs/>
          <w:rtl/>
        </w:rPr>
        <w:t xml:space="preserve"> במדדים המדווחים למשרד הבריאות במסגרת</w:t>
      </w:r>
      <w:r w:rsidRPr="0016536A">
        <w:rPr>
          <w:rFonts w:eastAsia="Calibri"/>
          <w:b/>
          <w:bCs/>
          <w:rtl/>
        </w:rPr>
        <w:t xml:space="preserve"> </w:t>
      </w:r>
      <w:r w:rsidRPr="0016536A">
        <w:rPr>
          <w:rFonts w:eastAsia="Calibri" w:hint="cs"/>
          <w:b/>
          <w:bCs/>
          <w:rtl/>
        </w:rPr>
        <w:t>ה</w:t>
      </w:r>
      <w:r w:rsidRPr="0016536A">
        <w:rPr>
          <w:rFonts w:eastAsia="Calibri"/>
          <w:b/>
          <w:bCs/>
          <w:rtl/>
        </w:rPr>
        <w:t xml:space="preserve">תוכנית הלאומית למדדי איכות </w:t>
      </w:r>
      <w:r w:rsidRPr="0016536A">
        <w:rPr>
          <w:rFonts w:eastAsia="Calibri" w:hint="cs"/>
          <w:b/>
          <w:bCs/>
          <w:rtl/>
        </w:rPr>
        <w:t xml:space="preserve">שבוצעו </w:t>
      </w:r>
      <w:r w:rsidRPr="0016536A">
        <w:rPr>
          <w:rFonts w:eastAsia="Calibri"/>
          <w:b/>
          <w:bCs/>
          <w:rtl/>
        </w:rPr>
        <w:t>(74%).</w:t>
      </w:r>
    </w:p>
    <w:p w:rsidR="0016536A" w:rsidRPr="0016536A" w:rsidP="004614AF">
      <w:pPr>
        <w:spacing w:line="269" w:lineRule="auto"/>
        <w:rPr>
          <w:rFonts w:eastAsia="Calibri"/>
          <w:b/>
          <w:bCs/>
          <w:rtl/>
        </w:rPr>
      </w:pPr>
      <w:r w:rsidRPr="0016536A">
        <w:rPr>
          <w:rFonts w:eastAsia="Calibri" w:hint="eastAsia"/>
          <w:b/>
          <w:bCs/>
          <w:rtl/>
        </w:rPr>
        <w:t>גם</w:t>
      </w:r>
      <w:r w:rsidRPr="0016536A">
        <w:rPr>
          <w:rFonts w:eastAsia="Calibri"/>
          <w:b/>
          <w:bCs/>
          <w:rtl/>
        </w:rPr>
        <w:t xml:space="preserve"> כאן, ביצוע מועט של פעולות </w:t>
      </w:r>
      <w:r w:rsidRPr="0016536A">
        <w:rPr>
          <w:rFonts w:eastAsia="Calibri" w:hint="eastAsia"/>
          <w:b/>
          <w:bCs/>
          <w:rtl/>
        </w:rPr>
        <w:t>ה</w:t>
      </w:r>
      <w:r w:rsidRPr="0016536A">
        <w:rPr>
          <w:rFonts w:eastAsia="Calibri"/>
          <w:b/>
          <w:bCs/>
          <w:rtl/>
        </w:rPr>
        <w:t xml:space="preserve">מניעה בתחומים שנבדקו עשוי להעיד על שימוש לא מספק של קופות החולים בכלים שעליהם המליצו הוועדה הבין-משרדית וכוח המשימה, ואשר נועדו לסייע </w:t>
      </w:r>
      <w:r w:rsidRPr="0016536A">
        <w:rPr>
          <w:rFonts w:eastAsia="Calibri" w:hint="eastAsia"/>
          <w:b/>
          <w:bCs/>
          <w:rtl/>
        </w:rPr>
        <w:t>ב</w:t>
      </w:r>
      <w:r w:rsidRPr="0016536A">
        <w:rPr>
          <w:rFonts w:eastAsia="Calibri"/>
          <w:b/>
          <w:bCs/>
          <w:rtl/>
        </w:rPr>
        <w:t xml:space="preserve">שימור בריאות </w:t>
      </w:r>
      <w:r w:rsidRPr="0016536A">
        <w:rPr>
          <w:rFonts w:eastAsia="Calibri" w:hint="eastAsia"/>
          <w:b/>
          <w:bCs/>
          <w:rtl/>
        </w:rPr>
        <w:t>המטופלים</w:t>
      </w:r>
      <w:r w:rsidRPr="0016536A">
        <w:rPr>
          <w:rFonts w:eastAsia="Calibri"/>
          <w:b/>
          <w:bCs/>
          <w:rtl/>
        </w:rPr>
        <w:t xml:space="preserve"> הזקנים. כך לדוגמה, שיחה על פעילות ספורטיבית מתועדת רק </w:t>
      </w:r>
      <w:r w:rsidRPr="0016536A">
        <w:rPr>
          <w:rFonts w:eastAsia="Calibri" w:hint="eastAsia"/>
          <w:b/>
          <w:bCs/>
          <w:rtl/>
        </w:rPr>
        <w:t>בכשליש</w:t>
      </w:r>
      <w:r w:rsidRPr="0016536A">
        <w:rPr>
          <w:rFonts w:eastAsia="Calibri"/>
          <w:b/>
          <w:bCs/>
          <w:rtl/>
        </w:rPr>
        <w:t xml:space="preserve"> מהתיקים הרפואיים (32%), ובהתאם לכך סקר </w:t>
      </w:r>
      <w:r w:rsidRPr="0016536A">
        <w:rPr>
          <w:rFonts w:eastAsia="Calibri"/>
          <w:b/>
          <w:bCs/>
        </w:rPr>
        <w:t>SHARE</w:t>
      </w:r>
      <w:r w:rsidRPr="0016536A">
        <w:rPr>
          <w:rFonts w:eastAsia="Calibri"/>
          <w:b/>
          <w:bCs/>
          <w:rtl/>
        </w:rPr>
        <w:t xml:space="preserve"> הבי</w:t>
      </w:r>
      <w:r w:rsidRPr="0016536A">
        <w:rPr>
          <w:rFonts w:eastAsia="Calibri" w:hint="cs"/>
          <w:b/>
          <w:bCs/>
          <w:rtl/>
        </w:rPr>
        <w:t>ן-</w:t>
      </w:r>
      <w:r w:rsidRPr="0016536A">
        <w:rPr>
          <w:rFonts w:eastAsia="Calibri"/>
          <w:b/>
          <w:bCs/>
          <w:rtl/>
        </w:rPr>
        <w:t>לאומי מצא כי בישראל 34% מבני 65 ומעלה עוסקים בפעילות גופנית מאומצת לפחות פעם בשבוע, שיעור נמוך מהממוצע של 38% בקרב משתתפי הסקר בשאר המדינות</w:t>
      </w:r>
      <w:r>
        <w:rPr>
          <w:rFonts w:eastAsia="Calibri"/>
          <w:b/>
          <w:bCs/>
          <w:vertAlign w:val="superscript"/>
          <w:rtl/>
        </w:rPr>
        <w:footnoteReference w:id="151"/>
      </w:r>
      <w:r w:rsidRPr="0016536A">
        <w:rPr>
          <w:rFonts w:eastAsia="Calibri"/>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לאומית מסרה בתשובתה כי </w:t>
      </w:r>
      <w:r w:rsidRPr="0016536A">
        <w:rPr>
          <w:rFonts w:eastAsia="Calibri"/>
          <w:rtl/>
        </w:rPr>
        <w:t xml:space="preserve">הקופה מסכימה לממצא שלפיו פעולות מניעה וקידום בריאות בקרב </w:t>
      </w:r>
      <w:r w:rsidRPr="0016536A">
        <w:rPr>
          <w:rFonts w:eastAsia="Calibri" w:hint="cs"/>
          <w:rtl/>
        </w:rPr>
        <w:t>זקנים</w:t>
      </w:r>
      <w:r w:rsidRPr="0016536A">
        <w:rPr>
          <w:rFonts w:eastAsia="Calibri"/>
          <w:rtl/>
        </w:rPr>
        <w:t xml:space="preserve"> מבוצעות כיום בהיקף שאינו מספק</w:t>
      </w:r>
      <w:r w:rsidRPr="0016536A">
        <w:rPr>
          <w:rFonts w:eastAsia="Calibri" w:hint="cs"/>
          <w:rtl/>
        </w:rPr>
        <w:t>, ו</w:t>
      </w:r>
      <w:r w:rsidRPr="0016536A">
        <w:rPr>
          <w:rFonts w:eastAsia="Calibri"/>
          <w:rtl/>
        </w:rPr>
        <w:t>ככל שהמיקוד הוא באוכלוסיות חולות או שבריריות</w:t>
      </w:r>
      <w:r w:rsidRPr="0016536A">
        <w:rPr>
          <w:rFonts w:eastAsia="Calibri" w:hint="cs"/>
          <w:rtl/>
        </w:rPr>
        <w:t xml:space="preserve"> -</w:t>
      </w:r>
      <w:r w:rsidRPr="0016536A">
        <w:rPr>
          <w:rFonts w:eastAsia="Calibri"/>
          <w:rtl/>
        </w:rPr>
        <w:t xml:space="preserve"> ולא </w:t>
      </w:r>
      <w:r w:rsidRPr="0016536A">
        <w:rPr>
          <w:rFonts w:eastAsia="Calibri" w:hint="cs"/>
          <w:rtl/>
        </w:rPr>
        <w:t>בזקנים</w:t>
      </w:r>
      <w:r w:rsidRPr="0016536A">
        <w:rPr>
          <w:rFonts w:eastAsia="Calibri"/>
          <w:rtl/>
        </w:rPr>
        <w:t xml:space="preserve"> בריאים</w:t>
      </w:r>
      <w:r w:rsidRPr="0016536A">
        <w:rPr>
          <w:rFonts w:eastAsia="Calibri" w:hint="cs"/>
          <w:rtl/>
        </w:rPr>
        <w:t xml:space="preserve"> -</w:t>
      </w:r>
      <w:r w:rsidRPr="0016536A">
        <w:rPr>
          <w:rFonts w:eastAsia="Calibri"/>
          <w:rtl/>
        </w:rPr>
        <w:t xml:space="preserve"> </w:t>
      </w:r>
      <w:r w:rsidRPr="0016536A">
        <w:rPr>
          <w:rFonts w:eastAsia="Calibri" w:hint="cs"/>
          <w:rtl/>
        </w:rPr>
        <w:t>לא ממומשת</w:t>
      </w:r>
      <w:r w:rsidRPr="0016536A">
        <w:rPr>
          <w:rFonts w:eastAsia="Calibri"/>
          <w:rtl/>
        </w:rPr>
        <w:t xml:space="preserve"> ההזדמנות למניעה מוקדמת</w:t>
      </w:r>
      <w:r w:rsidRPr="0016536A">
        <w:rPr>
          <w:rFonts w:eastAsia="Calibri" w:hint="cs"/>
          <w:rtl/>
        </w:rPr>
        <w:t>.</w:t>
      </w:r>
    </w:p>
    <w:p w:rsidR="0016536A" w:rsidRPr="0016536A" w:rsidP="004614AF">
      <w:pPr>
        <w:spacing w:line="269" w:lineRule="auto"/>
        <w:rPr>
          <w:rFonts w:eastAsia="Calibri"/>
          <w:b/>
          <w:bCs/>
          <w:rtl/>
        </w:rPr>
      </w:pPr>
    </w:p>
    <w:p w:rsidR="0016536A" w:rsidRPr="0016536A" w:rsidP="004614AF">
      <w:pPr>
        <w:keepNext/>
        <w:keepLines/>
        <w:spacing w:line="269" w:lineRule="auto"/>
        <w:outlineLvl w:val="3"/>
        <w:rPr>
          <w:rFonts w:eastAsia="Times New Roman"/>
          <w:bCs/>
          <w:szCs w:val="26"/>
          <w:rtl/>
        </w:rPr>
      </w:pPr>
      <w:r w:rsidRPr="0016536A">
        <w:rPr>
          <w:rFonts w:eastAsia="Times New Roman" w:hint="cs"/>
          <w:bCs/>
          <w:szCs w:val="26"/>
          <w:rtl/>
        </w:rPr>
        <w:t>תיעדוף של פעולות מניעה המדווחות למשרד הבריאות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צוות הביקורת בדק את ההבדלים במידת הביצוע של בדיקות וטיפולים המדווחים לתוכנית מדדי האיכות והמתועדים בשדות ממוחשבים ובטקסט חופשי בתיקים הרפואיים, אך אינם מדווחים לתוכנית מדדי האיכות, כמוצג בתרשים שלהלן:</w:t>
      </w:r>
    </w:p>
    <w:p w:rsidR="0016536A" w:rsidRPr="0016536A" w:rsidP="004614AF">
      <w:pPr>
        <w:spacing w:line="269" w:lineRule="auto"/>
        <w:rPr>
          <w:rFonts w:eastAsia="Calibri"/>
          <w:rtl/>
        </w:rPr>
      </w:pPr>
    </w:p>
    <w:p w:rsidR="0016536A" w:rsidRPr="0016536A" w:rsidP="0026570E">
      <w:pPr>
        <w:spacing w:after="120" w:line="269" w:lineRule="auto"/>
        <w:jc w:val="center"/>
        <w:rPr>
          <w:rFonts w:eastAsia="Calibri"/>
          <w:b/>
          <w:bCs/>
          <w:rtl/>
        </w:rPr>
      </w:pPr>
      <w:r w:rsidRPr="0016536A">
        <w:rPr>
          <w:rFonts w:eastAsia="Calibri" w:hint="cs"/>
          <w:rtl/>
        </w:rPr>
        <w:t xml:space="preserve">תרשים 17: </w:t>
      </w:r>
      <w:r w:rsidRPr="0016536A">
        <w:rPr>
          <w:rFonts w:eastAsia="Calibri" w:hint="cs"/>
          <w:b/>
          <w:bCs/>
          <w:rtl/>
        </w:rPr>
        <w:t>שיעור הביצוע הממוצע של פעולות מניעה וקידום בריאות, לפי חובת דיווח, 2024</w:t>
      </w:r>
    </w:p>
    <w:p w:rsidR="0016536A" w:rsidRPr="0016536A" w:rsidP="004614AF">
      <w:pPr>
        <w:spacing w:line="269" w:lineRule="auto"/>
        <w:jc w:val="center"/>
        <w:rPr>
          <w:rFonts w:eastAsia="Calibri"/>
          <w:b/>
          <w:bCs/>
          <w:rtl/>
        </w:rPr>
      </w:pPr>
      <w:r w:rsidRPr="0016536A">
        <w:rPr>
          <w:rFonts w:eastAsia="Calibri"/>
          <w:noProof/>
        </w:rPr>
        <w:t xml:space="preserve"> </w:t>
      </w:r>
      <w:r w:rsidRPr="0016536A">
        <w:rPr>
          <w:rFonts w:eastAsia="Calibri"/>
          <w:noProof/>
        </w:rPr>
        <w:drawing>
          <wp:inline distT="0" distB="0" distL="0" distR="0">
            <wp:extent cx="5053965" cy="2707005"/>
            <wp:effectExtent l="0" t="0" r="0" b="0"/>
            <wp:docPr id="34" name="תמונה 34" descr="תרשים עמודות:&#10;&#10;מימין:&#10;דיווח לתוכנית מדדי האיכות&#10;71%&#10;&#10;משמאל:&#10;תיעוד בתיק הרפואי ללא דיווח&#1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053965" cy="2707005"/>
                    </a:xfrm>
                    <a:prstGeom prst="rect">
                      <a:avLst/>
                    </a:prstGeom>
                    <a:noFill/>
                  </pic:spPr>
                </pic:pic>
              </a:graphicData>
            </a:graphic>
          </wp:inline>
        </w:drawing>
      </w:r>
    </w:p>
    <w:p w:rsidR="0016536A" w:rsidRPr="0016536A" w:rsidP="0026570E">
      <w:pPr>
        <w:spacing w:before="120" w:line="269" w:lineRule="auto"/>
        <w:rPr>
          <w:rFonts w:eastAsia="Calibri"/>
          <w:szCs w:val="20"/>
          <w:rtl/>
        </w:rPr>
      </w:pPr>
      <w:r w:rsidRPr="0016536A">
        <w:rPr>
          <w:rFonts w:eastAsia="Calibri" w:hint="cs"/>
          <w:szCs w:val="20"/>
          <w:rtl/>
        </w:rPr>
        <w:t>על פי נתוני משרד הבריאות, כללית, מכבי, מאוחדת ולאומית,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מהתרשים עולה כי שיעור הביצוע הממוצע של פעולות מניעה וקידום בריאות שקופות החולים מדווחות עליהן לתוכנית מדדי האיכות גבוה באופן משמעותי משיעור הביצוע הממוצע של הבדיקות והטיפולים שעליהם הן אינן מדווחות - 71% בממוצע בתוכנית מדדי האיכות ו-15% בממוצע בשדות ממוחשבים ובטקסט חופשי שאינם מדווחים, ונמצא כי הבדלים אלה מובהקים</w:t>
      </w:r>
      <w:r>
        <w:rPr>
          <w:rFonts w:eastAsia="Calibri"/>
          <w:vertAlign w:val="superscript"/>
          <w:rtl/>
        </w:rPr>
        <w:footnoteReference w:id="152"/>
      </w:r>
      <w:r w:rsidRPr="0016536A">
        <w:rPr>
          <w:rFonts w:eastAsia="Calibri" w:hint="cs"/>
          <w:b/>
          <w:bCs/>
          <w:rtl/>
        </w:rPr>
        <w:t xml:space="preserve">. כך לדוגמה קופות החולים מבצעות חיסוני שפעת ודלקת ריאות, המדווחים לתוכנית מדדי האיכות בשיעורים גבוהים בהרבה (54% ו-74%, בהתאמה) מחיסוני שלבקת חוגרת וטטנוס שאינם מדווחים (6% ו-9%, בהתאמה).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b/>
          <w:bCs/>
          <w:rtl/>
        </w:rPr>
        <w:t>ממצאים אלו עשויים להעיד על כך ש</w:t>
      </w:r>
      <w:r w:rsidRPr="0016536A">
        <w:rPr>
          <w:rFonts w:eastAsia="Calibri" w:hint="cs"/>
          <w:b/>
          <w:bCs/>
          <w:rtl/>
        </w:rPr>
        <w:t>דיווח למשרד הבריאות</w:t>
      </w:r>
      <w:r w:rsidRPr="0016536A">
        <w:rPr>
          <w:rFonts w:eastAsia="Calibri"/>
          <w:b/>
          <w:bCs/>
          <w:rtl/>
        </w:rPr>
        <w:t xml:space="preserve"> משפיע על התנהגות רפואית</w:t>
      </w:r>
      <w:r w:rsidRPr="0016536A">
        <w:rPr>
          <w:rFonts w:eastAsia="Calibri" w:hint="cs"/>
          <w:b/>
          <w:bCs/>
          <w:rtl/>
        </w:rPr>
        <w:t>, כך</w:t>
      </w:r>
      <w:r w:rsidRPr="0016536A">
        <w:rPr>
          <w:rFonts w:eastAsia="Calibri"/>
          <w:b/>
          <w:bCs/>
          <w:rtl/>
        </w:rPr>
        <w:t xml:space="preserve"> </w:t>
      </w:r>
      <w:r w:rsidRPr="0016536A">
        <w:rPr>
          <w:rFonts w:eastAsia="Calibri" w:hint="cs"/>
          <w:b/>
          <w:bCs/>
          <w:rtl/>
        </w:rPr>
        <w:t>ש</w:t>
      </w:r>
      <w:r w:rsidRPr="0016536A">
        <w:rPr>
          <w:rFonts w:eastAsia="Calibri"/>
          <w:b/>
          <w:bCs/>
          <w:rtl/>
        </w:rPr>
        <w:t xml:space="preserve">בדיקות שמדווחות </w:t>
      </w:r>
      <w:r w:rsidRPr="0016536A">
        <w:rPr>
          <w:rFonts w:eastAsia="Calibri" w:hint="cs"/>
          <w:b/>
          <w:bCs/>
          <w:rtl/>
        </w:rPr>
        <w:t xml:space="preserve">למשרד הבריאות </w:t>
      </w:r>
      <w:r w:rsidRPr="0016536A">
        <w:rPr>
          <w:rFonts w:eastAsia="Calibri"/>
          <w:b/>
          <w:bCs/>
          <w:rtl/>
        </w:rPr>
        <w:t xml:space="preserve">לצורכי איכות זוכות </w:t>
      </w:r>
      <w:r w:rsidRPr="0016536A">
        <w:rPr>
          <w:rFonts w:eastAsia="Calibri" w:hint="cs"/>
          <w:b/>
          <w:bCs/>
          <w:rtl/>
        </w:rPr>
        <w:t xml:space="preserve">על ידי קופות החולים </w:t>
      </w:r>
      <w:r w:rsidRPr="0016536A">
        <w:rPr>
          <w:rFonts w:eastAsia="Calibri"/>
          <w:b/>
          <w:bCs/>
          <w:rtl/>
        </w:rPr>
        <w:t xml:space="preserve">להעדפה </w:t>
      </w:r>
      <w:r w:rsidRPr="0016536A">
        <w:rPr>
          <w:rFonts w:eastAsia="Calibri" w:hint="cs"/>
          <w:b/>
          <w:bCs/>
          <w:rtl/>
        </w:rPr>
        <w:t xml:space="preserve">משמעותית </w:t>
      </w:r>
      <w:r w:rsidRPr="0016536A">
        <w:rPr>
          <w:rFonts w:eastAsia="Calibri"/>
          <w:b/>
          <w:bCs/>
          <w:rtl/>
        </w:rPr>
        <w:t xml:space="preserve">בביצוע. </w:t>
      </w:r>
    </w:p>
    <w:p w:rsidR="0016536A" w:rsidRPr="0016536A" w:rsidP="004614AF">
      <w:pPr>
        <w:keepNext/>
        <w:keepLines/>
        <w:spacing w:line="269" w:lineRule="auto"/>
        <w:outlineLvl w:val="3"/>
        <w:rPr>
          <w:rFonts w:eastAsia="Times New Roman"/>
          <w:bCs/>
          <w:szCs w:val="26"/>
          <w:rtl/>
        </w:rPr>
      </w:pPr>
      <w:r w:rsidRPr="0016536A">
        <w:rPr>
          <w:rFonts w:eastAsia="Times New Roman"/>
          <w:bCs/>
          <w:szCs w:val="26"/>
          <w:rtl/>
        </w:rPr>
        <w:t>הנחיות לביצוע פעולות מניעה וקידום בריאות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רופאי המשפחה נשאלו בסקר באיזו מידה ההנחיות של קופות החולים, משרד הבריאות והר"י ב</w:t>
      </w:r>
      <w:r w:rsidRPr="0016536A">
        <w:rPr>
          <w:rFonts w:eastAsia="Calibri"/>
          <w:rtl/>
        </w:rPr>
        <w:t xml:space="preserve">רורות ומדגישות את החשיבות של יישום </w:t>
      </w:r>
      <w:r w:rsidRPr="0016536A">
        <w:rPr>
          <w:rFonts w:eastAsia="Calibri" w:hint="cs"/>
          <w:rtl/>
        </w:rPr>
        <w:t>פעולות מניעה וקידום בריאות מסוגים שונים בקרב זקנים</w:t>
      </w:r>
      <w:r>
        <w:rPr>
          <w:rFonts w:eastAsia="Calibri"/>
          <w:vertAlign w:val="superscript"/>
          <w:rtl/>
        </w:rPr>
        <w:footnoteReference w:id="153"/>
      </w:r>
      <w:r w:rsidRPr="0016536A">
        <w:rPr>
          <w:rFonts w:eastAsia="Calibri" w:hint="cs"/>
          <w:rtl/>
        </w:rPr>
        <w:t>. הזקנים נשאלו בסקר אם קיבלו הפניה לביצוע פעולות המניעה. התרשים שלהלן מציג את ממוצע תשובותיהם</w:t>
      </w:r>
      <w:r>
        <w:rPr>
          <w:rFonts w:eastAsia="Calibri"/>
          <w:vertAlign w:val="superscript"/>
          <w:rtl/>
        </w:rPr>
        <w:footnoteReference w:id="154"/>
      </w:r>
      <w:r w:rsidRPr="0016536A">
        <w:rPr>
          <w:rFonts w:eastAsia="Calibri" w:hint="cs"/>
          <w:rtl/>
        </w:rPr>
        <w:t xml:space="preserve"> בחלוקה לפי פעולות מניעה שמדווחות לתוכנית מדדי האיכות ופעולות מניעה שאינן מדווחות.</w:t>
      </w: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cs"/>
          <w:rtl/>
        </w:rPr>
        <w:t xml:space="preserve">תרשים 18: </w:t>
      </w:r>
      <w:r w:rsidRPr="0016536A">
        <w:rPr>
          <w:rFonts w:eastAsia="Calibri" w:hint="eastAsia"/>
          <w:b/>
          <w:bCs/>
          <w:rtl/>
        </w:rPr>
        <w:t>ממוצע</w:t>
      </w:r>
      <w:r w:rsidRPr="0016536A">
        <w:rPr>
          <w:rFonts w:eastAsia="Calibri"/>
          <w:b/>
          <w:bCs/>
          <w:rtl/>
        </w:rPr>
        <w:t xml:space="preserve"> תשובות הרופאים בנוגע </w:t>
      </w:r>
      <w:r w:rsidRPr="0016536A">
        <w:rPr>
          <w:rFonts w:eastAsia="Calibri" w:hint="eastAsia"/>
          <w:b/>
          <w:bCs/>
          <w:rtl/>
        </w:rPr>
        <w:t>להנחיות</w:t>
      </w:r>
      <w:r w:rsidRPr="0016536A">
        <w:rPr>
          <w:rFonts w:eastAsia="Calibri"/>
          <w:b/>
          <w:bCs/>
          <w:rtl/>
        </w:rPr>
        <w:t xml:space="preserve"> מספקות לביצוע</w:t>
      </w:r>
      <w:r w:rsidRPr="0016536A">
        <w:rPr>
          <w:rFonts w:eastAsia="Calibri" w:hint="cs"/>
          <w:b/>
          <w:bCs/>
          <w:rtl/>
        </w:rPr>
        <w:t>ן של</w:t>
      </w:r>
      <w:r w:rsidRPr="0016536A">
        <w:rPr>
          <w:rFonts w:eastAsia="Calibri"/>
          <w:b/>
          <w:bCs/>
          <w:rtl/>
        </w:rPr>
        <w:t xml:space="preserve"> פעול</w:t>
      </w:r>
      <w:r w:rsidRPr="0016536A">
        <w:rPr>
          <w:rFonts w:eastAsia="Calibri" w:hint="eastAsia"/>
          <w:b/>
          <w:bCs/>
          <w:rtl/>
        </w:rPr>
        <w:t>ות</w:t>
      </w:r>
      <w:r w:rsidRPr="0016536A">
        <w:rPr>
          <w:rFonts w:eastAsia="Calibri"/>
          <w:b/>
          <w:bCs/>
          <w:rtl/>
        </w:rPr>
        <w:t xml:space="preserve"> מניעה</w:t>
      </w:r>
      <w:r w:rsidRPr="0016536A">
        <w:rPr>
          <w:rFonts w:eastAsia="Calibri" w:hint="cs"/>
          <w:b/>
          <w:bCs/>
          <w:rtl/>
        </w:rPr>
        <w:t xml:space="preserve"> וקידום בריאות,</w:t>
      </w:r>
      <w:r w:rsidRPr="0016536A">
        <w:rPr>
          <w:rFonts w:eastAsia="Calibri"/>
          <w:b/>
          <w:bCs/>
          <w:rtl/>
        </w:rPr>
        <w:t xml:space="preserve"> </w:t>
      </w:r>
      <w:r w:rsidRPr="0016536A">
        <w:rPr>
          <w:rFonts w:eastAsia="Calibri" w:hint="eastAsia"/>
          <w:b/>
          <w:bCs/>
          <w:rtl/>
        </w:rPr>
        <w:t>ו</w:t>
      </w:r>
      <w:r w:rsidRPr="0016536A">
        <w:rPr>
          <w:rFonts w:eastAsia="Calibri" w:hint="cs"/>
          <w:b/>
          <w:bCs/>
          <w:rtl/>
        </w:rPr>
        <w:t xml:space="preserve">תשובות </w:t>
      </w:r>
      <w:r w:rsidRPr="0016536A">
        <w:rPr>
          <w:rFonts w:eastAsia="Calibri" w:hint="eastAsia"/>
          <w:b/>
          <w:bCs/>
          <w:rtl/>
        </w:rPr>
        <w:t>הזקנים</w:t>
      </w:r>
      <w:r w:rsidRPr="0016536A">
        <w:rPr>
          <w:rFonts w:eastAsia="Calibri"/>
          <w:b/>
          <w:bCs/>
          <w:rtl/>
        </w:rPr>
        <w:t xml:space="preserve"> </w:t>
      </w:r>
      <w:r w:rsidRPr="0016536A">
        <w:rPr>
          <w:rFonts w:eastAsia="Calibri" w:hint="cs"/>
          <w:b/>
          <w:bCs/>
          <w:rtl/>
        </w:rPr>
        <w:t>בנוגע ל</w:t>
      </w:r>
      <w:r w:rsidRPr="0016536A">
        <w:rPr>
          <w:rFonts w:eastAsia="Calibri"/>
          <w:b/>
          <w:bCs/>
          <w:rtl/>
        </w:rPr>
        <w:t xml:space="preserve">קבלת הפניה לביצוע </w:t>
      </w:r>
      <w:r w:rsidRPr="0016536A">
        <w:rPr>
          <w:rFonts w:eastAsia="Calibri" w:hint="cs"/>
          <w:b/>
          <w:bCs/>
          <w:rtl/>
        </w:rPr>
        <w:t>פעולות אלה</w:t>
      </w:r>
    </w:p>
    <w:p w:rsidR="0016536A" w:rsidRPr="0016536A" w:rsidP="004614AF">
      <w:pPr>
        <w:spacing w:line="269" w:lineRule="auto"/>
        <w:jc w:val="center"/>
        <w:rPr>
          <w:rFonts w:eastAsia="Calibri"/>
        </w:rPr>
      </w:pPr>
      <w:r w:rsidRPr="0016536A">
        <w:rPr>
          <w:rFonts w:eastAsia="Calibri"/>
          <w:noProof/>
        </w:rPr>
        <w:t xml:space="preserve"> </w:t>
      </w:r>
      <w:r w:rsidRPr="0016536A">
        <w:rPr>
          <w:rFonts w:eastAsia="Calibri"/>
          <w:noProof/>
        </w:rPr>
        <w:drawing>
          <wp:inline distT="0" distB="0" distL="0" distR="0">
            <wp:extent cx="5029835" cy="2707005"/>
            <wp:effectExtent l="0" t="0" r="0" b="0"/>
            <wp:docPr id="37" name="תמונה 37" descr="תרשים עמודות:&#10;&#10;האם הזקנים קיבלו הפניה:&#10;לתוכנית המדדים: 3.3&#10;לא בתוכנית המדדים: 1.75&#10;&#10;האם יש הנחיות ברורות לרופאים:&#10;לתוכנית המדדים: 4.11&#10;לא בתוכנית המדדים: 3.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9835" cy="2707005"/>
                    </a:xfrm>
                    <a:prstGeom prst="rect">
                      <a:avLst/>
                    </a:prstGeom>
                    <a:noFill/>
                  </pic:spPr>
                </pic:pic>
              </a:graphicData>
            </a:graphic>
          </wp:inline>
        </w:drawing>
      </w:r>
    </w:p>
    <w:p w:rsidR="0016536A" w:rsidRPr="0016536A" w:rsidP="004614AF">
      <w:pPr>
        <w:spacing w:line="269" w:lineRule="auto"/>
        <w:rPr>
          <w:rFonts w:eastAsia="Calibri"/>
          <w:sz w:val="16"/>
          <w:szCs w:val="20"/>
          <w:rtl/>
        </w:rPr>
      </w:pPr>
      <w:r w:rsidRPr="0016536A">
        <w:rPr>
          <w:rFonts w:eastAsia="Calibri" w:hint="cs"/>
          <w:sz w:val="16"/>
          <w:szCs w:val="20"/>
          <w:rtl/>
        </w:rPr>
        <w:t>על פי נתוני סקר רופאי משפחה וסקר לאוכלוסיית הזקנים, בעיבוד משרד מבקר המדינה.</w:t>
      </w:r>
    </w:p>
    <w:p w:rsidR="0016536A" w:rsidRPr="0016536A" w:rsidP="004614AF">
      <w:pPr>
        <w:spacing w:line="269" w:lineRule="auto"/>
        <w:rPr>
          <w:rFonts w:eastAsia="Calibri"/>
          <w:sz w:val="16"/>
          <w:szCs w:val="20"/>
          <w:rtl/>
        </w:rPr>
      </w:pPr>
      <w:r w:rsidRPr="0016536A">
        <w:rPr>
          <w:rFonts w:eastAsia="Calibri" w:hint="cs"/>
          <w:sz w:val="16"/>
          <w:szCs w:val="20"/>
          <w:rtl/>
        </w:rPr>
        <w:t xml:space="preserve">* ההבדלים בין הקבוצות מובהקים ברמת מובהקות של </w:t>
      </w:r>
      <w:r w:rsidRPr="0016536A">
        <w:rPr>
          <w:rFonts w:eastAsia="Calibri"/>
          <w:sz w:val="16"/>
          <w:szCs w:val="20"/>
        </w:rPr>
        <w:t>p &lt; 0.001</w:t>
      </w:r>
      <w:r w:rsidRPr="0016536A">
        <w:rPr>
          <w:rFonts w:eastAsia="Calibri" w:hint="cs"/>
          <w:sz w:val="16"/>
          <w:szCs w:val="20"/>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מהתרשים עולה כי לתפיסתם של רופאי המשפחה, </w:t>
      </w:r>
      <w:r w:rsidRPr="0016536A">
        <w:rPr>
          <w:rFonts w:eastAsia="Calibri" w:hint="eastAsia"/>
          <w:b/>
          <w:bCs/>
          <w:rtl/>
        </w:rPr>
        <w:t>בהנחיות</w:t>
      </w:r>
      <w:r w:rsidRPr="0016536A">
        <w:rPr>
          <w:rFonts w:eastAsia="Calibri" w:hint="cs"/>
          <w:b/>
          <w:bCs/>
          <w:rtl/>
        </w:rPr>
        <w:t>יהם של</w:t>
      </w:r>
      <w:r w:rsidRPr="0016536A">
        <w:rPr>
          <w:rFonts w:eastAsia="Calibri"/>
          <w:b/>
          <w:bCs/>
          <w:rtl/>
        </w:rPr>
        <w:t xml:space="preserve"> </w:t>
      </w:r>
      <w:r w:rsidRPr="0016536A">
        <w:rPr>
          <w:rFonts w:eastAsia="Calibri" w:hint="eastAsia"/>
          <w:b/>
          <w:bCs/>
          <w:rtl/>
        </w:rPr>
        <w:t>קופ</w:t>
      </w:r>
      <w:r w:rsidRPr="0016536A">
        <w:rPr>
          <w:rFonts w:eastAsia="Calibri" w:hint="cs"/>
          <w:b/>
          <w:bCs/>
          <w:rtl/>
        </w:rPr>
        <w:t>ו</w:t>
      </w:r>
      <w:r w:rsidRPr="0016536A">
        <w:rPr>
          <w:rFonts w:eastAsia="Calibri" w:hint="eastAsia"/>
          <w:b/>
          <w:bCs/>
          <w:rtl/>
        </w:rPr>
        <w:t>ת</w:t>
      </w:r>
      <w:r w:rsidRPr="0016536A">
        <w:rPr>
          <w:rFonts w:eastAsia="Calibri"/>
          <w:b/>
          <w:bCs/>
          <w:rtl/>
        </w:rPr>
        <w:t xml:space="preserve"> החולים, משרד הבריאות </w:t>
      </w:r>
      <w:r w:rsidRPr="0016536A">
        <w:rPr>
          <w:rFonts w:eastAsia="Calibri" w:hint="eastAsia"/>
          <w:b/>
          <w:bCs/>
          <w:rtl/>
        </w:rPr>
        <w:t>והר</w:t>
      </w:r>
      <w:r w:rsidRPr="0016536A">
        <w:rPr>
          <w:rFonts w:eastAsia="Calibri"/>
          <w:b/>
          <w:bCs/>
          <w:rtl/>
        </w:rPr>
        <w:t xml:space="preserve">"י </w:t>
      </w:r>
      <w:r w:rsidRPr="0016536A">
        <w:rPr>
          <w:rFonts w:eastAsia="Calibri" w:hint="eastAsia"/>
          <w:b/>
          <w:bCs/>
          <w:rtl/>
        </w:rPr>
        <w:t>יש</w:t>
      </w:r>
      <w:r w:rsidRPr="0016536A">
        <w:rPr>
          <w:rFonts w:eastAsia="Calibri"/>
          <w:b/>
          <w:bCs/>
          <w:rtl/>
        </w:rPr>
        <w:t xml:space="preserve"> </w:t>
      </w:r>
      <w:r w:rsidRPr="0016536A">
        <w:rPr>
          <w:rFonts w:eastAsia="Calibri" w:hint="eastAsia"/>
          <w:b/>
          <w:bCs/>
          <w:rtl/>
        </w:rPr>
        <w:t>התייחסות</w:t>
      </w:r>
      <w:r w:rsidRPr="0016536A">
        <w:rPr>
          <w:rFonts w:eastAsia="Calibri"/>
          <w:b/>
          <w:bCs/>
          <w:rtl/>
        </w:rPr>
        <w:t xml:space="preserve"> </w:t>
      </w:r>
      <w:r w:rsidRPr="0016536A">
        <w:rPr>
          <w:rFonts w:eastAsia="Calibri" w:hint="cs"/>
          <w:b/>
          <w:bCs/>
          <w:rtl/>
        </w:rPr>
        <w:t>ברורה יותר ביחס ל</w:t>
      </w:r>
      <w:r w:rsidRPr="0016536A">
        <w:rPr>
          <w:rFonts w:eastAsia="Calibri"/>
          <w:b/>
          <w:bCs/>
          <w:rtl/>
        </w:rPr>
        <w:t xml:space="preserve">פעולות מניעה </w:t>
      </w:r>
      <w:r w:rsidRPr="0016536A">
        <w:rPr>
          <w:rFonts w:eastAsia="Calibri" w:hint="cs"/>
          <w:b/>
          <w:bCs/>
          <w:rtl/>
        </w:rPr>
        <w:t>שמדווחות לתוכנית מדדי האיכות - כדוגמת חיסוני שפעת ודלקת ריאות ובדיקות דם סמוי או קולונוסקופיה - לעומת פעולות מניעה שאינן מדווחות לתוכנית מדדי האיכות, כדוגמת חיסון לשלבקת חוגרת ואיתור דיכאון. עוד עולה מן התרשים כי לפי דיווח הזקנים, הם הופנו יותר לביצוע פעולות מניעה וקידום שמופיעות בתוכנית מדדי האיכות מאשר לכאלו שאינן. ממצאים אלה מלמדים כי מה שאיננו נמדד גם מנוהל באופן פחות אפקטיבי, וכפועל יוצא מבוצע פחות. בהקשר זה, עלה גם מהסקר כי רוב הזקנים (55%) ציינו שהם לא ביצעו פעולות מניעה מכיוון שהרופא לא הפנה אותם לבצען (ראו הרחבה בנוגע לחסמים לביצוע פעולות מניעה וקידום בריאות בהמשך).</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b/>
          <w:bCs/>
          <w:rtl/>
        </w:rPr>
        <w:t>במטרה להגביר את שיעור הביצוע של פעולות המניעה וקידום הבריאות מומלץ כי משרד הבריאות יגדיר מערך מלא של מדדי איכות הרלוונטיים להיערכות להזדקנות האוכלוסייה, וינחה את קופות החולים לתעד אותם בשדות ממוחשבים ולדווח באופן עיתי על רמת הביצוע שלהם.</w:t>
      </w:r>
      <w:r w:rsidRPr="0016536A">
        <w:rPr>
          <w:rFonts w:eastAsia="Calibri" w:hint="cs"/>
          <w:rtl/>
        </w:rPr>
        <w:t xml:space="preserve"> </w:t>
      </w:r>
      <w:r w:rsidRPr="0016536A">
        <w:rPr>
          <w:rFonts w:eastAsia="Calibri" w:hint="eastAsia"/>
          <w:b/>
          <w:bCs/>
          <w:rtl/>
        </w:rPr>
        <w:t>יודגש</w:t>
      </w:r>
      <w:r w:rsidRPr="0016536A">
        <w:rPr>
          <w:rFonts w:eastAsia="Calibri"/>
          <w:b/>
          <w:bCs/>
          <w:rtl/>
        </w:rPr>
        <w:t xml:space="preserve"> </w:t>
      </w:r>
      <w:r w:rsidRPr="0016536A">
        <w:rPr>
          <w:rFonts w:eastAsia="Calibri" w:hint="eastAsia"/>
          <w:b/>
          <w:bCs/>
          <w:rtl/>
        </w:rPr>
        <w:t>כי</w:t>
      </w:r>
      <w:r w:rsidRPr="0016536A">
        <w:rPr>
          <w:rFonts w:eastAsia="Calibri"/>
          <w:b/>
          <w:bCs/>
          <w:rtl/>
        </w:rPr>
        <w:t xml:space="preserve"> </w:t>
      </w:r>
      <w:r w:rsidRPr="0016536A">
        <w:rPr>
          <w:rFonts w:eastAsia="Calibri" w:hint="cs"/>
          <w:b/>
          <w:bCs/>
          <w:rtl/>
        </w:rPr>
        <w:t xml:space="preserve">אומנם </w:t>
      </w:r>
      <w:r w:rsidRPr="0016536A">
        <w:rPr>
          <w:rFonts w:eastAsia="Calibri"/>
          <w:b/>
          <w:bCs/>
          <w:rtl/>
        </w:rPr>
        <w:t xml:space="preserve">פעולה </w:t>
      </w:r>
      <w:r w:rsidRPr="0016536A">
        <w:rPr>
          <w:rFonts w:eastAsia="Calibri" w:hint="cs"/>
          <w:b/>
          <w:bCs/>
          <w:rtl/>
        </w:rPr>
        <w:t>כ</w:t>
      </w:r>
      <w:r w:rsidRPr="0016536A">
        <w:rPr>
          <w:rFonts w:eastAsia="Calibri"/>
          <w:b/>
          <w:bCs/>
          <w:rtl/>
        </w:rPr>
        <w:t xml:space="preserve">זו </w:t>
      </w:r>
      <w:r w:rsidRPr="0016536A">
        <w:rPr>
          <w:rFonts w:eastAsia="Calibri" w:hint="cs"/>
          <w:b/>
          <w:bCs/>
          <w:rtl/>
        </w:rPr>
        <w:t>אכן תגרור</w:t>
      </w:r>
      <w:r w:rsidRPr="0016536A">
        <w:rPr>
          <w:rFonts w:eastAsia="Calibri"/>
          <w:b/>
          <w:bCs/>
          <w:rtl/>
        </w:rPr>
        <w:t xml:space="preserve"> </w:t>
      </w:r>
      <w:r w:rsidRPr="0016536A">
        <w:rPr>
          <w:rFonts w:eastAsia="Calibri" w:hint="eastAsia"/>
          <w:b/>
          <w:bCs/>
          <w:rtl/>
        </w:rPr>
        <w:t>עלות</w:t>
      </w:r>
      <w:r w:rsidRPr="0016536A">
        <w:rPr>
          <w:rFonts w:eastAsia="Calibri"/>
          <w:b/>
          <w:bCs/>
          <w:rtl/>
        </w:rPr>
        <w:t xml:space="preserve"> כספית </w:t>
      </w:r>
      <w:r w:rsidRPr="0016536A">
        <w:rPr>
          <w:rFonts w:eastAsia="Calibri" w:hint="cs"/>
          <w:b/>
          <w:bCs/>
          <w:rtl/>
        </w:rPr>
        <w:t>מסוימת, בין היתר עקב הגדלת היקף</w:t>
      </w:r>
      <w:r w:rsidRPr="0016536A">
        <w:rPr>
          <w:rFonts w:eastAsia="Calibri"/>
          <w:b/>
          <w:bCs/>
          <w:rtl/>
        </w:rPr>
        <w:t xml:space="preserve"> </w:t>
      </w:r>
      <w:r w:rsidRPr="0016536A">
        <w:rPr>
          <w:rFonts w:eastAsia="Calibri" w:hint="cs"/>
          <w:b/>
          <w:bCs/>
          <w:rtl/>
        </w:rPr>
        <w:t>ה</w:t>
      </w:r>
      <w:r w:rsidRPr="0016536A">
        <w:rPr>
          <w:rFonts w:eastAsia="Calibri" w:hint="eastAsia"/>
          <w:b/>
          <w:bCs/>
          <w:rtl/>
        </w:rPr>
        <w:t>ביצוע</w:t>
      </w:r>
      <w:r w:rsidRPr="0016536A">
        <w:rPr>
          <w:rFonts w:eastAsia="Calibri"/>
          <w:b/>
          <w:bCs/>
          <w:rtl/>
        </w:rPr>
        <w:t xml:space="preserve"> </w:t>
      </w:r>
      <w:r w:rsidRPr="0016536A">
        <w:rPr>
          <w:rFonts w:eastAsia="Calibri" w:hint="cs"/>
          <w:b/>
          <w:bCs/>
          <w:rtl/>
        </w:rPr>
        <w:t xml:space="preserve">של </w:t>
      </w:r>
      <w:r w:rsidRPr="0016536A">
        <w:rPr>
          <w:rFonts w:eastAsia="Calibri" w:hint="eastAsia"/>
          <w:b/>
          <w:bCs/>
          <w:rtl/>
        </w:rPr>
        <w:t>פעולות</w:t>
      </w:r>
      <w:r w:rsidRPr="0016536A">
        <w:rPr>
          <w:rFonts w:eastAsia="Calibri"/>
          <w:b/>
          <w:bCs/>
          <w:rtl/>
        </w:rPr>
        <w:t xml:space="preserve"> המניעה</w:t>
      </w:r>
      <w:r w:rsidRPr="0016536A">
        <w:rPr>
          <w:rFonts w:eastAsia="Calibri" w:hint="cs"/>
          <w:b/>
          <w:bCs/>
          <w:rtl/>
        </w:rPr>
        <w:t>, אך היא עשויה לקדם</w:t>
      </w:r>
      <w:r w:rsidRPr="0016536A">
        <w:rPr>
          <w:rFonts w:eastAsia="Calibri"/>
          <w:b/>
          <w:bCs/>
          <w:rtl/>
        </w:rPr>
        <w:t xml:space="preserve"> </w:t>
      </w:r>
      <w:r w:rsidRPr="0016536A">
        <w:rPr>
          <w:rFonts w:eastAsia="Calibri" w:hint="cs"/>
          <w:b/>
          <w:bCs/>
          <w:rtl/>
        </w:rPr>
        <w:t xml:space="preserve">את </w:t>
      </w:r>
      <w:r w:rsidRPr="0016536A">
        <w:rPr>
          <w:rFonts w:eastAsia="Calibri"/>
          <w:b/>
          <w:bCs/>
          <w:rtl/>
        </w:rPr>
        <w:t>בריאות הזקנים ו</w:t>
      </w:r>
      <w:r w:rsidRPr="0016536A">
        <w:rPr>
          <w:rFonts w:eastAsia="Calibri" w:hint="cs"/>
          <w:b/>
          <w:bCs/>
          <w:rtl/>
        </w:rPr>
        <w:t>בכך</w:t>
      </w:r>
      <w:r w:rsidRPr="0016536A">
        <w:rPr>
          <w:rFonts w:eastAsia="Calibri" w:hint="cs"/>
          <w:rtl/>
        </w:rPr>
        <w:t xml:space="preserve"> </w:t>
      </w:r>
      <w:r w:rsidRPr="0016536A">
        <w:rPr>
          <w:rFonts w:eastAsia="Calibri" w:hint="cs"/>
          <w:b/>
          <w:bCs/>
          <w:rtl/>
        </w:rPr>
        <w:t>לצמצם את העלויות הצפויות למערכת הבריאות לטווח הארוך</w:t>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עוד מומלץ כי משרד הבריאות, קופות החולים והר"י יגבשו הנחיות מקצועיות ברורות לגבי פעולות המניעה בקרב זקנים ויטמיעו אותן בהליך הטיפולי של רופאי המשפחה.</w:t>
      </w:r>
    </w:p>
    <w:p w:rsidR="0016536A" w:rsidRPr="0016536A" w:rsidP="004614AF">
      <w:pPr>
        <w:spacing w:line="269" w:lineRule="auto"/>
        <w:rPr>
          <w:rFonts w:eastAsia="Calibri"/>
          <w:rtl/>
        </w:rPr>
      </w:pPr>
    </w:p>
    <w:p w:rsidR="0016536A" w:rsidRPr="0016536A" w:rsidP="004614AF">
      <w:pPr>
        <w:keepNext/>
        <w:keepLines/>
        <w:spacing w:line="269" w:lineRule="auto"/>
        <w:outlineLvl w:val="3"/>
        <w:rPr>
          <w:rFonts w:eastAsia="Times New Roman"/>
          <w:bCs/>
          <w:szCs w:val="26"/>
          <w:rtl/>
        </w:rPr>
      </w:pPr>
      <w:bookmarkStart w:id="18" w:name="_Hlk222670673"/>
      <w:r w:rsidRPr="0016536A">
        <w:rPr>
          <w:rFonts w:eastAsia="Times New Roman" w:hint="cs"/>
          <w:bCs/>
          <w:szCs w:val="26"/>
          <w:rtl/>
        </w:rPr>
        <w:t>חסמים לביצוע פעולות מניעה וקידום בריאות</w:t>
      </w:r>
    </w:p>
    <w:bookmarkEnd w:id="18"/>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cs"/>
          <w:bCs/>
          <w:spacing w:val="40"/>
          <w:rtl/>
        </w:rPr>
        <w:t>חסמים של המטופלים לביצוען של פעולות מניעה וקידום בריאות:</w:t>
      </w:r>
      <w:r w:rsidRPr="0016536A">
        <w:rPr>
          <w:rFonts w:eastAsia="Calibri" w:hint="cs"/>
          <w:rtl/>
        </w:rPr>
        <w:t xml:space="preserve"> </w:t>
      </w:r>
      <w:r w:rsidRPr="0016536A">
        <w:rPr>
          <w:rFonts w:eastAsia="Calibri" w:hint="eastAsia"/>
          <w:rtl/>
        </w:rPr>
        <w:t>כשני</w:t>
      </w:r>
      <w:r w:rsidRPr="0016536A">
        <w:rPr>
          <w:rFonts w:eastAsia="Calibri"/>
          <w:rtl/>
        </w:rPr>
        <w:t xml:space="preserve"> שלישים (64%) </w:t>
      </w:r>
      <w:r w:rsidRPr="0016536A">
        <w:rPr>
          <w:rFonts w:eastAsia="Calibri" w:hint="eastAsia"/>
          <w:rtl/>
        </w:rPr>
        <w:t>מרופאי</w:t>
      </w:r>
      <w:r w:rsidRPr="0016536A">
        <w:rPr>
          <w:rFonts w:eastAsia="Calibri"/>
          <w:rtl/>
        </w:rPr>
        <w:t xml:space="preserve"> </w:t>
      </w:r>
      <w:r w:rsidRPr="0016536A">
        <w:rPr>
          <w:rFonts w:eastAsia="Calibri" w:hint="eastAsia"/>
          <w:rtl/>
        </w:rPr>
        <w:t>המשפחה</w:t>
      </w:r>
      <w:r w:rsidRPr="0016536A">
        <w:rPr>
          <w:rFonts w:eastAsia="Calibri"/>
          <w:rtl/>
        </w:rPr>
        <w:t xml:space="preserve"> </w:t>
      </w:r>
      <w:r w:rsidRPr="0016536A">
        <w:rPr>
          <w:rFonts w:eastAsia="Calibri" w:hint="eastAsia"/>
          <w:rtl/>
        </w:rPr>
        <w:t>דיווחו</w:t>
      </w:r>
      <w:r w:rsidRPr="0016536A">
        <w:rPr>
          <w:rFonts w:eastAsia="Calibri"/>
          <w:rtl/>
        </w:rPr>
        <w:t xml:space="preserve"> </w:t>
      </w:r>
      <w:r w:rsidRPr="0016536A">
        <w:rPr>
          <w:rFonts w:eastAsia="Calibri" w:hint="eastAsia"/>
          <w:rtl/>
        </w:rPr>
        <w:t>בסקר</w:t>
      </w:r>
      <w:r w:rsidRPr="0016536A">
        <w:rPr>
          <w:rFonts w:eastAsia="Calibri"/>
          <w:rtl/>
        </w:rPr>
        <w:t xml:space="preserve"> </w:t>
      </w:r>
      <w:r w:rsidRPr="0016536A">
        <w:rPr>
          <w:rFonts w:eastAsia="Calibri" w:hint="eastAsia"/>
          <w:rtl/>
        </w:rPr>
        <w:t>כי</w:t>
      </w:r>
      <w:r w:rsidRPr="0016536A">
        <w:rPr>
          <w:rFonts w:eastAsia="Calibri"/>
          <w:rtl/>
        </w:rPr>
        <w:t xml:space="preserve"> </w:t>
      </w:r>
      <w:r w:rsidRPr="0016536A">
        <w:rPr>
          <w:rFonts w:eastAsia="Calibri" w:hint="eastAsia"/>
          <w:rtl/>
        </w:rPr>
        <w:t>המטופלים</w:t>
      </w:r>
      <w:r w:rsidRPr="0016536A">
        <w:rPr>
          <w:rFonts w:eastAsia="Calibri"/>
          <w:rtl/>
        </w:rPr>
        <w:t xml:space="preserve"> מיישמים את המ</w:t>
      </w:r>
      <w:r w:rsidRPr="0016536A">
        <w:rPr>
          <w:rFonts w:eastAsia="Calibri" w:hint="eastAsia"/>
          <w:rtl/>
        </w:rPr>
        <w:t>לצותיהם</w:t>
      </w:r>
      <w:r w:rsidRPr="0016536A">
        <w:rPr>
          <w:rFonts w:eastAsia="Calibri"/>
          <w:rtl/>
        </w:rPr>
        <w:t xml:space="preserve"> </w:t>
      </w:r>
      <w:r w:rsidRPr="0016536A">
        <w:rPr>
          <w:rFonts w:eastAsia="Calibri" w:hint="eastAsia"/>
          <w:rtl/>
        </w:rPr>
        <w:t>במידה</w:t>
      </w:r>
      <w:r w:rsidRPr="0016536A">
        <w:rPr>
          <w:rFonts w:eastAsia="Calibri"/>
          <w:rtl/>
        </w:rPr>
        <w:t xml:space="preserve"> </w:t>
      </w:r>
      <w:r w:rsidRPr="0016536A">
        <w:rPr>
          <w:rFonts w:eastAsia="Calibri" w:hint="eastAsia"/>
          <w:rtl/>
        </w:rPr>
        <w:t>בינונית</w:t>
      </w:r>
      <w:r w:rsidRPr="0016536A">
        <w:rPr>
          <w:rFonts w:eastAsia="Calibri"/>
          <w:rtl/>
        </w:rPr>
        <w:t xml:space="preserve">, </w:t>
      </w:r>
      <w:r w:rsidRPr="0016536A">
        <w:rPr>
          <w:rFonts w:eastAsia="Calibri" w:hint="eastAsia"/>
          <w:rtl/>
        </w:rPr>
        <w:t>מועטה</w:t>
      </w:r>
      <w:r w:rsidRPr="0016536A">
        <w:rPr>
          <w:rFonts w:eastAsia="Calibri"/>
          <w:rtl/>
        </w:rPr>
        <w:t xml:space="preserve"> </w:t>
      </w:r>
      <w:r w:rsidRPr="0016536A">
        <w:rPr>
          <w:rFonts w:eastAsia="Calibri" w:hint="eastAsia"/>
          <w:rtl/>
        </w:rPr>
        <w:t>או</w:t>
      </w:r>
      <w:r w:rsidRPr="0016536A">
        <w:rPr>
          <w:rFonts w:eastAsia="Calibri"/>
          <w:rtl/>
        </w:rPr>
        <w:t xml:space="preserve"> </w:t>
      </w:r>
      <w:r w:rsidRPr="0016536A">
        <w:rPr>
          <w:rFonts w:eastAsia="Calibri" w:hint="eastAsia"/>
          <w:rtl/>
        </w:rPr>
        <w:t>כלל</w:t>
      </w:r>
      <w:r w:rsidRPr="0016536A">
        <w:rPr>
          <w:rFonts w:eastAsia="Calibri"/>
          <w:rtl/>
        </w:rPr>
        <w:t xml:space="preserve"> </w:t>
      </w:r>
      <w:r w:rsidRPr="0016536A">
        <w:rPr>
          <w:rFonts w:eastAsia="Calibri" w:hint="eastAsia"/>
          <w:rtl/>
        </w:rPr>
        <w:t>לא</w:t>
      </w:r>
      <w:r w:rsidRPr="0016536A">
        <w:rPr>
          <w:rFonts w:eastAsia="Calibri" w:hint="cs"/>
          <w:rtl/>
        </w:rPr>
        <w:t>.</w:t>
      </w:r>
      <w:r w:rsidRPr="0016536A">
        <w:rPr>
          <w:rFonts w:eastAsia="Calibri"/>
          <w:rtl/>
        </w:rPr>
        <w:t xml:space="preserve"> </w:t>
      </w:r>
      <w:r w:rsidRPr="0016536A">
        <w:rPr>
          <w:rFonts w:eastAsia="Calibri" w:hint="cs"/>
          <w:rtl/>
        </w:rPr>
        <w:t>בתרשים הבא מוצגים החסמים המרכזיים שציינו הרופאים והזקנים ליישום המלצות הרופאים.</w:t>
      </w: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cs"/>
          <w:rtl/>
        </w:rPr>
        <w:t xml:space="preserve">תרשים 19: </w:t>
      </w:r>
      <w:r w:rsidRPr="0016536A">
        <w:rPr>
          <w:rFonts w:eastAsia="Calibri" w:hint="cs"/>
          <w:b/>
          <w:bCs/>
          <w:rtl/>
        </w:rPr>
        <w:t>ה</w:t>
      </w:r>
      <w:r w:rsidRPr="0016536A">
        <w:rPr>
          <w:rFonts w:eastAsia="Calibri" w:hint="eastAsia"/>
          <w:b/>
          <w:bCs/>
          <w:rtl/>
        </w:rPr>
        <w:t>חסמים</w:t>
      </w:r>
      <w:r w:rsidRPr="0016536A">
        <w:rPr>
          <w:rFonts w:eastAsia="Calibri"/>
          <w:b/>
          <w:bCs/>
          <w:rtl/>
        </w:rPr>
        <w:t xml:space="preserve"> </w:t>
      </w:r>
      <w:r w:rsidRPr="0016536A">
        <w:rPr>
          <w:rFonts w:eastAsia="Calibri" w:hint="cs"/>
          <w:b/>
          <w:bCs/>
          <w:rtl/>
        </w:rPr>
        <w:t>ה</w:t>
      </w:r>
      <w:r w:rsidRPr="0016536A">
        <w:rPr>
          <w:rFonts w:eastAsia="Calibri" w:hint="eastAsia"/>
          <w:b/>
          <w:bCs/>
          <w:rtl/>
        </w:rPr>
        <w:t>מרכזיים</w:t>
      </w:r>
      <w:r w:rsidRPr="0016536A">
        <w:rPr>
          <w:rFonts w:eastAsia="Calibri"/>
          <w:b/>
          <w:bCs/>
          <w:rtl/>
        </w:rPr>
        <w:t xml:space="preserve"> שציינו </w:t>
      </w:r>
      <w:r w:rsidRPr="0016536A">
        <w:rPr>
          <w:rFonts w:eastAsia="Calibri" w:hint="cs"/>
          <w:b/>
          <w:bCs/>
          <w:rtl/>
        </w:rPr>
        <w:t>ה</w:t>
      </w:r>
      <w:r w:rsidRPr="0016536A">
        <w:rPr>
          <w:rFonts w:eastAsia="Calibri"/>
          <w:b/>
          <w:bCs/>
          <w:rtl/>
        </w:rPr>
        <w:t>רופאים ו</w:t>
      </w:r>
      <w:r w:rsidRPr="0016536A">
        <w:rPr>
          <w:rFonts w:eastAsia="Calibri" w:hint="cs"/>
          <w:b/>
          <w:bCs/>
          <w:rtl/>
        </w:rPr>
        <w:t>ה</w:t>
      </w:r>
      <w:r w:rsidRPr="0016536A">
        <w:rPr>
          <w:rFonts w:eastAsia="Calibri"/>
          <w:b/>
          <w:bCs/>
          <w:rtl/>
        </w:rPr>
        <w:t xml:space="preserve">זקנים </w:t>
      </w:r>
      <w:r w:rsidRPr="0016536A">
        <w:rPr>
          <w:rFonts w:eastAsia="Calibri" w:hint="eastAsia"/>
          <w:b/>
          <w:bCs/>
          <w:rtl/>
        </w:rPr>
        <w:t>לביצוע</w:t>
      </w:r>
      <w:r w:rsidRPr="0016536A">
        <w:rPr>
          <w:rFonts w:eastAsia="Calibri" w:hint="cs"/>
          <w:b/>
          <w:bCs/>
          <w:rtl/>
        </w:rPr>
        <w:t>ן של</w:t>
      </w:r>
      <w:r w:rsidRPr="0016536A">
        <w:rPr>
          <w:rFonts w:eastAsia="Calibri"/>
          <w:b/>
          <w:bCs/>
          <w:rtl/>
        </w:rPr>
        <w:t xml:space="preserve"> </w:t>
      </w:r>
      <w:r w:rsidRPr="0016536A">
        <w:rPr>
          <w:rFonts w:eastAsia="Calibri" w:hint="cs"/>
          <w:b/>
          <w:bCs/>
          <w:rtl/>
        </w:rPr>
        <w:t xml:space="preserve">פעולות </w:t>
      </w:r>
      <w:r w:rsidRPr="0016536A">
        <w:rPr>
          <w:rFonts w:eastAsia="Calibri" w:hint="eastAsia"/>
          <w:b/>
          <w:bCs/>
          <w:rtl/>
        </w:rPr>
        <w:t>מניעה</w:t>
      </w:r>
      <w:r w:rsidRPr="0016536A">
        <w:rPr>
          <w:rFonts w:eastAsia="Calibri" w:hint="cs"/>
          <w:b/>
          <w:bCs/>
          <w:rtl/>
        </w:rPr>
        <w:t xml:space="preserve"> וקידום בריאות</w:t>
      </w:r>
    </w:p>
    <w:p w:rsidR="0016536A" w:rsidRPr="0016536A" w:rsidP="004614AF">
      <w:pPr>
        <w:spacing w:line="269" w:lineRule="auto"/>
        <w:jc w:val="center"/>
        <w:rPr>
          <w:rFonts w:eastAsia="Calibri"/>
          <w:rtl/>
        </w:rPr>
      </w:pPr>
      <w:r w:rsidRPr="0016536A">
        <w:rPr>
          <w:rFonts w:eastAsia="Calibri"/>
          <w:noProof/>
        </w:rPr>
        <w:drawing>
          <wp:inline distT="0" distB="0" distL="0" distR="0">
            <wp:extent cx="5187950" cy="2871470"/>
            <wp:effectExtent l="0" t="0" r="0" b="5080"/>
            <wp:docPr id="84" name="תמונה 84" descr="היעדר ידע:&#10;זקנים 64%&#10;רופאים 27%&#10;&#10;אי הפניה מהרופא*:&#10;זקנים 55%&#10;&#10;היעדר זמינות:&#10;זקנים 14%&#10;רופאים 24%&#10;&#10;היעדר נגישות:&#10;זקנים 8%&#10;רופאים 19%&#10;&#10;העלויות הכספיות הכרוכות בטיפולים:&#10;זקנים 4%&#10;רופאים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3"/>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7950" cy="2871470"/>
                    </a:xfrm>
                    <a:prstGeom prst="rect">
                      <a:avLst/>
                    </a:prstGeom>
                    <a:noFill/>
                  </pic:spPr>
                </pic:pic>
              </a:graphicData>
            </a:graphic>
          </wp:inline>
        </w:drawing>
      </w:r>
    </w:p>
    <w:p w:rsidR="0016536A" w:rsidRPr="0016536A" w:rsidP="004614AF">
      <w:pPr>
        <w:spacing w:line="269" w:lineRule="auto"/>
        <w:rPr>
          <w:rFonts w:eastAsia="Calibri"/>
          <w:sz w:val="16"/>
          <w:szCs w:val="20"/>
          <w:rtl/>
        </w:rPr>
      </w:pPr>
      <w:r w:rsidRPr="0016536A">
        <w:rPr>
          <w:rFonts w:eastAsia="Calibri" w:hint="cs"/>
          <w:sz w:val="16"/>
          <w:szCs w:val="20"/>
          <w:rtl/>
        </w:rPr>
        <w:t>על פי נתוני סקר רופאי משפחה וסקר לאוכלוסיית הזקנים, בעיבוד משרד מבקר המדינה</w:t>
      </w:r>
      <w:r>
        <w:rPr>
          <w:rFonts w:eastAsia="Calibri"/>
          <w:sz w:val="16"/>
          <w:vertAlign w:val="superscript"/>
          <w:rtl/>
        </w:rPr>
        <w:footnoteReference w:id="155"/>
      </w:r>
      <w:r w:rsidRPr="0016536A">
        <w:rPr>
          <w:rFonts w:eastAsia="Calibri" w:hint="cs"/>
          <w:sz w:val="16"/>
          <w:szCs w:val="20"/>
          <w:rtl/>
        </w:rPr>
        <w:t>.</w:t>
      </w:r>
    </w:p>
    <w:p w:rsidR="0016536A" w:rsidRPr="0016536A" w:rsidP="004614AF">
      <w:pPr>
        <w:spacing w:line="269" w:lineRule="auto"/>
        <w:rPr>
          <w:rFonts w:eastAsia="Calibri"/>
          <w:sz w:val="16"/>
          <w:szCs w:val="20"/>
          <w:rtl/>
        </w:rPr>
      </w:pPr>
      <w:r w:rsidRPr="0016536A">
        <w:rPr>
          <w:rFonts w:eastAsia="Calibri" w:hint="cs"/>
          <w:sz w:val="16"/>
          <w:szCs w:val="20"/>
          <w:rtl/>
        </w:rPr>
        <w:t>תרשים זה מתייחס רק לסיבות שלקופות החולים השפעה עליהן.</w:t>
      </w:r>
    </w:p>
    <w:p w:rsidR="0016536A" w:rsidRPr="0016536A" w:rsidP="004614AF">
      <w:pPr>
        <w:spacing w:line="269" w:lineRule="auto"/>
        <w:rPr>
          <w:rFonts w:eastAsia="Calibri"/>
          <w:sz w:val="16"/>
          <w:szCs w:val="20"/>
          <w:rtl/>
        </w:rPr>
      </w:pPr>
      <w:r w:rsidRPr="0016536A">
        <w:rPr>
          <w:rFonts w:eastAsia="Calibri" w:hint="cs"/>
          <w:sz w:val="16"/>
          <w:szCs w:val="20"/>
          <w:rtl/>
        </w:rPr>
        <w:t>* שאלה זו הופנתה רק לזקנים.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מהתרשים עולה כי הסיבה העיקרית שציינו הרופאים (27%) והזקנים (64%) לאי-ביצוע פעולות מניעה היא היעדר ידע עליהן, דהיינו שהזקנים לא קיבלו הסבר מספק עליהן, לא ידעו על קיומן או לא ראו בהן צורך, וכן הם לא הופנו על ידי הרופאים לבצען. סיבות נוספות שציינו הן היעדר זמינות </w:t>
      </w:r>
      <w:r w:rsidRPr="0016536A">
        <w:rPr>
          <w:rFonts w:eastAsia="Calibri"/>
          <w:b/>
          <w:bCs/>
          <w:rtl/>
        </w:rPr>
        <w:t>(המתנה ארוכה לתור או שעות פתיחה לא נוחות)</w:t>
      </w:r>
      <w:r w:rsidRPr="0016536A">
        <w:rPr>
          <w:rFonts w:eastAsia="Calibri" w:hint="cs"/>
          <w:b/>
          <w:bCs/>
          <w:rtl/>
        </w:rPr>
        <w:t xml:space="preserve"> והיעדר נגישות (הטיפול או הבדיקה אינם קרובים לבית במידה סבירה).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cs"/>
          <w:bCs/>
          <w:spacing w:val="40"/>
          <w:rtl/>
        </w:rPr>
        <w:t>חסמי הרופאים להפנייתם של המטופלים לביצוע פעולות מניעה וקידום בריאות:</w:t>
      </w:r>
      <w:r w:rsidRPr="0016536A">
        <w:rPr>
          <w:rFonts w:eastAsia="Calibri" w:hint="cs"/>
          <w:rtl/>
        </w:rPr>
        <w:t xml:space="preserve"> כ-55% מהזקנים ציינו בסקר שלא ביצעו פעולות מניעה מכיוון שהרופא שלהם לא הפנה אותם לבצען; בנוסף, כ-50% מהזקנים ציינו בסקר כי רופא המשפחה שלהם פנוי לעסוק בהיבטים של רפואה מונעת במידה בינונית ומטה בלבד.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במסגרת הסקר נבחנו החסמים המקשים על הרופאים לעודד מטופלים זקנים לבצע בדיקות סקר לאיתור מחלות שכיחות בגיל זקנה, לקבל חיסונים המומלצים בגילם, לשוחח על אורח חיים בריא ולבדוק אם הם מצויים בדיכאון. תשובות הרופאים בהקשר זה מוצגות בתרשים שלהלן</w:t>
      </w:r>
      <w:r>
        <w:rPr>
          <w:rFonts w:eastAsia="Calibri"/>
          <w:vertAlign w:val="superscript"/>
          <w:rtl/>
        </w:rPr>
        <w:footnoteReference w:id="156"/>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cs"/>
          <w:rtl/>
        </w:rPr>
        <w:t xml:space="preserve">תרשים 20: </w:t>
      </w:r>
      <w:r w:rsidRPr="0016536A">
        <w:rPr>
          <w:rFonts w:eastAsia="Calibri" w:hint="cs"/>
          <w:b/>
          <w:bCs/>
          <w:rtl/>
        </w:rPr>
        <w:t>החסמים העיקריים לעידוד זקנים לבצע פעולות מניעה וקידום בריאות, לפי שיעור הרופאים המדווחים עליהם</w:t>
      </w:r>
    </w:p>
    <w:p w:rsidR="0016536A" w:rsidRPr="0016536A" w:rsidP="004614AF">
      <w:pPr>
        <w:spacing w:line="269" w:lineRule="auto"/>
        <w:jc w:val="center"/>
        <w:rPr>
          <w:rFonts w:eastAsia="Calibri"/>
          <w:b/>
          <w:bCs/>
          <w:rtl/>
        </w:rPr>
      </w:pPr>
      <w:r w:rsidRPr="0016536A">
        <w:rPr>
          <w:rFonts w:eastAsia="Calibri"/>
          <w:b/>
          <w:bCs/>
          <w:noProof/>
        </w:rPr>
        <w:drawing>
          <wp:inline distT="0" distB="0" distL="0" distR="0">
            <wp:extent cx="5231130" cy="2755900"/>
            <wp:effectExtent l="0" t="0" r="7620" b="6350"/>
            <wp:docPr id="2" name="תמונה 2" descr="חוסר זמן בשל טיפול בבעיות רפואיות קיימות: 30%&#10;&#10;היעדר תגמול על הזמן שיש להקדיש לנושא: 22%&#10;&#10;מחסור בכוח אדם מקצועי בתחומי הייעוץ והטיפול: 16%&#10;&#10;חוסר היענות מצד מטופלים: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755900"/>
                    </a:xfrm>
                    <a:prstGeom prst="rect">
                      <a:avLst/>
                    </a:prstGeom>
                    <a:noFill/>
                  </pic:spPr>
                </pic:pic>
              </a:graphicData>
            </a:graphic>
          </wp:inline>
        </w:drawing>
      </w:r>
    </w:p>
    <w:p w:rsidR="0016536A" w:rsidRPr="0016536A" w:rsidP="004614AF">
      <w:pPr>
        <w:spacing w:line="269" w:lineRule="auto"/>
        <w:rPr>
          <w:rFonts w:eastAsia="Calibri"/>
          <w:sz w:val="16"/>
          <w:szCs w:val="20"/>
          <w:rtl/>
        </w:rPr>
      </w:pPr>
      <w:r w:rsidRPr="0016536A">
        <w:rPr>
          <w:rFonts w:eastAsia="Calibri" w:hint="cs"/>
          <w:sz w:val="16"/>
          <w:szCs w:val="20"/>
          <w:rtl/>
        </w:rPr>
        <w:t>על פי נתוני סקר רופאי משפחה,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מהתרשים עולה כי החסמים העיקריים העומדים לפני רופאי משפחה לעידוד מטופליהם לביצוע פעולות מניעה וקידום בריאות הם מבניים: חוסר זמן של הרופא להשקיע בעידוד מניעה (30% מהרופאים שהשתתפו בסקר ציינו זאת), היעדר תגמול על הזמן הנדרש לכך (22%) ומחסור בכוח אדם מקצועי בתחומי הייעוץ והטיפול הרלוונטיים, כגון תזונאיות קליניות (16%).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לאומית השיבה כי </w:t>
      </w:r>
      <w:r w:rsidRPr="0016536A">
        <w:rPr>
          <w:rFonts w:eastAsia="Calibri"/>
          <w:rtl/>
        </w:rPr>
        <w:t>עומסי עבודה ברפואה הראשונית, המחסור בכוח אדם</w:t>
      </w:r>
      <w:r w:rsidRPr="0016536A">
        <w:rPr>
          <w:rFonts w:eastAsia="Calibri" w:hint="cs"/>
          <w:rtl/>
        </w:rPr>
        <w:t xml:space="preserve"> </w:t>
      </w:r>
      <w:r w:rsidRPr="0016536A">
        <w:rPr>
          <w:rFonts w:eastAsia="Calibri"/>
          <w:rtl/>
        </w:rPr>
        <w:t xml:space="preserve">ייעודי והעדר הכשרה </w:t>
      </w:r>
      <w:r w:rsidRPr="0016536A">
        <w:rPr>
          <w:rFonts w:eastAsia="Calibri" w:hint="cs"/>
          <w:rtl/>
        </w:rPr>
        <w:t>מתאימה</w:t>
      </w:r>
      <w:r w:rsidRPr="0016536A">
        <w:rPr>
          <w:rFonts w:eastAsia="Calibri"/>
          <w:rtl/>
        </w:rPr>
        <w:t xml:space="preserve"> בתחום הם אתגרים משמעותיים ביישום תפקיד זה</w:t>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בהקשר זה יש לציין כי אף שהרוב המוחלט של הרופאים (89%) השיבו שהם רואים ברפואה המונעת חלק משמעותי מתפקידם (במידה רבה או רבה מאוד), יותר ממחציתם (52%) דיווחו כי רוב הזמן והמרץ שלהם מושקעים בטיפול בבעיות רפואיות קיימות ולא ברפואה מונעת בקרב זקנים, ורק שליש דיווחו על איזון בין השניים.</w:t>
      </w:r>
    </w:p>
    <w:p w:rsidR="0016536A" w:rsidRPr="0016536A" w:rsidP="004614AF">
      <w:pPr>
        <w:spacing w:line="269" w:lineRule="auto"/>
        <w:rPr>
          <w:rFonts w:eastAsia="Calibri"/>
          <w:b/>
          <w:bCs/>
          <w:rtl/>
        </w:rPr>
      </w:pPr>
    </w:p>
    <w:p w:rsidR="0016536A" w:rsidRPr="0016536A" w:rsidP="004614AF">
      <w:pPr>
        <w:keepNext/>
        <w:keepLines/>
        <w:spacing w:line="269" w:lineRule="auto"/>
        <w:outlineLvl w:val="4"/>
        <w:rPr>
          <w:rFonts w:eastAsia="Times New Roman"/>
          <w:bCs/>
          <w:spacing w:val="40"/>
          <w:rtl/>
        </w:rPr>
      </w:pPr>
      <w:r w:rsidRPr="0016536A">
        <w:rPr>
          <w:rFonts w:eastAsia="Times New Roman" w:hint="cs"/>
          <w:bCs/>
          <w:spacing w:val="40"/>
          <w:rtl/>
        </w:rPr>
        <w:t>יוזמה בביצוע פעולות מניעה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לטיפול רפואי יוזם בקרב זקנים תפקיד חשוב בדחיית שבריריות, שימור עצמאותם של זקנים, וצמצום תקופות שבהן הזקן חולה</w:t>
      </w:r>
      <w:r>
        <w:rPr>
          <w:rFonts w:eastAsia="Calibri"/>
          <w:vertAlign w:val="superscript"/>
          <w:rtl/>
        </w:rPr>
        <w:footnoteReference w:id="157"/>
      </w:r>
      <w:r w:rsidRPr="0016536A">
        <w:rPr>
          <w:rFonts w:eastAsia="Calibri" w:hint="cs"/>
          <w:rtl/>
        </w:rPr>
        <w:t>. בהמלצותיו, מדגיש כוח המשימה כי האחריות לקידום בריאות ופעולות למניעה ראשונית ולאיתור מוקדם היא על הציבור</w:t>
      </w:r>
      <w:r>
        <w:rPr>
          <w:rFonts w:eastAsia="Calibri"/>
          <w:vertAlign w:val="superscript"/>
          <w:rtl/>
        </w:rPr>
        <w:footnoteReference w:id="158"/>
      </w:r>
      <w:r w:rsidRPr="0016536A">
        <w:rPr>
          <w:rFonts w:eastAsia="Calibri" w:hint="cs"/>
          <w:rtl/>
        </w:rPr>
        <w:t xml:space="preserve">. עמדה שונה מיושמת במערכת הבריאות הבריטית, שם קבע משרד הבריאות קווים מנחים לרפואה יוזמת בקרב זקנים </w:t>
      </w:r>
      <w:r w:rsidRPr="0016536A">
        <w:rPr>
          <w:rFonts w:eastAsia="Calibri" w:hint="cs"/>
          <w:rtl/>
        </w:rPr>
        <w:t>שבריריים</w:t>
      </w:r>
      <w:r>
        <w:rPr>
          <w:rFonts w:eastAsia="Calibri"/>
          <w:vertAlign w:val="superscript"/>
          <w:rtl/>
        </w:rPr>
        <w:footnoteReference w:id="159"/>
      </w:r>
      <w:r w:rsidRPr="0016536A">
        <w:rPr>
          <w:rFonts w:eastAsia="Calibri" w:hint="cs"/>
          <w:rtl/>
        </w:rPr>
        <w:t>, ולפיה</w:t>
      </w:r>
      <w:r w:rsidRPr="0016536A">
        <w:rPr>
          <w:rFonts w:eastAsia="Calibri"/>
          <w:rtl/>
        </w:rPr>
        <w:t xml:space="preserve"> כאשר הרופא או הצוות הרפואי </w:t>
      </w:r>
      <w:r w:rsidRPr="0016536A">
        <w:rPr>
          <w:rFonts w:eastAsia="Calibri" w:hint="cs"/>
          <w:rtl/>
        </w:rPr>
        <w:t>נוקטים</w:t>
      </w:r>
      <w:r w:rsidRPr="0016536A">
        <w:rPr>
          <w:rFonts w:eastAsia="Calibri"/>
          <w:rtl/>
        </w:rPr>
        <w:t xml:space="preserve"> יוזמה</w:t>
      </w:r>
      <w:r w:rsidRPr="0016536A">
        <w:rPr>
          <w:rFonts w:eastAsia="Calibri" w:hint="cs"/>
          <w:rtl/>
        </w:rPr>
        <w:t>,</w:t>
      </w:r>
      <w:r w:rsidRPr="0016536A">
        <w:rPr>
          <w:rFonts w:eastAsia="Calibri"/>
          <w:rtl/>
        </w:rPr>
        <w:t xml:space="preserve"> למשל על ידי זיהוי מוקדם של סיכון </w:t>
      </w:r>
      <w:r w:rsidRPr="0016536A">
        <w:rPr>
          <w:rFonts w:eastAsia="Calibri" w:hint="cs"/>
          <w:rtl/>
        </w:rPr>
        <w:t>ו</w:t>
      </w:r>
      <w:r w:rsidRPr="0016536A">
        <w:rPr>
          <w:rFonts w:eastAsia="Calibri"/>
          <w:rtl/>
        </w:rPr>
        <w:t>ייזום בדיקות או שיחות מניעה</w:t>
      </w:r>
      <w:r w:rsidRPr="0016536A">
        <w:rPr>
          <w:rFonts w:eastAsia="Calibri" w:hint="cs"/>
          <w:rtl/>
        </w:rPr>
        <w:t xml:space="preserve">, </w:t>
      </w:r>
      <w:r w:rsidRPr="0016536A">
        <w:rPr>
          <w:rFonts w:eastAsia="Calibri"/>
          <w:rtl/>
        </w:rPr>
        <w:t xml:space="preserve">נוצרת מסגרת של שיתוף פעולה פעיל בין </w:t>
      </w:r>
      <w:r w:rsidRPr="0016536A">
        <w:rPr>
          <w:rFonts w:eastAsia="Calibri" w:hint="cs"/>
          <w:rtl/>
        </w:rPr>
        <w:t>ה</w:t>
      </w:r>
      <w:r w:rsidRPr="0016536A">
        <w:rPr>
          <w:rFonts w:eastAsia="Calibri"/>
          <w:rtl/>
        </w:rPr>
        <w:t>מטופל לרופא, אשר עשויה לצמצם פערים בתפיסות ולשפר את יעילות המעקב</w:t>
      </w:r>
      <w:r w:rsidRPr="0016536A">
        <w:rPr>
          <w:rFonts w:eastAsia="Calibri" w:hint="cs"/>
          <w:rtl/>
        </w:rPr>
        <w:t xml:space="preserve"> הרפואי</w:t>
      </w:r>
      <w:r w:rsidRPr="0016536A">
        <w:rPr>
          <w:rFonts w:eastAsia="Calibri"/>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בסקרים נשאלו הרופאים והזקנים מי יוזם את ביצוע פעולות המניעה, ותשובותיהם מוצגות בתרשים שלהלן.</w:t>
      </w:r>
    </w:p>
    <w:p w:rsidR="0016536A" w:rsidRPr="0016536A" w:rsidP="004614AF">
      <w:pPr>
        <w:spacing w:line="269" w:lineRule="auto"/>
        <w:rPr>
          <w:rFonts w:eastAsia="Calibri"/>
          <w:rtl/>
        </w:rPr>
      </w:pPr>
    </w:p>
    <w:p w:rsidR="0016536A" w:rsidRPr="0016536A" w:rsidP="004614AF">
      <w:pPr>
        <w:spacing w:line="269" w:lineRule="auto"/>
        <w:jc w:val="center"/>
        <w:rPr>
          <w:rFonts w:eastAsia="Calibri"/>
          <w:rtl/>
        </w:rPr>
      </w:pPr>
      <w:r w:rsidRPr="0016536A">
        <w:rPr>
          <w:rFonts w:eastAsia="Calibri" w:hint="cs"/>
          <w:rtl/>
        </w:rPr>
        <w:t xml:space="preserve">תרשים 21: </w:t>
      </w:r>
      <w:r w:rsidRPr="0016536A">
        <w:rPr>
          <w:rFonts w:eastAsia="Calibri" w:hint="eastAsia"/>
          <w:b/>
          <w:bCs/>
          <w:rtl/>
        </w:rPr>
        <w:t>תשובות</w:t>
      </w:r>
      <w:r w:rsidRPr="0016536A">
        <w:rPr>
          <w:rFonts w:eastAsia="Calibri" w:hint="cs"/>
          <w:b/>
          <w:bCs/>
          <w:rtl/>
        </w:rPr>
        <w:t>יהם של</w:t>
      </w:r>
      <w:r w:rsidRPr="0016536A">
        <w:rPr>
          <w:rFonts w:eastAsia="Calibri"/>
          <w:b/>
          <w:bCs/>
          <w:rtl/>
        </w:rPr>
        <w:t xml:space="preserve"> רופאי משפחה וזקנים על השאלה מי יוזם </w:t>
      </w:r>
      <w:r w:rsidRPr="0016536A">
        <w:rPr>
          <w:rFonts w:eastAsia="Calibri" w:hint="cs"/>
          <w:b/>
          <w:bCs/>
          <w:rtl/>
        </w:rPr>
        <w:t>פעולות מניעה וקידום בריאות</w:t>
      </w:r>
    </w:p>
    <w:p w:rsidR="0016536A" w:rsidRPr="0016536A" w:rsidP="004614AF">
      <w:pPr>
        <w:spacing w:line="269" w:lineRule="auto"/>
        <w:rPr>
          <w:rFonts w:eastAsia="Calibri"/>
          <w:sz w:val="16"/>
          <w:szCs w:val="20"/>
          <w:rtl/>
        </w:rPr>
      </w:pPr>
      <w:r w:rsidRPr="0016536A">
        <w:rPr>
          <w:rFonts w:eastAsia="Calibri"/>
          <w:noProof/>
          <w:sz w:val="16"/>
          <w:szCs w:val="20"/>
        </w:rPr>
        <w:drawing>
          <wp:inline distT="0" distB="0" distL="0" distR="0">
            <wp:extent cx="5220335" cy="2839085"/>
            <wp:effectExtent l="0" t="0" r="0" b="0"/>
            <wp:docPr id="44" name="תמונה 44" descr="מקרא:&#10;מטופלים&#10;רופאים&#10;&#10;הרופא יזם:&#10;מטופלים 19%&#10;רופאים 70%&#10;&#10;גם הרופא וגם המטופל:&#10;מטופלים 28%&#10;רופאים 29%&#10;&#10;המטופל יזם:&#10;מטופלים 53%&#10;רופאים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839085"/>
                    </a:xfrm>
                    <a:prstGeom prst="rect">
                      <a:avLst/>
                    </a:prstGeom>
                    <a:noFill/>
                  </pic:spPr>
                </pic:pic>
              </a:graphicData>
            </a:graphic>
          </wp:inline>
        </w:drawing>
      </w:r>
    </w:p>
    <w:p w:rsidR="0016536A" w:rsidRPr="0016536A" w:rsidP="004614AF">
      <w:pPr>
        <w:spacing w:line="269" w:lineRule="auto"/>
        <w:rPr>
          <w:rFonts w:eastAsia="Calibri"/>
          <w:sz w:val="16"/>
          <w:szCs w:val="20"/>
          <w:rtl/>
        </w:rPr>
      </w:pPr>
      <w:r w:rsidRPr="0016536A">
        <w:rPr>
          <w:rFonts w:eastAsia="Calibri" w:hint="cs"/>
          <w:sz w:val="16"/>
          <w:szCs w:val="20"/>
          <w:rtl/>
        </w:rPr>
        <w:t>על פי נתוני סקר רופאי משפחה וסקר לאוכלוסיית הזקנים,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מן</w:t>
      </w:r>
      <w:r w:rsidRPr="0016536A">
        <w:rPr>
          <w:rFonts w:eastAsia="Calibri"/>
          <w:b/>
          <w:bCs/>
          <w:rtl/>
        </w:rPr>
        <w:t xml:space="preserve"> </w:t>
      </w:r>
      <w:r w:rsidRPr="0016536A">
        <w:rPr>
          <w:rFonts w:eastAsia="Calibri" w:hint="eastAsia"/>
          <w:b/>
          <w:bCs/>
          <w:rtl/>
        </w:rPr>
        <w:t>התרשים</w:t>
      </w:r>
      <w:r w:rsidRPr="0016536A">
        <w:rPr>
          <w:rFonts w:eastAsia="Calibri"/>
          <w:b/>
          <w:bCs/>
          <w:rtl/>
        </w:rPr>
        <w:t xml:space="preserve"> עולה </w:t>
      </w:r>
      <w:r w:rsidRPr="0016536A">
        <w:rPr>
          <w:rFonts w:eastAsia="Calibri" w:hint="cs"/>
          <w:b/>
          <w:bCs/>
          <w:rtl/>
        </w:rPr>
        <w:t>פער</w:t>
      </w:r>
      <w:r w:rsidRPr="0016536A">
        <w:rPr>
          <w:rFonts w:eastAsia="Calibri"/>
          <w:b/>
          <w:bCs/>
          <w:rtl/>
        </w:rPr>
        <w:t xml:space="preserve"> בין תפיסות הרופאים לבין תפיסות ה</w:t>
      </w:r>
      <w:r w:rsidRPr="0016536A">
        <w:rPr>
          <w:rFonts w:eastAsia="Calibri" w:hint="cs"/>
          <w:b/>
          <w:bCs/>
          <w:rtl/>
        </w:rPr>
        <w:t xml:space="preserve">זקנים המטופלים </w:t>
      </w:r>
      <w:r w:rsidRPr="0016536A">
        <w:rPr>
          <w:rFonts w:eastAsia="Calibri"/>
          <w:b/>
          <w:bCs/>
          <w:rtl/>
        </w:rPr>
        <w:t>בנוגע ליוזמה בביצוע בדיקות</w:t>
      </w:r>
      <w:r w:rsidRPr="0016536A">
        <w:rPr>
          <w:rFonts w:eastAsia="Calibri" w:hint="cs"/>
          <w:b/>
          <w:bCs/>
          <w:rtl/>
        </w:rPr>
        <w:t xml:space="preserve"> מניעה</w:t>
      </w:r>
      <w:r w:rsidRPr="0016536A">
        <w:rPr>
          <w:rFonts w:eastAsia="Calibri"/>
          <w:b/>
          <w:bCs/>
          <w:rtl/>
        </w:rPr>
        <w:t xml:space="preserve">: </w:t>
      </w:r>
      <w:r w:rsidRPr="0016536A">
        <w:rPr>
          <w:rFonts w:eastAsia="Calibri" w:hint="eastAsia"/>
          <w:b/>
          <w:bCs/>
          <w:rtl/>
        </w:rPr>
        <w:t>בעוד</w:t>
      </w:r>
      <w:r w:rsidRPr="0016536A">
        <w:rPr>
          <w:rFonts w:eastAsia="Calibri" w:hint="cs"/>
          <w:b/>
          <w:bCs/>
          <w:rtl/>
        </w:rPr>
        <w:t xml:space="preserve"> ש-</w:t>
      </w:r>
      <w:r w:rsidRPr="0016536A">
        <w:rPr>
          <w:rFonts w:eastAsia="Calibri"/>
          <w:b/>
          <w:bCs/>
          <w:rtl/>
        </w:rPr>
        <w:t xml:space="preserve">70% מהרופאים סבורים שהם היוזמים, רק 19% מהמטופלים חושבים כך; </w:t>
      </w:r>
      <w:r w:rsidRPr="0016536A">
        <w:rPr>
          <w:rFonts w:eastAsia="Calibri" w:hint="eastAsia"/>
          <w:b/>
          <w:bCs/>
          <w:rtl/>
        </w:rPr>
        <w:t>כמו</w:t>
      </w:r>
      <w:r w:rsidRPr="0016536A">
        <w:rPr>
          <w:rFonts w:eastAsia="Calibri"/>
          <w:b/>
          <w:bCs/>
          <w:rtl/>
        </w:rPr>
        <w:t xml:space="preserve"> </w:t>
      </w:r>
      <w:r w:rsidRPr="0016536A">
        <w:rPr>
          <w:rFonts w:eastAsia="Calibri" w:hint="eastAsia"/>
          <w:b/>
          <w:bCs/>
          <w:rtl/>
        </w:rPr>
        <w:t>כן</w:t>
      </w:r>
      <w:r w:rsidRPr="0016536A">
        <w:rPr>
          <w:rFonts w:eastAsia="Calibri"/>
          <w:b/>
          <w:bCs/>
          <w:rtl/>
        </w:rPr>
        <w:t xml:space="preserve">, </w:t>
      </w:r>
      <w:r w:rsidRPr="0016536A">
        <w:rPr>
          <w:rFonts w:eastAsia="Calibri" w:hint="eastAsia"/>
          <w:b/>
          <w:bCs/>
          <w:rtl/>
        </w:rPr>
        <w:t>בעוד</w:t>
      </w:r>
      <w:r w:rsidRPr="0016536A">
        <w:rPr>
          <w:rFonts w:eastAsia="Calibri" w:hint="cs"/>
          <w:b/>
          <w:bCs/>
          <w:rtl/>
        </w:rPr>
        <w:t xml:space="preserve"> ש-</w:t>
      </w:r>
      <w:r w:rsidRPr="0016536A">
        <w:rPr>
          <w:rFonts w:eastAsia="Calibri"/>
          <w:b/>
          <w:bCs/>
          <w:rtl/>
        </w:rPr>
        <w:t xml:space="preserve">53% מהמטופלים רואים עצמם כיוזמים, 1% בלבד מהרופאים </w:t>
      </w:r>
      <w:r w:rsidRPr="0016536A">
        <w:rPr>
          <w:rFonts w:eastAsia="Calibri" w:hint="eastAsia"/>
          <w:b/>
          <w:bCs/>
          <w:rtl/>
        </w:rPr>
        <w:t>רואים</w:t>
      </w:r>
      <w:r w:rsidRPr="0016536A">
        <w:rPr>
          <w:rFonts w:eastAsia="Calibri"/>
          <w:b/>
          <w:bCs/>
          <w:rtl/>
        </w:rPr>
        <w:t xml:space="preserve"> בהם </w:t>
      </w:r>
      <w:r w:rsidRPr="0016536A">
        <w:rPr>
          <w:rFonts w:eastAsia="Calibri" w:hint="cs"/>
          <w:b/>
          <w:bCs/>
          <w:rtl/>
        </w:rPr>
        <w:t>כך</w:t>
      </w:r>
      <w:r w:rsidRPr="0016536A">
        <w:rPr>
          <w:rFonts w:eastAsia="Calibri"/>
          <w:b/>
          <w:bCs/>
          <w:rtl/>
        </w:rPr>
        <w:t>. כ־28</w:t>
      </w:r>
      <w:r w:rsidRPr="0016536A">
        <w:rPr>
          <w:rFonts w:eastAsia="Calibri" w:hint="cs"/>
          <w:b/>
          <w:bCs/>
          <w:rtl/>
        </w:rPr>
        <w:t xml:space="preserve">% - </w:t>
      </w:r>
      <w:r w:rsidRPr="0016536A">
        <w:rPr>
          <w:rFonts w:eastAsia="Calibri"/>
          <w:b/>
          <w:bCs/>
          <w:rtl/>
        </w:rPr>
        <w:t xml:space="preserve">29% בשתי הקבוצות ציינו שהיוזמה היא משותפת. פערים אלה בתפיסות עלולים לפגוע באמון </w:t>
      </w:r>
      <w:r w:rsidRPr="0016536A">
        <w:rPr>
          <w:rFonts w:eastAsia="Calibri" w:hint="eastAsia"/>
          <w:b/>
          <w:bCs/>
          <w:rtl/>
        </w:rPr>
        <w:t>ו</w:t>
      </w:r>
      <w:r w:rsidRPr="0016536A">
        <w:rPr>
          <w:rFonts w:eastAsia="Calibri"/>
          <w:b/>
          <w:bCs/>
          <w:rtl/>
        </w:rPr>
        <w:t>בהיענות לטיפול</w:t>
      </w:r>
      <w:r>
        <w:rPr>
          <w:rFonts w:eastAsia="Calibri"/>
          <w:b/>
          <w:bCs/>
          <w:vertAlign w:val="superscript"/>
          <w:rtl/>
        </w:rPr>
        <w:footnoteReference w:id="160"/>
      </w:r>
      <w:r w:rsidRPr="0016536A">
        <w:rPr>
          <w:rFonts w:eastAsia="Calibri"/>
          <w:b/>
          <w:b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בקו</w:t>
      </w:r>
      <w:r w:rsidRPr="0016536A">
        <w:rPr>
          <w:rFonts w:eastAsia="Calibri"/>
          <w:b/>
          <w:bCs/>
          <w:rtl/>
        </w:rPr>
        <w:t xml:space="preserve"> אחד עם תפיסתם ציינו </w:t>
      </w:r>
      <w:r w:rsidRPr="0016536A">
        <w:rPr>
          <w:rFonts w:eastAsia="Calibri" w:hint="eastAsia"/>
          <w:b/>
          <w:bCs/>
          <w:rtl/>
        </w:rPr>
        <w:t>רוב</w:t>
      </w:r>
      <w:r w:rsidRPr="0016536A">
        <w:rPr>
          <w:rFonts w:eastAsia="Calibri"/>
          <w:b/>
          <w:bCs/>
          <w:rtl/>
        </w:rPr>
        <w:t xml:space="preserve"> הזקנים </w:t>
      </w:r>
      <w:r w:rsidRPr="0016536A">
        <w:rPr>
          <w:rFonts w:eastAsia="Calibri" w:hint="cs"/>
          <w:b/>
          <w:bCs/>
          <w:rtl/>
        </w:rPr>
        <w:t xml:space="preserve">(54% - 55%) </w:t>
      </w:r>
      <w:r w:rsidRPr="0016536A">
        <w:rPr>
          <w:rFonts w:eastAsia="Calibri"/>
          <w:b/>
          <w:bCs/>
          <w:rtl/>
        </w:rPr>
        <w:t>שהשתתפו ב</w:t>
      </w:r>
      <w:r w:rsidRPr="0016536A">
        <w:rPr>
          <w:rFonts w:eastAsia="Calibri" w:hint="eastAsia"/>
          <w:b/>
          <w:bCs/>
          <w:rtl/>
        </w:rPr>
        <w:t>סקר</w:t>
      </w:r>
      <w:r w:rsidRPr="0016536A">
        <w:rPr>
          <w:rFonts w:eastAsia="Calibri"/>
          <w:b/>
          <w:bCs/>
          <w:rtl/>
        </w:rPr>
        <w:t xml:space="preserve"> </w:t>
      </w:r>
      <w:r w:rsidRPr="0016536A">
        <w:rPr>
          <w:rFonts w:eastAsia="Calibri" w:hint="eastAsia"/>
          <w:b/>
          <w:bCs/>
          <w:rtl/>
        </w:rPr>
        <w:t>כי</w:t>
      </w:r>
      <w:r w:rsidRPr="0016536A">
        <w:rPr>
          <w:rFonts w:eastAsia="Calibri"/>
          <w:b/>
          <w:bCs/>
          <w:rtl/>
        </w:rPr>
        <w:t xml:space="preserve"> </w:t>
      </w:r>
      <w:r w:rsidRPr="0016536A">
        <w:rPr>
          <w:rFonts w:eastAsia="Calibri" w:hint="eastAsia"/>
          <w:b/>
          <w:bCs/>
          <w:rtl/>
        </w:rPr>
        <w:t>במהלך</w:t>
      </w:r>
      <w:r w:rsidRPr="0016536A">
        <w:rPr>
          <w:rFonts w:eastAsia="Calibri"/>
          <w:b/>
          <w:bCs/>
          <w:rtl/>
        </w:rPr>
        <w:t xml:space="preserve"> </w:t>
      </w:r>
      <w:r w:rsidRPr="0016536A">
        <w:rPr>
          <w:rFonts w:eastAsia="Calibri" w:hint="eastAsia"/>
          <w:b/>
          <w:bCs/>
          <w:rtl/>
        </w:rPr>
        <w:t>הביקורים</w:t>
      </w:r>
      <w:r w:rsidRPr="0016536A">
        <w:rPr>
          <w:rFonts w:eastAsia="Calibri"/>
          <w:b/>
          <w:bCs/>
          <w:rtl/>
        </w:rPr>
        <w:t xml:space="preserve"> </w:t>
      </w:r>
      <w:r w:rsidRPr="0016536A">
        <w:rPr>
          <w:rFonts w:eastAsia="Calibri" w:hint="eastAsia"/>
          <w:b/>
          <w:bCs/>
          <w:rtl/>
        </w:rPr>
        <w:t>שלהם</w:t>
      </w:r>
      <w:r w:rsidRPr="0016536A">
        <w:rPr>
          <w:rFonts w:eastAsia="Calibri"/>
          <w:b/>
          <w:bCs/>
          <w:rtl/>
        </w:rPr>
        <w:t xml:space="preserve"> </w:t>
      </w:r>
      <w:r w:rsidRPr="0016536A">
        <w:rPr>
          <w:rFonts w:eastAsia="Calibri" w:hint="eastAsia"/>
          <w:b/>
          <w:bCs/>
          <w:rtl/>
        </w:rPr>
        <w:t>אצל</w:t>
      </w:r>
      <w:r w:rsidRPr="0016536A">
        <w:rPr>
          <w:rFonts w:eastAsia="Calibri"/>
          <w:b/>
          <w:bCs/>
          <w:rtl/>
        </w:rPr>
        <w:t xml:space="preserve"> </w:t>
      </w:r>
      <w:r w:rsidRPr="0016536A">
        <w:rPr>
          <w:rFonts w:eastAsia="Calibri" w:hint="eastAsia"/>
          <w:b/>
          <w:bCs/>
          <w:rtl/>
        </w:rPr>
        <w:t>רופא</w:t>
      </w:r>
      <w:r w:rsidRPr="0016536A">
        <w:rPr>
          <w:rFonts w:eastAsia="Calibri"/>
          <w:b/>
          <w:bCs/>
          <w:rtl/>
        </w:rPr>
        <w:t xml:space="preserve"> </w:t>
      </w:r>
      <w:r w:rsidRPr="0016536A">
        <w:rPr>
          <w:rFonts w:eastAsia="Calibri" w:hint="eastAsia"/>
          <w:b/>
          <w:bCs/>
          <w:rtl/>
        </w:rPr>
        <w:t>המשפחה</w:t>
      </w:r>
      <w:r w:rsidRPr="0016536A">
        <w:rPr>
          <w:rFonts w:eastAsia="Calibri"/>
          <w:b/>
          <w:bCs/>
          <w:rtl/>
        </w:rPr>
        <w:t xml:space="preserve">, </w:t>
      </w:r>
      <w:r w:rsidRPr="0016536A">
        <w:rPr>
          <w:rFonts w:eastAsia="Calibri" w:hint="eastAsia"/>
          <w:b/>
          <w:bCs/>
          <w:rtl/>
        </w:rPr>
        <w:t>הוא</w:t>
      </w:r>
      <w:r w:rsidRPr="0016536A">
        <w:rPr>
          <w:rFonts w:eastAsia="Calibri"/>
          <w:b/>
          <w:bCs/>
          <w:rtl/>
        </w:rPr>
        <w:t xml:space="preserve"> </w:t>
      </w:r>
      <w:r w:rsidRPr="0016536A">
        <w:rPr>
          <w:rFonts w:eastAsia="Calibri" w:hint="eastAsia"/>
          <w:b/>
          <w:bCs/>
          <w:rtl/>
        </w:rPr>
        <w:t>שואל</w:t>
      </w:r>
      <w:r w:rsidRPr="0016536A">
        <w:rPr>
          <w:rFonts w:eastAsia="Calibri"/>
          <w:b/>
          <w:bCs/>
          <w:rtl/>
        </w:rPr>
        <w:t xml:space="preserve"> </w:t>
      </w:r>
      <w:r w:rsidRPr="0016536A">
        <w:rPr>
          <w:rFonts w:eastAsia="Calibri" w:hint="eastAsia"/>
          <w:b/>
          <w:bCs/>
          <w:rtl/>
        </w:rPr>
        <w:t>אותם</w:t>
      </w:r>
      <w:r w:rsidRPr="0016536A">
        <w:rPr>
          <w:rFonts w:eastAsia="Calibri"/>
          <w:b/>
          <w:bCs/>
          <w:rtl/>
        </w:rPr>
        <w:t xml:space="preserve"> </w:t>
      </w:r>
      <w:r w:rsidRPr="0016536A">
        <w:rPr>
          <w:rFonts w:eastAsia="Calibri" w:hint="eastAsia"/>
          <w:b/>
          <w:bCs/>
          <w:rtl/>
        </w:rPr>
        <w:t>במידה</w:t>
      </w:r>
      <w:r w:rsidRPr="0016536A">
        <w:rPr>
          <w:rFonts w:eastAsia="Calibri"/>
          <w:b/>
          <w:bCs/>
          <w:rtl/>
        </w:rPr>
        <w:t xml:space="preserve"> </w:t>
      </w:r>
      <w:r w:rsidRPr="0016536A">
        <w:rPr>
          <w:rFonts w:eastAsia="Calibri" w:hint="eastAsia"/>
          <w:b/>
          <w:bCs/>
          <w:rtl/>
        </w:rPr>
        <w:t>מועטה</w:t>
      </w:r>
      <w:r w:rsidRPr="0016536A">
        <w:rPr>
          <w:rFonts w:eastAsia="Calibri"/>
          <w:b/>
          <w:bCs/>
          <w:rtl/>
        </w:rPr>
        <w:t xml:space="preserve"> </w:t>
      </w:r>
      <w:r w:rsidRPr="0016536A">
        <w:rPr>
          <w:rFonts w:eastAsia="Calibri" w:hint="eastAsia"/>
          <w:b/>
          <w:bCs/>
          <w:rtl/>
        </w:rPr>
        <w:t>על</w:t>
      </w:r>
      <w:r w:rsidRPr="0016536A">
        <w:rPr>
          <w:rFonts w:eastAsia="Calibri"/>
          <w:b/>
          <w:bCs/>
          <w:rtl/>
        </w:rPr>
        <w:t xml:space="preserve"> </w:t>
      </w:r>
      <w:r w:rsidRPr="0016536A">
        <w:rPr>
          <w:rFonts w:eastAsia="Calibri" w:hint="cs"/>
          <w:b/>
          <w:bCs/>
          <w:rtl/>
        </w:rPr>
        <w:t>פעולות של קידום בריאות (</w:t>
      </w:r>
      <w:r w:rsidRPr="0016536A">
        <w:rPr>
          <w:rFonts w:eastAsia="Calibri" w:hint="eastAsia"/>
          <w:b/>
          <w:bCs/>
          <w:rtl/>
        </w:rPr>
        <w:t>פעילות</w:t>
      </w:r>
      <w:r w:rsidRPr="0016536A">
        <w:rPr>
          <w:rFonts w:eastAsia="Calibri"/>
          <w:b/>
          <w:bCs/>
          <w:rtl/>
        </w:rPr>
        <w:t xml:space="preserve"> </w:t>
      </w:r>
      <w:r w:rsidRPr="0016536A">
        <w:rPr>
          <w:rFonts w:eastAsia="Calibri" w:hint="eastAsia"/>
          <w:b/>
          <w:bCs/>
          <w:rtl/>
        </w:rPr>
        <w:t>ספורטיבית</w:t>
      </w:r>
      <w:r w:rsidRPr="0016536A">
        <w:rPr>
          <w:rFonts w:eastAsia="Calibri" w:hint="cs"/>
          <w:b/>
          <w:bCs/>
          <w:rtl/>
        </w:rPr>
        <w:t xml:space="preserve"> ותזונה</w:t>
      </w:r>
      <w:r w:rsidRPr="0016536A">
        <w:rPr>
          <w:rFonts w:eastAsia="Calibri"/>
          <w:b/>
          <w:bCs/>
          <w:rtl/>
        </w:rPr>
        <w:t xml:space="preserve">) </w:t>
      </w:r>
      <w:r w:rsidRPr="0016536A">
        <w:rPr>
          <w:rFonts w:eastAsia="Calibri" w:hint="eastAsia"/>
          <w:b/>
          <w:bCs/>
          <w:rtl/>
        </w:rPr>
        <w:t>ומכוון</w:t>
      </w:r>
      <w:r w:rsidRPr="0016536A">
        <w:rPr>
          <w:rFonts w:eastAsia="Calibri"/>
          <w:b/>
          <w:bCs/>
          <w:rtl/>
        </w:rPr>
        <w:t xml:space="preserve"> אותם </w:t>
      </w:r>
      <w:r w:rsidRPr="0016536A">
        <w:rPr>
          <w:rFonts w:eastAsia="Calibri" w:hint="eastAsia"/>
          <w:b/>
          <w:bCs/>
          <w:rtl/>
        </w:rPr>
        <w:t>בהתאם</w:t>
      </w:r>
      <w:r w:rsidRPr="0016536A">
        <w:rPr>
          <w:rFonts w:eastAsia="Calibri"/>
          <w:b/>
          <w:b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כ</w:t>
      </w:r>
      <w:r w:rsidRPr="0016536A">
        <w:rPr>
          <w:rFonts w:eastAsia="Calibri"/>
          <w:b/>
          <w:bCs/>
          <w:rtl/>
        </w:rPr>
        <w:t xml:space="preserve">-42% ממשתפי </w:t>
      </w:r>
      <w:r w:rsidRPr="0016536A">
        <w:rPr>
          <w:rFonts w:eastAsia="Calibri" w:hint="cs"/>
          <w:b/>
          <w:bCs/>
          <w:rtl/>
        </w:rPr>
        <w:t>ה</w:t>
      </w:r>
      <w:r w:rsidRPr="0016536A">
        <w:rPr>
          <w:rFonts w:eastAsia="Calibri"/>
          <w:b/>
          <w:bCs/>
          <w:rtl/>
        </w:rPr>
        <w:t xml:space="preserve">סקר </w:t>
      </w:r>
      <w:r w:rsidRPr="0016536A">
        <w:rPr>
          <w:rFonts w:eastAsia="Calibri" w:hint="cs"/>
          <w:b/>
          <w:bCs/>
          <w:rtl/>
        </w:rPr>
        <w:t xml:space="preserve">לאוכלוסיית </w:t>
      </w:r>
      <w:r w:rsidRPr="0016536A">
        <w:rPr>
          <w:rFonts w:eastAsia="Calibri"/>
          <w:b/>
          <w:bCs/>
          <w:rtl/>
        </w:rPr>
        <w:t xml:space="preserve">הזקנים דיווחו כי שביעות הרצון שלהם מהשירותים שמספקת להם קופת החולים בינונית או </w:t>
      </w:r>
      <w:r w:rsidRPr="0016536A">
        <w:rPr>
          <w:rFonts w:eastAsia="Calibri" w:hint="eastAsia"/>
          <w:b/>
          <w:bCs/>
          <w:rtl/>
        </w:rPr>
        <w:t>מועטה</w:t>
      </w:r>
      <w:r w:rsidRPr="0016536A">
        <w:rPr>
          <w:rFonts w:eastAsia="Calibri"/>
          <w:b/>
          <w:bCs/>
          <w:rtl/>
        </w:rPr>
        <w:t xml:space="preserve">. </w:t>
      </w:r>
      <w:r w:rsidRPr="0016536A">
        <w:rPr>
          <w:rFonts w:eastAsia="Calibri" w:hint="eastAsia"/>
          <w:b/>
          <w:bCs/>
          <w:rtl/>
        </w:rPr>
        <w:t>שתי</w:t>
      </w:r>
      <w:r w:rsidRPr="0016536A">
        <w:rPr>
          <w:rFonts w:eastAsia="Calibri"/>
          <w:b/>
          <w:bCs/>
          <w:rtl/>
        </w:rPr>
        <w:t xml:space="preserve"> </w:t>
      </w:r>
      <w:r w:rsidRPr="0016536A">
        <w:rPr>
          <w:rFonts w:eastAsia="Calibri" w:hint="eastAsia"/>
          <w:b/>
          <w:bCs/>
          <w:rtl/>
        </w:rPr>
        <w:t>הסיבות</w:t>
      </w:r>
      <w:r w:rsidRPr="0016536A">
        <w:rPr>
          <w:rFonts w:eastAsia="Calibri"/>
          <w:b/>
          <w:bCs/>
          <w:rtl/>
        </w:rPr>
        <w:t xml:space="preserve"> </w:t>
      </w:r>
      <w:r w:rsidRPr="0016536A">
        <w:rPr>
          <w:rFonts w:eastAsia="Calibri" w:hint="eastAsia"/>
          <w:b/>
          <w:bCs/>
          <w:rtl/>
        </w:rPr>
        <w:t>העיקריות</w:t>
      </w:r>
      <w:r w:rsidRPr="0016536A">
        <w:rPr>
          <w:rFonts w:eastAsia="Calibri"/>
          <w:b/>
          <w:bCs/>
          <w:rtl/>
        </w:rPr>
        <w:t xml:space="preserve"> </w:t>
      </w:r>
      <w:r w:rsidRPr="0016536A">
        <w:rPr>
          <w:rFonts w:eastAsia="Calibri" w:hint="cs"/>
          <w:b/>
          <w:bCs/>
          <w:rtl/>
        </w:rPr>
        <w:t>שבגינן הם אינם</w:t>
      </w:r>
      <w:r w:rsidRPr="0016536A">
        <w:rPr>
          <w:rFonts w:eastAsia="Calibri"/>
          <w:b/>
          <w:bCs/>
          <w:rtl/>
        </w:rPr>
        <w:t xml:space="preserve"> </w:t>
      </w:r>
      <w:r w:rsidRPr="0016536A">
        <w:rPr>
          <w:rFonts w:eastAsia="Calibri" w:hint="eastAsia"/>
          <w:b/>
          <w:bCs/>
          <w:rtl/>
        </w:rPr>
        <w:t>שבעי</w:t>
      </w:r>
      <w:r w:rsidRPr="0016536A">
        <w:rPr>
          <w:rFonts w:eastAsia="Calibri"/>
          <w:b/>
          <w:bCs/>
          <w:rtl/>
        </w:rPr>
        <w:t xml:space="preserve"> </w:t>
      </w:r>
      <w:r w:rsidRPr="0016536A">
        <w:rPr>
          <w:rFonts w:eastAsia="Calibri" w:hint="eastAsia"/>
          <w:b/>
          <w:bCs/>
          <w:rtl/>
        </w:rPr>
        <w:t>רצון</w:t>
      </w:r>
      <w:r w:rsidRPr="0016536A">
        <w:rPr>
          <w:rFonts w:eastAsia="Calibri"/>
          <w:b/>
          <w:bCs/>
          <w:rtl/>
        </w:rPr>
        <w:t xml:space="preserve"> </w:t>
      </w:r>
      <w:r w:rsidRPr="0016536A">
        <w:rPr>
          <w:rFonts w:eastAsia="Calibri" w:hint="eastAsia"/>
          <w:b/>
          <w:bCs/>
          <w:rtl/>
        </w:rPr>
        <w:t>הן</w:t>
      </w:r>
      <w:r w:rsidRPr="0016536A">
        <w:rPr>
          <w:rFonts w:eastAsia="Calibri"/>
          <w:b/>
          <w:bCs/>
          <w:rtl/>
        </w:rPr>
        <w:t xml:space="preserve"> </w:t>
      </w:r>
      <w:r w:rsidRPr="0016536A">
        <w:rPr>
          <w:rFonts w:eastAsia="Calibri" w:hint="eastAsia"/>
          <w:b/>
          <w:bCs/>
          <w:rtl/>
        </w:rPr>
        <w:t>זמני</w:t>
      </w:r>
      <w:r w:rsidRPr="0016536A">
        <w:rPr>
          <w:rFonts w:eastAsia="Calibri"/>
          <w:b/>
          <w:bCs/>
          <w:rtl/>
        </w:rPr>
        <w:t xml:space="preserve"> </w:t>
      </w:r>
      <w:r w:rsidRPr="0016536A">
        <w:rPr>
          <w:rFonts w:eastAsia="Calibri" w:hint="eastAsia"/>
          <w:b/>
          <w:bCs/>
          <w:rtl/>
        </w:rPr>
        <w:t>המתנה</w:t>
      </w:r>
      <w:r w:rsidRPr="0016536A">
        <w:rPr>
          <w:rFonts w:eastAsia="Calibri"/>
          <w:b/>
          <w:bCs/>
          <w:rtl/>
        </w:rPr>
        <w:t xml:space="preserve"> </w:t>
      </w:r>
      <w:r w:rsidRPr="0016536A">
        <w:rPr>
          <w:rFonts w:eastAsia="Calibri" w:hint="eastAsia"/>
          <w:b/>
          <w:bCs/>
          <w:rtl/>
        </w:rPr>
        <w:t>ארוכים</w:t>
      </w:r>
      <w:r w:rsidRPr="0016536A">
        <w:rPr>
          <w:rFonts w:eastAsia="Calibri"/>
          <w:b/>
          <w:bCs/>
          <w:rtl/>
        </w:rPr>
        <w:t xml:space="preserve"> </w:t>
      </w:r>
      <w:r w:rsidRPr="0016536A">
        <w:rPr>
          <w:rFonts w:eastAsia="Calibri" w:hint="eastAsia"/>
          <w:b/>
          <w:bCs/>
          <w:rtl/>
        </w:rPr>
        <w:t>לתורים</w:t>
      </w:r>
      <w:r>
        <w:rPr>
          <w:rFonts w:eastAsia="Calibri"/>
          <w:b/>
          <w:bCs/>
          <w:vertAlign w:val="superscript"/>
          <w:rtl/>
        </w:rPr>
        <w:footnoteReference w:id="161"/>
      </w:r>
      <w:r w:rsidRPr="0016536A">
        <w:rPr>
          <w:rFonts w:eastAsia="Calibri"/>
          <w:b/>
          <w:bCs/>
          <w:rtl/>
        </w:rPr>
        <w:t xml:space="preserve"> </w:t>
      </w:r>
      <w:r w:rsidRPr="0016536A">
        <w:rPr>
          <w:rFonts w:eastAsia="Calibri" w:hint="eastAsia"/>
          <w:b/>
          <w:bCs/>
          <w:rtl/>
        </w:rPr>
        <w:t>וחוסר</w:t>
      </w:r>
      <w:r w:rsidRPr="0016536A">
        <w:rPr>
          <w:rFonts w:eastAsia="Calibri"/>
          <w:b/>
          <w:bCs/>
          <w:rtl/>
        </w:rPr>
        <w:t xml:space="preserve"> </w:t>
      </w:r>
      <w:r w:rsidRPr="0016536A">
        <w:rPr>
          <w:rFonts w:eastAsia="Calibri" w:hint="eastAsia"/>
          <w:b/>
          <w:bCs/>
          <w:rtl/>
        </w:rPr>
        <w:t>מעורבות</w:t>
      </w:r>
      <w:r w:rsidRPr="0016536A">
        <w:rPr>
          <w:rFonts w:eastAsia="Calibri"/>
          <w:b/>
          <w:bCs/>
          <w:rtl/>
        </w:rPr>
        <w:t xml:space="preserve"> </w:t>
      </w:r>
      <w:r w:rsidRPr="0016536A">
        <w:rPr>
          <w:rFonts w:eastAsia="Calibri" w:hint="eastAsia"/>
          <w:b/>
          <w:bCs/>
          <w:rtl/>
        </w:rPr>
        <w:t>ויוזמה</w:t>
      </w:r>
      <w:r w:rsidRPr="0016536A">
        <w:rPr>
          <w:rFonts w:eastAsia="Calibri"/>
          <w:b/>
          <w:bCs/>
          <w:rtl/>
        </w:rPr>
        <w:t xml:space="preserve"> </w:t>
      </w:r>
      <w:r w:rsidRPr="0016536A">
        <w:rPr>
          <w:rFonts w:eastAsia="Calibri" w:hint="eastAsia"/>
          <w:b/>
          <w:bCs/>
          <w:rtl/>
        </w:rPr>
        <w:t>מצד</w:t>
      </w:r>
      <w:r w:rsidRPr="0016536A">
        <w:rPr>
          <w:rFonts w:eastAsia="Calibri"/>
          <w:b/>
          <w:bCs/>
          <w:rtl/>
        </w:rPr>
        <w:t xml:space="preserve"> </w:t>
      </w:r>
      <w:r w:rsidRPr="0016536A">
        <w:rPr>
          <w:rFonts w:eastAsia="Calibri" w:hint="eastAsia"/>
          <w:b/>
          <w:bCs/>
          <w:rtl/>
        </w:rPr>
        <w:t>הרופאים</w:t>
      </w:r>
      <w:r w:rsidRPr="0016536A">
        <w:rPr>
          <w:rFonts w:eastAsia="Calibri" w:hint="cs"/>
          <w:b/>
          <w:bCs/>
          <w:rtl/>
        </w:rPr>
        <w:t>. כך לדוגמה ציינו הזקנים בסקר:</w:t>
      </w:r>
    </w:p>
    <w:p w:rsidR="0016536A" w:rsidRPr="0016536A" w:rsidP="004614AF">
      <w:pPr>
        <w:spacing w:line="269" w:lineRule="auto"/>
        <w:jc w:val="center"/>
        <w:rPr>
          <w:rFonts w:eastAsia="Calibri"/>
          <w:b/>
          <w:bCs/>
        </w:rPr>
      </w:pPr>
      <w:r w:rsidRPr="0016536A">
        <w:rPr>
          <w:rFonts w:eastAsia="Calibri"/>
          <w:noProof/>
        </w:rPr>
        <w:drawing>
          <wp:inline distT="0" distB="0" distL="0" distR="0">
            <wp:extent cx="3968750" cy="956433"/>
            <wp:effectExtent l="0" t="0" r="0" b="0"/>
            <wp:docPr id="456" name="תמונה 456" descr="&quot;הטיפול לא מגיע מיוזמתם של הרופאים; רק כשיש צורך הם מטפלים אחרי שהולכים אליהם&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
                    <pic:cNvPicPr/>
                  </pic:nvPicPr>
                  <pic:blipFill>
                    <a:blip xmlns:r="http://schemas.openxmlformats.org/officeDocument/2006/relationships" r:embed="rId38"/>
                    <a:stretch>
                      <a:fillRect/>
                    </a:stretch>
                  </pic:blipFill>
                  <pic:spPr>
                    <a:xfrm>
                      <a:off x="0" y="0"/>
                      <a:ext cx="3986230" cy="960646"/>
                    </a:xfrm>
                    <a:prstGeom prst="rect">
                      <a:avLst/>
                    </a:prstGeom>
                  </pic:spPr>
                </pic:pic>
              </a:graphicData>
            </a:graphic>
          </wp:inline>
        </w:drawing>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מן האמור עולה כי קיימת סדרה של חסמים לביצוע פעולות מניעה בקרב זקנים: הפניה לא מספקת של המטופלים הזקנים לביצוע בדיקות וטיפולים, היעדר ידע אצל המטופלים, זמינות ונגישות לא מספקות של הבדיקות והטיפולים, חוסר זמן של הרופאים והיעדר תגמול מספק על ביצוע פגישות ממושכות עם מטופלים זקנים, מחסור בכוח אדם מקצועי בתחומי הייעוץ והטיפול הרלוונטיים והיעדר יוזמה מצד הרופא.</w:t>
      </w:r>
    </w:p>
    <w:p w:rsidR="0016536A" w:rsidRPr="0016536A" w:rsidP="004614AF">
      <w:pPr>
        <w:spacing w:line="269" w:lineRule="auto"/>
        <w:rPr>
          <w:rFonts w:eastAsia="Calibri"/>
          <w:rtl/>
        </w:rPr>
      </w:pPr>
    </w:p>
    <w:p w:rsidR="0016536A" w:rsidRPr="0016536A" w:rsidP="004614AF">
      <w:pPr>
        <w:spacing w:line="269" w:lineRule="auto"/>
        <w:rPr>
          <w:rFonts w:eastAsia="Calibri"/>
          <w:b/>
          <w:rtl/>
        </w:rPr>
      </w:pPr>
      <w:r w:rsidRPr="0016536A">
        <w:rPr>
          <w:rFonts w:eastAsia="Calibri"/>
          <w:b/>
          <w:bCs/>
          <w:rtl/>
        </w:rPr>
        <w:t>כדי לחזק את יכולת</w:t>
      </w:r>
      <w:r w:rsidRPr="0016536A">
        <w:rPr>
          <w:rFonts w:eastAsia="Calibri" w:hint="cs"/>
          <w:b/>
          <w:bCs/>
          <w:rtl/>
        </w:rPr>
        <w:t>ם של</w:t>
      </w:r>
      <w:r w:rsidRPr="0016536A">
        <w:rPr>
          <w:rFonts w:eastAsia="Calibri"/>
          <w:b/>
          <w:bCs/>
          <w:rtl/>
        </w:rPr>
        <w:t xml:space="preserve"> רופאי המשפחה לקדם טיפול מונע ובדיקות יזומות, מומלץ </w:t>
      </w:r>
      <w:r w:rsidRPr="0016536A">
        <w:rPr>
          <w:rFonts w:eastAsia="Calibri" w:hint="eastAsia"/>
          <w:b/>
          <w:bCs/>
          <w:rtl/>
        </w:rPr>
        <w:t>כי</w:t>
      </w:r>
      <w:r w:rsidRPr="0016536A">
        <w:rPr>
          <w:rFonts w:eastAsia="Calibri"/>
          <w:b/>
          <w:bCs/>
          <w:rtl/>
        </w:rPr>
        <w:t xml:space="preserve"> משרד הבריאות וקופות החולים </w:t>
      </w:r>
      <w:r w:rsidRPr="0016536A">
        <w:rPr>
          <w:rFonts w:eastAsia="Calibri" w:hint="eastAsia"/>
          <w:b/>
          <w:bCs/>
          <w:rtl/>
        </w:rPr>
        <w:t>יאמצו</w:t>
      </w:r>
      <w:r w:rsidRPr="0016536A">
        <w:rPr>
          <w:rFonts w:eastAsia="Calibri"/>
          <w:b/>
          <w:bCs/>
          <w:rtl/>
        </w:rPr>
        <w:t xml:space="preserve"> גישה </w:t>
      </w:r>
      <w:r w:rsidRPr="0016536A">
        <w:rPr>
          <w:rFonts w:eastAsia="Calibri" w:hint="cs"/>
          <w:b/>
          <w:bCs/>
          <w:rtl/>
        </w:rPr>
        <w:t>ה</w:t>
      </w:r>
      <w:r w:rsidRPr="0016536A">
        <w:rPr>
          <w:rFonts w:eastAsia="Calibri"/>
          <w:b/>
          <w:bCs/>
          <w:rtl/>
        </w:rPr>
        <w:t>משלבת</w:t>
      </w:r>
      <w:r w:rsidRPr="0016536A">
        <w:rPr>
          <w:rFonts w:eastAsia="Calibri" w:hint="cs"/>
          <w:b/>
          <w:bCs/>
          <w:rtl/>
        </w:rPr>
        <w:t xml:space="preserve"> </w:t>
      </w:r>
      <w:r w:rsidRPr="0016536A">
        <w:rPr>
          <w:rFonts w:eastAsia="Calibri"/>
          <w:b/>
          <w:bCs/>
          <w:rtl/>
        </w:rPr>
        <w:t xml:space="preserve">כלים טכנולוגיים </w:t>
      </w:r>
      <w:r w:rsidRPr="0016536A">
        <w:rPr>
          <w:rFonts w:eastAsia="Calibri" w:hint="cs"/>
          <w:b/>
          <w:bCs/>
          <w:rtl/>
        </w:rPr>
        <w:t xml:space="preserve">שיקדמו </w:t>
      </w:r>
      <w:r w:rsidRPr="0016536A">
        <w:rPr>
          <w:rFonts w:eastAsia="Calibri"/>
          <w:b/>
          <w:bCs/>
          <w:rtl/>
        </w:rPr>
        <w:t xml:space="preserve">זיהוי אוטומטי של </w:t>
      </w:r>
      <w:r w:rsidRPr="0016536A">
        <w:rPr>
          <w:rFonts w:eastAsia="Calibri" w:hint="cs"/>
          <w:b/>
          <w:bCs/>
          <w:rtl/>
        </w:rPr>
        <w:t>חברי קופה</w:t>
      </w:r>
      <w:r w:rsidRPr="0016536A">
        <w:rPr>
          <w:rFonts w:eastAsia="Calibri"/>
          <w:b/>
          <w:bCs/>
          <w:rtl/>
        </w:rPr>
        <w:t xml:space="preserve"> הזקוקים למעקב או לבדיקות</w:t>
      </w:r>
      <w:r w:rsidRPr="0016536A">
        <w:rPr>
          <w:rFonts w:eastAsia="Calibri" w:hint="cs"/>
          <w:b/>
          <w:bCs/>
          <w:rtl/>
        </w:rPr>
        <w:t xml:space="preserve"> וכן ייצרו התרעות יזומות אצל הרופא המטפל וחבר הקופה גם יחד על בדיקות שרצוי לבצען;</w:t>
      </w:r>
      <w:r w:rsidRPr="0016536A">
        <w:rPr>
          <w:rFonts w:eastAsia="Calibri"/>
          <w:b/>
          <w:bCs/>
          <w:rtl/>
        </w:rPr>
        <w:t xml:space="preserve"> </w:t>
      </w:r>
      <w:r w:rsidRPr="0016536A">
        <w:rPr>
          <w:rFonts w:eastAsia="Calibri" w:hint="cs"/>
          <w:b/>
          <w:bCs/>
          <w:rtl/>
        </w:rPr>
        <w:t xml:space="preserve">הקמת </w:t>
      </w:r>
      <w:r w:rsidRPr="0016536A">
        <w:rPr>
          <w:rFonts w:eastAsia="Calibri"/>
          <w:b/>
          <w:bCs/>
          <w:rtl/>
        </w:rPr>
        <w:t>צוותי מניעה רב-תחומיים במרפאות (כגון</w:t>
      </w:r>
      <w:r w:rsidRPr="0016536A">
        <w:rPr>
          <w:rFonts w:eastAsia="Calibri" w:hint="cs"/>
          <w:b/>
          <w:bCs/>
          <w:rtl/>
        </w:rPr>
        <w:t>,</w:t>
      </w:r>
      <w:r w:rsidRPr="0016536A">
        <w:rPr>
          <w:rFonts w:eastAsia="Calibri"/>
          <w:b/>
          <w:bCs/>
          <w:rtl/>
        </w:rPr>
        <w:t xml:space="preserve"> אחיות קהילה ודיאטניות קליניות)</w:t>
      </w:r>
      <w:r w:rsidRPr="0016536A">
        <w:rPr>
          <w:rFonts w:eastAsia="Calibri" w:hint="cs"/>
          <w:b/>
          <w:bCs/>
          <w:rtl/>
        </w:rPr>
        <w:t>, שחלק מתפקידם יהיה ייזום בדיקות ותיאום שלהן;</w:t>
      </w:r>
      <w:r w:rsidRPr="0016536A">
        <w:rPr>
          <w:rFonts w:eastAsia="Calibri"/>
          <w:b/>
          <w:bCs/>
          <w:rtl/>
        </w:rPr>
        <w:t xml:space="preserve"> </w:t>
      </w:r>
      <w:r w:rsidRPr="0016536A">
        <w:rPr>
          <w:rFonts w:eastAsia="Calibri" w:hint="cs"/>
          <w:b/>
          <w:bCs/>
          <w:rtl/>
        </w:rPr>
        <w:t>ו</w:t>
      </w:r>
      <w:r w:rsidRPr="0016536A">
        <w:rPr>
          <w:rFonts w:eastAsia="Calibri"/>
          <w:b/>
          <w:bCs/>
          <w:rtl/>
        </w:rPr>
        <w:t>תמרוץ מבוסס תוצאות</w:t>
      </w:r>
      <w:r w:rsidRPr="0016536A">
        <w:rPr>
          <w:rFonts w:eastAsia="Calibri" w:hint="cs"/>
          <w:b/>
          <w:bCs/>
          <w:rtl/>
        </w:rPr>
        <w:t>,</w:t>
      </w:r>
      <w:r w:rsidRPr="0016536A">
        <w:rPr>
          <w:rFonts w:eastAsia="Calibri"/>
          <w:b/>
          <w:bCs/>
          <w:rtl/>
        </w:rPr>
        <w:t xml:space="preserve"> </w:t>
      </w:r>
      <w:r w:rsidRPr="0016536A">
        <w:rPr>
          <w:rFonts w:eastAsia="Calibri" w:hint="cs"/>
          <w:b/>
          <w:bCs/>
          <w:rtl/>
        </w:rPr>
        <w:t xml:space="preserve">למשל, תגמול לצוותים הרפואיים </w:t>
      </w:r>
      <w:r w:rsidRPr="0016536A">
        <w:rPr>
          <w:rFonts w:eastAsia="Calibri"/>
          <w:b/>
          <w:bCs/>
          <w:rtl/>
        </w:rPr>
        <w:t>על שיעור ההיענות לבדיקות</w:t>
      </w:r>
      <w:r w:rsidRPr="0016536A">
        <w:rPr>
          <w:rFonts w:eastAsia="Calibri" w:hint="cs"/>
          <w:b/>
          <w:bCs/>
          <w:rtl/>
        </w:rPr>
        <w:t xml:space="preserve"> ועל שיפור במדדים</w:t>
      </w:r>
      <w:r w:rsidRPr="0016536A">
        <w:rPr>
          <w:rFonts w:eastAsia="Calibri"/>
          <w:b/>
          <w:bCs/>
          <w:rtl/>
        </w:rPr>
        <w:t xml:space="preserve">. </w:t>
      </w:r>
      <w:r w:rsidRPr="0016536A">
        <w:rPr>
          <w:rFonts w:eastAsia="Calibri" w:hint="eastAsia"/>
          <w:b/>
          <w:bCs/>
          <w:rtl/>
        </w:rPr>
        <w:t>עוד</w:t>
      </w:r>
      <w:r w:rsidRPr="0016536A">
        <w:rPr>
          <w:rFonts w:eastAsia="Calibri"/>
          <w:b/>
          <w:bCs/>
          <w:rtl/>
        </w:rPr>
        <w:t xml:space="preserve"> </w:t>
      </w:r>
      <w:r w:rsidRPr="0016536A">
        <w:rPr>
          <w:rFonts w:eastAsia="Calibri" w:hint="eastAsia"/>
          <w:b/>
          <w:bCs/>
          <w:rtl/>
        </w:rPr>
        <w:t>מומלץ</w:t>
      </w:r>
      <w:r w:rsidRPr="0016536A">
        <w:rPr>
          <w:rFonts w:eastAsia="Calibri"/>
          <w:b/>
          <w:bCs/>
          <w:rtl/>
        </w:rPr>
        <w:t xml:space="preserve"> </w:t>
      </w:r>
      <w:r w:rsidRPr="0016536A">
        <w:rPr>
          <w:rFonts w:eastAsia="Calibri" w:hint="cs"/>
          <w:b/>
          <w:bCs/>
          <w:rtl/>
        </w:rPr>
        <w:t>כי קופות החולים יפתחו</w:t>
      </w:r>
      <w:r w:rsidRPr="0016536A">
        <w:rPr>
          <w:rFonts w:eastAsia="Calibri"/>
          <w:b/>
          <w:bCs/>
          <w:rtl/>
        </w:rPr>
        <w:t xml:space="preserve"> ת</w:t>
      </w:r>
      <w:r w:rsidRPr="0016536A">
        <w:rPr>
          <w:rFonts w:eastAsia="Calibri" w:hint="cs"/>
          <w:b/>
          <w:bCs/>
          <w:rtl/>
        </w:rPr>
        <w:t>ו</w:t>
      </w:r>
      <w:r w:rsidRPr="0016536A">
        <w:rPr>
          <w:rFonts w:eastAsia="Calibri"/>
          <w:b/>
          <w:bCs/>
          <w:rtl/>
        </w:rPr>
        <w:t>כניות מניעה אישיות</w:t>
      </w:r>
      <w:r w:rsidRPr="0016536A">
        <w:rPr>
          <w:rFonts w:eastAsia="Calibri" w:hint="cs"/>
          <w:b/>
          <w:bCs/>
          <w:rtl/>
        </w:rPr>
        <w:t>,</w:t>
      </w:r>
      <w:r w:rsidRPr="0016536A">
        <w:rPr>
          <w:rFonts w:eastAsia="Calibri"/>
          <w:b/>
          <w:bCs/>
          <w:rtl/>
        </w:rPr>
        <w:t xml:space="preserve"> שבה</w:t>
      </w:r>
      <w:r w:rsidRPr="0016536A">
        <w:rPr>
          <w:rFonts w:eastAsia="Calibri" w:hint="cs"/>
          <w:b/>
          <w:bCs/>
          <w:rtl/>
        </w:rPr>
        <w:t>ן</w:t>
      </w:r>
      <w:r w:rsidRPr="0016536A">
        <w:rPr>
          <w:rFonts w:eastAsia="Calibri"/>
          <w:b/>
          <w:bCs/>
          <w:rtl/>
        </w:rPr>
        <w:t xml:space="preserve"> הרופא ו</w:t>
      </w:r>
      <w:r w:rsidRPr="0016536A">
        <w:rPr>
          <w:rFonts w:eastAsia="Calibri" w:hint="cs"/>
          <w:b/>
          <w:bCs/>
          <w:rtl/>
        </w:rPr>
        <w:t xml:space="preserve">חבר הקופה יבחנו יחד </w:t>
      </w:r>
      <w:r w:rsidRPr="0016536A">
        <w:rPr>
          <w:rFonts w:eastAsia="Calibri"/>
          <w:b/>
          <w:bCs/>
          <w:rtl/>
        </w:rPr>
        <w:t>את רשימת הבדיקות העתידיות ו</w:t>
      </w:r>
      <w:r w:rsidRPr="0016536A">
        <w:rPr>
          <w:rFonts w:eastAsia="Calibri" w:hint="cs"/>
          <w:b/>
          <w:bCs/>
          <w:rtl/>
        </w:rPr>
        <w:t>יגבשו תוכנית רפואה מונעת וקידום בריאות</w:t>
      </w:r>
      <w:r w:rsidRPr="0016536A">
        <w:rPr>
          <w:rFonts w:eastAsia="Calibri"/>
          <w:b/>
          <w:bCs/>
          <w:rtl/>
        </w:rPr>
        <w:t>.</w:t>
      </w:r>
      <w:r w:rsidRPr="0016536A">
        <w:rPr>
          <w:rFonts w:eastAsia="Calibri" w:hint="cs"/>
          <w:b/>
          <w:bCs/>
          <w:rtl/>
        </w:rPr>
        <w:t xml:space="preserve"> </w:t>
      </w:r>
      <w:r w:rsidRPr="0016536A">
        <w:rPr>
          <w:rFonts w:eastAsia="Calibri"/>
          <w:b/>
          <w:bCs/>
          <w:rtl/>
        </w:rPr>
        <w:t xml:space="preserve">שילוב מהלכים אלה </w:t>
      </w:r>
      <w:r w:rsidRPr="0016536A">
        <w:rPr>
          <w:rFonts w:eastAsia="Calibri" w:hint="cs"/>
          <w:b/>
          <w:bCs/>
          <w:rtl/>
        </w:rPr>
        <w:t>יכול לסייע</w:t>
      </w:r>
      <w:r w:rsidRPr="0016536A">
        <w:rPr>
          <w:rFonts w:eastAsia="Calibri"/>
          <w:b/>
          <w:bCs/>
          <w:rtl/>
        </w:rPr>
        <w:t xml:space="preserve"> למערכת הבריאות לעבור ממודל תגובתי למודל פרואקטיבי </w:t>
      </w:r>
      <w:r w:rsidRPr="0016536A">
        <w:rPr>
          <w:rFonts w:eastAsia="Calibri" w:hint="eastAsia"/>
          <w:b/>
          <w:bCs/>
          <w:rtl/>
        </w:rPr>
        <w:t>המשתף</w:t>
      </w:r>
      <w:r w:rsidRPr="0016536A">
        <w:rPr>
          <w:rFonts w:eastAsia="Calibri"/>
          <w:b/>
          <w:bCs/>
          <w:rtl/>
        </w:rPr>
        <w:t xml:space="preserve"> </w:t>
      </w:r>
      <w:r w:rsidRPr="0016536A">
        <w:rPr>
          <w:rFonts w:eastAsia="Calibri" w:hint="eastAsia"/>
          <w:b/>
          <w:bCs/>
          <w:rtl/>
        </w:rPr>
        <w:t>את</w:t>
      </w:r>
      <w:r w:rsidRPr="0016536A">
        <w:rPr>
          <w:rFonts w:eastAsia="Calibri"/>
          <w:b/>
          <w:bCs/>
          <w:rtl/>
        </w:rPr>
        <w:t xml:space="preserve"> </w:t>
      </w:r>
      <w:r w:rsidRPr="0016536A">
        <w:rPr>
          <w:rFonts w:eastAsia="Calibri" w:hint="eastAsia"/>
          <w:b/>
          <w:bCs/>
          <w:rtl/>
        </w:rPr>
        <w:t>המטופל</w:t>
      </w:r>
      <w:r w:rsidRPr="0016536A">
        <w:rPr>
          <w:rFonts w:eastAsia="Calibri"/>
          <w:b/>
          <w:bCs/>
          <w:rtl/>
        </w:rPr>
        <w:t xml:space="preserve"> ו</w:t>
      </w:r>
      <w:r w:rsidRPr="0016536A">
        <w:rPr>
          <w:rFonts w:eastAsia="Calibri" w:hint="cs"/>
          <w:b/>
          <w:bCs/>
          <w:rtl/>
        </w:rPr>
        <w:t xml:space="preserve">כן </w:t>
      </w:r>
      <w:r w:rsidRPr="0016536A">
        <w:rPr>
          <w:rFonts w:eastAsia="Calibri"/>
          <w:b/>
          <w:bCs/>
          <w:rtl/>
        </w:rPr>
        <w:t>לחזק את תפקידה של הרפואה הראשונית כקו ההגנה הראשון במניעת תחלואה בקרב זקנים.</w:t>
      </w:r>
    </w:p>
    <w:p w:rsidR="0016536A" w:rsidRPr="0016536A" w:rsidP="004614AF">
      <w:pPr>
        <w:spacing w:line="269" w:lineRule="auto"/>
        <w:jc w:val="center"/>
        <w:rPr>
          <w:rFonts w:ascii="Arial" w:eastAsia="Calibri" w:hAnsi="Arial" w:cs="Arial"/>
          <w:b/>
          <w:bCs/>
          <w:sz w:val="36"/>
          <w:rtl/>
        </w:rPr>
      </w:pPr>
      <w:r w:rsidRPr="0016536A">
        <w:rPr>
          <w:rFonts w:ascii="Segoe UI Symbol" w:eastAsia="Calibri" w:hAnsi="Segoe UI Symbol" w:cs="Segoe UI Symbol" w:hint="cs"/>
          <w:b/>
          <w:bCs/>
          <w:sz w:val="36"/>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קידום </w:t>
      </w:r>
      <w:r w:rsidRPr="0016536A">
        <w:rPr>
          <w:rFonts w:eastAsia="Calibri"/>
          <w:b/>
          <w:bCs/>
          <w:rtl/>
        </w:rPr>
        <w:t xml:space="preserve">בריאות ורפואה מונעת </w:t>
      </w:r>
      <w:r w:rsidRPr="0016536A">
        <w:rPr>
          <w:rFonts w:eastAsia="Calibri" w:hint="cs"/>
          <w:b/>
          <w:bCs/>
          <w:rtl/>
        </w:rPr>
        <w:t>הן</w:t>
      </w:r>
      <w:r w:rsidRPr="0016536A">
        <w:rPr>
          <w:rFonts w:eastAsia="Calibri"/>
          <w:b/>
          <w:bCs/>
          <w:rtl/>
        </w:rPr>
        <w:t xml:space="preserve"> </w:t>
      </w:r>
      <w:r w:rsidRPr="0016536A">
        <w:rPr>
          <w:rFonts w:eastAsia="Calibri" w:hint="cs"/>
          <w:b/>
          <w:bCs/>
          <w:rtl/>
        </w:rPr>
        <w:t>מ</w:t>
      </w:r>
      <w:r w:rsidRPr="0016536A">
        <w:rPr>
          <w:rFonts w:eastAsia="Calibri"/>
          <w:b/>
          <w:bCs/>
          <w:rtl/>
        </w:rPr>
        <w:t>היעדים החשובים של מערכת הבריאות</w:t>
      </w:r>
      <w:r w:rsidRPr="0016536A">
        <w:rPr>
          <w:rFonts w:eastAsia="Calibri" w:hint="cs"/>
          <w:b/>
          <w:bCs/>
          <w:rtl/>
        </w:rPr>
        <w:t>,</w:t>
      </w:r>
      <w:r w:rsidRPr="0016536A">
        <w:rPr>
          <w:rFonts w:eastAsia="Calibri"/>
          <w:b/>
          <w:bCs/>
          <w:rtl/>
        </w:rPr>
        <w:t xml:space="preserve"> משום </w:t>
      </w:r>
      <w:r w:rsidRPr="0016536A">
        <w:rPr>
          <w:rFonts w:eastAsia="Calibri" w:hint="cs"/>
          <w:b/>
          <w:bCs/>
          <w:rtl/>
        </w:rPr>
        <w:t xml:space="preserve">שהן מאפשרות </w:t>
      </w:r>
      <w:r w:rsidRPr="0016536A">
        <w:rPr>
          <w:rFonts w:eastAsia="Calibri"/>
          <w:b/>
          <w:bCs/>
          <w:rtl/>
        </w:rPr>
        <w:t>להאריך את תוחלת החיים ולהגדיל את מספר השנים הבריאות, ובכך יש כדי לשפר את איכות החיים של הזקנים ולצמצם את העומס הצפוי על מערכת הבריאות בשל הזדקנות האוכלוסייה.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עם זאת, בביקורת עלה כי שיעור נמוך מתקציב משרד הבריאות שעמד על כ-1.5% (כ-930 מיליון ש"ח) בשנת 2025 מושקע ברפואה מונעת לכלל האוכלוסייה ובפרט לזקנים, ויותר ממחצית (52%) הרופאים שהשתתפו בסקר דיווחו כי רוב הזמן והמרץ שלהם מושקעים בטיפול בבעיות רפואיות קיימות ולא ברפואה מונעת בקרב זקנים.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עוד נמצא כי בפעולות המניעה המדווחות לתוכנית המדדים בקהילה יש ירידה בשיעור הביצוע בשנת 2024 בהשוואה לשנת 2019, בשיעורים של שש נקודות אחוז (חיסון נגד שפעת) עד עשירית נקודת אחוז (גילוי מוקדם של סרטן המעי הגס), אולם משרד הבריאות לא הגדיר לקופות החולים יעדים, לא קבע תוכנית פעולה שתכליתה שיפור במדדים וגם לא ביצע הכשרות לאנשי מקצוע בעקבות תוצאות המדדים. נמצא גם שקופות החולים מבצעות פעולות מניעה שאינן מדווחות למשרד הבריאות בקרב שיעור מצומצם של זקנים (כ-15% בממוצע), וזאת בעיקר אחרי שבריאותם כבר החלה להידרדר.</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בסקר רופאי משפחה ציינו המשתתפים כי החסמים העיקריים לעידוד מטופליהם לביצוע פעולות מניעה וקידום בריאות הם מבניים: חוסר זמן של הרופא להשקיע בעידוד מניעה, היעדר תגמול על הזמן הנדרש לכך ומחסור בכוח אדם מקצועי בתחומי הייעוץ והטיפול הרלוונטיים, כגון תזונאיות קליניות. הסיבה העיקרית שציינו הרופאים (27%) והזקנים (64%) בסקרים לאי-ביצוע פעולות מניעה היא היעדר מידע עליהן, דהיינו שהזקנים לא קיבלו הסבר מספק עליהן, לא ידעו על קיומן או לא ראו בהן צורך. סיבות נוספות שציינו הן היעדר זמינות </w:t>
      </w:r>
      <w:r w:rsidRPr="0016536A">
        <w:rPr>
          <w:rFonts w:eastAsia="Calibri"/>
          <w:b/>
          <w:bCs/>
          <w:rtl/>
        </w:rPr>
        <w:t>(המתנה ארוכה לתור או שעות פתיחה לא נוחות)</w:t>
      </w:r>
      <w:r w:rsidRPr="0016536A">
        <w:rPr>
          <w:rFonts w:eastAsia="Calibri" w:hint="cs"/>
          <w:b/>
          <w:bCs/>
          <w:rtl/>
        </w:rPr>
        <w:t xml:space="preserve"> והיעדר נגישות (הטיפול או הבדיקה אינם קרובים לבית במידה סבירה).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מומלץ כי משרד הבריאות יגבש יחד עם קופות החולים מדיניות של רפואה מונעת בקרב זקנים שתכליתה שימור של בריאותם והארכת שנות חיים בריאים. במסגרת המדיניות מומלץ שהמשרד ידגיש את החשיבות בביצוע פעולות מונעות בקרב זקנים שמצבם הבריאותי טוב כדי לשומרו ככזה, וכי יקבע יעדים לביצוע פעולות המניעה בקרב אוכלוסייה זו. </w:t>
      </w:r>
    </w:p>
    <w:p w:rsidR="0016536A" w:rsidRPr="0016536A" w:rsidP="004614AF">
      <w:pPr>
        <w:spacing w:line="269" w:lineRule="auto"/>
        <w:rPr>
          <w:rFonts w:eastAsia="Calibri"/>
          <w:rtl/>
        </w:rPr>
      </w:pPr>
    </w:p>
    <w:p w:rsidR="0016536A" w:rsidP="004614AF">
      <w:pPr>
        <w:spacing w:line="269" w:lineRule="auto"/>
        <w:rPr>
          <w:rFonts w:eastAsia="Calibri"/>
          <w:b/>
          <w:bCs/>
          <w:rtl/>
        </w:rPr>
      </w:pPr>
      <w:r w:rsidRPr="0016536A">
        <w:rPr>
          <w:rFonts w:eastAsia="Calibri"/>
          <w:b/>
          <w:bCs/>
          <w:rtl/>
        </w:rPr>
        <w:t xml:space="preserve">כדי לחזק את יכולת רופאי המשפחה לקדם טיפול מונע ובדיקות יזומות, מומלץ </w:t>
      </w:r>
      <w:r w:rsidRPr="0016536A">
        <w:rPr>
          <w:rFonts w:eastAsia="Calibri" w:hint="cs"/>
          <w:b/>
          <w:bCs/>
          <w:rtl/>
        </w:rPr>
        <w:t>כי משרד הבריאות וקופות החולים יאמצו</w:t>
      </w:r>
      <w:r w:rsidRPr="0016536A">
        <w:rPr>
          <w:rFonts w:eastAsia="Calibri"/>
          <w:b/>
          <w:bCs/>
          <w:rtl/>
        </w:rPr>
        <w:t xml:space="preserve"> גישה </w:t>
      </w:r>
      <w:r w:rsidRPr="0016536A">
        <w:rPr>
          <w:rFonts w:eastAsia="Calibri" w:hint="cs"/>
          <w:b/>
          <w:bCs/>
          <w:rtl/>
        </w:rPr>
        <w:t>ה</w:t>
      </w:r>
      <w:r w:rsidRPr="0016536A">
        <w:rPr>
          <w:rFonts w:eastAsia="Calibri"/>
          <w:b/>
          <w:bCs/>
          <w:rtl/>
        </w:rPr>
        <w:t>משלבת בין כלים טכנולוגיים חכמים לזיהוי אוטומטי של מטופלים הזקוקים למעקב או לבדיקות</w:t>
      </w:r>
      <w:r w:rsidRPr="0016536A">
        <w:rPr>
          <w:rFonts w:eastAsia="Calibri" w:hint="cs"/>
          <w:b/>
          <w:bCs/>
          <w:rtl/>
        </w:rPr>
        <w:t>;</w:t>
      </w:r>
      <w:r w:rsidRPr="0016536A">
        <w:rPr>
          <w:rFonts w:eastAsia="Calibri"/>
          <w:b/>
          <w:bCs/>
          <w:rtl/>
        </w:rPr>
        <w:t xml:space="preserve"> צוותי מניעה רב-תחומיים במרפאות (כגון אחיות קהילה ודיאטניות קליניות)</w:t>
      </w:r>
      <w:r w:rsidRPr="0016536A">
        <w:rPr>
          <w:rFonts w:eastAsia="Calibri" w:hint="cs"/>
          <w:b/>
          <w:bCs/>
          <w:rtl/>
        </w:rPr>
        <w:t>, שחלק מתפקידם יהיה ייזום ותיאום של בדיקות;</w:t>
      </w:r>
      <w:r w:rsidRPr="0016536A">
        <w:rPr>
          <w:rFonts w:eastAsia="Calibri"/>
          <w:b/>
          <w:bCs/>
          <w:rtl/>
        </w:rPr>
        <w:t xml:space="preserve"> </w:t>
      </w:r>
      <w:r w:rsidRPr="0016536A">
        <w:rPr>
          <w:rFonts w:eastAsia="Calibri" w:hint="cs"/>
          <w:b/>
          <w:bCs/>
          <w:rtl/>
        </w:rPr>
        <w:t xml:space="preserve">ותגמול לצוותים הרפואיים </w:t>
      </w:r>
      <w:r w:rsidRPr="0016536A">
        <w:rPr>
          <w:rFonts w:eastAsia="Calibri"/>
          <w:b/>
          <w:bCs/>
          <w:rtl/>
        </w:rPr>
        <w:t>על שיעור ההיענות לבדיקות</w:t>
      </w:r>
      <w:r w:rsidRPr="0016536A">
        <w:rPr>
          <w:rFonts w:eastAsia="Calibri" w:hint="cs"/>
          <w:b/>
          <w:bCs/>
          <w:rtl/>
        </w:rPr>
        <w:t xml:space="preserve"> ועל שיפור במדדים.</w:t>
      </w:r>
    </w:p>
    <w:p w:rsidR="00705E89" w:rsidRPr="0016536A" w:rsidP="004614AF">
      <w:pPr>
        <w:spacing w:line="269" w:lineRule="auto"/>
        <w:rPr>
          <w:rFonts w:eastAsia="Calibri"/>
          <w:b/>
          <w:bCs/>
          <w:rtl/>
        </w:rPr>
      </w:pPr>
    </w:p>
    <w:p w:rsidR="0016536A" w:rsidRPr="0016536A" w:rsidP="004614AF">
      <w:pPr>
        <w:spacing w:line="269" w:lineRule="auto"/>
        <w:rPr>
          <w:rFonts w:eastAsia="Calibri"/>
          <w:b/>
          <w:bCs/>
          <w:rtl/>
        </w:rPr>
      </w:pPr>
    </w:p>
    <w:p w:rsidR="0016536A" w:rsidRPr="0016536A" w:rsidP="004614AF">
      <w:pPr>
        <w:keepNext/>
        <w:keepLines/>
        <w:spacing w:line="269" w:lineRule="auto"/>
        <w:jc w:val="center"/>
        <w:outlineLvl w:val="1"/>
        <w:rPr>
          <w:rFonts w:eastAsia="Times New Roman"/>
          <w:bCs/>
          <w:szCs w:val="32"/>
          <w:rtl/>
        </w:rPr>
      </w:pPr>
      <w:r w:rsidRPr="0016536A">
        <w:rPr>
          <w:rFonts w:eastAsia="Times New Roman" w:hint="cs"/>
          <w:bCs/>
          <w:szCs w:val="32"/>
          <w:rtl/>
        </w:rPr>
        <w:t>יישום של החלטות הממשלה להיערכות מערכת הבריאות להזדקנות האוכלוסייה</w:t>
      </w:r>
    </w:p>
    <w:p w:rsidR="0016536A" w:rsidRPr="0016536A" w:rsidP="004614AF">
      <w:pPr>
        <w:spacing w:line="269" w:lineRule="auto"/>
        <w:rPr>
          <w:rFonts w:eastAsia="Calibri"/>
          <w:rtl/>
        </w:rPr>
      </w:pPr>
    </w:p>
    <w:p w:rsidR="0016536A" w:rsidRPr="0016536A" w:rsidP="004614AF">
      <w:pPr>
        <w:keepNext/>
        <w:keepLines/>
        <w:spacing w:line="269" w:lineRule="auto"/>
        <w:outlineLvl w:val="2"/>
        <w:rPr>
          <w:rFonts w:eastAsia="Times New Roman"/>
          <w:bCs/>
          <w:szCs w:val="28"/>
          <w:u w:val="single"/>
          <w:rtl/>
        </w:rPr>
      </w:pPr>
      <w:r w:rsidRPr="0016536A">
        <w:rPr>
          <w:rFonts w:eastAsia="Times New Roman" w:hint="cs"/>
          <w:bCs/>
          <w:szCs w:val="28"/>
          <w:u w:val="single"/>
          <w:rtl/>
        </w:rPr>
        <w:t>מדיניות משרד הבריאות להיערכות להזדקנות האוכלוסייה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מדריך התכנון הממשלתי מתייחס לצורך בתכנון שיטתי, באיסוף הידע וניתוחו ובמדידת התוצאות לשם גיבוש תמונת מצב והנחת תשתית מבוססת נתונים לגיבוש מדיניות. המדריך מנחה עוד כי על בסיס תמונת המצב יש לקבוע כיווני פעולה, מטרות, יעדים וסדרי עדיפויות ליישומם</w:t>
      </w:r>
      <w:r>
        <w:rPr>
          <w:rFonts w:eastAsia="Calibri"/>
          <w:vertAlign w:val="superscript"/>
          <w:rtl/>
        </w:rPr>
        <w:footnoteReference w:id="162"/>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יישום מדיניות, ובכלל זה המדיניות להיערכות מערכת הבריאות להזדקנות האוכלוסייה, מותנה בגיבוש תוכנית עבודה אופרטיבית שתגדיר את כל הפעולות הנדרשות לביצוע על ידי המשרד כדי לממש את המדיניות שנקבעה. על תוכנית העבודה לכלול יעדים מדידים שיקדמו את צמצום הפער בין המצוי לרצוי, משימות שביצוען יביא להשגת היעדים וגיוס המקורות התקציביים למימונן</w:t>
      </w:r>
      <w:r>
        <w:rPr>
          <w:rFonts w:eastAsia="Calibri"/>
          <w:vertAlign w:val="superscript"/>
          <w:rtl/>
        </w:rPr>
        <w:footnoteReference w:id="163"/>
      </w:r>
      <w:r w:rsidRPr="0016536A">
        <w:rPr>
          <w:rFonts w:eastAsia="Calibri" w:hint="cs"/>
          <w:rtl/>
        </w:rPr>
        <w:t>.</w:t>
      </w:r>
      <w:r w:rsidRPr="0016536A">
        <w:rPr>
          <w:rFonts w:eastAsia="Calibri"/>
        </w:rPr>
        <w:t xml:space="preserve"> </w:t>
      </w:r>
      <w:r w:rsidRPr="0016536A">
        <w:rPr>
          <w:rFonts w:eastAsia="Calibri" w:hint="cs"/>
          <w:rtl/>
        </w:rPr>
        <w:t>כמו כן על המשרד לפתח כלי מדידה מהימנים לבדיקת העמידה ביעדים</w:t>
      </w:r>
      <w:r>
        <w:rPr>
          <w:rFonts w:eastAsia="Calibri"/>
          <w:vertAlign w:val="superscript"/>
          <w:rtl/>
        </w:rPr>
        <w:footnoteReference w:id="164"/>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eastAsia"/>
          <w:b/>
          <w:bCs/>
          <w:rtl/>
        </w:rPr>
        <w:t>התוכנית</w:t>
      </w:r>
      <w:r w:rsidRPr="0016536A">
        <w:rPr>
          <w:rFonts w:eastAsia="Calibri"/>
          <w:b/>
          <w:bCs/>
          <w:rtl/>
        </w:rPr>
        <w:t xml:space="preserve"> להזדקנות מיטבית והתוכנית הלאומית להיערכות מערכת הבריאות להזדקנות האוכלוסייה של משרד </w:t>
      </w:r>
      <w:r w:rsidRPr="0016536A">
        <w:rPr>
          <w:rFonts w:eastAsia="Calibri" w:hint="eastAsia"/>
          <w:b/>
          <w:bCs/>
          <w:rtl/>
        </w:rPr>
        <w:t>הבריאות</w:t>
      </w:r>
      <w:r w:rsidRPr="0016536A">
        <w:rPr>
          <w:rFonts w:eastAsia="Calibri"/>
          <w:b/>
          <w:bCs/>
          <w:rtl/>
        </w:rPr>
        <w:t xml:space="preserve"> </w:t>
      </w:r>
      <w:r w:rsidRPr="0016536A">
        <w:rPr>
          <w:rFonts w:eastAsia="Calibri" w:hint="cs"/>
          <w:b/>
          <w:bCs/>
          <w:rtl/>
        </w:rPr>
        <w:t>משנת 2023 הן ביטוי</w:t>
      </w:r>
      <w:r w:rsidRPr="0016536A">
        <w:rPr>
          <w:rFonts w:eastAsia="Calibri"/>
          <w:b/>
          <w:bCs/>
          <w:rtl/>
        </w:rPr>
        <w:t xml:space="preserve"> </w:t>
      </w:r>
      <w:r w:rsidRPr="0016536A">
        <w:rPr>
          <w:rFonts w:eastAsia="Calibri" w:hint="cs"/>
          <w:b/>
          <w:bCs/>
          <w:rtl/>
        </w:rPr>
        <w:t>ל</w:t>
      </w:r>
      <w:r w:rsidRPr="0016536A">
        <w:rPr>
          <w:rFonts w:eastAsia="Calibri"/>
          <w:b/>
          <w:bCs/>
          <w:rtl/>
        </w:rPr>
        <w:t>מדיניות המשרדית הנוגעת להיערכות מערכת הבריאות להזדקנות האוכלוסייה</w:t>
      </w:r>
      <w:r>
        <w:rPr>
          <w:rFonts w:eastAsia="Calibri"/>
          <w:b/>
          <w:bCs/>
          <w:vertAlign w:val="superscript"/>
          <w:rtl/>
        </w:rPr>
        <w:footnoteReference w:id="165"/>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בביקורת</w:t>
      </w:r>
      <w:r w:rsidRPr="0016536A">
        <w:rPr>
          <w:rFonts w:eastAsia="Calibri"/>
          <w:b/>
          <w:bCs/>
          <w:rtl/>
        </w:rPr>
        <w:t xml:space="preserve"> עלה כי על אף הגדרת החזון, מושגי היסוד ותמונת המצב, המדיניות שגיבש משרד הבריאות והתוכניות למימושה לא הושלמו. בלוח שלהלן פירוט הרכיבים הקיימים והחסרים במדיניות משרד הבריאות להיערכות להזדקנות האוכלוסייה ולתוכניות ליישומה. </w:t>
      </w:r>
    </w:p>
    <w:p w:rsidR="0016536A" w:rsidRPr="0016536A" w:rsidP="004614AF">
      <w:pPr>
        <w:spacing w:line="269" w:lineRule="auto"/>
        <w:rPr>
          <w:rFonts w:eastAsia="Calibri"/>
          <w:rtl/>
        </w:rPr>
      </w:pPr>
    </w:p>
    <w:p w:rsidR="004614AF">
      <w:pPr>
        <w:bidi w:val="0"/>
        <w:spacing w:after="200" w:line="276" w:lineRule="auto"/>
        <w:rPr>
          <w:rFonts w:eastAsia="Calibri"/>
          <w:rtl/>
        </w:rPr>
      </w:pPr>
      <w:r>
        <w:rPr>
          <w:rFonts w:eastAsia="Calibri"/>
          <w:rtl/>
        </w:rPr>
        <w:br w:type="page"/>
      </w:r>
    </w:p>
    <w:p w:rsidR="0016536A" w:rsidRPr="0016536A" w:rsidP="0026570E">
      <w:pPr>
        <w:keepNext/>
        <w:keepLines/>
        <w:spacing w:after="120" w:line="269" w:lineRule="auto"/>
        <w:jc w:val="center"/>
        <w:rPr>
          <w:rFonts w:eastAsia="Calibri"/>
          <w:b/>
          <w:bCs/>
          <w:rtl/>
        </w:rPr>
      </w:pPr>
      <w:r w:rsidRPr="0016536A">
        <w:rPr>
          <w:rFonts w:eastAsia="Calibri" w:hint="cs"/>
          <w:rtl/>
        </w:rPr>
        <w:t>לוח</w:t>
      </w:r>
      <w:r w:rsidR="004614AF">
        <w:rPr>
          <w:rFonts w:eastAsia="Calibri" w:hint="cs"/>
          <w:rtl/>
        </w:rPr>
        <w:t xml:space="preserve"> 4</w:t>
      </w:r>
      <w:r w:rsidRPr="0016536A">
        <w:rPr>
          <w:rFonts w:eastAsia="Calibri" w:hint="cs"/>
          <w:rtl/>
        </w:rPr>
        <w:t>:</w:t>
      </w:r>
      <w:r w:rsidRPr="0016536A">
        <w:rPr>
          <w:rFonts w:eastAsia="Calibri" w:hint="cs"/>
          <w:b/>
          <w:bCs/>
          <w:rtl/>
        </w:rPr>
        <w:t xml:space="preserve"> הרכיבים הקיימים והחסרים במדיניות משרד הבריאות להיערכות להזדקנות האוכלוסייה ולתוכניות ליישומה</w:t>
      </w:r>
    </w:p>
    <w:tbl>
      <w:tblPr>
        <w:tblStyle w:val="TableGrid"/>
        <w:bidiVisual/>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20"/>
        <w:gridCol w:w="2249"/>
        <w:gridCol w:w="2126"/>
        <w:gridCol w:w="3115"/>
      </w:tblGrid>
      <w:tr w:rsidTr="0016536A">
        <w:tblPrEx>
          <w:tblW w:w="0" w:type="auto"/>
          <w:tblLook w:val="04A0"/>
        </w:tblPrEx>
        <w:tc>
          <w:tcPr>
            <w:tcW w:w="2970" w:type="dxa"/>
            <w:gridSpan w:val="2"/>
          </w:tcPr>
          <w:p w:rsidR="0016536A" w:rsidRPr="0016536A" w:rsidP="004614AF">
            <w:pPr>
              <w:spacing w:line="269" w:lineRule="auto"/>
              <w:jc w:val="center"/>
              <w:rPr>
                <w:rFonts w:eastAsia="Calibri"/>
                <w:b/>
                <w:bCs/>
                <w:sz w:val="22"/>
                <w:szCs w:val="22"/>
                <w:rtl/>
              </w:rPr>
            </w:pPr>
            <w:r w:rsidRPr="0016536A">
              <w:rPr>
                <w:rFonts w:eastAsia="Calibri" w:hint="cs"/>
                <w:b/>
                <w:bCs/>
                <w:sz w:val="22"/>
                <w:szCs w:val="22"/>
                <w:rtl/>
              </w:rPr>
              <w:t>ה</w:t>
            </w:r>
            <w:r w:rsidRPr="0016536A">
              <w:rPr>
                <w:rFonts w:eastAsia="Calibri" w:hint="eastAsia"/>
                <w:b/>
                <w:bCs/>
                <w:sz w:val="22"/>
                <w:szCs w:val="22"/>
                <w:rtl/>
              </w:rPr>
              <w:t>רכיב</w:t>
            </w:r>
            <w:r w:rsidRPr="0016536A">
              <w:rPr>
                <w:rFonts w:eastAsia="Calibri"/>
                <w:b/>
                <w:bCs/>
                <w:sz w:val="22"/>
                <w:szCs w:val="22"/>
                <w:rtl/>
              </w:rPr>
              <w:t xml:space="preserve"> </w:t>
            </w:r>
            <w:r w:rsidRPr="0016536A">
              <w:rPr>
                <w:rFonts w:eastAsia="Calibri" w:hint="eastAsia"/>
                <w:b/>
                <w:bCs/>
                <w:sz w:val="22"/>
                <w:szCs w:val="22"/>
                <w:rtl/>
              </w:rPr>
              <w:t>בקביעת</w:t>
            </w:r>
            <w:r w:rsidRPr="0016536A">
              <w:rPr>
                <w:rFonts w:eastAsia="Calibri"/>
                <w:b/>
                <w:bCs/>
                <w:sz w:val="22"/>
                <w:szCs w:val="22"/>
                <w:rtl/>
              </w:rPr>
              <w:t xml:space="preserve"> </w:t>
            </w:r>
            <w:r w:rsidRPr="0016536A">
              <w:rPr>
                <w:rFonts w:eastAsia="Calibri" w:hint="eastAsia"/>
                <w:b/>
                <w:bCs/>
                <w:sz w:val="22"/>
                <w:szCs w:val="22"/>
                <w:rtl/>
              </w:rPr>
              <w:t>המדיניות</w:t>
            </w:r>
          </w:p>
        </w:tc>
        <w:tc>
          <w:tcPr>
            <w:tcW w:w="2126" w:type="dxa"/>
          </w:tcPr>
          <w:p w:rsidR="0016536A" w:rsidRPr="0016536A" w:rsidP="004614AF">
            <w:pPr>
              <w:spacing w:line="269" w:lineRule="auto"/>
              <w:jc w:val="center"/>
              <w:rPr>
                <w:rFonts w:eastAsia="Calibri"/>
                <w:b/>
                <w:bCs/>
                <w:sz w:val="22"/>
                <w:szCs w:val="22"/>
                <w:rtl/>
              </w:rPr>
            </w:pPr>
            <w:r w:rsidRPr="0016536A">
              <w:rPr>
                <w:rFonts w:eastAsia="Calibri" w:hint="eastAsia"/>
                <w:b/>
                <w:bCs/>
                <w:sz w:val="22"/>
                <w:szCs w:val="22"/>
                <w:rtl/>
              </w:rPr>
              <w:t>האם</w:t>
            </w:r>
            <w:r w:rsidRPr="0016536A">
              <w:rPr>
                <w:rFonts w:eastAsia="Calibri"/>
                <w:b/>
                <w:bCs/>
                <w:sz w:val="22"/>
                <w:szCs w:val="22"/>
                <w:rtl/>
              </w:rPr>
              <w:t xml:space="preserve"> </w:t>
            </w:r>
            <w:r w:rsidRPr="0016536A">
              <w:rPr>
                <w:rFonts w:eastAsia="Calibri" w:hint="eastAsia"/>
                <w:b/>
                <w:bCs/>
                <w:sz w:val="22"/>
                <w:szCs w:val="22"/>
                <w:rtl/>
              </w:rPr>
              <w:t>קיים</w:t>
            </w:r>
            <w:r w:rsidRPr="0016536A">
              <w:rPr>
                <w:rFonts w:eastAsia="Calibri"/>
                <w:b/>
                <w:bCs/>
                <w:sz w:val="22"/>
                <w:szCs w:val="22"/>
                <w:rtl/>
              </w:rPr>
              <w:t xml:space="preserve"> </w:t>
            </w:r>
            <w:r w:rsidRPr="0016536A">
              <w:rPr>
                <w:rFonts w:eastAsia="Calibri" w:hint="eastAsia"/>
                <w:b/>
                <w:bCs/>
                <w:sz w:val="22"/>
                <w:szCs w:val="22"/>
                <w:rtl/>
              </w:rPr>
              <w:t>בתוכניות</w:t>
            </w:r>
            <w:r w:rsidRPr="0016536A">
              <w:rPr>
                <w:rFonts w:eastAsia="Calibri"/>
                <w:b/>
                <w:bCs/>
                <w:sz w:val="22"/>
                <w:szCs w:val="22"/>
                <w:rtl/>
              </w:rPr>
              <w:t xml:space="preserve"> </w:t>
            </w:r>
            <w:r w:rsidRPr="0016536A">
              <w:rPr>
                <w:rFonts w:eastAsia="Calibri" w:hint="eastAsia"/>
                <w:b/>
                <w:bCs/>
                <w:sz w:val="22"/>
                <w:szCs w:val="22"/>
                <w:rtl/>
              </w:rPr>
              <w:t>ובמסמכי</w:t>
            </w:r>
            <w:r w:rsidRPr="0016536A">
              <w:rPr>
                <w:rFonts w:eastAsia="Calibri"/>
                <w:b/>
                <w:bCs/>
                <w:sz w:val="22"/>
                <w:szCs w:val="22"/>
                <w:rtl/>
              </w:rPr>
              <w:t xml:space="preserve"> </w:t>
            </w:r>
            <w:r w:rsidRPr="0016536A">
              <w:rPr>
                <w:rFonts w:eastAsia="Calibri" w:hint="eastAsia"/>
                <w:b/>
                <w:bCs/>
                <w:sz w:val="22"/>
                <w:szCs w:val="22"/>
                <w:rtl/>
              </w:rPr>
              <w:t>המדיניות</w:t>
            </w:r>
          </w:p>
        </w:tc>
        <w:tc>
          <w:tcPr>
            <w:tcW w:w="3115" w:type="dxa"/>
          </w:tcPr>
          <w:p w:rsidR="0016536A" w:rsidRPr="0016536A" w:rsidP="004614AF">
            <w:pPr>
              <w:spacing w:line="269" w:lineRule="auto"/>
              <w:jc w:val="center"/>
              <w:rPr>
                <w:rFonts w:eastAsia="Calibri"/>
                <w:b/>
                <w:bCs/>
                <w:sz w:val="22"/>
                <w:szCs w:val="22"/>
                <w:rtl/>
              </w:rPr>
            </w:pPr>
            <w:r w:rsidRPr="0016536A">
              <w:rPr>
                <w:rFonts w:eastAsia="Calibri" w:hint="eastAsia"/>
                <w:b/>
                <w:bCs/>
                <w:sz w:val="22"/>
                <w:szCs w:val="22"/>
                <w:rtl/>
              </w:rPr>
              <w:t>הערות</w:t>
            </w:r>
          </w:p>
        </w:tc>
      </w:tr>
      <w:tr w:rsidTr="0016536A">
        <w:tblPrEx>
          <w:tblW w:w="0" w:type="auto"/>
          <w:tblLook w:val="04A0"/>
        </w:tblPrEx>
        <w:tc>
          <w:tcPr>
            <w:tcW w:w="2970" w:type="dxa"/>
            <w:gridSpan w:val="2"/>
          </w:tcPr>
          <w:p w:rsidR="0016536A" w:rsidRPr="0016536A" w:rsidP="004614AF">
            <w:pPr>
              <w:spacing w:line="269" w:lineRule="auto"/>
              <w:jc w:val="left"/>
              <w:rPr>
                <w:rFonts w:eastAsia="Calibri"/>
                <w:sz w:val="22"/>
                <w:szCs w:val="22"/>
                <w:rtl/>
              </w:rPr>
            </w:pPr>
            <w:r w:rsidRPr="0016536A">
              <w:rPr>
                <w:rFonts w:eastAsia="Calibri" w:hint="eastAsia"/>
                <w:sz w:val="22"/>
                <w:szCs w:val="22"/>
                <w:rtl/>
              </w:rPr>
              <w:t>התוויית</w:t>
            </w:r>
            <w:r w:rsidRPr="0016536A">
              <w:rPr>
                <w:rFonts w:eastAsia="Calibri"/>
                <w:sz w:val="22"/>
                <w:szCs w:val="22"/>
                <w:rtl/>
              </w:rPr>
              <w:t xml:space="preserve"> </w:t>
            </w:r>
            <w:r w:rsidRPr="0016536A">
              <w:rPr>
                <w:rFonts w:eastAsia="Calibri" w:hint="eastAsia"/>
                <w:sz w:val="22"/>
                <w:szCs w:val="22"/>
                <w:rtl/>
              </w:rPr>
              <w:t>חזון</w:t>
            </w:r>
          </w:p>
        </w:tc>
        <w:tc>
          <w:tcPr>
            <w:tcW w:w="2126" w:type="dxa"/>
          </w:tcPr>
          <w:p w:rsidR="0016536A" w:rsidRPr="0016536A" w:rsidP="004614AF">
            <w:pPr>
              <w:spacing w:line="269" w:lineRule="auto"/>
              <w:jc w:val="center"/>
              <w:rPr>
                <w:rFonts w:eastAsia="Calibri"/>
                <w:noProof/>
                <w:sz w:val="22"/>
                <w:szCs w:val="22"/>
              </w:rPr>
            </w:pPr>
            <w:r w:rsidRPr="0016536A">
              <w:rPr>
                <w:rFonts w:eastAsia="Calibri"/>
                <w:noProof/>
                <w:sz w:val="22"/>
                <w:szCs w:val="22"/>
              </w:rPr>
              <w:drawing>
                <wp:inline distT="0" distB="0" distL="0" distR="0">
                  <wp:extent cx="202247" cy="180000"/>
                  <wp:effectExtent l="0" t="0" r="7620" b="0"/>
                  <wp:docPr id="510" name="תמונה 510" descr="ק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
                          <pic:cNvPicPr/>
                        </pic:nvPicPr>
                        <pic:blipFill>
                          <a:blip xmlns:r="http://schemas.openxmlformats.org/officeDocument/2006/relationships" r:embed="rId39"/>
                          <a:stretch>
                            <a:fillRect/>
                          </a:stretch>
                        </pic:blipFill>
                        <pic:spPr>
                          <a:xfrm>
                            <a:off x="0" y="0"/>
                            <a:ext cx="202247" cy="180000"/>
                          </a:xfrm>
                          <a:prstGeom prst="rect">
                            <a:avLst/>
                          </a:prstGeom>
                        </pic:spPr>
                      </pic:pic>
                    </a:graphicData>
                  </a:graphic>
                </wp:inline>
              </w:drawing>
            </w:r>
          </w:p>
        </w:tc>
        <w:tc>
          <w:tcPr>
            <w:tcW w:w="3115" w:type="dxa"/>
          </w:tcPr>
          <w:p w:rsidR="0016536A" w:rsidRPr="0016536A" w:rsidP="004614AF">
            <w:pPr>
              <w:spacing w:line="269" w:lineRule="auto"/>
              <w:jc w:val="center"/>
              <w:rPr>
                <w:rFonts w:eastAsia="Calibri"/>
                <w:noProof/>
                <w:sz w:val="22"/>
                <w:szCs w:val="22"/>
              </w:rPr>
            </w:pPr>
          </w:p>
        </w:tc>
      </w:tr>
      <w:tr w:rsidTr="0016536A">
        <w:tblPrEx>
          <w:tblW w:w="0" w:type="auto"/>
          <w:tblLook w:val="04A0"/>
        </w:tblPrEx>
        <w:tc>
          <w:tcPr>
            <w:tcW w:w="2970" w:type="dxa"/>
            <w:gridSpan w:val="2"/>
          </w:tcPr>
          <w:p w:rsidR="0016536A" w:rsidRPr="0016536A" w:rsidP="004614AF">
            <w:pPr>
              <w:spacing w:line="269" w:lineRule="auto"/>
              <w:jc w:val="left"/>
              <w:rPr>
                <w:rFonts w:eastAsia="Calibri"/>
                <w:sz w:val="22"/>
                <w:szCs w:val="22"/>
                <w:rtl/>
              </w:rPr>
            </w:pPr>
            <w:r w:rsidRPr="0016536A">
              <w:rPr>
                <w:rFonts w:eastAsia="Calibri" w:hint="eastAsia"/>
                <w:sz w:val="22"/>
                <w:szCs w:val="22"/>
                <w:rtl/>
              </w:rPr>
              <w:t>הגדרת</w:t>
            </w:r>
            <w:r w:rsidRPr="0016536A">
              <w:rPr>
                <w:rFonts w:eastAsia="Calibri"/>
                <w:sz w:val="22"/>
                <w:szCs w:val="22"/>
                <w:rtl/>
              </w:rPr>
              <w:t xml:space="preserve"> </w:t>
            </w:r>
            <w:r w:rsidRPr="0016536A">
              <w:rPr>
                <w:rFonts w:eastAsia="Calibri" w:hint="eastAsia"/>
                <w:sz w:val="22"/>
                <w:szCs w:val="22"/>
                <w:rtl/>
              </w:rPr>
              <w:t>מושגי</w:t>
            </w:r>
            <w:r w:rsidRPr="0016536A">
              <w:rPr>
                <w:rFonts w:eastAsia="Calibri"/>
                <w:sz w:val="22"/>
                <w:szCs w:val="22"/>
                <w:rtl/>
              </w:rPr>
              <w:t xml:space="preserve"> </w:t>
            </w:r>
            <w:r w:rsidRPr="0016536A">
              <w:rPr>
                <w:rFonts w:eastAsia="Calibri" w:hint="eastAsia"/>
                <w:sz w:val="22"/>
                <w:szCs w:val="22"/>
                <w:rtl/>
              </w:rPr>
              <w:t>יסוד</w:t>
            </w:r>
          </w:p>
        </w:tc>
        <w:tc>
          <w:tcPr>
            <w:tcW w:w="2126" w:type="dxa"/>
          </w:tcPr>
          <w:p w:rsidR="0016536A" w:rsidRPr="0016536A" w:rsidP="004614AF">
            <w:pPr>
              <w:spacing w:line="269" w:lineRule="auto"/>
              <w:jc w:val="center"/>
              <w:rPr>
                <w:rFonts w:eastAsia="Calibri"/>
                <w:b/>
                <w:bCs/>
                <w:sz w:val="22"/>
                <w:szCs w:val="22"/>
                <w:rtl/>
              </w:rPr>
            </w:pPr>
            <w:r w:rsidRPr="0016536A">
              <w:rPr>
                <w:rFonts w:eastAsia="Calibri"/>
                <w:noProof/>
                <w:sz w:val="22"/>
                <w:szCs w:val="22"/>
              </w:rPr>
              <w:drawing>
                <wp:inline distT="0" distB="0" distL="0" distR="0">
                  <wp:extent cx="202247" cy="180000"/>
                  <wp:effectExtent l="0" t="0" r="7620" b="0"/>
                  <wp:docPr id="511" name="תמונה 511" descr="ק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
                          <pic:cNvPicPr/>
                        </pic:nvPicPr>
                        <pic:blipFill>
                          <a:blip xmlns:r="http://schemas.openxmlformats.org/officeDocument/2006/relationships" r:embed="rId39"/>
                          <a:stretch>
                            <a:fillRect/>
                          </a:stretch>
                        </pic:blipFill>
                        <pic:spPr>
                          <a:xfrm>
                            <a:off x="0" y="0"/>
                            <a:ext cx="202247" cy="180000"/>
                          </a:xfrm>
                          <a:prstGeom prst="rect">
                            <a:avLst/>
                          </a:prstGeom>
                        </pic:spPr>
                      </pic:pic>
                    </a:graphicData>
                  </a:graphic>
                </wp:inline>
              </w:drawing>
            </w:r>
          </w:p>
        </w:tc>
        <w:tc>
          <w:tcPr>
            <w:tcW w:w="3115" w:type="dxa"/>
          </w:tcPr>
          <w:p w:rsidR="0016536A" w:rsidRPr="0016536A" w:rsidP="004614AF">
            <w:pPr>
              <w:spacing w:line="269" w:lineRule="auto"/>
              <w:jc w:val="center"/>
              <w:rPr>
                <w:rFonts w:eastAsia="Calibri"/>
                <w:noProof/>
                <w:sz w:val="22"/>
                <w:szCs w:val="22"/>
              </w:rPr>
            </w:pPr>
          </w:p>
        </w:tc>
      </w:tr>
      <w:tr w:rsidTr="0016536A">
        <w:tblPrEx>
          <w:tblW w:w="0" w:type="auto"/>
          <w:tblLook w:val="04A0"/>
        </w:tblPrEx>
        <w:tc>
          <w:tcPr>
            <w:tcW w:w="2970" w:type="dxa"/>
            <w:gridSpan w:val="2"/>
          </w:tcPr>
          <w:p w:rsidR="0016536A" w:rsidRPr="0016536A" w:rsidP="004614AF">
            <w:pPr>
              <w:spacing w:line="269" w:lineRule="auto"/>
              <w:jc w:val="left"/>
              <w:rPr>
                <w:rFonts w:eastAsia="Calibri"/>
                <w:sz w:val="22"/>
                <w:szCs w:val="22"/>
                <w:rtl/>
              </w:rPr>
            </w:pPr>
            <w:r w:rsidRPr="0016536A">
              <w:rPr>
                <w:rFonts w:eastAsia="Calibri" w:hint="eastAsia"/>
                <w:sz w:val="22"/>
                <w:szCs w:val="22"/>
                <w:rtl/>
              </w:rPr>
              <w:t>תמונת</w:t>
            </w:r>
            <w:r w:rsidRPr="0016536A">
              <w:rPr>
                <w:rFonts w:eastAsia="Calibri"/>
                <w:sz w:val="22"/>
                <w:szCs w:val="22"/>
                <w:rtl/>
              </w:rPr>
              <w:t xml:space="preserve"> </w:t>
            </w:r>
            <w:r w:rsidRPr="0016536A">
              <w:rPr>
                <w:rFonts w:eastAsia="Calibri" w:hint="eastAsia"/>
                <w:sz w:val="22"/>
                <w:szCs w:val="22"/>
                <w:rtl/>
              </w:rPr>
              <w:t>מצב</w:t>
            </w:r>
            <w:r w:rsidRPr="0016536A">
              <w:rPr>
                <w:rFonts w:eastAsia="Calibri"/>
                <w:sz w:val="22"/>
                <w:szCs w:val="22"/>
                <w:rtl/>
              </w:rPr>
              <w:t xml:space="preserve"> </w:t>
            </w:r>
            <w:r w:rsidRPr="0016536A">
              <w:rPr>
                <w:rFonts w:eastAsia="Calibri" w:hint="eastAsia"/>
                <w:sz w:val="22"/>
                <w:szCs w:val="22"/>
                <w:rtl/>
              </w:rPr>
              <w:t>על</w:t>
            </w:r>
            <w:r w:rsidRPr="0016536A">
              <w:rPr>
                <w:rFonts w:eastAsia="Calibri"/>
                <w:sz w:val="22"/>
                <w:szCs w:val="22"/>
                <w:rtl/>
              </w:rPr>
              <w:t xml:space="preserve"> </w:t>
            </w:r>
            <w:r w:rsidRPr="0016536A">
              <w:rPr>
                <w:rFonts w:eastAsia="Calibri" w:hint="eastAsia"/>
                <w:sz w:val="22"/>
                <w:szCs w:val="22"/>
                <w:rtl/>
              </w:rPr>
              <w:t>בסיס</w:t>
            </w:r>
            <w:r w:rsidRPr="0016536A">
              <w:rPr>
                <w:rFonts w:eastAsia="Calibri"/>
                <w:sz w:val="22"/>
                <w:szCs w:val="22"/>
                <w:rtl/>
              </w:rPr>
              <w:t xml:space="preserve"> </w:t>
            </w:r>
            <w:r w:rsidRPr="0016536A">
              <w:rPr>
                <w:rFonts w:eastAsia="Calibri" w:hint="eastAsia"/>
                <w:sz w:val="22"/>
                <w:szCs w:val="22"/>
                <w:rtl/>
              </w:rPr>
              <w:t>נתונים</w:t>
            </w:r>
          </w:p>
        </w:tc>
        <w:tc>
          <w:tcPr>
            <w:tcW w:w="2126" w:type="dxa"/>
          </w:tcPr>
          <w:p w:rsidR="0016536A" w:rsidRPr="0016536A" w:rsidP="004614AF">
            <w:pPr>
              <w:spacing w:line="269" w:lineRule="auto"/>
              <w:jc w:val="center"/>
              <w:rPr>
                <w:rFonts w:eastAsia="Calibri"/>
                <w:b/>
                <w:bCs/>
                <w:sz w:val="22"/>
                <w:szCs w:val="22"/>
                <w:rtl/>
              </w:rPr>
            </w:pPr>
            <w:r w:rsidRPr="0016536A">
              <w:rPr>
                <w:rFonts w:eastAsia="Calibri"/>
                <w:noProof/>
                <w:sz w:val="22"/>
                <w:szCs w:val="22"/>
              </w:rPr>
              <w:drawing>
                <wp:inline distT="0" distB="0" distL="0" distR="0">
                  <wp:extent cx="232258" cy="180000"/>
                  <wp:effectExtent l="0" t="0" r="0" b="0"/>
                  <wp:docPr id="71" name="תמונה 71" descr="קיים באופן חל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40">
                            <a:extLst>
                              <a:ext xmlns:a="http://schemas.openxmlformats.org/drawingml/2006/main" uri="{BEBA8EAE-BF5A-486C-A8C5-ECC9F3942E4B}">
                                <a14:imgProps xmlns:a14="http://schemas.microsoft.com/office/drawing/2010/main">
                                  <a14:imgLayer>
                                    <a14:imgEffect>
                                      <a14:backgroundRemoval b="90000" l="10000" r="90000" t="10000"/>
                                    </a14:imgEffect>
                                  </a14:imgLayer>
                                </a14:imgProps>
                              </a:ext>
                            </a:extLst>
                          </a:blip>
                          <a:stretch>
                            <a:fillRect/>
                          </a:stretch>
                        </pic:blipFill>
                        <pic:spPr>
                          <a:xfrm>
                            <a:off x="0" y="0"/>
                            <a:ext cx="232258" cy="180000"/>
                          </a:xfrm>
                          <a:prstGeom prst="rect">
                            <a:avLst/>
                          </a:prstGeom>
                        </pic:spPr>
                      </pic:pic>
                    </a:graphicData>
                  </a:graphic>
                </wp:inline>
              </w:drawing>
            </w:r>
          </w:p>
        </w:tc>
        <w:tc>
          <w:tcPr>
            <w:tcW w:w="3115" w:type="dxa"/>
          </w:tcPr>
          <w:p w:rsidR="0016536A" w:rsidRPr="0016536A" w:rsidP="004614AF">
            <w:pPr>
              <w:spacing w:line="269" w:lineRule="auto"/>
              <w:jc w:val="left"/>
              <w:rPr>
                <w:rFonts w:eastAsia="Calibri"/>
                <w:noProof/>
                <w:sz w:val="22"/>
                <w:szCs w:val="22"/>
              </w:rPr>
            </w:pPr>
            <w:r w:rsidRPr="0016536A">
              <w:rPr>
                <w:rFonts w:eastAsia="Calibri" w:hint="eastAsia"/>
                <w:sz w:val="22"/>
                <w:szCs w:val="22"/>
                <w:rtl/>
              </w:rPr>
              <w:t>קיימים</w:t>
            </w:r>
            <w:r w:rsidRPr="0016536A">
              <w:rPr>
                <w:rFonts w:eastAsia="Calibri"/>
                <w:sz w:val="22"/>
                <w:szCs w:val="22"/>
                <w:rtl/>
              </w:rPr>
              <w:t xml:space="preserve"> נתונים</w:t>
            </w:r>
            <w:r w:rsidRPr="0016536A">
              <w:rPr>
                <w:rFonts w:eastAsia="Calibri" w:hint="cs"/>
                <w:sz w:val="22"/>
                <w:szCs w:val="22"/>
                <w:rtl/>
              </w:rPr>
              <w:t>,</w:t>
            </w:r>
            <w:r w:rsidRPr="0016536A">
              <w:rPr>
                <w:rFonts w:eastAsia="Calibri"/>
                <w:sz w:val="22"/>
                <w:szCs w:val="22"/>
                <w:rtl/>
              </w:rPr>
              <w:t xml:space="preserve"> </w:t>
            </w:r>
            <w:r w:rsidRPr="0016536A">
              <w:rPr>
                <w:rFonts w:eastAsia="Calibri" w:hint="eastAsia"/>
                <w:sz w:val="22"/>
                <w:szCs w:val="22"/>
                <w:rtl/>
              </w:rPr>
              <w:t>אך</w:t>
            </w:r>
            <w:r w:rsidRPr="0016536A">
              <w:rPr>
                <w:rFonts w:eastAsia="Calibri"/>
                <w:sz w:val="22"/>
                <w:szCs w:val="22"/>
                <w:rtl/>
              </w:rPr>
              <w:t xml:space="preserve"> </w:t>
            </w:r>
            <w:r w:rsidRPr="0016536A">
              <w:rPr>
                <w:rFonts w:eastAsia="Calibri" w:hint="eastAsia"/>
                <w:sz w:val="22"/>
                <w:szCs w:val="22"/>
                <w:rtl/>
              </w:rPr>
              <w:t>משרד</w:t>
            </w:r>
            <w:r w:rsidRPr="0016536A">
              <w:rPr>
                <w:rFonts w:eastAsia="Calibri"/>
                <w:sz w:val="22"/>
                <w:szCs w:val="22"/>
                <w:rtl/>
              </w:rPr>
              <w:t xml:space="preserve"> </w:t>
            </w:r>
            <w:r w:rsidRPr="0016536A">
              <w:rPr>
                <w:rFonts w:eastAsia="Calibri" w:hint="eastAsia"/>
                <w:sz w:val="22"/>
                <w:szCs w:val="22"/>
                <w:rtl/>
              </w:rPr>
              <w:t>הבריאות</w:t>
            </w:r>
            <w:r w:rsidRPr="0016536A">
              <w:rPr>
                <w:rFonts w:eastAsia="Calibri"/>
                <w:sz w:val="22"/>
                <w:szCs w:val="22"/>
                <w:rtl/>
              </w:rPr>
              <w:t xml:space="preserve"> </w:t>
            </w:r>
            <w:r w:rsidRPr="0016536A">
              <w:rPr>
                <w:rFonts w:eastAsia="Calibri" w:hint="eastAsia"/>
                <w:sz w:val="22"/>
                <w:szCs w:val="22"/>
                <w:rtl/>
              </w:rPr>
              <w:t>לא</w:t>
            </w:r>
            <w:r w:rsidRPr="0016536A">
              <w:rPr>
                <w:rFonts w:eastAsia="Calibri"/>
                <w:sz w:val="22"/>
                <w:szCs w:val="22"/>
                <w:rtl/>
              </w:rPr>
              <w:t xml:space="preserve"> </w:t>
            </w:r>
            <w:r w:rsidRPr="0016536A">
              <w:rPr>
                <w:rFonts w:eastAsia="Calibri" w:hint="eastAsia"/>
                <w:sz w:val="22"/>
                <w:szCs w:val="22"/>
                <w:rtl/>
              </w:rPr>
              <w:t>השלים</w:t>
            </w:r>
            <w:r w:rsidRPr="0016536A">
              <w:rPr>
                <w:rFonts w:eastAsia="Calibri"/>
                <w:sz w:val="22"/>
                <w:szCs w:val="22"/>
                <w:rtl/>
              </w:rPr>
              <w:t xml:space="preserve"> </w:t>
            </w:r>
            <w:r w:rsidRPr="0016536A">
              <w:rPr>
                <w:rFonts w:eastAsia="Calibri" w:hint="eastAsia"/>
                <w:sz w:val="22"/>
                <w:szCs w:val="22"/>
                <w:rtl/>
              </w:rPr>
              <w:t>הגדרה</w:t>
            </w:r>
            <w:r w:rsidRPr="0016536A">
              <w:rPr>
                <w:rFonts w:eastAsia="Calibri"/>
                <w:sz w:val="22"/>
                <w:szCs w:val="22"/>
                <w:rtl/>
              </w:rPr>
              <w:t xml:space="preserve"> </w:t>
            </w:r>
            <w:r w:rsidRPr="0016536A">
              <w:rPr>
                <w:rFonts w:eastAsia="Calibri" w:hint="eastAsia"/>
                <w:sz w:val="22"/>
                <w:szCs w:val="22"/>
                <w:rtl/>
              </w:rPr>
              <w:t>של</w:t>
            </w:r>
            <w:r w:rsidRPr="0016536A">
              <w:rPr>
                <w:rFonts w:eastAsia="Calibri"/>
                <w:sz w:val="22"/>
                <w:szCs w:val="22"/>
                <w:rtl/>
              </w:rPr>
              <w:t xml:space="preserve"> </w:t>
            </w:r>
            <w:r w:rsidRPr="0016536A">
              <w:rPr>
                <w:rFonts w:eastAsia="Calibri" w:hint="eastAsia"/>
                <w:sz w:val="22"/>
                <w:szCs w:val="22"/>
                <w:rtl/>
              </w:rPr>
              <w:t>מדדי</w:t>
            </w:r>
            <w:r w:rsidRPr="0016536A">
              <w:rPr>
                <w:rFonts w:eastAsia="Calibri"/>
                <w:sz w:val="22"/>
                <w:szCs w:val="22"/>
                <w:rtl/>
              </w:rPr>
              <w:t xml:space="preserve"> </w:t>
            </w:r>
            <w:r w:rsidRPr="0016536A">
              <w:rPr>
                <w:rFonts w:eastAsia="Calibri" w:hint="eastAsia"/>
                <w:sz w:val="22"/>
                <w:szCs w:val="22"/>
                <w:rtl/>
              </w:rPr>
              <w:t>מניעה</w:t>
            </w:r>
            <w:r w:rsidRPr="0016536A">
              <w:rPr>
                <w:rFonts w:eastAsia="Calibri"/>
                <w:sz w:val="22"/>
                <w:szCs w:val="22"/>
                <w:rtl/>
              </w:rPr>
              <w:t xml:space="preserve"> </w:t>
            </w:r>
            <w:r w:rsidRPr="0016536A">
              <w:rPr>
                <w:rFonts w:eastAsia="Calibri" w:hint="eastAsia"/>
                <w:sz w:val="22"/>
                <w:szCs w:val="22"/>
                <w:rtl/>
              </w:rPr>
              <w:t>ייחודיים</w:t>
            </w:r>
            <w:r w:rsidRPr="0016536A">
              <w:rPr>
                <w:rFonts w:eastAsia="Calibri"/>
                <w:sz w:val="22"/>
                <w:szCs w:val="22"/>
                <w:rtl/>
              </w:rPr>
              <w:t xml:space="preserve"> </w:t>
            </w:r>
            <w:r w:rsidRPr="0016536A">
              <w:rPr>
                <w:rFonts w:eastAsia="Calibri" w:hint="eastAsia"/>
                <w:sz w:val="22"/>
                <w:szCs w:val="22"/>
                <w:rtl/>
              </w:rPr>
              <w:t>לזקנים</w:t>
            </w:r>
          </w:p>
        </w:tc>
      </w:tr>
      <w:tr w:rsidTr="0016536A">
        <w:tblPrEx>
          <w:tblW w:w="0" w:type="auto"/>
          <w:tblLook w:val="04A0"/>
        </w:tblPrEx>
        <w:tc>
          <w:tcPr>
            <w:tcW w:w="2970" w:type="dxa"/>
            <w:gridSpan w:val="2"/>
          </w:tcPr>
          <w:p w:rsidR="0016536A" w:rsidRPr="0016536A" w:rsidP="004614AF">
            <w:pPr>
              <w:spacing w:line="269" w:lineRule="auto"/>
              <w:jc w:val="left"/>
              <w:rPr>
                <w:rFonts w:eastAsia="Calibri"/>
                <w:sz w:val="22"/>
                <w:szCs w:val="22"/>
                <w:rtl/>
              </w:rPr>
            </w:pPr>
            <w:r w:rsidRPr="0016536A">
              <w:rPr>
                <w:rFonts w:eastAsia="Calibri" w:hint="eastAsia"/>
                <w:sz w:val="22"/>
                <w:szCs w:val="22"/>
                <w:rtl/>
              </w:rPr>
              <w:t>הכנת</w:t>
            </w:r>
            <w:r w:rsidRPr="0016536A">
              <w:rPr>
                <w:rFonts w:eastAsia="Calibri"/>
                <w:sz w:val="22"/>
                <w:szCs w:val="22"/>
                <w:rtl/>
              </w:rPr>
              <w:t xml:space="preserve"> תוכנית אופרטיבית </w:t>
            </w:r>
            <w:r w:rsidRPr="0016536A">
              <w:rPr>
                <w:rFonts w:eastAsia="Calibri" w:hint="eastAsia"/>
                <w:sz w:val="22"/>
                <w:szCs w:val="22"/>
                <w:rtl/>
              </w:rPr>
              <w:t>רב</w:t>
            </w:r>
            <w:r w:rsidRPr="0016536A">
              <w:rPr>
                <w:rFonts w:eastAsia="Calibri" w:hint="cs"/>
                <w:sz w:val="22"/>
                <w:szCs w:val="22"/>
                <w:rtl/>
              </w:rPr>
              <w:t>-</w:t>
            </w:r>
            <w:r w:rsidRPr="0016536A">
              <w:rPr>
                <w:rFonts w:eastAsia="Calibri"/>
                <w:sz w:val="22"/>
                <w:szCs w:val="22"/>
                <w:rtl/>
              </w:rPr>
              <w:t xml:space="preserve">שנתית כוללת ומלאה </w:t>
            </w:r>
            <w:r w:rsidRPr="0016536A">
              <w:rPr>
                <w:rFonts w:eastAsia="Calibri" w:hint="eastAsia"/>
                <w:sz w:val="22"/>
                <w:szCs w:val="22"/>
                <w:rtl/>
              </w:rPr>
              <w:t>ליישום</w:t>
            </w:r>
            <w:r w:rsidRPr="0016536A">
              <w:rPr>
                <w:rFonts w:eastAsia="Calibri"/>
                <w:sz w:val="22"/>
                <w:szCs w:val="22"/>
                <w:rtl/>
              </w:rPr>
              <w:t xml:space="preserve"> </w:t>
            </w:r>
            <w:r w:rsidRPr="0016536A">
              <w:rPr>
                <w:rFonts w:eastAsia="Calibri" w:hint="eastAsia"/>
                <w:sz w:val="22"/>
                <w:szCs w:val="22"/>
                <w:rtl/>
              </w:rPr>
              <w:t>המדיניות</w:t>
            </w:r>
            <w:r w:rsidRPr="0016536A">
              <w:rPr>
                <w:rFonts w:eastAsia="Calibri"/>
                <w:sz w:val="22"/>
                <w:szCs w:val="22"/>
                <w:rtl/>
              </w:rPr>
              <w:t xml:space="preserve"> בקרב זקנים</w:t>
            </w:r>
          </w:p>
        </w:tc>
        <w:tc>
          <w:tcPr>
            <w:tcW w:w="2126" w:type="dxa"/>
          </w:tcPr>
          <w:p w:rsidR="0016536A" w:rsidRPr="0016536A" w:rsidP="004614AF">
            <w:pPr>
              <w:spacing w:line="269" w:lineRule="auto"/>
              <w:jc w:val="center"/>
              <w:rPr>
                <w:rFonts w:eastAsia="Calibri"/>
                <w:noProof/>
                <w:sz w:val="22"/>
                <w:szCs w:val="22"/>
              </w:rPr>
            </w:pPr>
            <w:r w:rsidRPr="0016536A">
              <w:rPr>
                <w:rFonts w:eastAsia="Calibri"/>
                <w:noProof/>
                <w:sz w:val="22"/>
                <w:szCs w:val="22"/>
              </w:rPr>
              <w:drawing>
                <wp:inline distT="0" distB="0" distL="0" distR="0">
                  <wp:extent cx="222885" cy="257175"/>
                  <wp:effectExtent l="0" t="0" r="5715" b="9525"/>
                  <wp:docPr id="72" name="תמונה 72" descr="חס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41"/>
                          <a:stretch>
                            <a:fillRect/>
                          </a:stretch>
                        </pic:blipFill>
                        <pic:spPr>
                          <a:xfrm flipH="1">
                            <a:off x="0" y="0"/>
                            <a:ext cx="222885" cy="257175"/>
                          </a:xfrm>
                          <a:prstGeom prst="rect">
                            <a:avLst/>
                          </a:prstGeom>
                        </pic:spPr>
                      </pic:pic>
                    </a:graphicData>
                  </a:graphic>
                </wp:inline>
              </w:drawing>
            </w:r>
          </w:p>
        </w:tc>
        <w:tc>
          <w:tcPr>
            <w:tcW w:w="3115" w:type="dxa"/>
          </w:tcPr>
          <w:p w:rsidR="0016536A" w:rsidRPr="0016536A" w:rsidP="004614AF">
            <w:pPr>
              <w:spacing w:line="269" w:lineRule="auto"/>
              <w:jc w:val="left"/>
              <w:rPr>
                <w:rFonts w:eastAsia="Calibri"/>
                <w:noProof/>
                <w:sz w:val="22"/>
                <w:szCs w:val="22"/>
              </w:rPr>
            </w:pPr>
          </w:p>
        </w:tc>
      </w:tr>
      <w:tr w:rsidTr="0016536A">
        <w:tblPrEx>
          <w:tblW w:w="0" w:type="auto"/>
          <w:tblLook w:val="04A0"/>
        </w:tblPrEx>
        <w:tc>
          <w:tcPr>
            <w:tcW w:w="2970" w:type="dxa"/>
            <w:gridSpan w:val="2"/>
          </w:tcPr>
          <w:p w:rsidR="0016536A" w:rsidRPr="0016536A" w:rsidP="004614AF">
            <w:pPr>
              <w:spacing w:line="269" w:lineRule="auto"/>
              <w:jc w:val="left"/>
              <w:rPr>
                <w:rFonts w:eastAsia="Calibri"/>
                <w:sz w:val="22"/>
                <w:szCs w:val="22"/>
                <w:rtl/>
              </w:rPr>
            </w:pPr>
            <w:r w:rsidRPr="0016536A">
              <w:rPr>
                <w:rFonts w:eastAsia="Calibri" w:hint="eastAsia"/>
                <w:sz w:val="22"/>
                <w:szCs w:val="22"/>
                <w:rtl/>
              </w:rPr>
              <w:t>הגדרת</w:t>
            </w:r>
            <w:r w:rsidRPr="0016536A">
              <w:rPr>
                <w:rFonts w:eastAsia="Calibri"/>
                <w:sz w:val="22"/>
                <w:szCs w:val="22"/>
                <w:rtl/>
              </w:rPr>
              <w:t xml:space="preserve"> </w:t>
            </w:r>
            <w:r w:rsidRPr="0016536A">
              <w:rPr>
                <w:rFonts w:eastAsia="Calibri" w:hint="eastAsia"/>
                <w:sz w:val="22"/>
                <w:szCs w:val="22"/>
                <w:rtl/>
              </w:rPr>
              <w:t>מטרות</w:t>
            </w:r>
            <w:r w:rsidRPr="0016536A">
              <w:rPr>
                <w:rFonts w:eastAsia="Calibri"/>
                <w:sz w:val="22"/>
                <w:szCs w:val="22"/>
                <w:rtl/>
              </w:rPr>
              <w:t xml:space="preserve"> </w:t>
            </w:r>
            <w:r w:rsidRPr="0016536A">
              <w:rPr>
                <w:rFonts w:eastAsia="Calibri" w:hint="eastAsia"/>
                <w:sz w:val="22"/>
                <w:szCs w:val="22"/>
                <w:rtl/>
              </w:rPr>
              <w:t>ארוכות</w:t>
            </w:r>
            <w:r w:rsidRPr="0016536A">
              <w:rPr>
                <w:rFonts w:eastAsia="Calibri"/>
                <w:sz w:val="22"/>
                <w:szCs w:val="22"/>
                <w:rtl/>
              </w:rPr>
              <w:t xml:space="preserve"> </w:t>
            </w:r>
            <w:r w:rsidRPr="0016536A">
              <w:rPr>
                <w:rFonts w:eastAsia="Calibri" w:hint="eastAsia"/>
                <w:sz w:val="22"/>
                <w:szCs w:val="22"/>
                <w:rtl/>
              </w:rPr>
              <w:t>טווח</w:t>
            </w:r>
            <w:r w:rsidRPr="0016536A">
              <w:rPr>
                <w:rFonts w:eastAsia="Calibri"/>
                <w:sz w:val="22"/>
                <w:szCs w:val="22"/>
                <w:rtl/>
              </w:rPr>
              <w:t xml:space="preserve"> </w:t>
            </w:r>
            <w:r w:rsidRPr="0016536A">
              <w:rPr>
                <w:rFonts w:eastAsia="Calibri" w:hint="eastAsia"/>
                <w:sz w:val="22"/>
                <w:szCs w:val="22"/>
                <w:rtl/>
              </w:rPr>
              <w:t>הנגזרות</w:t>
            </w:r>
            <w:r w:rsidRPr="0016536A">
              <w:rPr>
                <w:rFonts w:eastAsia="Calibri"/>
                <w:sz w:val="22"/>
                <w:szCs w:val="22"/>
                <w:rtl/>
              </w:rPr>
              <w:t xml:space="preserve"> </w:t>
            </w:r>
            <w:r w:rsidRPr="0016536A">
              <w:rPr>
                <w:rFonts w:eastAsia="Calibri" w:hint="eastAsia"/>
                <w:sz w:val="22"/>
                <w:szCs w:val="22"/>
                <w:rtl/>
              </w:rPr>
              <w:t>מהתוכנית</w:t>
            </w:r>
          </w:p>
        </w:tc>
        <w:tc>
          <w:tcPr>
            <w:tcW w:w="2126" w:type="dxa"/>
          </w:tcPr>
          <w:p w:rsidR="0016536A" w:rsidRPr="0016536A" w:rsidP="004614AF">
            <w:pPr>
              <w:spacing w:line="269" w:lineRule="auto"/>
              <w:jc w:val="center"/>
              <w:rPr>
                <w:rFonts w:eastAsia="Calibri"/>
                <w:sz w:val="22"/>
                <w:szCs w:val="22"/>
                <w:rtl/>
              </w:rPr>
            </w:pPr>
            <w:r w:rsidRPr="0016536A">
              <w:rPr>
                <w:rFonts w:eastAsia="Calibri"/>
                <w:noProof/>
                <w:sz w:val="22"/>
                <w:szCs w:val="22"/>
              </w:rPr>
              <w:drawing>
                <wp:inline distT="0" distB="0" distL="0" distR="0">
                  <wp:extent cx="222885" cy="257175"/>
                  <wp:effectExtent l="0" t="0" r="5715" b="9525"/>
                  <wp:docPr id="73" name="תמונה 73" descr="חס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41"/>
                          <a:stretch>
                            <a:fillRect/>
                          </a:stretch>
                        </pic:blipFill>
                        <pic:spPr>
                          <a:xfrm flipH="1">
                            <a:off x="0" y="0"/>
                            <a:ext cx="222885" cy="257175"/>
                          </a:xfrm>
                          <a:prstGeom prst="rect">
                            <a:avLst/>
                          </a:prstGeom>
                        </pic:spPr>
                      </pic:pic>
                    </a:graphicData>
                  </a:graphic>
                </wp:inline>
              </w:drawing>
            </w:r>
          </w:p>
        </w:tc>
        <w:tc>
          <w:tcPr>
            <w:tcW w:w="3115" w:type="dxa"/>
          </w:tcPr>
          <w:p w:rsidR="0016536A" w:rsidRPr="0016536A" w:rsidP="004614AF">
            <w:pPr>
              <w:spacing w:line="269" w:lineRule="auto"/>
              <w:jc w:val="left"/>
              <w:rPr>
                <w:rFonts w:eastAsia="Calibri"/>
                <w:noProof/>
                <w:sz w:val="22"/>
                <w:szCs w:val="22"/>
              </w:rPr>
            </w:pPr>
          </w:p>
        </w:tc>
      </w:tr>
      <w:tr w:rsidTr="0016536A">
        <w:tblPrEx>
          <w:tblW w:w="0" w:type="auto"/>
          <w:tblLook w:val="04A0"/>
        </w:tblPrEx>
        <w:tc>
          <w:tcPr>
            <w:tcW w:w="2970" w:type="dxa"/>
            <w:gridSpan w:val="2"/>
          </w:tcPr>
          <w:p w:rsidR="0016536A" w:rsidRPr="0016536A" w:rsidP="004614AF">
            <w:pPr>
              <w:spacing w:line="269" w:lineRule="auto"/>
              <w:jc w:val="left"/>
              <w:rPr>
                <w:rFonts w:eastAsia="Calibri"/>
                <w:sz w:val="22"/>
                <w:szCs w:val="22"/>
                <w:rtl/>
              </w:rPr>
            </w:pPr>
            <w:r w:rsidRPr="0016536A">
              <w:rPr>
                <w:rFonts w:eastAsia="Calibri" w:hint="eastAsia"/>
                <w:sz w:val="22"/>
                <w:szCs w:val="22"/>
                <w:rtl/>
              </w:rPr>
              <w:t>קביעת</w:t>
            </w:r>
            <w:r w:rsidRPr="0016536A">
              <w:rPr>
                <w:rFonts w:eastAsia="Calibri"/>
                <w:sz w:val="22"/>
                <w:szCs w:val="22"/>
                <w:rtl/>
              </w:rPr>
              <w:t xml:space="preserve"> </w:t>
            </w:r>
            <w:r w:rsidRPr="0016536A">
              <w:rPr>
                <w:rFonts w:eastAsia="Calibri" w:hint="eastAsia"/>
                <w:sz w:val="22"/>
                <w:szCs w:val="22"/>
                <w:rtl/>
              </w:rPr>
              <w:t>סדרי</w:t>
            </w:r>
            <w:r w:rsidRPr="0016536A">
              <w:rPr>
                <w:rFonts w:eastAsia="Calibri"/>
                <w:sz w:val="22"/>
                <w:szCs w:val="22"/>
                <w:rtl/>
              </w:rPr>
              <w:t xml:space="preserve"> </w:t>
            </w:r>
            <w:r w:rsidRPr="0016536A">
              <w:rPr>
                <w:rFonts w:eastAsia="Calibri" w:hint="eastAsia"/>
                <w:sz w:val="22"/>
                <w:szCs w:val="22"/>
                <w:rtl/>
              </w:rPr>
              <w:t>עדיפויות</w:t>
            </w:r>
            <w:r w:rsidRPr="0016536A">
              <w:rPr>
                <w:rFonts w:eastAsia="Calibri"/>
                <w:sz w:val="22"/>
                <w:szCs w:val="22"/>
                <w:rtl/>
              </w:rPr>
              <w:t xml:space="preserve"> </w:t>
            </w:r>
            <w:r w:rsidRPr="0016536A">
              <w:rPr>
                <w:rFonts w:eastAsia="Calibri" w:hint="eastAsia"/>
                <w:sz w:val="22"/>
                <w:szCs w:val="22"/>
                <w:rtl/>
              </w:rPr>
              <w:t>ליישום</w:t>
            </w:r>
            <w:r w:rsidRPr="0016536A">
              <w:rPr>
                <w:rFonts w:eastAsia="Calibri"/>
                <w:sz w:val="22"/>
                <w:szCs w:val="22"/>
                <w:rtl/>
              </w:rPr>
              <w:t xml:space="preserve"> </w:t>
            </w:r>
            <w:r w:rsidRPr="0016536A">
              <w:rPr>
                <w:rFonts w:eastAsia="Calibri" w:hint="eastAsia"/>
                <w:sz w:val="22"/>
                <w:szCs w:val="22"/>
                <w:rtl/>
              </w:rPr>
              <w:t>המטרות</w:t>
            </w:r>
          </w:p>
        </w:tc>
        <w:tc>
          <w:tcPr>
            <w:tcW w:w="2126" w:type="dxa"/>
          </w:tcPr>
          <w:p w:rsidR="0016536A" w:rsidRPr="0016536A" w:rsidP="004614AF">
            <w:pPr>
              <w:spacing w:line="269" w:lineRule="auto"/>
              <w:jc w:val="center"/>
              <w:rPr>
                <w:rFonts w:eastAsia="Calibri"/>
                <w:sz w:val="22"/>
                <w:szCs w:val="22"/>
              </w:rPr>
            </w:pPr>
            <w:r w:rsidRPr="0016536A">
              <w:rPr>
                <w:rFonts w:eastAsia="Calibri"/>
                <w:noProof/>
                <w:sz w:val="22"/>
                <w:szCs w:val="22"/>
              </w:rPr>
              <w:drawing>
                <wp:inline distT="0" distB="0" distL="0" distR="0">
                  <wp:extent cx="222885" cy="257175"/>
                  <wp:effectExtent l="0" t="0" r="5715" b="9525"/>
                  <wp:docPr id="74" name="תמונה 74" descr="חס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41"/>
                          <a:stretch>
                            <a:fillRect/>
                          </a:stretch>
                        </pic:blipFill>
                        <pic:spPr>
                          <a:xfrm flipH="1">
                            <a:off x="0" y="0"/>
                            <a:ext cx="222885" cy="257175"/>
                          </a:xfrm>
                          <a:prstGeom prst="rect">
                            <a:avLst/>
                          </a:prstGeom>
                        </pic:spPr>
                      </pic:pic>
                    </a:graphicData>
                  </a:graphic>
                </wp:inline>
              </w:drawing>
            </w:r>
          </w:p>
        </w:tc>
        <w:tc>
          <w:tcPr>
            <w:tcW w:w="3115" w:type="dxa"/>
          </w:tcPr>
          <w:p w:rsidR="0016536A" w:rsidRPr="0016536A" w:rsidP="004614AF">
            <w:pPr>
              <w:spacing w:line="269" w:lineRule="auto"/>
              <w:jc w:val="left"/>
              <w:rPr>
                <w:rFonts w:eastAsia="Calibri"/>
                <w:noProof/>
                <w:sz w:val="22"/>
                <w:szCs w:val="22"/>
              </w:rPr>
            </w:pPr>
          </w:p>
        </w:tc>
      </w:tr>
      <w:tr w:rsidTr="0016536A">
        <w:tblPrEx>
          <w:tblW w:w="0" w:type="auto"/>
          <w:tblLook w:val="04A0"/>
        </w:tblPrEx>
        <w:tc>
          <w:tcPr>
            <w:tcW w:w="2970" w:type="dxa"/>
            <w:gridSpan w:val="2"/>
          </w:tcPr>
          <w:p w:rsidR="0016536A" w:rsidRPr="0016536A" w:rsidP="004614AF">
            <w:pPr>
              <w:spacing w:line="269" w:lineRule="auto"/>
              <w:jc w:val="left"/>
              <w:rPr>
                <w:rFonts w:eastAsia="Calibri"/>
                <w:sz w:val="22"/>
                <w:szCs w:val="22"/>
                <w:rtl/>
              </w:rPr>
            </w:pPr>
            <w:r w:rsidRPr="0016536A">
              <w:rPr>
                <w:rFonts w:eastAsia="Calibri" w:hint="eastAsia"/>
                <w:sz w:val="22"/>
                <w:szCs w:val="22"/>
                <w:rtl/>
              </w:rPr>
              <w:t>הכנת</w:t>
            </w:r>
            <w:r w:rsidRPr="0016536A">
              <w:rPr>
                <w:rFonts w:eastAsia="Calibri"/>
                <w:sz w:val="22"/>
                <w:szCs w:val="22"/>
                <w:rtl/>
              </w:rPr>
              <w:t xml:space="preserve"> </w:t>
            </w:r>
            <w:r w:rsidRPr="0016536A">
              <w:rPr>
                <w:rFonts w:eastAsia="Calibri" w:hint="eastAsia"/>
                <w:sz w:val="22"/>
                <w:szCs w:val="22"/>
                <w:rtl/>
              </w:rPr>
              <w:t>תוכניות</w:t>
            </w:r>
            <w:r w:rsidRPr="0016536A">
              <w:rPr>
                <w:rFonts w:eastAsia="Calibri"/>
                <w:sz w:val="22"/>
                <w:szCs w:val="22"/>
                <w:rtl/>
              </w:rPr>
              <w:t xml:space="preserve"> </w:t>
            </w:r>
            <w:r w:rsidRPr="0016536A">
              <w:rPr>
                <w:rFonts w:eastAsia="Calibri" w:hint="eastAsia"/>
                <w:sz w:val="22"/>
                <w:szCs w:val="22"/>
                <w:rtl/>
              </w:rPr>
              <w:t>עבודה</w:t>
            </w:r>
            <w:r w:rsidRPr="0016536A">
              <w:rPr>
                <w:rFonts w:eastAsia="Calibri"/>
                <w:sz w:val="22"/>
                <w:szCs w:val="22"/>
                <w:rtl/>
              </w:rPr>
              <w:t xml:space="preserve"> </w:t>
            </w:r>
            <w:r w:rsidRPr="0016536A">
              <w:rPr>
                <w:rFonts w:eastAsia="Calibri" w:hint="eastAsia"/>
                <w:sz w:val="22"/>
                <w:szCs w:val="22"/>
                <w:rtl/>
              </w:rPr>
              <w:t>שנתיות</w:t>
            </w:r>
            <w:r w:rsidRPr="0016536A">
              <w:rPr>
                <w:rFonts w:eastAsia="Calibri"/>
                <w:sz w:val="22"/>
                <w:szCs w:val="22"/>
                <w:rtl/>
              </w:rPr>
              <w:t xml:space="preserve"> </w:t>
            </w:r>
            <w:r w:rsidRPr="0016536A">
              <w:rPr>
                <w:rFonts w:eastAsia="Calibri" w:hint="eastAsia"/>
                <w:sz w:val="22"/>
                <w:szCs w:val="22"/>
                <w:rtl/>
              </w:rPr>
              <w:t>ובהן</w:t>
            </w:r>
            <w:r w:rsidRPr="0016536A">
              <w:rPr>
                <w:rFonts w:eastAsia="Calibri"/>
                <w:sz w:val="22"/>
                <w:szCs w:val="22"/>
                <w:rtl/>
              </w:rPr>
              <w:t xml:space="preserve"> </w:t>
            </w:r>
            <w:r w:rsidRPr="0016536A">
              <w:rPr>
                <w:rFonts w:eastAsia="Calibri" w:hint="eastAsia"/>
                <w:sz w:val="22"/>
                <w:szCs w:val="22"/>
                <w:rtl/>
              </w:rPr>
              <w:t>יעדים</w:t>
            </w:r>
            <w:r w:rsidRPr="0016536A">
              <w:rPr>
                <w:rFonts w:eastAsia="Calibri"/>
                <w:sz w:val="22"/>
                <w:szCs w:val="22"/>
                <w:rtl/>
              </w:rPr>
              <w:t xml:space="preserve"> </w:t>
            </w:r>
            <w:r w:rsidRPr="0016536A">
              <w:rPr>
                <w:rFonts w:eastAsia="Calibri" w:hint="eastAsia"/>
                <w:sz w:val="22"/>
                <w:szCs w:val="22"/>
                <w:rtl/>
              </w:rPr>
              <w:t>מדידים</w:t>
            </w:r>
          </w:p>
        </w:tc>
        <w:tc>
          <w:tcPr>
            <w:tcW w:w="2126" w:type="dxa"/>
          </w:tcPr>
          <w:p w:rsidR="0016536A" w:rsidRPr="0016536A" w:rsidP="004614AF">
            <w:pPr>
              <w:spacing w:line="269" w:lineRule="auto"/>
              <w:jc w:val="center"/>
              <w:rPr>
                <w:rFonts w:eastAsia="Calibri"/>
                <w:noProof/>
                <w:sz w:val="22"/>
                <w:szCs w:val="22"/>
              </w:rPr>
            </w:pPr>
            <w:r w:rsidRPr="0016536A">
              <w:rPr>
                <w:rFonts w:eastAsia="Calibri"/>
                <w:noProof/>
                <w:sz w:val="22"/>
                <w:szCs w:val="22"/>
              </w:rPr>
              <w:drawing>
                <wp:inline distT="0" distB="0" distL="0" distR="0">
                  <wp:extent cx="232258" cy="180000"/>
                  <wp:effectExtent l="0" t="0" r="0" b="0"/>
                  <wp:docPr id="75" name="תמונה 75" descr="קיים באופן חל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xmlns:r="http://schemas.openxmlformats.org/officeDocument/2006/relationships" r:embed="rId40">
                            <a:extLst>
                              <a:ext xmlns:a="http://schemas.openxmlformats.org/drawingml/2006/main" uri="{BEBA8EAE-BF5A-486C-A8C5-ECC9F3942E4B}">
                                <a14:imgProps xmlns:a14="http://schemas.microsoft.com/office/drawing/2010/main">
                                  <a14:imgLayer>
                                    <a14:imgEffect>
                                      <a14:backgroundRemoval b="90000" l="10000" r="90000" t="10000"/>
                                    </a14:imgEffect>
                                  </a14:imgLayer>
                                </a14:imgProps>
                              </a:ext>
                            </a:extLst>
                          </a:blip>
                          <a:stretch>
                            <a:fillRect/>
                          </a:stretch>
                        </pic:blipFill>
                        <pic:spPr>
                          <a:xfrm>
                            <a:off x="0" y="0"/>
                            <a:ext cx="232258" cy="180000"/>
                          </a:xfrm>
                          <a:prstGeom prst="rect">
                            <a:avLst/>
                          </a:prstGeom>
                        </pic:spPr>
                      </pic:pic>
                    </a:graphicData>
                  </a:graphic>
                </wp:inline>
              </w:drawing>
            </w:r>
          </w:p>
        </w:tc>
        <w:tc>
          <w:tcPr>
            <w:tcW w:w="3115" w:type="dxa"/>
          </w:tcPr>
          <w:p w:rsidR="0016536A" w:rsidRPr="0016536A" w:rsidP="004614AF">
            <w:pPr>
              <w:spacing w:line="269" w:lineRule="auto"/>
              <w:jc w:val="left"/>
              <w:rPr>
                <w:rFonts w:eastAsia="Calibri"/>
                <w:noProof/>
                <w:sz w:val="22"/>
                <w:szCs w:val="22"/>
              </w:rPr>
            </w:pPr>
            <w:r w:rsidRPr="0016536A">
              <w:rPr>
                <w:rFonts w:eastAsia="Calibri" w:hint="eastAsia"/>
                <w:noProof/>
                <w:sz w:val="22"/>
                <w:szCs w:val="22"/>
                <w:rtl/>
              </w:rPr>
              <w:t>בתוכניות</w:t>
            </w:r>
            <w:r w:rsidRPr="0016536A">
              <w:rPr>
                <w:rFonts w:eastAsia="Calibri"/>
                <w:noProof/>
                <w:sz w:val="22"/>
                <w:szCs w:val="22"/>
                <w:rtl/>
              </w:rPr>
              <w:t xml:space="preserve"> </w:t>
            </w:r>
            <w:r w:rsidRPr="0016536A">
              <w:rPr>
                <w:rFonts w:eastAsia="Calibri" w:hint="eastAsia"/>
                <w:noProof/>
                <w:sz w:val="22"/>
                <w:szCs w:val="22"/>
                <w:rtl/>
              </w:rPr>
              <w:t>העבודה</w:t>
            </w:r>
            <w:r w:rsidRPr="0016536A">
              <w:rPr>
                <w:rFonts w:eastAsia="Calibri"/>
                <w:noProof/>
                <w:sz w:val="22"/>
                <w:szCs w:val="22"/>
                <w:rtl/>
              </w:rPr>
              <w:t xml:space="preserve"> </w:t>
            </w:r>
            <w:r w:rsidRPr="0016536A">
              <w:rPr>
                <w:rFonts w:eastAsia="Calibri" w:hint="eastAsia"/>
                <w:noProof/>
                <w:sz w:val="22"/>
                <w:szCs w:val="22"/>
                <w:rtl/>
              </w:rPr>
              <w:t>השנתיות</w:t>
            </w:r>
            <w:r w:rsidRPr="0016536A">
              <w:rPr>
                <w:rFonts w:eastAsia="Calibri"/>
                <w:noProof/>
                <w:sz w:val="22"/>
                <w:szCs w:val="22"/>
                <w:rtl/>
              </w:rPr>
              <w:t xml:space="preserve"> </w:t>
            </w:r>
            <w:r w:rsidRPr="0016536A">
              <w:rPr>
                <w:rFonts w:eastAsia="Calibri" w:hint="eastAsia"/>
                <w:noProof/>
                <w:sz w:val="22"/>
                <w:szCs w:val="22"/>
                <w:rtl/>
              </w:rPr>
              <w:t>של</w:t>
            </w:r>
            <w:r w:rsidRPr="0016536A">
              <w:rPr>
                <w:rFonts w:eastAsia="Calibri"/>
                <w:noProof/>
                <w:sz w:val="22"/>
                <w:szCs w:val="22"/>
                <w:rtl/>
              </w:rPr>
              <w:t xml:space="preserve"> </w:t>
            </w:r>
            <w:r w:rsidRPr="0016536A">
              <w:rPr>
                <w:rFonts w:eastAsia="Calibri" w:hint="eastAsia"/>
                <w:noProof/>
                <w:sz w:val="22"/>
                <w:szCs w:val="22"/>
                <w:rtl/>
              </w:rPr>
              <w:t>משרד</w:t>
            </w:r>
            <w:r w:rsidRPr="0016536A">
              <w:rPr>
                <w:rFonts w:eastAsia="Calibri"/>
                <w:noProof/>
                <w:sz w:val="22"/>
                <w:szCs w:val="22"/>
                <w:rtl/>
              </w:rPr>
              <w:t xml:space="preserve"> </w:t>
            </w:r>
            <w:r w:rsidRPr="0016536A">
              <w:rPr>
                <w:rFonts w:eastAsia="Calibri" w:hint="eastAsia"/>
                <w:noProof/>
                <w:sz w:val="22"/>
                <w:szCs w:val="22"/>
                <w:rtl/>
              </w:rPr>
              <w:t>הבריאות</w:t>
            </w:r>
            <w:r w:rsidRPr="0016536A">
              <w:rPr>
                <w:rFonts w:eastAsia="Calibri"/>
                <w:noProof/>
                <w:sz w:val="22"/>
                <w:szCs w:val="22"/>
                <w:rtl/>
              </w:rPr>
              <w:t xml:space="preserve"> </w:t>
            </w:r>
            <w:r w:rsidRPr="0016536A">
              <w:rPr>
                <w:rFonts w:eastAsia="Calibri" w:hint="eastAsia"/>
                <w:noProof/>
                <w:sz w:val="22"/>
                <w:szCs w:val="22"/>
                <w:rtl/>
              </w:rPr>
              <w:t>קיימים</w:t>
            </w:r>
            <w:r w:rsidRPr="0016536A">
              <w:rPr>
                <w:rFonts w:eastAsia="Calibri"/>
                <w:noProof/>
                <w:sz w:val="22"/>
                <w:szCs w:val="22"/>
                <w:rtl/>
              </w:rPr>
              <w:t xml:space="preserve"> </w:t>
            </w:r>
            <w:r w:rsidRPr="0016536A">
              <w:rPr>
                <w:rFonts w:eastAsia="Calibri" w:hint="eastAsia"/>
                <w:noProof/>
                <w:sz w:val="22"/>
                <w:szCs w:val="22"/>
                <w:rtl/>
              </w:rPr>
              <w:t>יעדים</w:t>
            </w:r>
            <w:r w:rsidRPr="0016536A">
              <w:rPr>
                <w:rFonts w:eastAsia="Calibri"/>
                <w:noProof/>
                <w:sz w:val="22"/>
                <w:szCs w:val="22"/>
                <w:rtl/>
              </w:rPr>
              <w:t xml:space="preserve">, </w:t>
            </w:r>
            <w:r w:rsidRPr="0016536A">
              <w:rPr>
                <w:rFonts w:eastAsia="Calibri" w:hint="eastAsia"/>
                <w:noProof/>
                <w:sz w:val="22"/>
                <w:szCs w:val="22"/>
                <w:rtl/>
              </w:rPr>
              <w:t>אולם</w:t>
            </w:r>
            <w:r w:rsidRPr="0016536A">
              <w:rPr>
                <w:rFonts w:eastAsia="Calibri"/>
                <w:noProof/>
                <w:sz w:val="22"/>
                <w:szCs w:val="22"/>
                <w:rtl/>
              </w:rPr>
              <w:t xml:space="preserve"> </w:t>
            </w:r>
            <w:r w:rsidRPr="0016536A">
              <w:rPr>
                <w:rFonts w:eastAsia="Calibri" w:hint="eastAsia"/>
                <w:noProof/>
                <w:sz w:val="22"/>
                <w:szCs w:val="22"/>
                <w:rtl/>
              </w:rPr>
              <w:t>חלקם</w:t>
            </w:r>
            <w:r w:rsidRPr="0016536A">
              <w:rPr>
                <w:rFonts w:eastAsia="Calibri"/>
                <w:noProof/>
                <w:sz w:val="22"/>
                <w:szCs w:val="22"/>
                <w:rtl/>
              </w:rPr>
              <w:t xml:space="preserve"> </w:t>
            </w:r>
            <w:r w:rsidRPr="0016536A">
              <w:rPr>
                <w:rFonts w:eastAsia="Calibri" w:hint="eastAsia"/>
                <w:noProof/>
                <w:sz w:val="22"/>
                <w:szCs w:val="22"/>
                <w:rtl/>
              </w:rPr>
              <w:t>אינם</w:t>
            </w:r>
            <w:r w:rsidRPr="0016536A">
              <w:rPr>
                <w:rFonts w:eastAsia="Calibri"/>
                <w:noProof/>
                <w:sz w:val="22"/>
                <w:szCs w:val="22"/>
                <w:rtl/>
              </w:rPr>
              <w:t xml:space="preserve"> </w:t>
            </w:r>
            <w:r w:rsidRPr="0016536A">
              <w:rPr>
                <w:rFonts w:eastAsia="Calibri" w:hint="eastAsia"/>
                <w:noProof/>
                <w:sz w:val="22"/>
                <w:szCs w:val="22"/>
                <w:rtl/>
              </w:rPr>
              <w:t>ייחודיים</w:t>
            </w:r>
            <w:r w:rsidRPr="0016536A">
              <w:rPr>
                <w:rFonts w:eastAsia="Calibri"/>
                <w:noProof/>
                <w:sz w:val="22"/>
                <w:szCs w:val="22"/>
                <w:rtl/>
              </w:rPr>
              <w:t xml:space="preserve"> </w:t>
            </w:r>
            <w:r w:rsidRPr="0016536A">
              <w:rPr>
                <w:rFonts w:eastAsia="Calibri" w:hint="eastAsia"/>
                <w:noProof/>
                <w:sz w:val="22"/>
                <w:szCs w:val="22"/>
                <w:rtl/>
              </w:rPr>
              <w:t>לאוכלוסיית</w:t>
            </w:r>
            <w:r w:rsidRPr="0016536A">
              <w:rPr>
                <w:rFonts w:eastAsia="Calibri"/>
                <w:noProof/>
                <w:sz w:val="22"/>
                <w:szCs w:val="22"/>
                <w:rtl/>
              </w:rPr>
              <w:t xml:space="preserve"> </w:t>
            </w:r>
            <w:r w:rsidRPr="0016536A">
              <w:rPr>
                <w:rFonts w:eastAsia="Calibri" w:hint="eastAsia"/>
                <w:noProof/>
                <w:sz w:val="22"/>
                <w:szCs w:val="22"/>
                <w:rtl/>
              </w:rPr>
              <w:t>הזקנים</w:t>
            </w:r>
          </w:p>
        </w:tc>
      </w:tr>
      <w:tr w:rsidTr="0016536A">
        <w:tblPrEx>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115" w:type="dxa"/>
          <w:jc w:val="left"/>
        </w:trPr>
        <w:tc>
          <w:tcPr>
            <w:tcW w:w="720" w:type="dxa"/>
          </w:tcPr>
          <w:p w:rsidR="0016536A" w:rsidRPr="0016536A" w:rsidP="004614AF">
            <w:pPr>
              <w:spacing w:line="269" w:lineRule="auto"/>
              <w:jc w:val="center"/>
              <w:rPr>
                <w:rFonts w:eastAsia="Calibri"/>
                <w:sz w:val="16"/>
                <w:szCs w:val="20"/>
                <w:rtl/>
              </w:rPr>
            </w:pPr>
            <w:r w:rsidRPr="0016536A">
              <w:rPr>
                <w:rFonts w:eastAsia="Calibri"/>
                <w:noProof/>
                <w:sz w:val="16"/>
                <w:szCs w:val="20"/>
              </w:rPr>
              <w:drawing>
                <wp:inline distT="0" distB="0" distL="0" distR="0">
                  <wp:extent cx="156000" cy="180000"/>
                  <wp:effectExtent l="0" t="0" r="0" b="0"/>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42">
                            <a:extLst>
                              <a:ext xmlns:a="http://schemas.openxmlformats.org/drawingml/2006/main" uri="{BEBA8EAE-BF5A-486C-A8C5-ECC9F3942E4B}">
                                <a14:imgProps xmlns:a14="http://schemas.microsoft.com/office/drawing/2010/main">
                                  <a14:imgLayer>
                                    <a14:imgEffect>
                                      <a14:backgroundRemoval b="90000" l="10000" r="90000" t="10000"/>
                                    </a14:imgEffect>
                                  </a14:imgLayer>
                                </a14:imgProps>
                              </a:ext>
                            </a:extLst>
                          </a:blip>
                          <a:stretch>
                            <a:fillRect/>
                          </a:stretch>
                        </pic:blipFill>
                        <pic:spPr>
                          <a:xfrm flipH="1">
                            <a:off x="0" y="0"/>
                            <a:ext cx="156000" cy="180000"/>
                          </a:xfrm>
                          <a:prstGeom prst="rect">
                            <a:avLst/>
                          </a:prstGeom>
                        </pic:spPr>
                      </pic:pic>
                    </a:graphicData>
                  </a:graphic>
                </wp:inline>
              </w:drawing>
            </w:r>
          </w:p>
        </w:tc>
        <w:tc>
          <w:tcPr>
            <w:tcW w:w="4376" w:type="dxa"/>
            <w:gridSpan w:val="2"/>
          </w:tcPr>
          <w:p w:rsidR="0016536A" w:rsidRPr="0016536A" w:rsidP="004614AF">
            <w:pPr>
              <w:spacing w:line="269" w:lineRule="auto"/>
              <w:jc w:val="left"/>
              <w:rPr>
                <w:rFonts w:eastAsia="Calibri"/>
                <w:sz w:val="16"/>
                <w:szCs w:val="20"/>
                <w:rtl/>
              </w:rPr>
            </w:pPr>
            <w:r w:rsidRPr="0016536A">
              <w:rPr>
                <w:rFonts w:eastAsia="Calibri" w:hint="cs"/>
                <w:sz w:val="16"/>
                <w:szCs w:val="20"/>
                <w:rtl/>
              </w:rPr>
              <w:t>חסר</w:t>
            </w:r>
          </w:p>
        </w:tc>
      </w:tr>
      <w:tr w:rsidTr="0016536A">
        <w:tblPrEx>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115" w:type="dxa"/>
          <w:jc w:val="left"/>
        </w:trPr>
        <w:tc>
          <w:tcPr>
            <w:tcW w:w="720" w:type="dxa"/>
          </w:tcPr>
          <w:p w:rsidR="0016536A" w:rsidRPr="0016536A" w:rsidP="004614AF">
            <w:pPr>
              <w:spacing w:line="269" w:lineRule="auto"/>
              <w:jc w:val="center"/>
              <w:rPr>
                <w:rFonts w:eastAsia="Calibri"/>
                <w:sz w:val="16"/>
                <w:szCs w:val="20"/>
              </w:rPr>
            </w:pPr>
            <w:r w:rsidRPr="0016536A">
              <w:rPr>
                <w:rFonts w:eastAsia="Calibri"/>
                <w:noProof/>
                <w:sz w:val="16"/>
                <w:szCs w:val="20"/>
              </w:rPr>
              <w:drawing>
                <wp:inline distT="0" distB="0" distL="0" distR="0">
                  <wp:extent cx="232258" cy="180000"/>
                  <wp:effectExtent l="0" t="0" r="0"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40">
                            <a:extLst>
                              <a:ext xmlns:a="http://schemas.openxmlformats.org/drawingml/2006/main" uri="{BEBA8EAE-BF5A-486C-A8C5-ECC9F3942E4B}">
                                <a14:imgProps xmlns:a14="http://schemas.microsoft.com/office/drawing/2010/main">
                                  <a14:imgLayer>
                                    <a14:imgEffect>
                                      <a14:backgroundRemoval b="90000" l="10000" r="90000" t="10000"/>
                                    </a14:imgEffect>
                                  </a14:imgLayer>
                                </a14:imgProps>
                              </a:ext>
                            </a:extLst>
                          </a:blip>
                          <a:stretch>
                            <a:fillRect/>
                          </a:stretch>
                        </pic:blipFill>
                        <pic:spPr>
                          <a:xfrm>
                            <a:off x="0" y="0"/>
                            <a:ext cx="232258" cy="180000"/>
                          </a:xfrm>
                          <a:prstGeom prst="rect">
                            <a:avLst/>
                          </a:prstGeom>
                        </pic:spPr>
                      </pic:pic>
                    </a:graphicData>
                  </a:graphic>
                </wp:inline>
              </w:drawing>
            </w:r>
          </w:p>
        </w:tc>
        <w:tc>
          <w:tcPr>
            <w:tcW w:w="4376" w:type="dxa"/>
            <w:gridSpan w:val="2"/>
          </w:tcPr>
          <w:p w:rsidR="0016536A" w:rsidRPr="0016536A" w:rsidP="004614AF">
            <w:pPr>
              <w:spacing w:line="269" w:lineRule="auto"/>
              <w:jc w:val="left"/>
              <w:rPr>
                <w:rFonts w:eastAsia="Calibri"/>
                <w:sz w:val="16"/>
                <w:szCs w:val="20"/>
                <w:rtl/>
              </w:rPr>
            </w:pPr>
            <w:r w:rsidRPr="0016536A">
              <w:rPr>
                <w:rFonts w:eastAsia="Calibri" w:hint="cs"/>
                <w:sz w:val="16"/>
                <w:szCs w:val="20"/>
                <w:rtl/>
              </w:rPr>
              <w:t>קיים באופן חלקי</w:t>
            </w:r>
          </w:p>
        </w:tc>
      </w:tr>
      <w:tr w:rsidTr="0016536A">
        <w:tblPrEx>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115" w:type="dxa"/>
          <w:jc w:val="left"/>
        </w:trPr>
        <w:tc>
          <w:tcPr>
            <w:tcW w:w="720" w:type="dxa"/>
          </w:tcPr>
          <w:p w:rsidR="0016536A" w:rsidRPr="0016536A" w:rsidP="004614AF">
            <w:pPr>
              <w:spacing w:line="269" w:lineRule="auto"/>
              <w:jc w:val="center"/>
              <w:rPr>
                <w:rFonts w:eastAsia="Calibri"/>
                <w:sz w:val="16"/>
                <w:szCs w:val="20"/>
              </w:rPr>
            </w:pPr>
            <w:r w:rsidRPr="0016536A">
              <w:rPr>
                <w:rFonts w:eastAsia="Calibri"/>
                <w:noProof/>
                <w:sz w:val="16"/>
                <w:szCs w:val="20"/>
              </w:rPr>
              <w:drawing>
                <wp:inline distT="0" distB="0" distL="0" distR="0">
                  <wp:extent cx="202247" cy="180000"/>
                  <wp:effectExtent l="0" t="0" r="7620" b="0"/>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xmlns:r="http://schemas.openxmlformats.org/officeDocument/2006/relationships" r:embed="rId39"/>
                          <a:stretch>
                            <a:fillRect/>
                          </a:stretch>
                        </pic:blipFill>
                        <pic:spPr>
                          <a:xfrm>
                            <a:off x="0" y="0"/>
                            <a:ext cx="202247" cy="180000"/>
                          </a:xfrm>
                          <a:prstGeom prst="rect">
                            <a:avLst/>
                          </a:prstGeom>
                        </pic:spPr>
                      </pic:pic>
                    </a:graphicData>
                  </a:graphic>
                </wp:inline>
              </w:drawing>
            </w:r>
          </w:p>
        </w:tc>
        <w:tc>
          <w:tcPr>
            <w:tcW w:w="4376" w:type="dxa"/>
            <w:gridSpan w:val="2"/>
          </w:tcPr>
          <w:p w:rsidR="0016536A" w:rsidRPr="0016536A" w:rsidP="004614AF">
            <w:pPr>
              <w:spacing w:line="269" w:lineRule="auto"/>
              <w:jc w:val="left"/>
              <w:rPr>
                <w:rFonts w:eastAsia="Calibri"/>
                <w:sz w:val="16"/>
                <w:szCs w:val="20"/>
                <w:rtl/>
              </w:rPr>
            </w:pPr>
            <w:r w:rsidRPr="0016536A">
              <w:rPr>
                <w:rFonts w:eastAsia="Calibri" w:hint="cs"/>
                <w:sz w:val="16"/>
                <w:szCs w:val="20"/>
                <w:rtl/>
              </w:rPr>
              <w:t>קיים</w:t>
            </w:r>
          </w:p>
        </w:tc>
      </w:tr>
    </w:tbl>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מהלוח עולה כי במדיניות משרד הבריאות להיערכות מערכת הבריאות להזדקנות האוכלוסייה חסרים מרכיבים משמעותיים - כך לדוגמה משרד הבריאות לא הכין תוכנית אופרטיבית רב-שנתית ליישום התוכניות להזדקנות מיטבית ולהיערכות מערכת הבריאות להזדקנות האוכלוסייה, לא הגדיר מטרות ארוכות טווח ליישומה, ולא גיבש מדדי איכות חדשים שתכליתם שיפור במדדי ההזדקנות.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b/>
          <w:bCs/>
          <w:rtl/>
        </w:rPr>
        <w:t xml:space="preserve">בהיעדר רכיבים בסיסים במדיניות המשרד להיערכות להזדקנות האוכלוסייה ותוכנית עבודה אופרטיבית רב-שנתית ליישומה, משרד הבריאות יתקשה להתאים כראוי את מערכת הבריאות להזדקנות האוכלוסייה, תוך דגש על שיפור בריאות הזקנים והתאמת השירותים לצורכיהם. </w:t>
      </w:r>
    </w:p>
    <w:p w:rsidR="0016536A" w:rsidRPr="0016536A" w:rsidP="004614AF">
      <w:pPr>
        <w:spacing w:line="269" w:lineRule="auto"/>
        <w:rPr>
          <w:rFonts w:eastAsia="Calibri"/>
          <w:b/>
          <w:bCs/>
          <w:rtl/>
        </w:rPr>
      </w:pPr>
    </w:p>
    <w:p w:rsidR="0016536A" w:rsidRPr="0016536A" w:rsidP="004614AF">
      <w:pPr>
        <w:spacing w:line="269" w:lineRule="auto"/>
        <w:rPr>
          <w:rFonts w:eastAsia="Calibri"/>
          <w:b/>
          <w:bCs/>
          <w:rtl/>
        </w:rPr>
      </w:pPr>
      <w:r w:rsidRPr="0016536A">
        <w:rPr>
          <w:rFonts w:eastAsia="Calibri" w:hint="cs"/>
          <w:b/>
          <w:bCs/>
          <w:rtl/>
        </w:rPr>
        <w:t>כן</w:t>
      </w:r>
      <w:r w:rsidRPr="0016536A">
        <w:rPr>
          <w:rFonts w:eastAsia="Calibri"/>
          <w:b/>
          <w:bCs/>
          <w:rtl/>
        </w:rPr>
        <w:t xml:space="preserve"> נמצא כי </w:t>
      </w:r>
      <w:r w:rsidRPr="0016536A">
        <w:rPr>
          <w:rFonts w:eastAsia="Calibri" w:hint="eastAsia"/>
          <w:b/>
          <w:bCs/>
          <w:rtl/>
        </w:rPr>
        <w:t>ב</w:t>
      </w:r>
      <w:r w:rsidRPr="0016536A">
        <w:rPr>
          <w:rFonts w:eastAsia="Calibri" w:hint="cs"/>
          <w:b/>
          <w:bCs/>
          <w:rtl/>
        </w:rPr>
        <w:t xml:space="preserve">שנת </w:t>
      </w:r>
      <w:r w:rsidRPr="0016536A">
        <w:rPr>
          <w:rFonts w:eastAsia="Calibri"/>
          <w:b/>
          <w:bCs/>
          <w:rtl/>
        </w:rPr>
        <w:t xml:space="preserve">2022 </w:t>
      </w:r>
      <w:r w:rsidRPr="0016536A">
        <w:rPr>
          <w:rFonts w:eastAsia="Calibri" w:hint="eastAsia"/>
          <w:b/>
          <w:bCs/>
          <w:rtl/>
        </w:rPr>
        <w:t>הצוות</w:t>
      </w:r>
      <w:r w:rsidRPr="0016536A">
        <w:rPr>
          <w:rFonts w:eastAsia="Calibri"/>
          <w:b/>
          <w:bCs/>
          <w:rtl/>
        </w:rPr>
        <w:t xml:space="preserve"> </w:t>
      </w:r>
      <w:r w:rsidRPr="0016536A">
        <w:rPr>
          <w:rFonts w:eastAsia="Calibri" w:hint="eastAsia"/>
          <w:b/>
          <w:bCs/>
          <w:rtl/>
        </w:rPr>
        <w:t>למניעת</w:t>
      </w:r>
      <w:r w:rsidRPr="0016536A">
        <w:rPr>
          <w:rFonts w:eastAsia="Calibri"/>
          <w:b/>
          <w:bCs/>
          <w:rtl/>
        </w:rPr>
        <w:t xml:space="preserve"> </w:t>
      </w:r>
      <w:r w:rsidRPr="0016536A">
        <w:rPr>
          <w:rFonts w:eastAsia="Calibri" w:hint="eastAsia"/>
          <w:b/>
          <w:bCs/>
          <w:rtl/>
        </w:rPr>
        <w:t>הידרדרות</w:t>
      </w:r>
      <w:r w:rsidRPr="0016536A">
        <w:rPr>
          <w:rFonts w:eastAsia="Calibri"/>
          <w:b/>
          <w:bCs/>
          <w:rtl/>
        </w:rPr>
        <w:t xml:space="preserve"> </w:t>
      </w:r>
      <w:r w:rsidRPr="0016536A">
        <w:rPr>
          <w:rFonts w:eastAsia="Calibri" w:hint="eastAsia"/>
          <w:b/>
          <w:bCs/>
          <w:rtl/>
        </w:rPr>
        <w:t>תפקודית</w:t>
      </w:r>
      <w:r w:rsidRPr="0016536A">
        <w:rPr>
          <w:rFonts w:eastAsia="Calibri"/>
          <w:b/>
          <w:bCs/>
          <w:rtl/>
        </w:rPr>
        <w:t xml:space="preserve"> </w:t>
      </w:r>
      <w:r w:rsidRPr="0016536A">
        <w:rPr>
          <w:rFonts w:eastAsia="Calibri" w:hint="eastAsia"/>
          <w:b/>
          <w:bCs/>
          <w:rtl/>
        </w:rPr>
        <w:t>של</w:t>
      </w:r>
      <w:r w:rsidRPr="0016536A">
        <w:rPr>
          <w:rFonts w:eastAsia="Calibri"/>
          <w:b/>
          <w:bCs/>
          <w:rtl/>
        </w:rPr>
        <w:t xml:space="preserve"> </w:t>
      </w:r>
      <w:r w:rsidRPr="0016536A">
        <w:rPr>
          <w:rFonts w:eastAsia="Calibri" w:hint="eastAsia"/>
          <w:b/>
          <w:bCs/>
          <w:rtl/>
        </w:rPr>
        <w:t>אזרחים</w:t>
      </w:r>
      <w:r w:rsidRPr="0016536A">
        <w:rPr>
          <w:rFonts w:eastAsia="Calibri"/>
          <w:b/>
          <w:bCs/>
          <w:rtl/>
        </w:rPr>
        <w:t xml:space="preserve"> </w:t>
      </w:r>
      <w:r w:rsidRPr="0016536A">
        <w:rPr>
          <w:rFonts w:eastAsia="Calibri" w:hint="eastAsia"/>
          <w:b/>
          <w:bCs/>
          <w:rtl/>
        </w:rPr>
        <w:t>ותיקים</w:t>
      </w:r>
      <w:r w:rsidRPr="0016536A">
        <w:rPr>
          <w:rFonts w:eastAsia="Calibri"/>
          <w:b/>
          <w:bCs/>
          <w:rtl/>
        </w:rPr>
        <w:t xml:space="preserve">, </w:t>
      </w:r>
      <w:r w:rsidRPr="0016536A">
        <w:rPr>
          <w:rFonts w:eastAsia="Calibri" w:hint="eastAsia"/>
          <w:b/>
          <w:bCs/>
          <w:rtl/>
        </w:rPr>
        <w:t>שמינו</w:t>
      </w:r>
      <w:r w:rsidRPr="0016536A">
        <w:rPr>
          <w:rFonts w:eastAsia="Calibri"/>
          <w:b/>
          <w:bCs/>
          <w:rtl/>
        </w:rPr>
        <w:t xml:space="preserve"> </w:t>
      </w:r>
      <w:r w:rsidRPr="0016536A">
        <w:rPr>
          <w:rFonts w:eastAsia="Calibri" w:hint="eastAsia"/>
          <w:b/>
          <w:bCs/>
          <w:rtl/>
        </w:rPr>
        <w:t>שר</w:t>
      </w:r>
      <w:r w:rsidRPr="0016536A">
        <w:rPr>
          <w:rFonts w:eastAsia="Calibri"/>
          <w:b/>
          <w:bCs/>
          <w:rtl/>
        </w:rPr>
        <w:t xml:space="preserve"> </w:t>
      </w:r>
      <w:r w:rsidRPr="0016536A">
        <w:rPr>
          <w:rFonts w:eastAsia="Calibri" w:hint="eastAsia"/>
          <w:b/>
          <w:bCs/>
          <w:rtl/>
        </w:rPr>
        <w:t>הרווחה</w:t>
      </w:r>
      <w:r w:rsidRPr="0016536A">
        <w:rPr>
          <w:rFonts w:eastAsia="Calibri"/>
          <w:b/>
          <w:bCs/>
          <w:rtl/>
        </w:rPr>
        <w:t xml:space="preserve"> </w:t>
      </w:r>
      <w:r w:rsidRPr="0016536A">
        <w:rPr>
          <w:rFonts w:eastAsia="Calibri" w:hint="eastAsia"/>
          <w:b/>
          <w:bCs/>
          <w:rtl/>
        </w:rPr>
        <w:t>והביטחון</w:t>
      </w:r>
      <w:r w:rsidRPr="0016536A">
        <w:rPr>
          <w:rFonts w:eastAsia="Calibri"/>
          <w:b/>
          <w:bCs/>
          <w:rtl/>
        </w:rPr>
        <w:t xml:space="preserve"> </w:t>
      </w:r>
      <w:r w:rsidRPr="0016536A">
        <w:rPr>
          <w:rFonts w:eastAsia="Calibri" w:hint="eastAsia"/>
          <w:b/>
          <w:bCs/>
          <w:rtl/>
        </w:rPr>
        <w:t>החברתי</w:t>
      </w:r>
      <w:r w:rsidRPr="0016536A">
        <w:rPr>
          <w:rFonts w:eastAsia="Calibri"/>
          <w:b/>
          <w:bCs/>
          <w:rtl/>
        </w:rPr>
        <w:t xml:space="preserve"> </w:t>
      </w:r>
      <w:r w:rsidRPr="0016536A">
        <w:rPr>
          <w:rFonts w:eastAsia="Calibri" w:hint="eastAsia"/>
          <w:b/>
          <w:bCs/>
          <w:rtl/>
        </w:rPr>
        <w:t>ושר</w:t>
      </w:r>
      <w:r w:rsidRPr="0016536A">
        <w:rPr>
          <w:rFonts w:eastAsia="Calibri"/>
          <w:b/>
          <w:bCs/>
          <w:rtl/>
        </w:rPr>
        <w:t xml:space="preserve"> </w:t>
      </w:r>
      <w:r w:rsidRPr="0016536A">
        <w:rPr>
          <w:rFonts w:eastAsia="Calibri" w:hint="eastAsia"/>
          <w:b/>
          <w:bCs/>
          <w:rtl/>
        </w:rPr>
        <w:t>הבריאות</w:t>
      </w:r>
      <w:r w:rsidRPr="0016536A">
        <w:rPr>
          <w:rFonts w:eastAsia="Calibri"/>
          <w:b/>
          <w:bCs/>
          <w:rtl/>
        </w:rPr>
        <w:t xml:space="preserve"> (להלן - </w:t>
      </w:r>
      <w:r w:rsidRPr="0016536A">
        <w:rPr>
          <w:rFonts w:eastAsia="Calibri" w:hint="eastAsia"/>
          <w:b/>
          <w:bCs/>
          <w:rtl/>
        </w:rPr>
        <w:t>הצוות</w:t>
      </w:r>
      <w:r w:rsidRPr="0016536A">
        <w:rPr>
          <w:rFonts w:eastAsia="Calibri"/>
          <w:b/>
          <w:bCs/>
          <w:rtl/>
        </w:rPr>
        <w:t xml:space="preserve"> </w:t>
      </w:r>
      <w:r w:rsidRPr="0016536A">
        <w:rPr>
          <w:rFonts w:eastAsia="Calibri" w:hint="eastAsia"/>
          <w:b/>
          <w:bCs/>
          <w:rtl/>
        </w:rPr>
        <w:t>למניעת</w:t>
      </w:r>
      <w:r w:rsidRPr="0016536A">
        <w:rPr>
          <w:rFonts w:eastAsia="Calibri"/>
          <w:b/>
          <w:bCs/>
          <w:rtl/>
        </w:rPr>
        <w:t xml:space="preserve"> </w:t>
      </w:r>
      <w:r w:rsidRPr="0016536A">
        <w:rPr>
          <w:rFonts w:eastAsia="Calibri" w:hint="eastAsia"/>
          <w:b/>
          <w:bCs/>
          <w:rtl/>
        </w:rPr>
        <w:t>הידרדרות</w:t>
      </w:r>
      <w:r w:rsidRPr="0016536A">
        <w:rPr>
          <w:rFonts w:eastAsia="Calibri"/>
          <w:b/>
          <w:bCs/>
          <w:rtl/>
        </w:rPr>
        <w:t xml:space="preserve">), </w:t>
      </w:r>
      <w:r w:rsidRPr="0016536A">
        <w:rPr>
          <w:rFonts w:eastAsia="Calibri" w:hint="eastAsia"/>
          <w:b/>
          <w:bCs/>
          <w:rtl/>
        </w:rPr>
        <w:t>הגיש</w:t>
      </w:r>
      <w:r w:rsidRPr="0016536A">
        <w:rPr>
          <w:rFonts w:eastAsia="Calibri"/>
          <w:b/>
          <w:bCs/>
          <w:rtl/>
        </w:rPr>
        <w:t xml:space="preserve"> </w:t>
      </w:r>
      <w:r w:rsidRPr="0016536A">
        <w:rPr>
          <w:rFonts w:eastAsia="Calibri" w:hint="eastAsia"/>
          <w:b/>
          <w:bCs/>
          <w:rtl/>
        </w:rPr>
        <w:t>את</w:t>
      </w:r>
      <w:r w:rsidRPr="0016536A">
        <w:rPr>
          <w:rFonts w:eastAsia="Calibri"/>
          <w:b/>
          <w:bCs/>
          <w:rtl/>
        </w:rPr>
        <w:t xml:space="preserve"> </w:t>
      </w:r>
      <w:r w:rsidRPr="0016536A">
        <w:rPr>
          <w:rFonts w:eastAsia="Calibri" w:hint="eastAsia"/>
          <w:b/>
          <w:bCs/>
          <w:rtl/>
        </w:rPr>
        <w:t>המלצותיו</w:t>
      </w:r>
      <w:r>
        <w:rPr>
          <w:rFonts w:eastAsia="Calibri"/>
          <w:b/>
          <w:bCs/>
          <w:vertAlign w:val="superscript"/>
          <w:rtl/>
        </w:rPr>
        <w:footnoteReference w:id="166"/>
      </w:r>
      <w:r w:rsidRPr="0016536A">
        <w:rPr>
          <w:rFonts w:eastAsia="Calibri"/>
          <w:b/>
          <w:bCs/>
          <w:rtl/>
        </w:rPr>
        <w:t xml:space="preserve">, </w:t>
      </w:r>
      <w:r w:rsidRPr="0016536A">
        <w:rPr>
          <w:rFonts w:eastAsia="Calibri" w:hint="eastAsia"/>
          <w:b/>
          <w:bCs/>
          <w:rtl/>
        </w:rPr>
        <w:t>והן</w:t>
      </w:r>
      <w:r w:rsidRPr="0016536A">
        <w:rPr>
          <w:rFonts w:eastAsia="Calibri"/>
          <w:b/>
          <w:bCs/>
          <w:rtl/>
        </w:rPr>
        <w:t xml:space="preserve"> </w:t>
      </w:r>
      <w:r w:rsidRPr="0016536A">
        <w:rPr>
          <w:rFonts w:eastAsia="Calibri" w:hint="eastAsia"/>
          <w:b/>
          <w:bCs/>
          <w:rtl/>
        </w:rPr>
        <w:t>אומצו</w:t>
      </w:r>
      <w:r w:rsidRPr="0016536A">
        <w:rPr>
          <w:rFonts w:eastAsia="Calibri"/>
          <w:b/>
          <w:bCs/>
          <w:rtl/>
        </w:rPr>
        <w:t xml:space="preserve"> </w:t>
      </w:r>
      <w:r w:rsidRPr="0016536A">
        <w:rPr>
          <w:rFonts w:eastAsia="Calibri" w:hint="eastAsia"/>
          <w:b/>
          <w:bCs/>
          <w:rtl/>
        </w:rPr>
        <w:t>בהחלטת</w:t>
      </w:r>
      <w:r w:rsidRPr="0016536A">
        <w:rPr>
          <w:rFonts w:eastAsia="Calibri"/>
          <w:b/>
          <w:bCs/>
          <w:rtl/>
        </w:rPr>
        <w:t xml:space="preserve"> </w:t>
      </w:r>
      <w:r w:rsidRPr="0016536A">
        <w:rPr>
          <w:rFonts w:eastAsia="Calibri" w:hint="eastAsia"/>
          <w:b/>
          <w:bCs/>
          <w:rtl/>
        </w:rPr>
        <w:t>הממשלה</w:t>
      </w:r>
      <w:r w:rsidRPr="0016536A">
        <w:rPr>
          <w:rFonts w:eastAsia="Calibri"/>
          <w:b/>
          <w:bCs/>
          <w:rtl/>
        </w:rPr>
        <w:t xml:space="preserve"> </w:t>
      </w:r>
      <w:r w:rsidRPr="0016536A">
        <w:rPr>
          <w:rFonts w:eastAsia="Calibri" w:hint="eastAsia"/>
          <w:b/>
          <w:bCs/>
          <w:rtl/>
        </w:rPr>
        <w:t>ב</w:t>
      </w:r>
      <w:r w:rsidRPr="0016536A">
        <w:rPr>
          <w:rFonts w:eastAsia="Calibri" w:hint="cs"/>
          <w:b/>
          <w:bCs/>
          <w:rtl/>
        </w:rPr>
        <w:t xml:space="preserve">שנת </w:t>
      </w:r>
      <w:r w:rsidRPr="0016536A">
        <w:rPr>
          <w:rFonts w:eastAsia="Calibri"/>
          <w:b/>
          <w:bCs/>
          <w:rtl/>
        </w:rPr>
        <w:t>2023</w:t>
      </w:r>
      <w:r>
        <w:rPr>
          <w:rFonts w:eastAsia="Calibri"/>
          <w:b/>
          <w:bCs/>
          <w:vertAlign w:val="superscript"/>
          <w:rtl/>
        </w:rPr>
        <w:footnoteReference w:id="167"/>
      </w:r>
      <w:r w:rsidRPr="0016536A">
        <w:rPr>
          <w:rFonts w:eastAsia="Calibri"/>
          <w:b/>
          <w:bCs/>
          <w:rtl/>
        </w:rPr>
        <w:t xml:space="preserve">. </w:t>
      </w:r>
      <w:r w:rsidRPr="0016536A">
        <w:rPr>
          <w:rFonts w:eastAsia="Calibri" w:hint="eastAsia"/>
          <w:b/>
          <w:bCs/>
          <w:rtl/>
        </w:rPr>
        <w:t>מ</w:t>
      </w:r>
      <w:r w:rsidRPr="0016536A">
        <w:rPr>
          <w:rFonts w:eastAsia="Calibri"/>
          <w:b/>
          <w:bCs/>
          <w:rtl/>
        </w:rPr>
        <w:t xml:space="preserve">ממצאיו העיקריים של הצוות </w:t>
      </w:r>
      <w:r w:rsidRPr="0016536A">
        <w:rPr>
          <w:rFonts w:eastAsia="Calibri" w:hint="eastAsia"/>
          <w:b/>
          <w:bCs/>
          <w:rtl/>
        </w:rPr>
        <w:t>למניעת</w:t>
      </w:r>
      <w:r w:rsidRPr="0016536A">
        <w:rPr>
          <w:rFonts w:eastAsia="Calibri"/>
          <w:b/>
          <w:bCs/>
          <w:rtl/>
        </w:rPr>
        <w:t xml:space="preserve"> הידרדרות עולה כי </w:t>
      </w:r>
      <w:r w:rsidRPr="0016536A">
        <w:rPr>
          <w:rFonts w:eastAsia="Calibri" w:hint="eastAsia"/>
          <w:b/>
          <w:bCs/>
          <w:rtl/>
        </w:rPr>
        <w:t>אין</w:t>
      </w:r>
      <w:r w:rsidRPr="0016536A">
        <w:rPr>
          <w:rFonts w:eastAsia="Calibri"/>
          <w:b/>
          <w:bCs/>
          <w:rtl/>
        </w:rPr>
        <w:t xml:space="preserve"> בישראל גוף שתכליתו העיקרית היא שימור תפקוד ומניעת ה</w:t>
      </w:r>
      <w:r w:rsidRPr="0016536A">
        <w:rPr>
          <w:rFonts w:eastAsia="Calibri" w:hint="eastAsia"/>
          <w:b/>
          <w:bCs/>
          <w:rtl/>
        </w:rPr>
        <w:t>י</w:t>
      </w:r>
      <w:r w:rsidRPr="0016536A">
        <w:rPr>
          <w:rFonts w:eastAsia="Calibri"/>
          <w:b/>
          <w:bCs/>
          <w:rtl/>
        </w:rPr>
        <w:t xml:space="preserve">דרדרות תפקודית, </w:t>
      </w:r>
      <w:r w:rsidRPr="0016536A">
        <w:rPr>
          <w:rFonts w:eastAsia="Calibri" w:hint="eastAsia"/>
          <w:b/>
          <w:bCs/>
          <w:rtl/>
        </w:rPr>
        <w:t>וכי</w:t>
      </w:r>
      <w:r w:rsidRPr="0016536A">
        <w:rPr>
          <w:rFonts w:eastAsia="Calibri"/>
          <w:b/>
          <w:bCs/>
          <w:rtl/>
        </w:rPr>
        <w:t xml:space="preserve"> לגופים הקיימים אין תמריץ לדאוג לדחיקת התלות של </w:t>
      </w:r>
      <w:r w:rsidRPr="0016536A">
        <w:rPr>
          <w:rFonts w:eastAsia="Calibri" w:hint="cs"/>
          <w:b/>
          <w:bCs/>
          <w:rtl/>
        </w:rPr>
        <w:t>הזקנים</w:t>
      </w:r>
      <w:r>
        <w:rPr>
          <w:rFonts w:eastAsia="Calibri"/>
          <w:b/>
          <w:bCs/>
          <w:vertAlign w:val="superscript"/>
          <w:rtl/>
        </w:rPr>
        <w:footnoteReference w:id="168"/>
      </w:r>
      <w:r w:rsidRPr="0016536A">
        <w:rPr>
          <w:rFonts w:eastAsia="Calibri"/>
          <w:b/>
          <w:bCs/>
          <w:rtl/>
        </w:rPr>
        <w:t xml:space="preserve">. </w:t>
      </w:r>
      <w:r w:rsidRPr="0016536A">
        <w:rPr>
          <w:rFonts w:eastAsia="Calibri" w:hint="eastAsia"/>
          <w:b/>
          <w:bCs/>
          <w:rtl/>
        </w:rPr>
        <w:t>הצוות</w:t>
      </w:r>
      <w:r w:rsidRPr="0016536A">
        <w:rPr>
          <w:rFonts w:eastAsia="Calibri"/>
          <w:b/>
          <w:bCs/>
          <w:rtl/>
        </w:rPr>
        <w:t xml:space="preserve"> קבע כי הדבר נובע בין השאר מכך שאין מדיניות ממשלתית מוסדרת לשימור הבריאות ו</w:t>
      </w:r>
      <w:r w:rsidRPr="0016536A">
        <w:rPr>
          <w:rFonts w:eastAsia="Calibri" w:hint="eastAsia"/>
          <w:b/>
          <w:bCs/>
          <w:rtl/>
        </w:rPr>
        <w:t>ל</w:t>
      </w:r>
      <w:r w:rsidRPr="0016536A">
        <w:rPr>
          <w:rFonts w:eastAsia="Calibri"/>
          <w:b/>
          <w:bCs/>
          <w:rtl/>
        </w:rPr>
        <w:t xml:space="preserve">מניעת </w:t>
      </w:r>
      <w:r w:rsidRPr="0016536A">
        <w:rPr>
          <w:rFonts w:eastAsia="Calibri" w:hint="eastAsia"/>
          <w:b/>
          <w:bCs/>
          <w:rtl/>
        </w:rPr>
        <w:t>ההידרדרות</w:t>
      </w:r>
      <w:r w:rsidRPr="0016536A">
        <w:rPr>
          <w:rFonts w:eastAsia="Calibri"/>
          <w:b/>
          <w:bCs/>
          <w:rtl/>
        </w:rPr>
        <w:t xml:space="preserve"> אצל זקנים.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מאוחדת מסרה בתשובתה כי היא</w:t>
      </w:r>
      <w:r w:rsidRPr="0016536A">
        <w:rPr>
          <w:rFonts w:eastAsia="Calibri"/>
          <w:rtl/>
        </w:rPr>
        <w:t xml:space="preserve"> בחרה להקים מ</w:t>
      </w:r>
      <w:r w:rsidRPr="0016536A">
        <w:rPr>
          <w:rFonts w:eastAsia="Calibri" w:hint="cs"/>
          <w:rtl/>
        </w:rPr>
        <w:t>י</w:t>
      </w:r>
      <w:r w:rsidRPr="0016536A">
        <w:rPr>
          <w:rFonts w:eastAsia="Calibri"/>
          <w:rtl/>
        </w:rPr>
        <w:t>נהל אזרחים</w:t>
      </w:r>
      <w:r w:rsidRPr="0016536A">
        <w:rPr>
          <w:rFonts w:eastAsia="Calibri" w:hint="cs"/>
          <w:rtl/>
        </w:rPr>
        <w:t xml:space="preserve"> </w:t>
      </w:r>
      <w:r w:rsidRPr="0016536A">
        <w:rPr>
          <w:rFonts w:eastAsia="Calibri"/>
          <w:rtl/>
        </w:rPr>
        <w:t>ותיקים לפני כחמש שני</w:t>
      </w:r>
      <w:r w:rsidRPr="0016536A">
        <w:rPr>
          <w:rFonts w:eastAsia="Calibri" w:hint="cs"/>
          <w:rtl/>
        </w:rPr>
        <w:t>ם</w:t>
      </w:r>
      <w:r w:rsidRPr="0016536A">
        <w:rPr>
          <w:rFonts w:eastAsia="Calibri"/>
          <w:rtl/>
        </w:rPr>
        <w:t xml:space="preserve"> כמענה לאתגרים של הזדקנות האוכלוסייה</w:t>
      </w:r>
      <w:r w:rsidRPr="0016536A">
        <w:rPr>
          <w:rFonts w:eastAsia="Calibri" w:hint="cs"/>
          <w:rtl/>
        </w:rPr>
        <w:t xml:space="preserve"> וכי </w:t>
      </w:r>
      <w:r w:rsidRPr="0016536A">
        <w:rPr>
          <w:rFonts w:eastAsia="Calibri"/>
          <w:rtl/>
        </w:rPr>
        <w:t>צוות המ</w:t>
      </w:r>
      <w:r w:rsidRPr="0016536A">
        <w:rPr>
          <w:rFonts w:eastAsia="Calibri" w:hint="cs"/>
          <w:rtl/>
        </w:rPr>
        <w:t>י</w:t>
      </w:r>
      <w:r w:rsidRPr="0016536A">
        <w:rPr>
          <w:rFonts w:eastAsia="Calibri"/>
          <w:rtl/>
        </w:rPr>
        <w:t>נהל עסוק מאז בפיתוח תשתיות, תוכניות ושירותים לזקנים.</w:t>
      </w:r>
      <w:r w:rsidRPr="0016536A">
        <w:rPr>
          <w:rFonts w:eastAsia="Calibri" w:hint="cs"/>
          <w:rtl/>
        </w:rPr>
        <w:t xml:space="preserve"> לאומית מסרה בתשובתה כי </w:t>
      </w:r>
      <w:r w:rsidRPr="0016536A">
        <w:rPr>
          <w:rFonts w:eastAsia="Calibri"/>
          <w:rtl/>
        </w:rPr>
        <w:t xml:space="preserve">הקופה מקבלת את עיקרי ממצאי דוחות מבקר </w:t>
      </w:r>
      <w:r w:rsidRPr="0016536A">
        <w:rPr>
          <w:rFonts w:eastAsia="Calibri"/>
          <w:rtl/>
        </w:rPr>
        <w:t>המדינה, מזהה פערים ואתגרים כפי שעלה בביקורת ופועלת</w:t>
      </w:r>
      <w:r w:rsidRPr="0016536A">
        <w:rPr>
          <w:rFonts w:eastAsia="Calibri" w:hint="cs"/>
          <w:rtl/>
        </w:rPr>
        <w:t xml:space="preserve"> </w:t>
      </w:r>
      <w:r w:rsidRPr="0016536A">
        <w:rPr>
          <w:rFonts w:eastAsia="Calibri"/>
          <w:rtl/>
        </w:rPr>
        <w:t>לצמצומם במסגרת סמכויותיה, משאביה ושיתופי הפעולה הבין</w:t>
      </w:r>
      <w:r w:rsidRPr="0016536A">
        <w:rPr>
          <w:rFonts w:eastAsia="Calibri" w:hint="cs"/>
          <w:rtl/>
        </w:rPr>
        <w:t>-</w:t>
      </w:r>
      <w:r w:rsidRPr="0016536A">
        <w:rPr>
          <w:rFonts w:eastAsia="Calibri"/>
          <w:rtl/>
        </w:rPr>
        <w:t>מערכתיים הנדרשים.</w:t>
      </w:r>
      <w:r w:rsidRPr="0016536A">
        <w:rPr>
          <w:rFonts w:eastAsia="Calibri" w:hint="cs"/>
          <w:rtl/>
        </w:rPr>
        <w:t xml:space="preserve"> </w:t>
      </w:r>
      <w:r w:rsidRPr="0016536A">
        <w:rPr>
          <w:rFonts w:eastAsia="Calibri"/>
          <w:rtl/>
        </w:rPr>
        <w:t xml:space="preserve">הקופה </w:t>
      </w:r>
      <w:r w:rsidRPr="0016536A">
        <w:rPr>
          <w:rFonts w:eastAsia="Calibri" w:hint="cs"/>
          <w:rtl/>
        </w:rPr>
        <w:t>ה</w:t>
      </w:r>
      <w:r w:rsidRPr="0016536A">
        <w:rPr>
          <w:rFonts w:eastAsia="Calibri"/>
          <w:rtl/>
        </w:rPr>
        <w:t xml:space="preserve">דגישה כי ההתמודדות עם הזדקנות האוכלוסייה אינה יכולה להיות באחריות קופות החולים בלבד, אלא </w:t>
      </w:r>
      <w:r w:rsidRPr="0016536A">
        <w:rPr>
          <w:rFonts w:eastAsia="Calibri" w:hint="cs"/>
          <w:rtl/>
        </w:rPr>
        <w:t xml:space="preserve">היא </w:t>
      </w:r>
      <w:r w:rsidRPr="0016536A">
        <w:rPr>
          <w:rFonts w:eastAsia="Calibri"/>
          <w:rtl/>
        </w:rPr>
        <w:t>מחייבת מדיניות לאומית, יעדים ברורים, ת</w:t>
      </w:r>
      <w:r w:rsidRPr="0016536A">
        <w:rPr>
          <w:rFonts w:eastAsia="Calibri" w:hint="cs"/>
          <w:rtl/>
        </w:rPr>
        <w:t>י</w:t>
      </w:r>
      <w:r w:rsidRPr="0016536A">
        <w:rPr>
          <w:rFonts w:eastAsia="Calibri"/>
          <w:rtl/>
        </w:rPr>
        <w:t>עדוף תקציבי ותיאום הדוק בין כלל הגורמים: משרד הבריאות, משרדי הממשלה הרלוונטיים, ה</w:t>
      </w:r>
      <w:r w:rsidRPr="0016536A">
        <w:rPr>
          <w:rFonts w:eastAsia="Calibri" w:hint="cs"/>
          <w:rtl/>
        </w:rPr>
        <w:t>מוסד ל</w:t>
      </w:r>
      <w:r w:rsidRPr="0016536A">
        <w:rPr>
          <w:rFonts w:eastAsia="Calibri"/>
          <w:rtl/>
        </w:rPr>
        <w:t>ביטוח הלאומי והרשויות המקומיות.</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כחלק מהיערכותו להזדקנות האוכלוסייה, מומלץ כי משרד הבריאות ישלים את הפערים בגיבוש המדיניות וביישומה, ובין היתר, מומלץ כי המשרד יגבש תוכנית עבודה רב-שנתית להיערכות מערכת הבריאות להזדקנות האוכלוסייה, יקבע סדרי עדיפויות למימוש התוכנית, יגדיר יעדים ברורים ומדידים, למשל בתחום הארכת תוחלת החיים הבריאים אצל בני 65, ויפתח כלי מדידה למעקב רציף ושיטתי אחר השגתם. </w:t>
      </w:r>
    </w:p>
    <w:p w:rsidR="0016536A" w:rsidRPr="0016536A" w:rsidP="004614AF">
      <w:pPr>
        <w:spacing w:line="269" w:lineRule="auto"/>
        <w:rPr>
          <w:rFonts w:eastAsia="Calibri"/>
          <w:rtl/>
        </w:rPr>
      </w:pPr>
    </w:p>
    <w:p w:rsidR="0016536A" w:rsidRPr="0016536A" w:rsidP="004614AF">
      <w:pPr>
        <w:spacing w:line="269" w:lineRule="auto"/>
        <w:rPr>
          <w:rFonts w:eastAsia="Calibri"/>
          <w:b/>
          <w:bCs/>
          <w:rtl/>
          <w:lang w:eastAsia="he-IL"/>
        </w:rPr>
      </w:pPr>
      <w:r w:rsidRPr="0016536A">
        <w:rPr>
          <w:rFonts w:eastAsia="Calibri" w:hint="cs"/>
          <w:b/>
          <w:bCs/>
          <w:rtl/>
          <w:lang w:eastAsia="he-IL"/>
        </w:rPr>
        <w:t xml:space="preserve">מומלץ עוד כי במסגרת גיבוש תוכנית העבודה הרב-שנתית להיערכות מערכת הבריאות להזדקנות האוכלוסייה ישתף משרד הבריאות את קופות החולים, </w:t>
      </w:r>
      <w:r w:rsidRPr="0016536A">
        <w:rPr>
          <w:rFonts w:eastAsia="Calibri" w:hint="eastAsia"/>
          <w:b/>
          <w:bCs/>
          <w:rtl/>
          <w:lang w:eastAsia="he-IL"/>
        </w:rPr>
        <w:t>כך</w:t>
      </w:r>
      <w:r w:rsidRPr="0016536A">
        <w:rPr>
          <w:rFonts w:eastAsia="Calibri"/>
          <w:b/>
          <w:bCs/>
          <w:rtl/>
          <w:lang w:eastAsia="he-IL"/>
        </w:rPr>
        <w:t xml:space="preserve"> </w:t>
      </w:r>
      <w:r w:rsidRPr="0016536A">
        <w:rPr>
          <w:rFonts w:eastAsia="Calibri" w:hint="eastAsia"/>
          <w:b/>
          <w:bCs/>
          <w:rtl/>
          <w:lang w:eastAsia="he-IL"/>
        </w:rPr>
        <w:t>שהתוכנית</w:t>
      </w:r>
      <w:r w:rsidRPr="0016536A">
        <w:rPr>
          <w:rFonts w:eastAsia="Calibri"/>
          <w:b/>
          <w:bCs/>
          <w:rtl/>
          <w:lang w:eastAsia="he-IL"/>
        </w:rPr>
        <w:t xml:space="preserve"> </w:t>
      </w:r>
      <w:r w:rsidRPr="0016536A">
        <w:rPr>
          <w:rFonts w:eastAsia="Calibri" w:hint="eastAsia"/>
          <w:b/>
          <w:bCs/>
          <w:rtl/>
          <w:lang w:eastAsia="he-IL"/>
        </w:rPr>
        <w:t>תהיה</w:t>
      </w:r>
      <w:r w:rsidRPr="0016536A">
        <w:rPr>
          <w:rFonts w:eastAsia="Calibri"/>
          <w:b/>
          <w:bCs/>
          <w:rtl/>
          <w:lang w:eastAsia="he-IL"/>
        </w:rPr>
        <w:t xml:space="preserve"> </w:t>
      </w:r>
      <w:r w:rsidRPr="0016536A">
        <w:rPr>
          <w:rFonts w:eastAsia="Calibri" w:hint="eastAsia"/>
          <w:b/>
          <w:bCs/>
          <w:rtl/>
          <w:lang w:eastAsia="he-IL"/>
        </w:rPr>
        <w:t>מ</w:t>
      </w:r>
      <w:r w:rsidRPr="0016536A">
        <w:rPr>
          <w:rFonts w:eastAsia="Calibri" w:hint="cs"/>
          <w:b/>
          <w:bCs/>
          <w:rtl/>
          <w:lang w:eastAsia="he-IL"/>
        </w:rPr>
        <w:t>ותאמת</w:t>
      </w:r>
      <w:r w:rsidRPr="0016536A">
        <w:rPr>
          <w:rFonts w:eastAsia="Calibri"/>
          <w:b/>
          <w:bCs/>
          <w:rtl/>
          <w:lang w:eastAsia="he-IL"/>
        </w:rPr>
        <w:t xml:space="preserve"> לצרכי</w:t>
      </w:r>
      <w:r w:rsidRPr="0016536A">
        <w:rPr>
          <w:rFonts w:eastAsia="Calibri" w:hint="cs"/>
          <w:b/>
          <w:bCs/>
          <w:rtl/>
          <w:lang w:eastAsia="he-IL"/>
        </w:rPr>
        <w:t xml:space="preserve">ם של </w:t>
      </w:r>
      <w:r w:rsidRPr="0016536A">
        <w:rPr>
          <w:rFonts w:eastAsia="Calibri" w:hint="eastAsia"/>
          <w:b/>
          <w:bCs/>
          <w:rtl/>
          <w:lang w:eastAsia="he-IL"/>
        </w:rPr>
        <w:t>חברי</w:t>
      </w:r>
      <w:r w:rsidRPr="0016536A">
        <w:rPr>
          <w:rFonts w:eastAsia="Calibri"/>
          <w:b/>
          <w:bCs/>
          <w:rtl/>
          <w:lang w:eastAsia="he-IL"/>
        </w:rPr>
        <w:t xml:space="preserve"> </w:t>
      </w:r>
      <w:r w:rsidRPr="0016536A">
        <w:rPr>
          <w:rFonts w:eastAsia="Calibri" w:hint="eastAsia"/>
          <w:b/>
          <w:bCs/>
          <w:rtl/>
          <w:lang w:eastAsia="he-IL"/>
        </w:rPr>
        <w:t>הקופות</w:t>
      </w:r>
      <w:r w:rsidRPr="0016536A">
        <w:rPr>
          <w:rFonts w:eastAsia="Calibri"/>
          <w:b/>
          <w:bCs/>
          <w:rtl/>
          <w:lang w:eastAsia="he-IL"/>
        </w:rPr>
        <w:t xml:space="preserve"> </w:t>
      </w:r>
      <w:r w:rsidRPr="0016536A">
        <w:rPr>
          <w:rFonts w:eastAsia="Calibri" w:hint="eastAsia"/>
          <w:b/>
          <w:bCs/>
          <w:rtl/>
          <w:lang w:eastAsia="he-IL"/>
        </w:rPr>
        <w:t>הזקנים</w:t>
      </w:r>
      <w:r w:rsidRPr="0016536A">
        <w:rPr>
          <w:rFonts w:eastAsia="Calibri"/>
          <w:b/>
          <w:bCs/>
          <w:rtl/>
          <w:lang w:eastAsia="he-IL"/>
        </w:rPr>
        <w:t>.</w:t>
      </w:r>
    </w:p>
    <w:p w:rsidR="0016536A" w:rsidRPr="0016536A" w:rsidP="004614AF">
      <w:pPr>
        <w:spacing w:line="269" w:lineRule="auto"/>
        <w:rPr>
          <w:rFonts w:eastAsia="Calibri"/>
          <w:rtl/>
          <w:lang w:eastAsia="he-IL"/>
        </w:rPr>
      </w:pPr>
    </w:p>
    <w:p w:rsidR="0016536A" w:rsidRPr="0016536A" w:rsidP="004614AF">
      <w:pPr>
        <w:keepNext/>
        <w:keepLines/>
        <w:spacing w:line="269" w:lineRule="auto"/>
        <w:outlineLvl w:val="2"/>
        <w:rPr>
          <w:rFonts w:eastAsia="Times New Roman"/>
          <w:bCs/>
          <w:szCs w:val="28"/>
          <w:rtl/>
        </w:rPr>
      </w:pPr>
      <w:r w:rsidRPr="0016536A">
        <w:rPr>
          <w:rFonts w:eastAsia="Times New Roman" w:hint="cs"/>
          <w:bCs/>
          <w:szCs w:val="28"/>
          <w:rtl/>
        </w:rPr>
        <w:t>יישום תוכנית העבודה של מערכת הבריאות להיערכות להזדקנות האוכלוסייה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כבר בשנת 2015 הודיע משרד הבריאות כי החל בגיבוש </w:t>
      </w:r>
      <w:r w:rsidRPr="0016536A">
        <w:rPr>
          <w:rFonts w:eastAsia="Calibri"/>
          <w:rtl/>
        </w:rPr>
        <w:t>תוכנית שתתייחס</w:t>
      </w:r>
      <w:r w:rsidRPr="0016536A">
        <w:rPr>
          <w:rFonts w:eastAsia="Calibri" w:hint="cs"/>
          <w:rtl/>
        </w:rPr>
        <w:t xml:space="preserve"> בין היתר</w:t>
      </w:r>
      <w:r w:rsidRPr="0016536A">
        <w:rPr>
          <w:rFonts w:eastAsia="Calibri"/>
          <w:rtl/>
        </w:rPr>
        <w:t xml:space="preserve"> למשאבי כוח אדם </w:t>
      </w:r>
      <w:r w:rsidRPr="0016536A">
        <w:rPr>
          <w:rFonts w:eastAsia="Calibri" w:hint="cs"/>
          <w:rtl/>
        </w:rPr>
        <w:t>ול</w:t>
      </w:r>
      <w:r w:rsidRPr="0016536A">
        <w:rPr>
          <w:rFonts w:eastAsia="Calibri"/>
          <w:rtl/>
        </w:rPr>
        <w:t>מיטות אשפוז שיידרשו ב</w:t>
      </w:r>
      <w:r w:rsidRPr="0016536A">
        <w:rPr>
          <w:rFonts w:eastAsia="Calibri" w:hint="cs"/>
          <w:rtl/>
        </w:rPr>
        <w:t>-20</w:t>
      </w:r>
      <w:r w:rsidRPr="0016536A">
        <w:rPr>
          <w:rFonts w:eastAsia="Calibri"/>
          <w:rtl/>
        </w:rPr>
        <w:t xml:space="preserve"> השנים הבאות</w:t>
      </w:r>
      <w:r w:rsidRPr="0016536A">
        <w:rPr>
          <w:rFonts w:eastAsia="Calibri" w:hint="cs"/>
          <w:rtl/>
        </w:rPr>
        <w:t>, כחלק מההיערכות להזדקנות האוכלוסייה</w:t>
      </w:r>
      <w:r w:rsidRPr="0016536A">
        <w:rPr>
          <w:rFonts w:eastAsia="Calibri"/>
        </w:rPr>
        <w:t>.</w:t>
      </w:r>
      <w:r w:rsidRPr="0016536A">
        <w:rPr>
          <w:rFonts w:eastAsia="Calibri" w:hint="cs"/>
          <w:rtl/>
        </w:rPr>
        <w:t xml:space="preserve"> הודעה זו צוינה במסגרת החלטת הממשלה 150, כאמור.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בדוח המעקב של המועצה הלאומית לכלכלה אחר</w:t>
      </w:r>
      <w:r w:rsidRPr="0016536A">
        <w:rPr>
          <w:rFonts w:eastAsia="Calibri"/>
          <w:rtl/>
        </w:rPr>
        <w:t xml:space="preserve"> יישום הערכת המצב האסטרטגית </w:t>
      </w:r>
      <w:r w:rsidRPr="0016536A">
        <w:rPr>
          <w:rFonts w:eastAsia="Calibri" w:hint="cs"/>
          <w:rtl/>
        </w:rPr>
        <w:t>משנת 2018</w:t>
      </w:r>
      <w:r>
        <w:rPr>
          <w:rFonts w:eastAsia="Calibri"/>
          <w:vertAlign w:val="superscript"/>
          <w:rtl/>
        </w:rPr>
        <w:footnoteReference w:id="169"/>
      </w:r>
      <w:r w:rsidRPr="0016536A">
        <w:rPr>
          <w:rFonts w:eastAsia="Calibri" w:hint="cs"/>
          <w:rtl/>
        </w:rPr>
        <w:t xml:space="preserve"> עלה כי התוכנית שעליה הודיע משרד הבריאות בהחלטה 150 יושמה באופן חלקי בלבד. כך לדוגמה צוין בדוח כי קיים מחסור משמעותי ברופאים גריאטרים; ובנוגע למיטות האשפוז צוין בדוח המעקב כי אומנם נוספו מיטות אשפוז, אך נקבע כי תוספת זו - שהיא כמחצית מהביקוש הצפוי - לא תמנע את הירידה הצפויה בשיעור מיטות האשפוז ביחס לאוכלוסייה. </w:t>
      </w:r>
    </w:p>
    <w:p w:rsidR="0016536A" w:rsidRPr="0016536A" w:rsidP="004614AF">
      <w:pPr>
        <w:spacing w:line="269" w:lineRule="auto"/>
        <w:rPr>
          <w:rFonts w:eastAsia="Calibri"/>
        </w:rPr>
      </w:pPr>
    </w:p>
    <w:p w:rsidR="0016536A" w:rsidRPr="0016536A" w:rsidP="004614AF">
      <w:pPr>
        <w:spacing w:line="269" w:lineRule="auto"/>
        <w:rPr>
          <w:rFonts w:eastAsia="Calibri"/>
          <w:rtl/>
        </w:rPr>
      </w:pPr>
      <w:r w:rsidRPr="0016536A">
        <w:rPr>
          <w:rFonts w:eastAsia="Calibri" w:hint="cs"/>
          <w:rtl/>
        </w:rPr>
        <w:t xml:space="preserve">בביקורת זו נבדק </w:t>
      </w:r>
      <w:r w:rsidRPr="0016536A">
        <w:rPr>
          <w:rFonts w:eastAsia="Calibri" w:hint="eastAsia"/>
          <w:rtl/>
        </w:rPr>
        <w:t>יישומה</w:t>
      </w:r>
      <w:r w:rsidRPr="0016536A">
        <w:rPr>
          <w:rFonts w:eastAsia="Calibri" w:hint="cs"/>
          <w:rtl/>
        </w:rPr>
        <w:t xml:space="preserve"> של הודעת משרד הבריאות בהיבט כוח האדם בנוגע למספר הרופאים המומחים והמתמחים בגריאטריה ובהיבט של מיטות האשפוז הגריאטרי. להלן הפירוט: </w:t>
      </w:r>
    </w:p>
    <w:p w:rsidR="0016536A" w:rsidRPr="0016536A" w:rsidP="004614AF">
      <w:pPr>
        <w:spacing w:line="269" w:lineRule="auto"/>
        <w:rPr>
          <w:rFonts w:eastAsia="Calibri"/>
          <w:rtl/>
        </w:rPr>
      </w:pPr>
    </w:p>
    <w:p w:rsidR="0016536A" w:rsidRPr="0016536A" w:rsidP="004614AF">
      <w:pPr>
        <w:keepNext/>
        <w:keepLines/>
        <w:spacing w:line="269" w:lineRule="auto"/>
        <w:outlineLvl w:val="3"/>
        <w:rPr>
          <w:rFonts w:eastAsia="Times New Roman"/>
          <w:bCs/>
          <w:szCs w:val="26"/>
          <w:rtl/>
        </w:rPr>
      </w:pPr>
      <w:r w:rsidRPr="0016536A">
        <w:rPr>
          <w:rFonts w:eastAsia="Times New Roman" w:hint="cs"/>
          <w:bCs/>
          <w:szCs w:val="26"/>
          <w:rtl/>
        </w:rPr>
        <w:t>מחסור ברופאים מומחים ומתמחים בתחום הגריאטריה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מטרת הרפואה הגריאטרית היא לשמר את בריאותם של הזקנים ואת תפקודם באמצעות מניעת מחלות המלוות את תהליך ההזדקנות, וטיפול בהן ובתוצאותיהן</w:t>
      </w:r>
      <w:r>
        <w:rPr>
          <w:rFonts w:eastAsia="Calibri"/>
          <w:vertAlign w:val="superscript"/>
          <w:rtl/>
        </w:rPr>
        <w:footnoteReference w:id="170"/>
      </w:r>
      <w:r w:rsidRPr="0016536A">
        <w:rPr>
          <w:rFonts w:eastAsia="Calibri" w:hint="cs"/>
          <w:rtl/>
        </w:rPr>
        <w:t xml:space="preserve">. </w:t>
      </w:r>
      <w:r w:rsidRPr="0016536A">
        <w:rPr>
          <w:rFonts w:eastAsia="Calibri"/>
          <w:rtl/>
        </w:rPr>
        <w:t>הגריאטריה היא תחום ברפואה העוסק בבריאותו של המטופל הזקן</w:t>
      </w:r>
      <w:r w:rsidRPr="0016536A">
        <w:rPr>
          <w:rFonts w:eastAsia="Calibri" w:hint="cs"/>
          <w:rtl/>
        </w:rPr>
        <w:t>,</w:t>
      </w:r>
      <w:r w:rsidRPr="0016536A">
        <w:rPr>
          <w:rFonts w:eastAsia="Calibri"/>
          <w:rtl/>
        </w:rPr>
        <w:t xml:space="preserve"> </w:t>
      </w:r>
      <w:r w:rsidRPr="0016536A">
        <w:rPr>
          <w:rFonts w:eastAsia="Calibri" w:hint="cs"/>
          <w:rtl/>
        </w:rPr>
        <w:t>ו</w:t>
      </w:r>
      <w:r w:rsidRPr="0016536A">
        <w:rPr>
          <w:rFonts w:eastAsia="Calibri"/>
          <w:rtl/>
        </w:rPr>
        <w:t>מתמקד</w:t>
      </w:r>
      <w:r w:rsidRPr="0016536A">
        <w:rPr>
          <w:rFonts w:eastAsia="Calibri" w:hint="cs"/>
          <w:rtl/>
        </w:rPr>
        <w:t>ת</w:t>
      </w:r>
      <w:r w:rsidRPr="0016536A">
        <w:rPr>
          <w:rFonts w:eastAsia="Calibri"/>
          <w:rtl/>
        </w:rPr>
        <w:t xml:space="preserve"> בביטויים ייחודיים של מחלות שכיחות וכן בשינויים הפיזיולוגיים הצפויים </w:t>
      </w:r>
      <w:r w:rsidRPr="0016536A">
        <w:rPr>
          <w:rFonts w:eastAsia="Calibri" w:hint="cs"/>
          <w:rtl/>
        </w:rPr>
        <w:t>אצל הזקן</w:t>
      </w:r>
      <w:r w:rsidRPr="0016536A">
        <w:rPr>
          <w:rFonts w:eastAsia="Calibri"/>
          <w:rtl/>
        </w:rPr>
        <w:t>. אופייה המיוחד של הגריאטריה בא לידי ביטוי בתפיסה רחבה וכוללנית של מגוון בעיותיו של המטופל הזקן, תפיסה שאינה מצטמצמת לבעיה רפואית</w:t>
      </w:r>
      <w:r w:rsidRPr="0016536A">
        <w:rPr>
          <w:rFonts w:eastAsia="Calibri" w:hint="cs"/>
          <w:rtl/>
        </w:rPr>
        <w:t xml:space="preserve"> אחת</w:t>
      </w:r>
      <w:r w:rsidRPr="0016536A">
        <w:rPr>
          <w:rFonts w:eastAsia="Calibri"/>
          <w:rtl/>
        </w:rPr>
        <w:t xml:space="preserve"> או </w:t>
      </w:r>
      <w:r w:rsidRPr="0016536A">
        <w:rPr>
          <w:rFonts w:eastAsia="Calibri" w:hint="cs"/>
          <w:rtl/>
        </w:rPr>
        <w:t>ל</w:t>
      </w:r>
      <w:r w:rsidRPr="0016536A">
        <w:rPr>
          <w:rFonts w:eastAsia="Calibri"/>
          <w:rtl/>
        </w:rPr>
        <w:t xml:space="preserve">מערכת </w:t>
      </w:r>
      <w:r w:rsidRPr="0016536A">
        <w:rPr>
          <w:rFonts w:eastAsia="Calibri" w:hint="cs"/>
          <w:rtl/>
        </w:rPr>
        <w:t>יחידה</w:t>
      </w:r>
      <w:r w:rsidRPr="0016536A">
        <w:rPr>
          <w:rFonts w:eastAsia="Calibri"/>
          <w:rtl/>
        </w:rPr>
        <w:t xml:space="preserve">. </w:t>
      </w:r>
      <w:r w:rsidRPr="0016536A">
        <w:rPr>
          <w:rFonts w:eastAsia="Calibri" w:hint="cs"/>
          <w:rtl/>
        </w:rPr>
        <w:t>ל</w:t>
      </w:r>
      <w:r w:rsidRPr="0016536A">
        <w:rPr>
          <w:rFonts w:eastAsia="Calibri"/>
          <w:rtl/>
        </w:rPr>
        <w:t>גריאטריה תפיסה אינטגרטיבית ורב</w:t>
      </w:r>
      <w:r w:rsidRPr="0016536A">
        <w:rPr>
          <w:rFonts w:eastAsia="Calibri" w:hint="cs"/>
          <w:rtl/>
        </w:rPr>
        <w:t>-</w:t>
      </w:r>
      <w:r w:rsidRPr="0016536A">
        <w:rPr>
          <w:rFonts w:eastAsia="Calibri"/>
          <w:rtl/>
        </w:rPr>
        <w:t>תחומית המשלבת רפואה פנימית, נוירולוגיה, פסיכיאטריה, אורתופדיה, רפואת שיקום, פרמקולוגיה קלינית</w:t>
      </w:r>
      <w:r>
        <w:rPr>
          <w:rFonts w:eastAsia="Calibri"/>
          <w:vertAlign w:val="superscript"/>
          <w:rtl/>
        </w:rPr>
        <w:footnoteReference w:id="171"/>
      </w:r>
      <w:r w:rsidRPr="0016536A">
        <w:rPr>
          <w:rFonts w:eastAsia="Calibri"/>
          <w:rtl/>
        </w:rPr>
        <w:t>, רפואה מונעת ו</w:t>
      </w:r>
      <w:r w:rsidRPr="0016536A">
        <w:rPr>
          <w:rFonts w:eastAsia="Calibri" w:hint="cs"/>
          <w:rtl/>
        </w:rPr>
        <w:t>עוד</w:t>
      </w:r>
      <w:r>
        <w:rPr>
          <w:rFonts w:eastAsia="Calibri"/>
          <w:vertAlign w:val="superscript"/>
          <w:rtl/>
        </w:rPr>
        <w:footnoteReference w:id="172"/>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הצורך בהגדלת כוח האדם המקצועי לטיפול בזקנים, ובכלל זה רופאים גריאטרים, כחלק מההיערכות להזדקנות האוכלוסייה, מוכר זה עשורים. כך לדוגמה הוא הוצג כבר לפני כחמש עשרה שנים בדוח ועדת שטסמן</w:t>
      </w:r>
      <w:r>
        <w:rPr>
          <w:rFonts w:eastAsia="Calibri"/>
          <w:vertAlign w:val="superscript"/>
          <w:rtl/>
        </w:rPr>
        <w:footnoteReference w:id="173"/>
      </w:r>
      <w:r w:rsidRPr="0016536A">
        <w:rPr>
          <w:rFonts w:eastAsia="Calibri" w:hint="cs"/>
          <w:rtl/>
        </w:rPr>
        <w:t xml:space="preserve">. בדוח שפרסמה המליצה ועדת שטסמן שכדי להתמודד עם אתגר </w:t>
      </w:r>
      <w:r w:rsidRPr="0016536A">
        <w:rPr>
          <w:rFonts w:eastAsia="Calibri" w:hint="cs"/>
          <w:rtl/>
        </w:rPr>
        <w:t xml:space="preserve">הגידול באוכלוסיית הזקנים יש לתת תמריצים להתמחות ברפואה גריאטרית, וזאת כדי להכשיר את הרופאים הגריאטרים שיידרשו.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cs"/>
          <w:bCs/>
          <w:spacing w:val="40"/>
          <w:rtl/>
        </w:rPr>
        <w:t>גריאטריה כמקצוע במצוקה:</w:t>
      </w:r>
      <w:r w:rsidRPr="0016536A">
        <w:rPr>
          <w:rFonts w:eastAsia="Calibri" w:hint="cs"/>
          <w:rtl/>
        </w:rPr>
        <w:t xml:space="preserve"> </w:t>
      </w:r>
      <w:r w:rsidRPr="0016536A">
        <w:rPr>
          <w:rFonts w:eastAsia="Calibri"/>
          <w:rtl/>
        </w:rPr>
        <w:t>במקצועות רפואיים מסוימים המחסור ברופאים מומחים הוא אקוטי</w:t>
      </w:r>
      <w:r w:rsidRPr="0016536A">
        <w:rPr>
          <w:rFonts w:eastAsia="Calibri" w:hint="cs"/>
          <w:rtl/>
        </w:rPr>
        <w:t>, ולכן הם מוגדרים "מקצוע במצוקה"</w:t>
      </w:r>
      <w:r>
        <w:rPr>
          <w:rFonts w:eastAsia="Calibri"/>
          <w:vertAlign w:val="superscript"/>
          <w:rtl/>
        </w:rPr>
        <w:footnoteReference w:id="174"/>
      </w:r>
      <w:r w:rsidRPr="0016536A">
        <w:rPr>
          <w:rFonts w:eastAsia="Calibri" w:hint="cs"/>
          <w:rtl/>
        </w:rPr>
        <w:t>. כבר בשנת 2011 הגדיר משרד הבריאות את הגריאטריה כמקצוע במצוקה, דהיינו, התמחות רפואית שחסרים בה רופאים מומחים</w:t>
      </w:r>
      <w:r>
        <w:rPr>
          <w:rFonts w:eastAsia="Calibri"/>
          <w:vertAlign w:val="superscript"/>
          <w:rtl/>
        </w:rPr>
        <w:footnoteReference w:id="175"/>
      </w:r>
      <w:r w:rsidRPr="0016536A">
        <w:rPr>
          <w:rFonts w:eastAsia="Calibri" w:hint="cs"/>
          <w:rtl/>
        </w:rPr>
        <w:t>; בשנת 2020 פרסמה נציבות שירות המדינה עדכון של רשימת המקצועות שבמצוקה - הגריאטריה נותרה ברשימה כמקצוע במצוקה; בדוח ועדה בראשותו של פרופ' רוני גמזו בנושא התכנון ארוך הטווח של כוח אדם רפואי בישראל שפרסם משרד הבריאות בשנת 2022</w:t>
      </w:r>
      <w:r>
        <w:rPr>
          <w:rFonts w:eastAsia="Calibri"/>
          <w:vertAlign w:val="superscript"/>
          <w:rtl/>
        </w:rPr>
        <w:footnoteReference w:id="176"/>
      </w:r>
      <w:r w:rsidRPr="0016536A">
        <w:rPr>
          <w:rFonts w:eastAsia="Calibri" w:hint="cs"/>
          <w:rtl/>
        </w:rPr>
        <w:t xml:space="preserve"> צוין המחסור ברופאים מתמחים בתחום הגריאטריה; ו</w:t>
      </w:r>
      <w:r w:rsidRPr="0016536A">
        <w:rPr>
          <w:rFonts w:eastAsia="Calibri"/>
          <w:rtl/>
        </w:rPr>
        <w:t xml:space="preserve">באוגוסט 2023 </w:t>
      </w:r>
      <w:r w:rsidRPr="0016536A">
        <w:rPr>
          <w:rFonts w:eastAsia="Calibri" w:hint="cs"/>
          <w:rtl/>
        </w:rPr>
        <w:t>הוגדרה הגריאטריה כאחד מה</w:t>
      </w:r>
      <w:r w:rsidRPr="0016536A">
        <w:rPr>
          <w:rFonts w:eastAsia="Calibri"/>
          <w:rtl/>
        </w:rPr>
        <w:t xml:space="preserve">מקצועות </w:t>
      </w:r>
      <w:r w:rsidRPr="0016536A">
        <w:rPr>
          <w:rFonts w:eastAsia="Calibri" w:hint="cs"/>
          <w:rtl/>
        </w:rPr>
        <w:t>ש</w:t>
      </w:r>
      <w:r w:rsidRPr="0016536A">
        <w:rPr>
          <w:rFonts w:eastAsia="Calibri"/>
          <w:rtl/>
        </w:rPr>
        <w:t>נמצאים במחסור</w:t>
      </w:r>
      <w:r w:rsidRPr="0016536A">
        <w:rPr>
          <w:rFonts w:eastAsia="Calibri" w:hint="cs"/>
          <w:rtl/>
        </w:rPr>
        <w:t>. לנושא המחסור ברופאים גריאטרים התייחסה גם המועצה הלאומית לגריאטריה בדיוניה</w:t>
      </w:r>
      <w:r>
        <w:rPr>
          <w:rFonts w:eastAsia="Calibri"/>
          <w:vertAlign w:val="superscript"/>
          <w:rtl/>
        </w:rPr>
        <w:footnoteReference w:id="177"/>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דוח מבקר המדינה מ-2024, שעסק בטיפול ובשיקום של נפגעי שבץ מוחי, הצביע אף הוא על המחסור ברופאים גריאטרים והמליץ למשרד הבריאות לגבש תוכנית להשלמת פערי כוח האדם בתחום הגריאטריה</w:t>
      </w:r>
      <w:r>
        <w:rPr>
          <w:rFonts w:eastAsia="Calibri"/>
          <w:vertAlign w:val="superscript"/>
          <w:rtl/>
        </w:rPr>
        <w:footnoteReference w:id="178"/>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היות שמקצוע הגריאטריה הוגדר כמקצוע במצוקה, והמחסור ברופאים מומחים בגריאטריה ידוע זה שנים, ובמקביל, שיעור הזקנים באוכלוסייה הולך ועולה עם השנים, היה מצופה שמספר הרופאים המומחים בתחום הגריאטריה יעלה אף הוא עם השנים. ואכן, בשנים 2020 - 2024 עלה מספרם ב-28% (מ-476 ל-607). בביקורת נבדק השינוי במספר הרופאים המומחים בתחום הגריאטריה ל-1,000 איש, בשנים 2020 - 2024, ושיעורם נאמד ב-2030 וב-2040</w:t>
      </w:r>
      <w:r>
        <w:rPr>
          <w:rFonts w:eastAsia="Calibri"/>
          <w:vertAlign w:val="superscript"/>
          <w:rtl/>
        </w:rPr>
        <w:footnoteReference w:id="179"/>
      </w:r>
      <w:r w:rsidRPr="0016536A">
        <w:rPr>
          <w:rFonts w:eastAsia="Calibri" w:hint="cs"/>
          <w:rtl/>
        </w:rPr>
        <w:t>. הבדיקה נערכה בחלוקה בין בני 65 ומעלה לבני 75 ומעלה, שכן בקרב בני 75 ומעלה שכיחות המחלות והאשפוזים גבוהה יותר</w:t>
      </w:r>
      <w:r>
        <w:rPr>
          <w:rFonts w:eastAsia="Calibri"/>
          <w:vertAlign w:val="superscript"/>
          <w:rtl/>
        </w:rPr>
        <w:footnoteReference w:id="180"/>
      </w:r>
      <w:r w:rsidRPr="0016536A">
        <w:rPr>
          <w:rFonts w:eastAsia="Calibri" w:hint="cs"/>
          <w:rtl/>
        </w:rPr>
        <w:t>. הנתונים מוצגים בתרשים שלהלן.</w:t>
      </w:r>
    </w:p>
    <w:p w:rsidR="0016536A" w:rsidRPr="0016536A" w:rsidP="004614AF">
      <w:pPr>
        <w:spacing w:line="269" w:lineRule="auto"/>
        <w:rPr>
          <w:rFonts w:eastAsia="Calibri"/>
          <w:rtl/>
        </w:rPr>
      </w:pPr>
    </w:p>
    <w:p w:rsidR="00AF088B" w:rsidRPr="0016536A" w:rsidP="0026570E">
      <w:pPr>
        <w:keepNext/>
        <w:keepLines/>
        <w:spacing w:after="120" w:line="269" w:lineRule="auto"/>
        <w:jc w:val="center"/>
        <w:rPr>
          <w:rFonts w:eastAsia="Calibri"/>
          <w:b/>
          <w:bCs/>
          <w:rtl/>
        </w:rPr>
      </w:pPr>
      <w:r w:rsidRPr="0016536A">
        <w:rPr>
          <w:rFonts w:eastAsia="Calibri" w:hint="cs"/>
          <w:rtl/>
        </w:rPr>
        <w:t xml:space="preserve">תרשים 22: </w:t>
      </w:r>
      <w:r w:rsidRPr="0016536A">
        <w:rPr>
          <w:rFonts w:eastAsia="Calibri" w:hint="cs"/>
          <w:b/>
          <w:bCs/>
          <w:rtl/>
        </w:rPr>
        <w:t>מספר הרופאים הגריאטרים ל-1,000 איש, לפי גיל המטופלים</w:t>
      </w:r>
      <w:r w:rsidRPr="0016536A">
        <w:rPr>
          <w:rFonts w:eastAsia="Calibri" w:hint="cs"/>
          <w:rtl/>
        </w:rPr>
        <w:t>,</w:t>
      </w:r>
      <w:r w:rsidRPr="0016536A">
        <w:rPr>
          <w:rFonts w:eastAsia="Calibri" w:hint="cs"/>
          <w:b/>
          <w:bCs/>
          <w:rtl/>
        </w:rPr>
        <w:t xml:space="preserve"> 2020 - 2024</w:t>
      </w:r>
      <w:r w:rsidRPr="0016536A">
        <w:rPr>
          <w:rFonts w:eastAsia="Calibri" w:hint="cs"/>
          <w:rtl/>
        </w:rPr>
        <w:t xml:space="preserve">, </w:t>
      </w:r>
      <w:r w:rsidRPr="0016536A">
        <w:rPr>
          <w:rFonts w:eastAsia="Calibri" w:hint="cs"/>
          <w:b/>
          <w:bCs/>
          <w:rtl/>
        </w:rPr>
        <w:t>ואומדן לשנת 2030 ולשנת 2024</w:t>
      </w:r>
    </w:p>
    <w:p w:rsidR="0016536A" w:rsidRPr="0016536A" w:rsidP="004614AF">
      <w:pPr>
        <w:spacing w:line="269" w:lineRule="auto"/>
        <w:jc w:val="center"/>
        <w:rPr>
          <w:rFonts w:eastAsia="Calibri"/>
          <w:b/>
          <w:bCs/>
          <w:rtl/>
        </w:rPr>
      </w:pPr>
      <w:r w:rsidRPr="0016536A">
        <w:rPr>
          <w:rFonts w:eastAsia="Calibri"/>
          <w:b/>
          <w:bCs/>
          <w:noProof/>
        </w:rPr>
        <w:drawing>
          <wp:inline distT="0" distB="0" distL="0" distR="0">
            <wp:extent cx="5231130" cy="2804160"/>
            <wp:effectExtent l="0" t="0" r="7620" b="0"/>
            <wp:docPr id="38" name="תמונה 38" descr="מספר ל-1,000 איש +75:&#10;2020: 1.07&#10;2021: 1.07&#10;2022: 1.05&#10;2023: 1.01&#10;2024: 1.05&#10;אומדן ל-2030: 0.96&#10;אומדן ל-2040: 0.99&#10;&#10;מספר ל-1000 איש 65 - 75:&#10;2020: 0.72&#10;2021: 0.73&#10;2022: 0.75&#10;2023: 0.79&#10;2024: 0.86&#10;אומדן ל-2030: 0.99&#10;אומדן ל-2040: 1.12&#10;&#10;מספר ל-1000 איש +65:&#10;2020: 0.43&#10;2021: 0.43&#10;2022: 0.44&#10;2023: 0.44&#10;2024: 0.47&#10;אומדן ל-2030: 0.49&#10;אומדן ל-2040: 0.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804160"/>
                    </a:xfrm>
                    <a:prstGeom prst="rect">
                      <a:avLst/>
                    </a:prstGeom>
                    <a:noFill/>
                  </pic:spPr>
                </pic:pic>
              </a:graphicData>
            </a:graphic>
          </wp:inline>
        </w:drawing>
      </w:r>
    </w:p>
    <w:p w:rsidR="0016536A" w:rsidRPr="0026570E" w:rsidP="0026570E">
      <w:pPr>
        <w:spacing w:before="120" w:line="269" w:lineRule="auto"/>
        <w:rPr>
          <w:rFonts w:eastAsia="Calibri"/>
          <w:szCs w:val="20"/>
          <w:rtl/>
        </w:rPr>
      </w:pPr>
      <w:r w:rsidRPr="0026570E">
        <w:rPr>
          <w:rFonts w:eastAsia="Calibri" w:hint="cs"/>
          <w:szCs w:val="20"/>
          <w:rtl/>
        </w:rPr>
        <w:t>על פי נתוני משרד הבריאות</w:t>
      </w:r>
      <w:r>
        <w:rPr>
          <w:rFonts w:eastAsia="Calibri"/>
          <w:szCs w:val="20"/>
          <w:vertAlign w:val="superscript"/>
          <w:rtl/>
        </w:rPr>
        <w:footnoteReference w:id="181"/>
      </w:r>
      <w:r w:rsidRPr="0026570E">
        <w:rPr>
          <w:rFonts w:eastAsia="Calibri" w:hint="cs"/>
          <w:szCs w:val="20"/>
          <w:rtl/>
        </w:rPr>
        <w:t>, בעיבוד משרד מבקר המדינה</w:t>
      </w:r>
      <w:r>
        <w:rPr>
          <w:rFonts w:eastAsia="Calibri"/>
          <w:szCs w:val="20"/>
          <w:vertAlign w:val="superscript"/>
          <w:rtl/>
        </w:rPr>
        <w:footnoteReference w:id="182"/>
      </w:r>
      <w:r w:rsidRPr="0026570E">
        <w:rPr>
          <w:rFonts w:eastAsia="Calibri" w:hint="cs"/>
          <w:szCs w:val="20"/>
          <w:rtl/>
        </w:rPr>
        <w:t>.</w:t>
      </w:r>
    </w:p>
    <w:p w:rsidR="0016536A" w:rsidRPr="0016536A" w:rsidP="004614AF">
      <w:pPr>
        <w:spacing w:line="269" w:lineRule="auto"/>
        <w:rPr>
          <w:rFonts w:eastAsia="Calibri"/>
          <w:rtl/>
        </w:rPr>
      </w:pPr>
    </w:p>
    <w:p w:rsidR="0016536A" w:rsidRPr="0016536A" w:rsidP="004614AF">
      <w:pPr>
        <w:tabs>
          <w:tab w:val="left" w:pos="2409"/>
        </w:tabs>
        <w:spacing w:line="269" w:lineRule="auto"/>
        <w:rPr>
          <w:rFonts w:eastAsia="Calibri"/>
          <w:b/>
          <w:bCs/>
          <w:rtl/>
        </w:rPr>
      </w:pPr>
      <w:r w:rsidRPr="0016536A">
        <w:rPr>
          <w:rFonts w:eastAsia="Calibri" w:hint="cs"/>
          <w:b/>
          <w:bCs/>
          <w:rtl/>
        </w:rPr>
        <w:t>אף שמקצוע הגריאטריה הוגדר כבר לפני כ-15 שנים "מקצוע במצוקה" בשל המחסור ברופאים גריאטרים, ואף שמספר הזקנים באוכלוסייה הולך וגדל, מהתרשים עולה כי בין השנים 2020 - 2024, כמעט שלא השתנה מספר הרופאים הגריאטרים ל-1,000 איש בני 65 - 75 (0.86 רופאים ב-2024 לעומת 0.72 רופאים בשנת 2020) וכן לבני 75 ומעלה (1.05 רופאים ב-2024 לעומת 1.07 רופאים בשנת 2020). אומדן לשנת 2030 ולשנת 2040 מעלה כי אומנם שיעור הרופאים הגריאטרים ל-1,000 איש בני 65 - 75 צפוי לעלות (ל-0.99 ול-1.12 רופאים, בהתאמה), אולם שיעורם ל-1,000 איש בני 75 ומעלה צפוי לרדת (ל-0.96 ב-2030 ול-0.99 בשנת 2040), לנוכח קצב הגידול הנוכחי במספר הרופאים הגריאטרים והגידול המהיר הצפוי באוכלוסיית בני ה-75 ומעלה. עולה אפוא כי למרות מאמצי משרד הבריאות להעלות את מספר הרופאים הגריאטרים, שיעורם לבני 75 ומעלה, שיזדקקו במיוחד לשירותיהם - הולך ויורד ואף צפוי לרדת עוד בעתיד.</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rtl/>
        </w:rPr>
        <w:t>גם בקרב המתמחים בתחום הגריאטריה (שצפויים להיות בעתיד רופאים מומחים בתחום זה), זיהה צוות הביקורת בעיה דומה. בתרשים שלהלן מוצג השינוי במספר המתמחים בתחום הגריאטריה בשנים 2020 - 2024, ואומדן לשנת 2030 ולשנת 2040</w:t>
      </w:r>
      <w:r>
        <w:rPr>
          <w:rFonts w:eastAsia="Calibri"/>
          <w:vertAlign w:val="superscript"/>
          <w:rtl/>
        </w:rPr>
        <w:footnoteReference w:id="183"/>
      </w:r>
      <w:r w:rsidRPr="0016536A">
        <w:rPr>
          <w:rFonts w:eastAsia="Calibri" w:hint="cs"/>
          <w:rtl/>
        </w:rPr>
        <w:t>.</w:t>
      </w:r>
    </w:p>
    <w:p w:rsidR="0016536A" w:rsidRPr="0016536A" w:rsidP="004614AF">
      <w:pPr>
        <w:spacing w:line="269" w:lineRule="auto"/>
        <w:rPr>
          <w:rFonts w:eastAsia="Calibri"/>
          <w:rtl/>
        </w:rPr>
      </w:pPr>
    </w:p>
    <w:p w:rsidR="0016536A" w:rsidRPr="0016536A" w:rsidP="0026570E">
      <w:pPr>
        <w:keepNext/>
        <w:keepLines/>
        <w:spacing w:after="120" w:line="269" w:lineRule="auto"/>
        <w:jc w:val="center"/>
        <w:rPr>
          <w:rFonts w:eastAsia="Calibri"/>
          <w:b/>
          <w:bCs/>
          <w:rtl/>
        </w:rPr>
      </w:pPr>
      <w:r w:rsidRPr="0016536A">
        <w:rPr>
          <w:rFonts w:eastAsia="Calibri" w:hint="cs"/>
          <w:rtl/>
        </w:rPr>
        <w:t xml:space="preserve">תרשים 23: </w:t>
      </w:r>
      <w:r w:rsidRPr="0016536A">
        <w:rPr>
          <w:rFonts w:eastAsia="Calibri" w:hint="cs"/>
          <w:b/>
          <w:bCs/>
          <w:rtl/>
        </w:rPr>
        <w:t>מספר הרופאים שהתחילו התמחות בגריאטריה ל-1,000 איש, לפי גיל המטופלים, 2020 - 2024, ואומדן לשנת 2030 ולשנת 2040</w:t>
      </w:r>
    </w:p>
    <w:p w:rsidR="0016536A" w:rsidRPr="0016536A" w:rsidP="004614AF">
      <w:pPr>
        <w:spacing w:line="269" w:lineRule="auto"/>
        <w:jc w:val="center"/>
        <w:rPr>
          <w:rFonts w:eastAsia="Calibri"/>
          <w:sz w:val="16"/>
          <w:szCs w:val="20"/>
          <w:rtl/>
        </w:rPr>
      </w:pPr>
      <w:r w:rsidRPr="0016536A">
        <w:rPr>
          <w:rFonts w:eastAsia="Calibri"/>
          <w:noProof/>
        </w:rPr>
        <w:drawing>
          <wp:inline distT="0" distB="0" distL="0" distR="0">
            <wp:extent cx="5231130" cy="2804160"/>
            <wp:effectExtent l="0" t="0" r="7620" b="0"/>
            <wp:docPr id="39" name="תמונה 39" descr="מספר ל-1,000 איש +75:&#10;2020: 0.13&#10;2021: 0.16&#10;2022: 0.18&#10;2023: 0.13&#10;2024: 0.15&#10;אומדן ל-2030: 0.14&#10;אומדן ל-2040: 0.15&#10;&#10;מספר ל-1,000 איש 65 - 74:&#10;2020: 0.09&#10;2021: 0.11&#10;2022: 0.13&#10;2023: 0.10&#10;2024: 0.12&#10;אומדן ל-2030: 0.15&#10;אומדן ל-2040: 0.17&#10;&#10;מספר ל-1,000 איש +65:&#10;2020: 0.05&#10;2021: 0.07&#10;2022: 0.08&#10;2023: 0.06&#10;2024: 0.07&#10;אומדן ל-2030: 0.07&#10;אומדן ל-2040: 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804160"/>
                    </a:xfrm>
                    <a:prstGeom prst="rect">
                      <a:avLst/>
                    </a:prstGeom>
                    <a:noFill/>
                  </pic:spPr>
                </pic:pic>
              </a:graphicData>
            </a:graphic>
          </wp:inline>
        </w:drawing>
      </w:r>
    </w:p>
    <w:p w:rsidR="0016536A" w:rsidRPr="0016536A" w:rsidP="0026570E">
      <w:pPr>
        <w:spacing w:before="120" w:line="269" w:lineRule="auto"/>
        <w:rPr>
          <w:rFonts w:eastAsia="Calibri"/>
          <w:b/>
          <w:bCs/>
          <w:rtl/>
        </w:rPr>
      </w:pPr>
      <w:r w:rsidRPr="0016536A">
        <w:rPr>
          <w:rFonts w:eastAsia="Calibri" w:hint="cs"/>
          <w:sz w:val="16"/>
          <w:szCs w:val="20"/>
          <w:rtl/>
        </w:rPr>
        <w:t>על פי נתוני הר"י, בעיבוד משרד מבקר המדינה</w:t>
      </w:r>
      <w:r w:rsidRPr="0016536A">
        <w:rPr>
          <w:rFonts w:eastAsia="Calibri"/>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b/>
          <w:bCs/>
          <w:rtl/>
        </w:rPr>
        <w:t>מהתרשים עולה כי למרות המחסור ברופאים גריאטרים, לא חל שינוי משמעותי במספר הרופאים שהתחילו התמחות בגריאטריה ל-1,000 איש בני 75 ומעלה בשנים 2020 - 2024, וכי העלייה בשיעורם בין שנת 2020 לשנת 2022 התחלפה בירידה של כ-28% בין שנת 2022 לשנת 2024. כך, לדוגמה, בעוד שבשנת 2022 שיעור המתמחים עמד על מתמחה אחד לכ-5,600 בני 75 ומעלה, הרי שבשנת 2024 הוא עמד על מתמחה אחד לכ-6,700.</w:t>
      </w:r>
      <w:r w:rsidRPr="0016536A">
        <w:rPr>
          <w:rFonts w:eastAsia="Calibri" w:hint="cs"/>
          <w:rtl/>
        </w:rPr>
        <w:t xml:space="preserve"> </w:t>
      </w:r>
      <w:r w:rsidRPr="0016536A">
        <w:rPr>
          <w:rFonts w:eastAsia="Calibri" w:hint="eastAsia"/>
          <w:b/>
          <w:bCs/>
          <w:rtl/>
        </w:rPr>
        <w:t>מהאומדן</w:t>
      </w:r>
      <w:r w:rsidRPr="0016536A">
        <w:rPr>
          <w:rFonts w:eastAsia="Calibri"/>
          <w:b/>
          <w:bCs/>
          <w:rtl/>
        </w:rPr>
        <w:t xml:space="preserve"> עולה </w:t>
      </w:r>
      <w:r w:rsidRPr="0016536A">
        <w:rPr>
          <w:rFonts w:eastAsia="Calibri" w:hint="cs"/>
          <w:b/>
          <w:bCs/>
          <w:rtl/>
        </w:rPr>
        <w:t>כי גם כאן</w:t>
      </w:r>
      <w:r w:rsidRPr="0016536A">
        <w:rPr>
          <w:rFonts w:eastAsia="Calibri"/>
          <w:b/>
          <w:bCs/>
          <w:rtl/>
        </w:rPr>
        <w:t xml:space="preserve"> עד ל</w:t>
      </w:r>
      <w:r w:rsidRPr="0016536A">
        <w:rPr>
          <w:rFonts w:eastAsia="Calibri" w:hint="cs"/>
          <w:b/>
          <w:bCs/>
          <w:rtl/>
        </w:rPr>
        <w:t xml:space="preserve">שנת </w:t>
      </w:r>
      <w:r w:rsidRPr="0016536A">
        <w:rPr>
          <w:rFonts w:eastAsia="Calibri"/>
          <w:b/>
          <w:bCs/>
          <w:rtl/>
        </w:rPr>
        <w:t>2040 לא יחול שינוי משמעותי בשיעור המתמחים ל-1</w:t>
      </w:r>
      <w:r w:rsidRPr="0016536A">
        <w:rPr>
          <w:rFonts w:eastAsia="Calibri" w:hint="cs"/>
          <w:b/>
          <w:bCs/>
          <w:rtl/>
        </w:rPr>
        <w:t>,</w:t>
      </w:r>
      <w:r w:rsidRPr="0016536A">
        <w:rPr>
          <w:rFonts w:eastAsia="Calibri"/>
          <w:b/>
          <w:bCs/>
          <w:rtl/>
        </w:rPr>
        <w:t>000 איש בני 75 ומעלה (0.15)</w:t>
      </w:r>
      <w:r w:rsidRPr="0016536A">
        <w:rPr>
          <w:rFonts w:eastAsia="Calibri" w:hint="cs"/>
          <w:b/>
          <w:bCs/>
          <w:rtl/>
        </w:rPr>
        <w:t>, לנוכח קצב הגידול הנוכחי במספר המתמחים</w:t>
      </w:r>
      <w:r w:rsidRPr="0016536A">
        <w:rPr>
          <w:rFonts w:eastAsia="Calibri"/>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בסקר רופאי משפחה ציינו גם הרופאים כי מחסור חמור בגריאטרים - כמו גם בכוח אדם פרה-רפואי כגון פיזיותרפיסטים ותזונאיות - הוא בין האתגרים המשמעותיים ביותר להיערכות מערכת הבריאות להזדקנות האוכלוסייה.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משרד הבריאות מסר בתשובתו כי הוא מוביל אסטרטגיה להגדלת כוח האדם, בכלל זה מכסות של סטודנטים לרפואה ועידוד עליית רופאים, ונותן עדיפות לתמריצים ממוקדים להתמחות בגריאטריה. עוד מסר המשרד כי מספר הרופאים המתמחים בגריאטריה ירד עם השנים וכי הוא פעל להגדלת מספרם, כך שבשנים 2026 - 2031 צפוי מספר הרופאים הגריאטרים המומחים הפעילים לעלות ב-259, ושיעורם צפוי לעלות ל-1.36 רופאים גריאטרים ל-1,000 איש בני 75 ומעלה.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מאוחדת מסרה בתשובתה כי תפקיד האחות המומחית בגריאטריה וברפואה ראשונית הוא בשנים האחרונות גורם מפתח לטיפול בזקנים. בתשובת הכללית נמסר כי היא מעסיקה 22 אחיות מומחיות בגריאטריה, בעלות הכשרה בתחום וסמכויות מקצועיות, הנותנות מענה לאוכלוסייה המבוגרת.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חרף מרכזיותו של מקצוע הגריאטריה בהיערכות מערכת הבריאות להזדקנות האוכלוסייה והגידול הצפוי בצורך ברופאים מומחים בגריאטריה, ואף שהוגדר כמקצוע במצוקה, שיעור הרופאים המומחים והמתמחים בגריאטריה כמעט שלא השתנה בשנים שנבדקו, ובאומדן לשנת 2030 ולשנת 2040 צפוי שלא להשתנות עבור בני 65 ומעלה. </w:t>
      </w:r>
    </w:p>
    <w:p w:rsidR="0016536A" w:rsidRPr="0016536A" w:rsidP="004614AF">
      <w:pPr>
        <w:spacing w:line="269" w:lineRule="auto"/>
        <w:rPr>
          <w:rFonts w:eastAsia="Calibri"/>
          <w:b/>
          <w:bCs/>
          <w:rtl/>
        </w:rPr>
      </w:pPr>
    </w:p>
    <w:p w:rsidR="00AF088B" w:rsidP="004614AF">
      <w:pPr>
        <w:bidi w:val="0"/>
        <w:spacing w:line="269" w:lineRule="auto"/>
        <w:rPr>
          <w:rFonts w:eastAsia="Times New Roman"/>
          <w:bCs/>
          <w:spacing w:val="40"/>
          <w:rtl/>
        </w:rPr>
      </w:pPr>
      <w:r>
        <w:rPr>
          <w:rFonts w:eastAsia="Times New Roman"/>
          <w:bCs/>
          <w:spacing w:val="40"/>
          <w:rtl/>
        </w:rPr>
        <w:br w:type="page"/>
      </w:r>
    </w:p>
    <w:p w:rsidR="0016536A" w:rsidRPr="0016536A" w:rsidP="004614AF">
      <w:pPr>
        <w:keepNext/>
        <w:keepLines/>
        <w:spacing w:line="269" w:lineRule="auto"/>
        <w:outlineLvl w:val="4"/>
        <w:rPr>
          <w:rFonts w:eastAsia="Times New Roman"/>
          <w:bCs/>
          <w:spacing w:val="40"/>
          <w:rtl/>
        </w:rPr>
      </w:pPr>
      <w:r w:rsidRPr="0016536A">
        <w:rPr>
          <w:rFonts w:eastAsia="Times New Roman" w:hint="cs"/>
          <w:bCs/>
          <w:spacing w:val="40"/>
          <w:rtl/>
        </w:rPr>
        <w:t>חסמים לעלייה בשיעור הרופאים הגריאטרים והמתמחים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cs"/>
          <w:spacing w:val="40"/>
          <w:rtl/>
        </w:rPr>
        <w:t>שכר הרופאים הגריאטרים</w:t>
      </w:r>
      <w:r w:rsidRPr="0016536A">
        <w:rPr>
          <w:rFonts w:eastAsia="Calibri" w:hint="cs"/>
          <w:rtl/>
        </w:rPr>
        <w:t>: מחקרים מראים כי אחד השיקולים בבחירת תחום התמחות של רופא הוא ההכנסה העתידית הצפויה בתחום ההתמחות</w:t>
      </w:r>
      <w:r>
        <w:rPr>
          <w:rFonts w:eastAsia="Calibri"/>
          <w:vertAlign w:val="superscript"/>
          <w:rtl/>
        </w:rPr>
        <w:footnoteReference w:id="184"/>
      </w:r>
      <w:r w:rsidRPr="0016536A">
        <w:rPr>
          <w:rFonts w:eastAsia="Calibri" w:hint="cs"/>
          <w:rtl/>
        </w:rPr>
        <w:t>. אשר על כן, הסכם השכר שחתם משרד האוצר עם הרופאים בשנת 2011</w:t>
      </w:r>
      <w:r>
        <w:rPr>
          <w:rFonts w:eastAsia="Calibri"/>
          <w:vertAlign w:val="superscript"/>
          <w:rtl/>
        </w:rPr>
        <w:footnoteReference w:id="185"/>
      </w:r>
      <w:r w:rsidRPr="0016536A">
        <w:rPr>
          <w:rFonts w:eastAsia="Calibri" w:hint="cs"/>
          <w:rtl/>
        </w:rPr>
        <w:t xml:space="preserve"> מכוון לתמרץ רופאים לבחור בתחומי התמחות במצוקה, באמצעות תוספת שכר חודשית לרופאים מומחים ולרופאים מתמחים בגריאטריה.</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במחקר שערך בנק ישראל</w:t>
      </w:r>
      <w:r>
        <w:rPr>
          <w:rFonts w:eastAsia="Calibri"/>
          <w:vertAlign w:val="superscript"/>
          <w:rtl/>
        </w:rPr>
        <w:footnoteReference w:id="186"/>
      </w:r>
      <w:r w:rsidRPr="0016536A">
        <w:rPr>
          <w:rFonts w:eastAsia="Calibri" w:hint="cs"/>
          <w:rtl/>
        </w:rPr>
        <w:t xml:space="preserve"> נמצא כי כעשור לאחר חתימת הסכם השכר עם הרופאים, עדיין שיעור הרופאים המומחים בתחום הגריאטריה הוא הנמוך ביותר ביחס לתחומי ההתמחות האחרים ועומד על 8%. המחקר גם מצא כי שכרם של הרופאים המומחים בגריאטריה נמוך משכר הרופאים המומחים ברפואת משפחה</w:t>
      </w:r>
      <w:r>
        <w:rPr>
          <w:rFonts w:eastAsia="Calibri"/>
          <w:vertAlign w:val="superscript"/>
          <w:rtl/>
        </w:rPr>
        <w:footnoteReference w:id="187"/>
      </w:r>
      <w:r w:rsidRPr="0016536A">
        <w:rPr>
          <w:rFonts w:eastAsia="Calibri" w:hint="cs"/>
          <w:rtl/>
        </w:rPr>
        <w:t xml:space="preserve">, מצב המביא לכך שחלק מהרופאים להם מומחיות בגריאטריה בוחרים לעבוד כרופאי משפחה.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בביקורת עלה כי למרות המחסור ברופאים גריאטרים, בשנת 2023 העסיקו קופות החולים 89 רופאים, שהתמחותם האחרונה הייתה בגריאטריה, כרופאי משפחה ולא בתחום מומחיותם, מתוך 546 רופאים מומחים בגריאטריה (כ-16%).</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בנוסף, במחקר שנערך עבור משרד האוצר</w:t>
      </w:r>
      <w:r>
        <w:rPr>
          <w:rFonts w:eastAsia="Calibri"/>
          <w:vertAlign w:val="superscript"/>
          <w:rtl/>
        </w:rPr>
        <w:footnoteReference w:id="188"/>
      </w:r>
      <w:r w:rsidRPr="0016536A">
        <w:rPr>
          <w:rFonts w:eastAsia="Calibri" w:hint="cs"/>
          <w:rtl/>
        </w:rPr>
        <w:t xml:space="preserve"> ובחן את האפקטיביות של הסכם הרופאים המתמחים במקצועות מצוקה מ-2011 עלה כי להסכם הצלחה מועטה במשיכת מתמחים למקצועות אלה.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יצוין עוד כי </w:t>
      </w:r>
      <w:r w:rsidRPr="0016536A">
        <w:rPr>
          <w:rFonts w:eastAsia="Calibri"/>
          <w:rtl/>
        </w:rPr>
        <w:t>במשא ומתן שהתקיים בשנת 2024 בין הר"י לבין משרד האוצר והמעסיקים</w:t>
      </w:r>
      <w:r w:rsidRPr="0016536A">
        <w:rPr>
          <w:rFonts w:eastAsia="Calibri" w:hint="cs"/>
          <w:rtl/>
        </w:rPr>
        <w:t>, ו</w:t>
      </w:r>
      <w:r w:rsidRPr="0016536A">
        <w:rPr>
          <w:rFonts w:eastAsia="Calibri"/>
          <w:rtl/>
        </w:rPr>
        <w:t xml:space="preserve">בכללם </w:t>
      </w:r>
      <w:r w:rsidRPr="0016536A">
        <w:rPr>
          <w:rFonts w:eastAsia="Calibri" w:hint="cs"/>
          <w:rtl/>
        </w:rPr>
        <w:t>כללית</w:t>
      </w:r>
      <w:r w:rsidRPr="0016536A">
        <w:rPr>
          <w:rFonts w:eastAsia="Calibri"/>
          <w:rtl/>
        </w:rPr>
        <w:t xml:space="preserve"> </w:t>
      </w:r>
      <w:r w:rsidRPr="0016536A">
        <w:rPr>
          <w:rFonts w:eastAsia="Calibri" w:hint="cs"/>
          <w:rtl/>
        </w:rPr>
        <w:t>ה</w:t>
      </w:r>
      <w:r w:rsidRPr="0016536A">
        <w:rPr>
          <w:rFonts w:eastAsia="Calibri"/>
          <w:rtl/>
        </w:rPr>
        <w:t xml:space="preserve">מעסיקה גם </w:t>
      </w:r>
      <w:r w:rsidRPr="0016536A">
        <w:rPr>
          <w:rFonts w:eastAsia="Calibri" w:hint="cs"/>
          <w:rtl/>
        </w:rPr>
        <w:t xml:space="preserve">רופאים </w:t>
      </w:r>
      <w:r w:rsidRPr="0016536A">
        <w:rPr>
          <w:rFonts w:eastAsia="Calibri"/>
          <w:rtl/>
        </w:rPr>
        <w:t>גריאטרים בקהילה</w:t>
      </w:r>
      <w:r w:rsidRPr="0016536A">
        <w:rPr>
          <w:rFonts w:eastAsia="Calibri" w:hint="cs"/>
          <w:rtl/>
        </w:rPr>
        <w:t>,</w:t>
      </w:r>
      <w:r w:rsidRPr="0016536A">
        <w:rPr>
          <w:rFonts w:eastAsia="Calibri"/>
          <w:rtl/>
        </w:rPr>
        <w:t xml:space="preserve"> נדונה מצוקת מקצוע הגריאטריה ונעשה ניסיון לחזק את המקצוע, בעיקר במרכזים הרפואיים הגריאטר</w:t>
      </w:r>
      <w:r w:rsidRPr="0016536A">
        <w:rPr>
          <w:rFonts w:eastAsia="Calibri" w:hint="cs"/>
          <w:rtl/>
        </w:rPr>
        <w:t>יי</w:t>
      </w:r>
      <w:r w:rsidRPr="0016536A">
        <w:rPr>
          <w:rFonts w:eastAsia="Calibri"/>
          <w:rtl/>
        </w:rPr>
        <w:t xml:space="preserve">ם </w:t>
      </w:r>
      <w:r w:rsidRPr="0016536A">
        <w:rPr>
          <w:rFonts w:eastAsia="Calibri" w:hint="cs"/>
          <w:rtl/>
        </w:rPr>
        <w:t>ש</w:t>
      </w:r>
      <w:r w:rsidRPr="0016536A">
        <w:rPr>
          <w:rFonts w:eastAsia="Calibri"/>
          <w:rtl/>
        </w:rPr>
        <w:t xml:space="preserve">בהם המצוקה משמעותית וקיים קושי לגייס </w:t>
      </w:r>
      <w:r w:rsidRPr="0016536A">
        <w:rPr>
          <w:rFonts w:eastAsia="Calibri" w:hint="cs"/>
          <w:rtl/>
        </w:rPr>
        <w:t xml:space="preserve">אליהם </w:t>
      </w:r>
      <w:r w:rsidRPr="0016536A">
        <w:rPr>
          <w:rFonts w:eastAsia="Calibri"/>
          <w:rtl/>
        </w:rPr>
        <w:t>רופאים.</w:t>
      </w:r>
      <w:r w:rsidRPr="0016536A">
        <w:rPr>
          <w:rFonts w:eastAsia="Calibri" w:hint="cs"/>
          <w:rtl/>
        </w:rPr>
        <w:t xml:space="preserve"> </w:t>
      </w:r>
      <w:r w:rsidRPr="0016536A">
        <w:rPr>
          <w:rFonts w:eastAsia="Calibri"/>
          <w:rtl/>
        </w:rPr>
        <w:t>במסגרת</w:t>
      </w:r>
      <w:r w:rsidRPr="0016536A">
        <w:rPr>
          <w:rFonts w:eastAsia="Calibri" w:hint="cs"/>
          <w:rtl/>
        </w:rPr>
        <w:t xml:space="preserve"> המשא ומתן</w:t>
      </w:r>
      <w:r w:rsidRPr="0016536A">
        <w:rPr>
          <w:rFonts w:eastAsia="Calibri"/>
          <w:rtl/>
        </w:rPr>
        <w:t xml:space="preserve"> הוסכם על מתן </w:t>
      </w:r>
      <w:r w:rsidRPr="0016536A">
        <w:rPr>
          <w:rFonts w:eastAsia="Calibri" w:hint="cs"/>
          <w:rtl/>
        </w:rPr>
        <w:t xml:space="preserve">תוספות שכר למתמחים ולרופאים בתחום הגריאטרי, והן </w:t>
      </w:r>
      <w:r w:rsidRPr="0016536A">
        <w:rPr>
          <w:rFonts w:eastAsia="Calibri"/>
          <w:rtl/>
        </w:rPr>
        <w:t>עוגנו בהסכם הקיבוצי שנחתם בין הצדדים ב</w:t>
      </w:r>
      <w:r w:rsidRPr="0016536A">
        <w:rPr>
          <w:rFonts w:eastAsia="Calibri" w:hint="cs"/>
          <w:rtl/>
        </w:rPr>
        <w:t xml:space="preserve">-2024, ואשר הגדיר את מקצוע הגריאטריה </w:t>
      </w:r>
      <w:r w:rsidRPr="0016536A">
        <w:rPr>
          <w:rFonts w:ascii="David" w:eastAsia="Calibri" w:hAnsi="David"/>
          <w:sz w:val="24"/>
          <w:rtl/>
        </w:rPr>
        <w:t>כמקצוע המקנה תוספת "משימה לאומית"</w:t>
      </w:r>
      <w:r>
        <w:rPr>
          <w:rFonts w:eastAsia="Calibri"/>
          <w:vertAlign w:val="superscript"/>
          <w:rtl/>
        </w:rPr>
        <w:footnoteReference w:id="189"/>
      </w:r>
      <w:r w:rsidRPr="0016536A">
        <w:rPr>
          <w:rFonts w:ascii="David" w:eastAsia="Calibri" w:hAnsi="David" w:hint="cs"/>
          <w:sz w:val="24"/>
          <w:rtl/>
        </w:rPr>
        <w:t xml:space="preserve"> כדי</w:t>
      </w:r>
      <w:r w:rsidRPr="0016536A">
        <w:rPr>
          <w:rFonts w:ascii="David" w:eastAsia="Calibri" w:hAnsi="David"/>
          <w:sz w:val="24"/>
          <w:rtl/>
        </w:rPr>
        <w:t xml:space="preserve"> להתאים את השכר באופן שיתמרץ הגדלת היקף העוסקים בתחום.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Times New Roman" w:hint="cs"/>
          <w:bCs/>
          <w:spacing w:val="40"/>
          <w:rtl/>
        </w:rPr>
        <w:t>צמצום מספר הרופאים הגריאטרים בעקבות רפורמת יציב:</w:t>
      </w:r>
      <w:r w:rsidRPr="0016536A">
        <w:rPr>
          <w:rFonts w:eastAsia="Calibri" w:hint="cs"/>
          <w:rtl/>
        </w:rPr>
        <w:t xml:space="preserve"> רפורמת יציב היא </w:t>
      </w:r>
      <w:r w:rsidRPr="0016536A">
        <w:rPr>
          <w:rFonts w:eastAsia="Calibri"/>
          <w:rtl/>
        </w:rPr>
        <w:t>רפורמה של משרד הבריאות, שהחלה לפעול בשנת 2019, להסדרת לימודי הרפואה בחו"ל וליישור קו של הלימודים עם הסטנדרטים הנהוגים בישראל. הרפורמה נועדה להבטיח איכות הכשרה גבוהה יותר לרופאים העתידיים</w:t>
      </w:r>
      <w:r w:rsidRPr="0016536A">
        <w:rPr>
          <w:rFonts w:eastAsia="Calibri" w:hint="cs"/>
          <w:rtl/>
        </w:rPr>
        <w:t>, וכפועל יוצא שלה, בין היתר, צומצם מספר הרופאים המועסקים בארץ לאחר שסיימו את לימודי הרפואה במוסדות שונים בחו"ל</w:t>
      </w:r>
      <w:r>
        <w:rPr>
          <w:rFonts w:eastAsia="Calibri"/>
          <w:vertAlign w:val="superscript"/>
          <w:rtl/>
        </w:rPr>
        <w:footnoteReference w:id="190"/>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התרשים שלהלן מציג את שיעור הרופאים שהחלו התמחות בגריאטריה ולמדו במוסדות בחו"ל, בשנים 2022 - 2024.</w:t>
      </w:r>
    </w:p>
    <w:p w:rsidR="0016536A" w:rsidRPr="0016536A" w:rsidP="004614AF">
      <w:pPr>
        <w:spacing w:line="269" w:lineRule="auto"/>
        <w:rPr>
          <w:rFonts w:eastAsia="Calibri"/>
          <w:rtl/>
        </w:rPr>
      </w:pPr>
    </w:p>
    <w:p w:rsidR="0016536A" w:rsidRPr="0016536A" w:rsidP="0026570E">
      <w:pPr>
        <w:keepNext/>
        <w:keepLines/>
        <w:spacing w:after="100" w:afterAutospacing="1" w:line="269" w:lineRule="auto"/>
        <w:jc w:val="center"/>
        <w:rPr>
          <w:rFonts w:eastAsia="Calibri"/>
          <w:b/>
          <w:bCs/>
          <w:rtl/>
        </w:rPr>
      </w:pPr>
      <w:r w:rsidRPr="0016536A">
        <w:rPr>
          <w:rFonts w:eastAsia="Calibri" w:hint="cs"/>
          <w:rtl/>
        </w:rPr>
        <w:t xml:space="preserve">תרשים 24: </w:t>
      </w:r>
      <w:r w:rsidRPr="0016536A">
        <w:rPr>
          <w:rFonts w:eastAsia="Calibri" w:hint="cs"/>
          <w:b/>
          <w:bCs/>
          <w:rtl/>
        </w:rPr>
        <w:t>מספר הרופאים שהחלו התמחות בגריאטריה ולמדו במוסדות בחו"ל, ושיעורם מתוך כלל הרופאים שהחלו התמחות בתחום זה, 2022 - 2024</w:t>
      </w:r>
    </w:p>
    <w:p w:rsidR="0016536A" w:rsidRPr="0016536A" w:rsidP="004614AF">
      <w:pPr>
        <w:spacing w:line="269" w:lineRule="auto"/>
        <w:jc w:val="center"/>
        <w:rPr>
          <w:rFonts w:eastAsia="Calibri"/>
          <w:rtl/>
        </w:rPr>
      </w:pPr>
      <w:r w:rsidRPr="0016536A">
        <w:rPr>
          <w:rFonts w:eastAsia="Calibri"/>
          <w:noProof/>
        </w:rPr>
        <w:drawing>
          <wp:inline distT="0" distB="0" distL="0" distR="0">
            <wp:extent cx="4785995" cy="2755900"/>
            <wp:effectExtent l="0" t="0" r="0" b="6350"/>
            <wp:docPr id="24" name="תמונה 24" descr="2024:&#10;81&#10;92%&#10;&#10;2023:&#10;59&#10;89%&#10;&#10;2022:&#10;69&#10;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5995" cy="2755900"/>
                    </a:xfrm>
                    <a:prstGeom prst="rect">
                      <a:avLst/>
                    </a:prstGeom>
                    <a:noFill/>
                  </pic:spPr>
                </pic:pic>
              </a:graphicData>
            </a:graphic>
          </wp:inline>
        </w:drawing>
      </w:r>
    </w:p>
    <w:p w:rsidR="0016536A" w:rsidRPr="00C77AC7" w:rsidP="0026570E">
      <w:pPr>
        <w:spacing w:before="120" w:line="269" w:lineRule="auto"/>
        <w:jc w:val="left"/>
        <w:rPr>
          <w:rFonts w:eastAsia="Calibri"/>
          <w:sz w:val="16"/>
          <w:szCs w:val="20"/>
          <w:rtl/>
        </w:rPr>
      </w:pPr>
      <w:r w:rsidRPr="00C77AC7">
        <w:rPr>
          <w:rFonts w:eastAsia="Calibri" w:hint="cs"/>
          <w:sz w:val="16"/>
          <w:szCs w:val="20"/>
          <w:rtl/>
        </w:rPr>
        <w:t>על פי נתוני הר"י, בעיבוד משרד מבקר המדינה.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מהתרשים עולה</w:t>
      </w:r>
      <w:r w:rsidRPr="0016536A">
        <w:rPr>
          <w:rFonts w:eastAsia="Calibri"/>
          <w:b/>
          <w:bCs/>
          <w:rtl/>
        </w:rPr>
        <w:t xml:space="preserve"> כי רוב </w:t>
      </w:r>
      <w:r w:rsidRPr="0016536A">
        <w:rPr>
          <w:rFonts w:eastAsia="Calibri" w:hint="cs"/>
          <w:b/>
          <w:bCs/>
          <w:rtl/>
        </w:rPr>
        <w:t xml:space="preserve">מוחלט (81% - 92%) של </w:t>
      </w:r>
      <w:r w:rsidRPr="0016536A">
        <w:rPr>
          <w:rFonts w:eastAsia="Calibri"/>
          <w:b/>
          <w:bCs/>
          <w:rtl/>
        </w:rPr>
        <w:t>הרופאים שפונים להתמחות בגריאטריה הם רופאים בוגרי לימודי רפואה בחו"ל</w:t>
      </w:r>
      <w:r w:rsidRPr="0016536A">
        <w:rPr>
          <w:rFonts w:eastAsia="Calibri" w:hint="cs"/>
          <w:b/>
          <w:b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משמעות הדבר היא</w:t>
      </w:r>
      <w:r w:rsidRPr="0016536A">
        <w:rPr>
          <w:rFonts w:eastAsia="Calibri"/>
          <w:b/>
          <w:bCs/>
          <w:rtl/>
        </w:rPr>
        <w:t xml:space="preserve"> </w:t>
      </w:r>
      <w:r w:rsidRPr="0016536A">
        <w:rPr>
          <w:rFonts w:eastAsia="Calibri" w:hint="cs"/>
          <w:b/>
          <w:bCs/>
          <w:rtl/>
        </w:rPr>
        <w:t>ש</w:t>
      </w:r>
      <w:r w:rsidRPr="0016536A">
        <w:rPr>
          <w:rFonts w:eastAsia="Calibri"/>
          <w:b/>
          <w:bCs/>
          <w:rtl/>
        </w:rPr>
        <w:t>כיום</w:t>
      </w:r>
      <w:r w:rsidRPr="0016536A">
        <w:rPr>
          <w:rFonts w:eastAsia="Calibri" w:hint="cs"/>
          <w:b/>
          <w:bCs/>
          <w:rtl/>
        </w:rPr>
        <w:t>,</w:t>
      </w:r>
      <w:r w:rsidRPr="0016536A">
        <w:rPr>
          <w:rFonts w:eastAsia="Calibri"/>
          <w:b/>
          <w:bCs/>
          <w:rtl/>
        </w:rPr>
        <w:t xml:space="preserve"> לאחר כניסתה לתוקף של רפורמת יציב, מספר הרופאים במקצוע זה הולך וקטן.</w:t>
      </w:r>
      <w:r w:rsidRPr="0016536A">
        <w:rPr>
          <w:rFonts w:eastAsia="Calibri" w:hint="cs"/>
          <w:b/>
          <w:bCs/>
          <w:rtl/>
        </w:rPr>
        <w:t xml:space="preserve"> מנגד, איכות ההכשרה של הרופאים הגריאטרי</w:t>
      </w:r>
      <w:r w:rsidRPr="0016536A">
        <w:rPr>
          <w:rFonts w:eastAsia="Calibri" w:hint="eastAsia"/>
          <w:b/>
          <w:bCs/>
          <w:rtl/>
        </w:rPr>
        <w:t>ם</w:t>
      </w:r>
      <w:r w:rsidRPr="0016536A">
        <w:rPr>
          <w:rFonts w:eastAsia="Calibri" w:hint="cs"/>
          <w:b/>
          <w:bCs/>
          <w:rtl/>
        </w:rPr>
        <w:t xml:space="preserve"> במערכת הבריאות צפוי שתעלה.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מן האמור עולה כי קיימים כמה חסמים המותירים את מקצוע הגריאטריה כמקצוע במצוקה, ובגינם קיים מחסור ברופאים מומחים בגריאטריה. בין החסמים - שכר המומחים הגריאטרים, </w:t>
      </w:r>
      <w:r w:rsidRPr="0016536A">
        <w:rPr>
          <w:rFonts w:eastAsia="Calibri" w:hint="eastAsia"/>
          <w:b/>
          <w:bCs/>
          <w:rtl/>
        </w:rPr>
        <w:t>מחסור</w:t>
      </w:r>
      <w:r w:rsidRPr="0016536A">
        <w:rPr>
          <w:rFonts w:eastAsia="Calibri"/>
          <w:b/>
          <w:bCs/>
          <w:rtl/>
        </w:rPr>
        <w:t xml:space="preserve"> </w:t>
      </w:r>
      <w:r w:rsidRPr="0016536A">
        <w:rPr>
          <w:rFonts w:eastAsia="Calibri" w:hint="eastAsia"/>
          <w:b/>
          <w:bCs/>
          <w:rtl/>
        </w:rPr>
        <w:t>בתקנים</w:t>
      </w:r>
      <w:r w:rsidRPr="0016536A">
        <w:rPr>
          <w:rFonts w:eastAsia="Calibri" w:hint="cs"/>
          <w:b/>
          <w:bCs/>
          <w:rtl/>
        </w:rPr>
        <w:t xml:space="preserve"> והעסקת רופאים גריאטרים כרופאי משפחה</w:t>
      </w:r>
      <w:r w:rsidRPr="0016536A">
        <w:rPr>
          <w:rFonts w:eastAsia="Calibri"/>
          <w:b/>
          <w:b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בתשובת הכללית נמסר כי חשוב להגדיל את תקינת הרופאים במחלקות הגריאטריות כדי לאפשר קליטה והכשרה של רופאים להתמחות בתחום הגריאטריה. לאומית מסרה בתשובתה כי זהו אתגר מבני שאינו בשליטת קופות החולים בלבד, הדורש הסדרה לאומית בתחום ההכשרה, התקינה והתגמול ושילוב של כל בעלי התפקידים בקהילה. עוד השיבה לאומית </w:t>
      </w:r>
      <w:r w:rsidRPr="0016536A">
        <w:rPr>
          <w:rFonts w:eastAsia="Calibri"/>
          <w:rtl/>
        </w:rPr>
        <w:t>כי ישנו מחסור מתמשך ברופאים גריאטריים בקהילה, המתבטא ב</w:t>
      </w:r>
      <w:r w:rsidRPr="0016536A">
        <w:rPr>
          <w:rFonts w:eastAsia="Calibri" w:hint="cs"/>
          <w:rtl/>
        </w:rPr>
        <w:t>ביקוש נמוך</w:t>
      </w:r>
      <w:r w:rsidRPr="0016536A">
        <w:rPr>
          <w:rFonts w:eastAsia="Calibri"/>
          <w:rtl/>
        </w:rPr>
        <w:t xml:space="preserve"> </w:t>
      </w:r>
      <w:r w:rsidRPr="0016536A">
        <w:rPr>
          <w:rFonts w:eastAsia="Calibri" w:hint="cs"/>
          <w:rtl/>
        </w:rPr>
        <w:t>ל</w:t>
      </w:r>
      <w:r w:rsidRPr="0016536A">
        <w:rPr>
          <w:rFonts w:eastAsia="Calibri"/>
          <w:rtl/>
        </w:rPr>
        <w:t>התמחות</w:t>
      </w:r>
      <w:r w:rsidRPr="0016536A">
        <w:rPr>
          <w:rFonts w:eastAsia="Calibri" w:hint="cs"/>
          <w:rtl/>
        </w:rPr>
        <w:t xml:space="preserve"> בקרב רופאים</w:t>
      </w:r>
      <w:r w:rsidRPr="0016536A">
        <w:rPr>
          <w:rFonts w:eastAsia="Calibri"/>
          <w:rtl/>
        </w:rPr>
        <w:t xml:space="preserve">, במיעוט מתמחים, בעזיבת מומחים את המקצוע, ובחוסר </w:t>
      </w:r>
      <w:r w:rsidRPr="0016536A">
        <w:rPr>
          <w:rFonts w:eastAsia="Calibri" w:hint="cs"/>
          <w:rtl/>
        </w:rPr>
        <w:t>ב</w:t>
      </w:r>
      <w:r w:rsidRPr="0016536A">
        <w:rPr>
          <w:rFonts w:eastAsia="Calibri"/>
          <w:rtl/>
        </w:rPr>
        <w:t xml:space="preserve">הגדרות ברורות </w:t>
      </w:r>
      <w:r w:rsidRPr="0016536A">
        <w:rPr>
          <w:rFonts w:eastAsia="Calibri" w:hint="cs"/>
          <w:rtl/>
        </w:rPr>
        <w:t xml:space="preserve">של </w:t>
      </w:r>
      <w:r w:rsidRPr="0016536A">
        <w:rPr>
          <w:rFonts w:eastAsia="Calibri"/>
          <w:rtl/>
        </w:rPr>
        <w:t xml:space="preserve">מקומו של הגריאטר והמערך הגריאטרי בטיפול </w:t>
      </w:r>
      <w:r w:rsidRPr="0016536A">
        <w:rPr>
          <w:rFonts w:eastAsia="Calibri" w:hint="cs"/>
          <w:rtl/>
        </w:rPr>
        <w:t>בזקן</w:t>
      </w:r>
      <w:r w:rsidRPr="0016536A">
        <w:rPr>
          <w:rFonts w:eastAsia="Calibri"/>
          <w:rtl/>
        </w:rPr>
        <w:t xml:space="preserve"> בקהילה.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מומלץ כי משרד הבריאות בשיתוף עם הר"י, עם המועצה הלאומית לגריאטריה, עם האיגוד הישראלי לרפואה גריאטרית ועם קופות החולים יגבש תוכנית פעולה להסרת הפערים במומחים לגריאטריה ולהשלמתם. עוד מומלץ כי קופות החולים ישקלו להעסיק את </w:t>
      </w:r>
      <w:r w:rsidRPr="0016536A">
        <w:rPr>
          <w:rFonts w:eastAsia="Calibri" w:hint="eastAsia"/>
          <w:b/>
          <w:bCs/>
          <w:rtl/>
        </w:rPr>
        <w:t>מעט</w:t>
      </w:r>
      <w:r w:rsidRPr="0016536A">
        <w:rPr>
          <w:rFonts w:eastAsia="Calibri"/>
          <w:b/>
          <w:bCs/>
          <w:rtl/>
        </w:rPr>
        <w:t xml:space="preserve"> הרופאים </w:t>
      </w:r>
      <w:r w:rsidRPr="0016536A">
        <w:rPr>
          <w:rFonts w:eastAsia="Calibri" w:hint="eastAsia"/>
          <w:b/>
          <w:bCs/>
          <w:rtl/>
        </w:rPr>
        <w:t>הגריאטר</w:t>
      </w:r>
      <w:r w:rsidRPr="0016536A">
        <w:rPr>
          <w:rFonts w:eastAsia="Calibri" w:hint="cs"/>
          <w:b/>
          <w:bCs/>
          <w:rtl/>
        </w:rPr>
        <w:t>י</w:t>
      </w:r>
      <w:r w:rsidRPr="0016536A">
        <w:rPr>
          <w:rFonts w:eastAsia="Calibri" w:hint="eastAsia"/>
          <w:b/>
          <w:bCs/>
          <w:rtl/>
        </w:rPr>
        <w:t>ם</w:t>
      </w:r>
      <w:r w:rsidRPr="0016536A">
        <w:rPr>
          <w:rFonts w:eastAsia="Calibri"/>
          <w:b/>
          <w:bCs/>
          <w:rtl/>
        </w:rPr>
        <w:t xml:space="preserve"> בתחום הרפואה הגריאטרית בלבד</w:t>
      </w:r>
      <w:r w:rsidRPr="0016536A">
        <w:rPr>
          <w:rFonts w:eastAsia="Calibri" w:hint="cs"/>
          <w:b/>
          <w:bCs/>
          <w:rtl/>
        </w:rPr>
        <w:t>, וזאת באמצעות קביעת מערך תמריצים מתאים</w:t>
      </w:r>
      <w:r w:rsidRPr="0016536A">
        <w:rPr>
          <w:rFonts w:eastAsia="Calibri"/>
          <w:b/>
          <w:bCs/>
          <w:rtl/>
        </w:rPr>
        <w:t>.</w:t>
      </w:r>
    </w:p>
    <w:p w:rsidR="0016536A" w:rsidRPr="0016536A" w:rsidP="004614AF">
      <w:pPr>
        <w:spacing w:line="269" w:lineRule="auto"/>
        <w:rPr>
          <w:rFonts w:eastAsia="Calibri"/>
          <w:b/>
          <w:bCs/>
          <w:rtl/>
        </w:rPr>
      </w:pPr>
    </w:p>
    <w:p w:rsidR="0016536A" w:rsidRPr="0016536A" w:rsidP="004614AF">
      <w:pPr>
        <w:spacing w:line="269" w:lineRule="auto"/>
        <w:rPr>
          <w:rFonts w:eastAsia="Calibri"/>
          <w:b/>
          <w:bCs/>
          <w:rtl/>
        </w:rPr>
      </w:pPr>
    </w:p>
    <w:p w:rsidR="0016536A" w:rsidRPr="0016536A" w:rsidP="004614AF">
      <w:pPr>
        <w:spacing w:line="269" w:lineRule="auto"/>
        <w:rPr>
          <w:rFonts w:eastAsia="Calibri"/>
          <w:b/>
          <w:bCs/>
          <w:rtl/>
        </w:rPr>
      </w:pPr>
    </w:p>
    <w:p w:rsidR="0016536A" w:rsidRPr="0016536A" w:rsidP="004614AF">
      <w:pPr>
        <w:spacing w:line="269" w:lineRule="auto"/>
        <w:rPr>
          <w:rFonts w:eastAsia="Calibri"/>
          <w:b/>
          <w:bCs/>
          <w:rtl/>
        </w:rPr>
      </w:pPr>
    </w:p>
    <w:p w:rsidR="0016536A" w:rsidRPr="0016536A" w:rsidP="004614AF">
      <w:pPr>
        <w:spacing w:line="269" w:lineRule="auto"/>
        <w:rPr>
          <w:rFonts w:eastAsia="Calibri"/>
          <w:b/>
          <w:bCs/>
          <w:rtl/>
        </w:rPr>
      </w:pPr>
    </w:p>
    <w:p w:rsidR="0016536A" w:rsidRPr="0016536A" w:rsidP="004614AF">
      <w:pPr>
        <w:spacing w:line="269" w:lineRule="auto"/>
        <w:rPr>
          <w:rFonts w:eastAsia="Calibri"/>
          <w:b/>
          <w:bCs/>
          <w:rtl/>
        </w:rPr>
      </w:pPr>
    </w:p>
    <w:p w:rsidR="0016536A" w:rsidRPr="0016536A" w:rsidP="004614AF">
      <w:pPr>
        <w:spacing w:line="269" w:lineRule="auto"/>
        <w:rPr>
          <w:rFonts w:eastAsia="Calibri"/>
          <w:b/>
          <w:bCs/>
          <w:rtl/>
        </w:rPr>
      </w:pPr>
    </w:p>
    <w:p w:rsidR="0016536A" w:rsidRPr="0016536A" w:rsidP="004614AF">
      <w:pPr>
        <w:keepNext/>
        <w:keepLines/>
        <w:spacing w:line="269" w:lineRule="auto"/>
        <w:outlineLvl w:val="3"/>
        <w:rPr>
          <w:rFonts w:eastAsia="Times New Roman"/>
          <w:bCs/>
          <w:szCs w:val="26"/>
          <w:rtl/>
        </w:rPr>
      </w:pPr>
      <w:r w:rsidRPr="0016536A">
        <w:rPr>
          <w:rFonts w:eastAsia="Times New Roman" w:hint="cs"/>
          <w:bCs/>
          <w:szCs w:val="26"/>
          <w:rtl/>
        </w:rPr>
        <w:t>הכשרה בתחום הגריאטריה לרופאי המשפחה</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bookmarkStart w:id="19" w:name="_Hlk222670301"/>
      <w:r w:rsidRPr="0016536A">
        <w:rPr>
          <w:rFonts w:eastAsia="Calibri" w:hint="eastAsia"/>
          <w:b/>
          <w:bCs/>
          <w:rtl/>
        </w:rPr>
        <w:t>רופאי</w:t>
      </w:r>
      <w:r w:rsidRPr="0016536A">
        <w:rPr>
          <w:rFonts w:eastAsia="Calibri"/>
          <w:b/>
          <w:bCs/>
          <w:rtl/>
        </w:rPr>
        <w:t xml:space="preserve"> </w:t>
      </w:r>
      <w:r w:rsidRPr="0016536A">
        <w:rPr>
          <w:rFonts w:eastAsia="Calibri" w:hint="eastAsia"/>
          <w:b/>
          <w:bCs/>
          <w:rtl/>
        </w:rPr>
        <w:t>המשפחה</w:t>
      </w:r>
      <w:r w:rsidRPr="0016536A">
        <w:rPr>
          <w:rFonts w:eastAsia="Calibri"/>
          <w:b/>
          <w:bCs/>
          <w:rtl/>
        </w:rPr>
        <w:t xml:space="preserve"> </w:t>
      </w:r>
      <w:r w:rsidRPr="0016536A">
        <w:rPr>
          <w:rFonts w:eastAsia="Calibri" w:hint="eastAsia"/>
          <w:b/>
          <w:bCs/>
          <w:rtl/>
        </w:rPr>
        <w:t>הם</w:t>
      </w:r>
      <w:r w:rsidRPr="0016536A">
        <w:rPr>
          <w:rFonts w:eastAsia="Calibri"/>
          <w:b/>
          <w:bCs/>
          <w:rtl/>
        </w:rPr>
        <w:t xml:space="preserve"> </w:t>
      </w:r>
      <w:r w:rsidRPr="0016536A">
        <w:rPr>
          <w:rFonts w:eastAsia="Calibri" w:hint="eastAsia"/>
          <w:b/>
          <w:bCs/>
          <w:rtl/>
        </w:rPr>
        <w:t>הרופאים</w:t>
      </w:r>
      <w:r w:rsidRPr="0016536A">
        <w:rPr>
          <w:rFonts w:eastAsia="Calibri"/>
          <w:b/>
          <w:bCs/>
          <w:rtl/>
        </w:rPr>
        <w:t xml:space="preserve"> </w:t>
      </w:r>
      <w:r w:rsidRPr="0016536A">
        <w:rPr>
          <w:rFonts w:eastAsia="Calibri" w:hint="eastAsia"/>
          <w:b/>
          <w:bCs/>
          <w:rtl/>
        </w:rPr>
        <w:t>הראשונים</w:t>
      </w:r>
      <w:r w:rsidRPr="0016536A">
        <w:rPr>
          <w:rFonts w:eastAsia="Calibri"/>
          <w:b/>
          <w:bCs/>
          <w:rtl/>
        </w:rPr>
        <w:t xml:space="preserve"> </w:t>
      </w:r>
      <w:r w:rsidRPr="0016536A">
        <w:rPr>
          <w:rFonts w:eastAsia="Calibri" w:hint="eastAsia"/>
          <w:b/>
          <w:bCs/>
          <w:rtl/>
        </w:rPr>
        <w:t>לכל</w:t>
      </w:r>
      <w:r w:rsidRPr="0016536A">
        <w:rPr>
          <w:rFonts w:eastAsia="Calibri"/>
          <w:b/>
          <w:bCs/>
          <w:rtl/>
        </w:rPr>
        <w:t xml:space="preserve"> </w:t>
      </w:r>
      <w:r w:rsidRPr="0016536A">
        <w:rPr>
          <w:rFonts w:eastAsia="Calibri" w:hint="eastAsia"/>
          <w:b/>
          <w:bCs/>
          <w:rtl/>
        </w:rPr>
        <w:t>ציבור</w:t>
      </w:r>
      <w:r w:rsidRPr="0016536A">
        <w:rPr>
          <w:rFonts w:eastAsia="Calibri"/>
          <w:b/>
          <w:bCs/>
          <w:rtl/>
        </w:rPr>
        <w:t xml:space="preserve"> </w:t>
      </w:r>
      <w:r w:rsidRPr="0016536A">
        <w:rPr>
          <w:rFonts w:eastAsia="Calibri" w:hint="eastAsia"/>
          <w:b/>
          <w:bCs/>
          <w:rtl/>
        </w:rPr>
        <w:t>הזקנים</w:t>
      </w:r>
      <w:r w:rsidRPr="0016536A">
        <w:rPr>
          <w:rFonts w:eastAsia="Calibri"/>
          <w:b/>
          <w:bCs/>
          <w:rtl/>
        </w:rPr>
        <w:t xml:space="preserve"> </w:t>
      </w:r>
      <w:r w:rsidRPr="0016536A">
        <w:rPr>
          <w:rFonts w:eastAsia="Calibri" w:hint="eastAsia"/>
          <w:b/>
          <w:bCs/>
          <w:rtl/>
        </w:rPr>
        <w:t>במדינה</w:t>
      </w:r>
      <w:r w:rsidRPr="0016536A">
        <w:rPr>
          <w:rFonts w:eastAsia="Calibri"/>
          <w:b/>
          <w:bCs/>
          <w:rtl/>
        </w:rPr>
        <w:t xml:space="preserve"> </w:t>
      </w:r>
      <w:r w:rsidRPr="0016536A">
        <w:rPr>
          <w:rFonts w:eastAsia="Calibri" w:hint="eastAsia"/>
          <w:b/>
          <w:bCs/>
          <w:rtl/>
        </w:rPr>
        <w:t>וטיפול</w:t>
      </w:r>
      <w:r w:rsidRPr="0016536A">
        <w:rPr>
          <w:rFonts w:eastAsia="Calibri"/>
          <w:b/>
          <w:bCs/>
          <w:rtl/>
        </w:rPr>
        <w:t xml:space="preserve"> </w:t>
      </w:r>
      <w:r w:rsidRPr="0016536A">
        <w:rPr>
          <w:rFonts w:eastAsia="Calibri" w:hint="eastAsia"/>
          <w:b/>
          <w:bCs/>
          <w:rtl/>
        </w:rPr>
        <w:t>בהם</w:t>
      </w:r>
      <w:r w:rsidRPr="0016536A">
        <w:rPr>
          <w:rFonts w:eastAsia="Calibri"/>
          <w:b/>
          <w:bCs/>
          <w:rtl/>
        </w:rPr>
        <w:t xml:space="preserve"> </w:t>
      </w:r>
      <w:r w:rsidRPr="0016536A">
        <w:rPr>
          <w:rFonts w:eastAsia="Calibri" w:hint="eastAsia"/>
          <w:b/>
          <w:bCs/>
          <w:rtl/>
        </w:rPr>
        <w:t>הוא</w:t>
      </w:r>
      <w:r w:rsidRPr="0016536A">
        <w:rPr>
          <w:rFonts w:eastAsia="Calibri"/>
          <w:b/>
          <w:bCs/>
          <w:rtl/>
        </w:rPr>
        <w:t xml:space="preserve"> </w:t>
      </w:r>
      <w:r w:rsidRPr="0016536A">
        <w:rPr>
          <w:rFonts w:eastAsia="Calibri" w:hint="eastAsia"/>
          <w:b/>
          <w:bCs/>
          <w:rtl/>
        </w:rPr>
        <w:t>בין</w:t>
      </w:r>
      <w:r w:rsidRPr="0016536A">
        <w:rPr>
          <w:rFonts w:eastAsia="Calibri"/>
          <w:b/>
          <w:bCs/>
          <w:rtl/>
        </w:rPr>
        <w:t xml:space="preserve"> </w:t>
      </w:r>
      <w:r w:rsidRPr="0016536A">
        <w:rPr>
          <w:rFonts w:eastAsia="Calibri" w:hint="eastAsia"/>
          <w:b/>
          <w:bCs/>
          <w:rtl/>
        </w:rPr>
        <w:t>עיסוקיהם</w:t>
      </w:r>
      <w:r w:rsidRPr="0016536A">
        <w:rPr>
          <w:rFonts w:eastAsia="Calibri"/>
          <w:b/>
          <w:bCs/>
          <w:rtl/>
        </w:rPr>
        <w:t xml:space="preserve"> </w:t>
      </w:r>
      <w:r w:rsidRPr="0016536A">
        <w:rPr>
          <w:rFonts w:eastAsia="Calibri" w:hint="eastAsia"/>
          <w:b/>
          <w:bCs/>
          <w:rtl/>
        </w:rPr>
        <w:t>העיקריים</w:t>
      </w:r>
      <w:bookmarkEnd w:id="19"/>
      <w:r>
        <w:rPr>
          <w:rFonts w:eastAsia="Calibri"/>
          <w:b/>
          <w:bCs/>
          <w:vertAlign w:val="superscript"/>
          <w:rtl/>
        </w:rPr>
        <w:footnoteReference w:id="191"/>
      </w:r>
      <w:r w:rsidRPr="0016536A">
        <w:rPr>
          <w:rFonts w:eastAsia="Calibri"/>
          <w:b/>
          <w:bCs/>
          <w:rtl/>
        </w:rPr>
        <w:t xml:space="preserve">. בהיעדר רופאים מומחים בתחום הגריאטריה, יש בידי רופאי המשפחה במרפאות קופות החולים היכולת לספק מענה חלקי למחסור זה.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נוכח</w:t>
      </w:r>
      <w:r w:rsidRPr="0016536A">
        <w:rPr>
          <w:rFonts w:eastAsia="Calibri"/>
          <w:b/>
          <w:bCs/>
          <w:rtl/>
        </w:rPr>
        <w:t xml:space="preserve"> </w:t>
      </w:r>
      <w:r w:rsidRPr="0016536A">
        <w:rPr>
          <w:rFonts w:eastAsia="Calibri" w:hint="eastAsia"/>
          <w:b/>
          <w:bCs/>
          <w:rtl/>
        </w:rPr>
        <w:t>האמור</w:t>
      </w:r>
      <w:r w:rsidRPr="0016536A">
        <w:rPr>
          <w:rFonts w:eastAsia="Calibri"/>
          <w:b/>
          <w:bCs/>
          <w:rtl/>
        </w:rPr>
        <w:t>,</w:t>
      </w:r>
      <w:r w:rsidRPr="0016536A">
        <w:rPr>
          <w:rFonts w:eastAsia="Calibri" w:hint="cs"/>
          <w:rtl/>
        </w:rPr>
        <w:t xml:space="preserve"> </w:t>
      </w:r>
      <w:r w:rsidRPr="0016536A">
        <w:rPr>
          <w:rFonts w:eastAsia="Calibri" w:hint="eastAsia"/>
          <w:b/>
          <w:bCs/>
          <w:rtl/>
        </w:rPr>
        <w:t>ועדת</w:t>
      </w:r>
      <w:r w:rsidRPr="0016536A">
        <w:rPr>
          <w:rFonts w:eastAsia="Calibri"/>
          <w:b/>
          <w:bCs/>
          <w:rtl/>
        </w:rPr>
        <w:t xml:space="preserve"> </w:t>
      </w:r>
      <w:r w:rsidRPr="0016536A">
        <w:rPr>
          <w:rFonts w:eastAsia="Calibri" w:hint="eastAsia"/>
          <w:b/>
          <w:bCs/>
          <w:rtl/>
        </w:rPr>
        <w:t>שטסמן</w:t>
      </w:r>
      <w:r w:rsidRPr="0016536A">
        <w:rPr>
          <w:rFonts w:eastAsia="Calibri"/>
          <w:b/>
          <w:bCs/>
          <w:rtl/>
        </w:rPr>
        <w:t xml:space="preserve"> המליצה להרחיב את ההכשרה בתחומי הגריאטריה של רופאים בקהילה ובכללם רופאי המשפחה</w:t>
      </w:r>
      <w:r>
        <w:rPr>
          <w:rFonts w:eastAsia="Calibri"/>
          <w:b/>
          <w:bCs/>
          <w:vertAlign w:val="superscript"/>
          <w:rtl/>
        </w:rPr>
        <w:footnoteReference w:id="192"/>
      </w:r>
      <w:r w:rsidRPr="0016536A">
        <w:rPr>
          <w:rFonts w:eastAsia="Calibri"/>
          <w:b/>
          <w:bCs/>
          <w:rtl/>
        </w:rPr>
        <w:t xml:space="preserve">; </w:t>
      </w:r>
      <w:r w:rsidRPr="0016536A">
        <w:rPr>
          <w:rFonts w:eastAsia="Calibri" w:hint="eastAsia"/>
          <w:b/>
          <w:bCs/>
          <w:rtl/>
        </w:rPr>
        <w:t>כך</w:t>
      </w:r>
      <w:r w:rsidRPr="0016536A">
        <w:rPr>
          <w:rFonts w:eastAsia="Calibri"/>
          <w:b/>
          <w:bCs/>
          <w:rtl/>
        </w:rPr>
        <w:t xml:space="preserve"> </w:t>
      </w:r>
      <w:r w:rsidRPr="0016536A">
        <w:rPr>
          <w:rFonts w:eastAsia="Calibri" w:hint="eastAsia"/>
          <w:b/>
          <w:bCs/>
          <w:rtl/>
        </w:rPr>
        <w:t>בין</w:t>
      </w:r>
      <w:r w:rsidRPr="0016536A">
        <w:rPr>
          <w:rFonts w:eastAsia="Calibri"/>
          <w:b/>
          <w:bCs/>
          <w:rtl/>
        </w:rPr>
        <w:t xml:space="preserve"> </w:t>
      </w:r>
      <w:r w:rsidRPr="0016536A">
        <w:rPr>
          <w:rFonts w:eastAsia="Calibri" w:hint="eastAsia"/>
          <w:b/>
          <w:bCs/>
          <w:rtl/>
        </w:rPr>
        <w:t>היתר</w:t>
      </w:r>
      <w:r w:rsidRPr="0016536A">
        <w:rPr>
          <w:rFonts w:eastAsia="Calibri"/>
          <w:b/>
          <w:bCs/>
          <w:rtl/>
        </w:rPr>
        <w:t xml:space="preserve"> </w:t>
      </w:r>
      <w:r w:rsidRPr="0016536A">
        <w:rPr>
          <w:rFonts w:eastAsia="Calibri" w:hint="eastAsia"/>
          <w:b/>
          <w:bCs/>
          <w:rtl/>
        </w:rPr>
        <w:t>המליצה</w:t>
      </w:r>
      <w:r w:rsidRPr="0016536A">
        <w:rPr>
          <w:rFonts w:eastAsia="Calibri"/>
          <w:b/>
          <w:bCs/>
          <w:rtl/>
        </w:rPr>
        <w:t xml:space="preserve"> </w:t>
      </w:r>
      <w:r w:rsidRPr="0016536A">
        <w:rPr>
          <w:rFonts w:eastAsia="Calibri" w:hint="eastAsia"/>
          <w:b/>
          <w:bCs/>
          <w:rtl/>
        </w:rPr>
        <w:t>הוועדה</w:t>
      </w:r>
      <w:r w:rsidRPr="0016536A">
        <w:rPr>
          <w:rFonts w:eastAsia="Calibri"/>
          <w:b/>
          <w:bCs/>
          <w:rtl/>
        </w:rPr>
        <w:t xml:space="preserve"> </w:t>
      </w:r>
      <w:r w:rsidRPr="0016536A">
        <w:rPr>
          <w:rFonts w:eastAsia="Calibri" w:hint="eastAsia"/>
          <w:b/>
          <w:bCs/>
          <w:rtl/>
        </w:rPr>
        <w:t>להרחיב</w:t>
      </w:r>
      <w:r w:rsidRPr="0016536A">
        <w:rPr>
          <w:rFonts w:eastAsia="Calibri"/>
          <w:b/>
          <w:bCs/>
          <w:rtl/>
        </w:rPr>
        <w:t xml:space="preserve"> </w:t>
      </w:r>
      <w:r w:rsidRPr="0016536A">
        <w:rPr>
          <w:rFonts w:eastAsia="Calibri" w:hint="eastAsia"/>
          <w:b/>
          <w:bCs/>
          <w:rtl/>
        </w:rPr>
        <w:t>את</w:t>
      </w:r>
      <w:r w:rsidRPr="0016536A">
        <w:rPr>
          <w:rFonts w:eastAsia="Calibri"/>
          <w:b/>
          <w:bCs/>
          <w:rtl/>
        </w:rPr>
        <w:t xml:space="preserve"> </w:t>
      </w:r>
      <w:r w:rsidRPr="0016536A">
        <w:rPr>
          <w:rFonts w:eastAsia="Calibri" w:hint="eastAsia"/>
          <w:b/>
          <w:bCs/>
          <w:rtl/>
        </w:rPr>
        <w:t>לימודי</w:t>
      </w:r>
      <w:r w:rsidRPr="0016536A">
        <w:rPr>
          <w:rFonts w:eastAsia="Calibri"/>
          <w:b/>
          <w:bCs/>
          <w:rtl/>
        </w:rPr>
        <w:t xml:space="preserve"> </w:t>
      </w:r>
      <w:r w:rsidRPr="0016536A">
        <w:rPr>
          <w:rFonts w:eastAsia="Calibri" w:hint="eastAsia"/>
          <w:b/>
          <w:bCs/>
          <w:rtl/>
        </w:rPr>
        <w:t>הגריאטריה</w:t>
      </w:r>
      <w:r w:rsidRPr="0016536A">
        <w:rPr>
          <w:rFonts w:eastAsia="Calibri"/>
          <w:b/>
          <w:bCs/>
          <w:rtl/>
        </w:rPr>
        <w:t xml:space="preserve"> </w:t>
      </w:r>
      <w:r w:rsidRPr="0016536A">
        <w:rPr>
          <w:rFonts w:eastAsia="Calibri" w:hint="eastAsia"/>
          <w:b/>
          <w:bCs/>
          <w:rtl/>
        </w:rPr>
        <w:t>בבתי</w:t>
      </w:r>
      <w:r w:rsidRPr="0016536A">
        <w:rPr>
          <w:rFonts w:eastAsia="Calibri"/>
          <w:b/>
          <w:bCs/>
          <w:rtl/>
        </w:rPr>
        <w:t xml:space="preserve"> </w:t>
      </w:r>
      <w:r w:rsidRPr="0016536A">
        <w:rPr>
          <w:rFonts w:eastAsia="Calibri" w:hint="eastAsia"/>
          <w:b/>
          <w:bCs/>
          <w:rtl/>
        </w:rPr>
        <w:t>הספר</w:t>
      </w:r>
      <w:r w:rsidRPr="0016536A">
        <w:rPr>
          <w:rFonts w:eastAsia="Calibri"/>
          <w:b/>
          <w:bCs/>
          <w:rtl/>
        </w:rPr>
        <w:t xml:space="preserve"> </w:t>
      </w:r>
      <w:r w:rsidRPr="0016536A">
        <w:rPr>
          <w:rFonts w:eastAsia="Calibri" w:hint="eastAsia"/>
          <w:b/>
          <w:bCs/>
          <w:rtl/>
        </w:rPr>
        <w:t>לרפואה</w:t>
      </w:r>
      <w:r w:rsidRPr="0016536A">
        <w:rPr>
          <w:rFonts w:eastAsia="Calibri"/>
          <w:b/>
          <w:bCs/>
          <w:rtl/>
        </w:rPr>
        <w:t xml:space="preserve"> </w:t>
      </w:r>
      <w:r w:rsidRPr="0016536A">
        <w:rPr>
          <w:rFonts w:eastAsia="Calibri" w:hint="eastAsia"/>
          <w:b/>
          <w:bCs/>
          <w:rtl/>
        </w:rPr>
        <w:t>לחודשיים</w:t>
      </w:r>
      <w:r w:rsidRPr="0016536A">
        <w:rPr>
          <w:rFonts w:eastAsia="Calibri"/>
          <w:b/>
          <w:bCs/>
          <w:rtl/>
        </w:rPr>
        <w:t xml:space="preserve"> </w:t>
      </w:r>
      <w:r w:rsidRPr="0016536A">
        <w:rPr>
          <w:rFonts w:eastAsia="Calibri" w:hint="eastAsia"/>
          <w:b/>
          <w:bCs/>
          <w:rtl/>
        </w:rPr>
        <w:t>לפחות</w:t>
      </w:r>
      <w:r w:rsidRPr="0016536A">
        <w:rPr>
          <w:rFonts w:eastAsia="Calibri"/>
          <w:b/>
          <w:bCs/>
          <w:rtl/>
        </w:rPr>
        <w:t xml:space="preserve"> </w:t>
      </w:r>
      <w:r w:rsidRPr="0016536A">
        <w:rPr>
          <w:rFonts w:eastAsia="Calibri" w:hint="eastAsia"/>
          <w:b/>
          <w:bCs/>
          <w:rtl/>
        </w:rPr>
        <w:t>במקום</w:t>
      </w:r>
      <w:r w:rsidRPr="0016536A">
        <w:rPr>
          <w:rFonts w:eastAsia="Calibri"/>
          <w:b/>
          <w:bCs/>
          <w:rtl/>
        </w:rPr>
        <w:t xml:space="preserve"> </w:t>
      </w:r>
      <w:r w:rsidRPr="0016536A">
        <w:rPr>
          <w:rFonts w:eastAsia="Calibri" w:hint="eastAsia"/>
          <w:b/>
          <w:bCs/>
          <w:rtl/>
        </w:rPr>
        <w:t>שבועיים</w:t>
      </w:r>
      <w:r>
        <w:rPr>
          <w:rFonts w:eastAsia="Calibri"/>
          <w:b/>
          <w:bCs/>
          <w:vertAlign w:val="superscript"/>
          <w:rtl/>
        </w:rPr>
        <w:footnoteReference w:id="193"/>
      </w:r>
      <w:r w:rsidRPr="0016536A">
        <w:rPr>
          <w:rFonts w:eastAsia="Calibri"/>
          <w:b/>
          <w:bCs/>
          <w:rtl/>
        </w:rPr>
        <w:t xml:space="preserve">; </w:t>
      </w:r>
      <w:r w:rsidRPr="0016536A">
        <w:rPr>
          <w:rFonts w:eastAsia="Calibri" w:hint="eastAsia"/>
          <w:b/>
          <w:bCs/>
          <w:rtl/>
        </w:rPr>
        <w:t>ולחייב</w:t>
      </w:r>
      <w:r w:rsidRPr="0016536A">
        <w:rPr>
          <w:rFonts w:eastAsia="Calibri"/>
          <w:b/>
          <w:bCs/>
          <w:rtl/>
        </w:rPr>
        <w:t xml:space="preserve"> </w:t>
      </w:r>
      <w:r w:rsidRPr="0016536A">
        <w:rPr>
          <w:rFonts w:eastAsia="Calibri" w:hint="eastAsia"/>
          <w:b/>
          <w:bCs/>
          <w:rtl/>
        </w:rPr>
        <w:t>את</w:t>
      </w:r>
      <w:r w:rsidRPr="0016536A">
        <w:rPr>
          <w:rFonts w:eastAsia="Calibri"/>
          <w:b/>
          <w:bCs/>
          <w:rtl/>
        </w:rPr>
        <w:t xml:space="preserve"> </w:t>
      </w:r>
      <w:r w:rsidRPr="0016536A">
        <w:rPr>
          <w:rFonts w:eastAsia="Calibri" w:hint="eastAsia"/>
          <w:b/>
          <w:bCs/>
          <w:rtl/>
        </w:rPr>
        <w:t>רופאי</w:t>
      </w:r>
      <w:r w:rsidRPr="0016536A">
        <w:rPr>
          <w:rFonts w:eastAsia="Calibri"/>
          <w:b/>
          <w:bCs/>
          <w:rtl/>
        </w:rPr>
        <w:t xml:space="preserve"> </w:t>
      </w:r>
      <w:r w:rsidRPr="0016536A">
        <w:rPr>
          <w:rFonts w:eastAsia="Calibri" w:hint="eastAsia"/>
          <w:b/>
          <w:bCs/>
          <w:rtl/>
        </w:rPr>
        <w:t>המשפחה</w:t>
      </w:r>
      <w:r w:rsidRPr="0016536A">
        <w:rPr>
          <w:rFonts w:eastAsia="Calibri"/>
          <w:b/>
          <w:bCs/>
          <w:rtl/>
        </w:rPr>
        <w:t xml:space="preserve"> </w:t>
      </w:r>
      <w:r w:rsidRPr="0016536A">
        <w:rPr>
          <w:rFonts w:eastAsia="Calibri" w:hint="eastAsia"/>
          <w:b/>
          <w:bCs/>
          <w:rtl/>
        </w:rPr>
        <w:t>לעבור</w:t>
      </w:r>
      <w:r w:rsidRPr="0016536A">
        <w:rPr>
          <w:rFonts w:eastAsia="Calibri"/>
          <w:b/>
          <w:bCs/>
          <w:rtl/>
        </w:rPr>
        <w:t xml:space="preserve"> </w:t>
      </w:r>
      <w:r w:rsidRPr="0016536A">
        <w:rPr>
          <w:rFonts w:eastAsia="Calibri" w:hint="eastAsia"/>
          <w:b/>
          <w:bCs/>
          <w:rtl/>
        </w:rPr>
        <w:t>השתלמות</w:t>
      </w:r>
      <w:r w:rsidRPr="0016536A">
        <w:rPr>
          <w:rFonts w:eastAsia="Calibri"/>
          <w:b/>
          <w:bCs/>
          <w:rtl/>
        </w:rPr>
        <w:t xml:space="preserve"> </w:t>
      </w:r>
      <w:r w:rsidRPr="0016536A">
        <w:rPr>
          <w:rFonts w:eastAsia="Calibri" w:hint="eastAsia"/>
          <w:b/>
          <w:bCs/>
          <w:rtl/>
        </w:rPr>
        <w:t>ברפואה</w:t>
      </w:r>
      <w:r w:rsidRPr="0016536A">
        <w:rPr>
          <w:rFonts w:eastAsia="Calibri"/>
          <w:b/>
          <w:bCs/>
          <w:rtl/>
        </w:rPr>
        <w:t xml:space="preserve"> </w:t>
      </w:r>
      <w:r w:rsidRPr="0016536A">
        <w:rPr>
          <w:rFonts w:eastAsia="Calibri" w:hint="eastAsia"/>
          <w:b/>
          <w:bCs/>
          <w:rtl/>
        </w:rPr>
        <w:t>גריאטרית</w:t>
      </w:r>
      <w:r w:rsidRPr="0016536A">
        <w:rPr>
          <w:rFonts w:eastAsia="Calibri"/>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מסלול ההתמחות ברפואת משפחה אורך ארבע שנים, ומתקיים בעיקר במחלקות רפואת משפחה, פנימיות וילדים</w:t>
      </w:r>
      <w:r>
        <w:rPr>
          <w:rFonts w:eastAsia="Calibri"/>
          <w:vertAlign w:val="superscript"/>
          <w:rtl/>
        </w:rPr>
        <w:footnoteReference w:id="194"/>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בביקורת עלה כי לא חל שינוי מהותי בהכשרה של רופאי המשפחה בתחום הגריאטריה: </w:t>
      </w:r>
    </w:p>
    <w:p w:rsidR="0016536A" w:rsidRPr="0016536A" w:rsidP="004614AF">
      <w:pPr>
        <w:spacing w:line="269" w:lineRule="auto"/>
        <w:rPr>
          <w:rFonts w:eastAsia="Calibri"/>
          <w:b/>
          <w:bCs/>
          <w:rtl/>
        </w:rPr>
      </w:pPr>
    </w:p>
    <w:p w:rsidR="0016536A" w:rsidRPr="0016536A" w:rsidP="004614AF">
      <w:pPr>
        <w:numPr>
          <w:ilvl w:val="0"/>
          <w:numId w:val="21"/>
        </w:numPr>
        <w:spacing w:line="269" w:lineRule="auto"/>
        <w:contextualSpacing/>
        <w:rPr>
          <w:rFonts w:eastAsia="Calibri"/>
          <w:b/>
          <w:bCs/>
        </w:rPr>
      </w:pPr>
      <w:r w:rsidRPr="0016536A">
        <w:rPr>
          <w:rFonts w:eastAsia="Calibri" w:hint="cs"/>
          <w:b/>
          <w:bCs/>
          <w:rtl/>
        </w:rPr>
        <w:t>לגבי מסלול ההתמחות ברפואת משפחה נמצא כי במהלך ההתמחות רשאים הרופאים המתמחים לבחור להתמחות ברפואה גריאטרית במשך חודשיים, אולם אין הם חייבים לעשות כן</w:t>
      </w:r>
      <w:r>
        <w:rPr>
          <w:rFonts w:eastAsia="Calibri"/>
          <w:b/>
          <w:bCs/>
          <w:vertAlign w:val="superscript"/>
          <w:rtl/>
        </w:rPr>
        <w:footnoteReference w:id="195"/>
      </w:r>
      <w:r w:rsidRPr="0016536A">
        <w:rPr>
          <w:rFonts w:eastAsia="Calibri" w:hint="cs"/>
          <w:b/>
          <w:bCs/>
          <w:rtl/>
        </w:rPr>
        <w:t>, וחובת ההתמחות בגריאטריה בקהילה צומצמה לחמישה ימים</w:t>
      </w:r>
      <w:r>
        <w:rPr>
          <w:rFonts w:eastAsia="Calibri"/>
          <w:b/>
          <w:bCs/>
          <w:vertAlign w:val="superscript"/>
          <w:rtl/>
        </w:rPr>
        <w:footnoteReference w:id="196"/>
      </w:r>
      <w:r w:rsidRPr="0016536A">
        <w:rPr>
          <w:rFonts w:eastAsia="Calibri" w:hint="cs"/>
          <w:b/>
          <w:bCs/>
          <w:rtl/>
        </w:rPr>
        <w:t xml:space="preserve">. </w:t>
      </w:r>
    </w:p>
    <w:p w:rsidR="0016536A" w:rsidRPr="0016536A" w:rsidP="004614AF">
      <w:pPr>
        <w:spacing w:line="269" w:lineRule="auto"/>
        <w:ind w:left="340"/>
        <w:contextualSpacing/>
        <w:rPr>
          <w:rFonts w:eastAsia="Calibri"/>
          <w:b/>
          <w:bCs/>
        </w:rPr>
      </w:pPr>
    </w:p>
    <w:p w:rsidR="0016536A" w:rsidRPr="0016536A" w:rsidP="004614AF">
      <w:pPr>
        <w:numPr>
          <w:ilvl w:val="0"/>
          <w:numId w:val="21"/>
        </w:numPr>
        <w:spacing w:line="269" w:lineRule="auto"/>
        <w:contextualSpacing/>
        <w:rPr>
          <w:rFonts w:eastAsia="Calibri"/>
          <w:b/>
          <w:bCs/>
        </w:rPr>
      </w:pPr>
      <w:r w:rsidRPr="0016536A">
        <w:rPr>
          <w:rFonts w:eastAsia="Calibri" w:hint="cs"/>
          <w:b/>
          <w:bCs/>
          <w:rtl/>
        </w:rPr>
        <w:t xml:space="preserve">לגבי הכשרת רופאים מומחים ברפואת משפחה נמצא כי אין כל הכשרה ייעודית בגריאטריה לרופאים מומחים ברפואת משפחה, פרט להשתלמות עמיתים ביתר לחץ דם שפתוחה לפניהם, שאף היא אינה עוסקת באופן ספציפי בגריאטריה.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רופאי המשפחה נשאלו בסקר באיזו מידה קיבלו בשנים האחרונות הכשרה לטיפול בזקנים, ותשובותיהם מוצגות בתרשים שלהלן:</w:t>
      </w:r>
    </w:p>
    <w:p w:rsidR="0016536A" w:rsidRPr="0016536A" w:rsidP="004614AF">
      <w:pPr>
        <w:spacing w:line="269" w:lineRule="auto"/>
        <w:rPr>
          <w:rFonts w:eastAsia="Calibri"/>
          <w:rtl/>
        </w:rPr>
      </w:pPr>
    </w:p>
    <w:p w:rsidR="0016536A" w:rsidRPr="0016536A" w:rsidP="004614AF">
      <w:pPr>
        <w:keepNext/>
        <w:keepLines/>
        <w:spacing w:line="269" w:lineRule="auto"/>
        <w:jc w:val="center"/>
        <w:rPr>
          <w:rFonts w:eastAsia="Calibri"/>
          <w:b/>
          <w:bCs/>
          <w:rtl/>
        </w:rPr>
      </w:pPr>
      <w:r w:rsidRPr="0016536A">
        <w:rPr>
          <w:rFonts w:eastAsia="Calibri" w:hint="cs"/>
          <w:rtl/>
        </w:rPr>
        <w:t>תרשים 25</w:t>
      </w:r>
      <w:r w:rsidRPr="0016536A">
        <w:rPr>
          <w:rFonts w:eastAsia="Calibri"/>
          <w:rtl/>
        </w:rPr>
        <w:t>:</w:t>
      </w:r>
      <w:r w:rsidRPr="0016536A">
        <w:rPr>
          <w:rFonts w:eastAsia="Calibri"/>
          <w:b/>
          <w:bCs/>
          <w:rtl/>
        </w:rPr>
        <w:t xml:space="preserve"> המידה </w:t>
      </w:r>
      <w:r w:rsidRPr="0016536A">
        <w:rPr>
          <w:rFonts w:eastAsia="Calibri" w:hint="cs"/>
          <w:b/>
          <w:bCs/>
          <w:rtl/>
        </w:rPr>
        <w:t>ש</w:t>
      </w:r>
      <w:r w:rsidRPr="0016536A">
        <w:rPr>
          <w:rFonts w:eastAsia="Calibri"/>
          <w:b/>
          <w:bCs/>
          <w:rtl/>
        </w:rPr>
        <w:t xml:space="preserve">בה קיבלו </w:t>
      </w:r>
      <w:r w:rsidRPr="0016536A">
        <w:rPr>
          <w:rFonts w:eastAsia="Calibri" w:hint="cs"/>
          <w:b/>
          <w:bCs/>
          <w:rtl/>
        </w:rPr>
        <w:t xml:space="preserve">רופאי המשפחה </w:t>
      </w:r>
      <w:r w:rsidRPr="0016536A">
        <w:rPr>
          <w:rFonts w:eastAsia="Calibri" w:hint="eastAsia"/>
          <w:b/>
          <w:bCs/>
          <w:rtl/>
        </w:rPr>
        <w:t>הכשרה</w:t>
      </w:r>
      <w:r w:rsidRPr="0016536A">
        <w:rPr>
          <w:rFonts w:eastAsia="Calibri"/>
          <w:b/>
          <w:bCs/>
          <w:rtl/>
        </w:rPr>
        <w:t xml:space="preserve"> </w:t>
      </w:r>
      <w:r w:rsidRPr="0016536A">
        <w:rPr>
          <w:rFonts w:eastAsia="Calibri" w:hint="eastAsia"/>
          <w:b/>
          <w:bCs/>
          <w:rtl/>
        </w:rPr>
        <w:t>לטיפול</w:t>
      </w:r>
      <w:r w:rsidRPr="0016536A">
        <w:rPr>
          <w:rFonts w:eastAsia="Calibri"/>
          <w:b/>
          <w:bCs/>
          <w:rtl/>
        </w:rPr>
        <w:t xml:space="preserve"> </w:t>
      </w:r>
      <w:r w:rsidRPr="0016536A">
        <w:rPr>
          <w:rFonts w:eastAsia="Calibri" w:hint="eastAsia"/>
          <w:b/>
          <w:bCs/>
          <w:rtl/>
        </w:rPr>
        <w:t>בזקנים</w:t>
      </w:r>
    </w:p>
    <w:p w:rsidR="0016536A" w:rsidRPr="0016536A" w:rsidP="004614AF">
      <w:pPr>
        <w:spacing w:line="269" w:lineRule="auto"/>
        <w:jc w:val="center"/>
        <w:rPr>
          <w:rFonts w:eastAsia="Calibri"/>
          <w:rtl/>
        </w:rPr>
      </w:pPr>
      <w:r w:rsidRPr="0016536A">
        <w:rPr>
          <w:rFonts w:eastAsia="Calibri"/>
          <w:noProof/>
        </w:rPr>
        <w:drawing>
          <wp:inline distT="0" distB="0" distL="0" distR="0">
            <wp:extent cx="5084445" cy="2853055"/>
            <wp:effectExtent l="0" t="0" r="1905" b="4445"/>
            <wp:docPr id="87" name="תמונה 87" descr="תרשים עוגה:&#10;&#10;במידה רבה מאוד: 7%&#10;&#10;במידה רבה: 13%&#10;&#10;במידה בינונית: 30%&#10;&#10;במידה מועטה: 26%&#10;&#10;במידה מועטה מאוד: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4"/>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4445" cy="2853055"/>
                    </a:xfrm>
                    <a:prstGeom prst="rect">
                      <a:avLst/>
                    </a:prstGeom>
                    <a:noFill/>
                  </pic:spPr>
                </pic:pic>
              </a:graphicData>
            </a:graphic>
          </wp:inline>
        </w:drawing>
      </w:r>
    </w:p>
    <w:p w:rsidR="0016536A" w:rsidRPr="0016536A" w:rsidP="004614AF">
      <w:pPr>
        <w:spacing w:line="269" w:lineRule="auto"/>
        <w:rPr>
          <w:rFonts w:eastAsia="Calibri"/>
          <w:sz w:val="18"/>
          <w:szCs w:val="22"/>
          <w:rtl/>
        </w:rPr>
      </w:pPr>
      <w:r w:rsidRPr="0016536A">
        <w:rPr>
          <w:rFonts w:eastAsia="Calibri" w:hint="cs"/>
          <w:sz w:val="18"/>
          <w:szCs w:val="22"/>
          <w:rtl/>
        </w:rPr>
        <w:t>על פי סקר רופאי משפחה, בעיבוד משרד מבקר המדינה</w:t>
      </w:r>
      <w:r>
        <w:rPr>
          <w:rFonts w:eastAsia="Calibri"/>
          <w:sz w:val="18"/>
          <w:szCs w:val="22"/>
          <w:vertAlign w:val="superscript"/>
          <w:rtl/>
        </w:rPr>
        <w:footnoteReference w:id="197"/>
      </w:r>
      <w:r w:rsidRPr="0016536A">
        <w:rPr>
          <w:rFonts w:eastAsia="Calibri" w:hint="cs"/>
          <w:sz w:val="18"/>
          <w:szCs w:val="22"/>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מהתרשים עולה כי 80% מרופאי המשפחה שהשתתפו בסקר דיווחו כי קיבלו הכשרה לטיפול בזקנים במידה בינונית ומטה, מחציתם - במידה מועטה או מעוטה מאוד; רק 20% דיווחו כי קיבלו הכשרה במידה רבה או רבה מאוד.</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מכבי מסרה בתשובתה כי בקופה קיים כלי לאיתור פרואקטיבי של תסמינים גריאטריים, המשמש גם להכשרה של רופאים ראשוניים</w:t>
      </w:r>
      <w:r>
        <w:rPr>
          <w:rFonts w:eastAsia="Calibri"/>
          <w:vertAlign w:val="superscript"/>
          <w:rtl/>
        </w:rPr>
        <w:footnoteReference w:id="198"/>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רופאי המשפחה נשאלו בסקר מהו שיעור המטופלים שלהם שהם בני 65 ומעלה, בתרשים שלהלן תשובותיהם:</w:t>
      </w:r>
    </w:p>
    <w:p w:rsidR="0016536A" w:rsidRPr="0016536A" w:rsidP="004614AF">
      <w:pPr>
        <w:spacing w:line="269" w:lineRule="auto"/>
        <w:rPr>
          <w:rFonts w:eastAsia="Calibri"/>
          <w:rtl/>
        </w:rPr>
      </w:pPr>
    </w:p>
    <w:p w:rsidR="0016536A" w:rsidRPr="0016536A" w:rsidP="004614AF">
      <w:pPr>
        <w:keepNext/>
        <w:keepLines/>
        <w:spacing w:line="269" w:lineRule="auto"/>
        <w:jc w:val="center"/>
        <w:rPr>
          <w:rFonts w:eastAsia="Calibri"/>
          <w:rtl/>
        </w:rPr>
      </w:pPr>
      <w:r w:rsidRPr="0016536A">
        <w:rPr>
          <w:rFonts w:eastAsia="Calibri" w:hint="cs"/>
          <w:rtl/>
        </w:rPr>
        <w:t xml:space="preserve">תרשים 26: </w:t>
      </w:r>
      <w:r w:rsidRPr="0016536A">
        <w:rPr>
          <w:rFonts w:eastAsia="Calibri" w:hint="cs"/>
          <w:b/>
          <w:bCs/>
          <w:rtl/>
        </w:rPr>
        <w:t>שיעור המטופלים בני 65 ומעלה שיש לרופאים, על פי דיווחם</w:t>
      </w:r>
    </w:p>
    <w:p w:rsidR="0016536A" w:rsidRPr="0016536A" w:rsidP="004614AF">
      <w:pPr>
        <w:spacing w:line="269" w:lineRule="auto"/>
        <w:jc w:val="center"/>
        <w:rPr>
          <w:rFonts w:eastAsia="Calibri"/>
          <w:rtl/>
        </w:rPr>
      </w:pPr>
      <w:r w:rsidRPr="0016536A">
        <w:rPr>
          <w:rFonts w:eastAsia="Calibri"/>
          <w:noProof/>
        </w:rPr>
        <w:drawing>
          <wp:inline distT="0" distB="0" distL="0" distR="0">
            <wp:extent cx="4211154" cy="2476500"/>
            <wp:effectExtent l="0" t="0" r="0" b="0"/>
            <wp:docPr id="88" name="תמונה 88" descr="תרשים עוגה:&#10;&#10;מיעוט מהמטופלים: 36%&#10;&#10;מחצית מהמטופלים: 47%&#10;&#10;רוב המטופלים: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5"/>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5009" cy="2484648"/>
                    </a:xfrm>
                    <a:prstGeom prst="rect">
                      <a:avLst/>
                    </a:prstGeom>
                    <a:noFill/>
                  </pic:spPr>
                </pic:pic>
              </a:graphicData>
            </a:graphic>
          </wp:inline>
        </w:drawing>
      </w:r>
    </w:p>
    <w:p w:rsidR="0016536A" w:rsidRPr="00C77AC7" w:rsidP="004614AF">
      <w:pPr>
        <w:spacing w:line="269" w:lineRule="auto"/>
        <w:rPr>
          <w:rFonts w:eastAsia="Calibri"/>
          <w:szCs w:val="20"/>
          <w:rtl/>
        </w:rPr>
      </w:pPr>
      <w:r w:rsidRPr="00C77AC7">
        <w:rPr>
          <w:rFonts w:eastAsia="Calibri" w:hint="cs"/>
          <w:szCs w:val="20"/>
          <w:rtl/>
        </w:rPr>
        <w:t>על פי סקר רופאי משפחה, בעיבוד משרד מבקר המדינה.</w:t>
      </w:r>
    </w:p>
    <w:p w:rsidR="0016536A" w:rsidRPr="0016536A" w:rsidP="004614AF">
      <w:pPr>
        <w:spacing w:line="269" w:lineRule="auto"/>
        <w:rPr>
          <w:rFonts w:eastAsia="Calibri"/>
          <w:b/>
          <w:bCs/>
          <w:rtl/>
        </w:rPr>
      </w:pPr>
      <w:r w:rsidRPr="0016536A">
        <w:rPr>
          <w:rFonts w:eastAsia="Calibri" w:hint="cs"/>
          <w:b/>
          <w:bCs/>
          <w:rtl/>
        </w:rPr>
        <w:t>מהתרשים עולה כי רוב רופאי המשפחה (64%) ציינו כי רוב או מחצית המטופלים שלהם הם בני 65 ומעלה, אולם, כאמור, רק 20% דיווחו כי קיבלו הכשרה לטיפול בהם במידה רבה או רבה מאוד.</w:t>
      </w:r>
    </w:p>
    <w:p w:rsidR="0016536A" w:rsidRPr="0016536A" w:rsidP="004614AF">
      <w:pPr>
        <w:spacing w:line="269" w:lineRule="auto"/>
        <w:rPr>
          <w:rFonts w:eastAsia="Calibri"/>
        </w:rPr>
      </w:pPr>
    </w:p>
    <w:p w:rsidR="0016536A" w:rsidRPr="0016536A" w:rsidP="004614AF">
      <w:pPr>
        <w:spacing w:line="269" w:lineRule="auto"/>
        <w:rPr>
          <w:rFonts w:eastAsia="Calibri"/>
          <w:b/>
          <w:bCs/>
          <w:rtl/>
        </w:rPr>
      </w:pPr>
      <w:r w:rsidRPr="0016536A">
        <w:rPr>
          <w:rFonts w:eastAsia="Calibri" w:hint="cs"/>
          <w:b/>
          <w:bCs/>
          <w:rtl/>
        </w:rPr>
        <w:t>היעדר הכשרה מספקת בתחומי הגריאטריה למתמחים ומומחים ברפואת משפחה לא יאפשר לתת מענה לצורך ההולך וגדל ברפואה גריאטרית ולקבל כלים וגישות המתאימים לטיפול באוכלוסיית הזקנים הגדלה, במיוחד בשל המחסור ברופאים גריאטרים.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מומלץ כי משרד הבריאות והר"י, בהתייעצות עם המועצה הלאומית לגריאטריה ועם האיגוד הישראלי לרפואה גריאטרית ועם קופות החולים, יוסיפו דגש משמעותי, בהכשרת המתמחים ברפואת המשפחה, ברפואה גריאטרית בנוסף לחובת ההתמחות בגריאטריה בקהילה של חמישה ימים. מומלץ גם כי יפתחו עבור רופאי משפחה הכשרות המשך, העוסקות בהיבטים שונים של רפואה גריאטרית ומעניקות מיומנויות וגישות מתאימות לטיפול בזקנים, ומומלץ כי ישקלו לחייב את רופאי המשפחה לעבור הכשרות אלו.</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משרד הבריאות מסר בתשובתו כי תחום הכשרת הרופאים נמצא בסמכות הר"י, וכי המשרד ינסה לקדם את הנושא.</w:t>
      </w:r>
    </w:p>
    <w:p w:rsidR="0016536A" w:rsidRPr="0016536A" w:rsidP="004614AF">
      <w:pPr>
        <w:spacing w:line="269" w:lineRule="auto"/>
        <w:rPr>
          <w:rFonts w:eastAsia="Calibri"/>
          <w:rtl/>
        </w:rPr>
      </w:pPr>
    </w:p>
    <w:p w:rsidR="0016536A" w:rsidRPr="0016536A" w:rsidP="004614AF">
      <w:pPr>
        <w:keepNext/>
        <w:keepLines/>
        <w:spacing w:line="269" w:lineRule="auto"/>
        <w:outlineLvl w:val="3"/>
        <w:rPr>
          <w:rFonts w:eastAsia="Times New Roman"/>
          <w:bCs/>
          <w:szCs w:val="26"/>
          <w:rtl/>
        </w:rPr>
      </w:pPr>
      <w:r w:rsidRPr="0016536A">
        <w:rPr>
          <w:rFonts w:eastAsia="Times New Roman" w:hint="cs"/>
          <w:bCs/>
          <w:szCs w:val="26"/>
          <w:rtl/>
        </w:rPr>
        <w:t>מחסור במיטות אשפוז</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דוח</w:t>
      </w:r>
      <w:r w:rsidRPr="0016536A">
        <w:rPr>
          <w:rFonts w:eastAsia="Calibri"/>
          <w:b/>
          <w:bCs/>
          <w:rtl/>
        </w:rPr>
        <w:t xml:space="preserve"> </w:t>
      </w:r>
      <w:r w:rsidRPr="0016536A">
        <w:rPr>
          <w:rFonts w:eastAsia="Calibri" w:hint="eastAsia"/>
          <w:b/>
          <w:bCs/>
          <w:rtl/>
        </w:rPr>
        <w:t>המעקב</w:t>
      </w:r>
      <w:r w:rsidRPr="0016536A">
        <w:rPr>
          <w:rFonts w:eastAsia="Calibri"/>
          <w:b/>
          <w:bCs/>
          <w:rtl/>
        </w:rPr>
        <w:t xml:space="preserve"> </w:t>
      </w:r>
      <w:r w:rsidRPr="0016536A">
        <w:rPr>
          <w:rFonts w:eastAsia="Calibri" w:hint="eastAsia"/>
          <w:b/>
          <w:bCs/>
          <w:rtl/>
        </w:rPr>
        <w:t>של</w:t>
      </w:r>
      <w:r w:rsidRPr="0016536A">
        <w:rPr>
          <w:rFonts w:eastAsia="Calibri"/>
          <w:b/>
          <w:bCs/>
          <w:rtl/>
        </w:rPr>
        <w:t xml:space="preserve"> </w:t>
      </w:r>
      <w:r w:rsidRPr="0016536A">
        <w:rPr>
          <w:rFonts w:eastAsia="Calibri" w:hint="eastAsia"/>
          <w:b/>
          <w:bCs/>
          <w:rtl/>
        </w:rPr>
        <w:t>המועצה</w:t>
      </w:r>
      <w:r w:rsidRPr="0016536A">
        <w:rPr>
          <w:rFonts w:eastAsia="Calibri"/>
          <w:b/>
          <w:bCs/>
          <w:rtl/>
        </w:rPr>
        <w:t xml:space="preserve"> </w:t>
      </w:r>
      <w:r w:rsidRPr="0016536A">
        <w:rPr>
          <w:rFonts w:eastAsia="Calibri" w:hint="eastAsia"/>
          <w:b/>
          <w:bCs/>
          <w:rtl/>
        </w:rPr>
        <w:t>הלאומית</w:t>
      </w:r>
      <w:r w:rsidRPr="0016536A">
        <w:rPr>
          <w:rFonts w:eastAsia="Calibri"/>
          <w:b/>
          <w:bCs/>
          <w:rtl/>
        </w:rPr>
        <w:t xml:space="preserve"> </w:t>
      </w:r>
      <w:r w:rsidRPr="0016536A">
        <w:rPr>
          <w:rFonts w:eastAsia="Calibri" w:hint="eastAsia"/>
          <w:b/>
          <w:bCs/>
          <w:rtl/>
        </w:rPr>
        <w:t>לכלכלה</w:t>
      </w:r>
      <w:r w:rsidRPr="0016536A">
        <w:rPr>
          <w:rFonts w:eastAsia="Calibri"/>
          <w:b/>
          <w:bCs/>
          <w:rtl/>
        </w:rPr>
        <w:t xml:space="preserve"> </w:t>
      </w:r>
      <w:r w:rsidRPr="0016536A">
        <w:rPr>
          <w:rFonts w:eastAsia="Calibri" w:hint="eastAsia"/>
          <w:b/>
          <w:bCs/>
          <w:rtl/>
        </w:rPr>
        <w:t>אחר</w:t>
      </w:r>
      <w:r w:rsidRPr="0016536A">
        <w:rPr>
          <w:rFonts w:eastAsia="Calibri"/>
          <w:b/>
          <w:bCs/>
          <w:rtl/>
        </w:rPr>
        <w:t xml:space="preserve"> </w:t>
      </w:r>
      <w:r w:rsidRPr="0016536A">
        <w:rPr>
          <w:rFonts w:eastAsia="Calibri" w:hint="eastAsia"/>
          <w:b/>
          <w:bCs/>
          <w:rtl/>
        </w:rPr>
        <w:t>יישום</w:t>
      </w:r>
      <w:r w:rsidRPr="0016536A">
        <w:rPr>
          <w:rFonts w:eastAsia="Calibri"/>
          <w:b/>
          <w:bCs/>
          <w:rtl/>
        </w:rPr>
        <w:t xml:space="preserve"> </w:t>
      </w:r>
      <w:r w:rsidRPr="0016536A">
        <w:rPr>
          <w:rFonts w:eastAsia="Calibri" w:hint="eastAsia"/>
          <w:b/>
          <w:bCs/>
          <w:rtl/>
        </w:rPr>
        <w:t>הערכת</w:t>
      </w:r>
      <w:r w:rsidRPr="0016536A">
        <w:rPr>
          <w:rFonts w:eastAsia="Calibri"/>
          <w:b/>
          <w:bCs/>
          <w:rtl/>
        </w:rPr>
        <w:t xml:space="preserve"> </w:t>
      </w:r>
      <w:r w:rsidRPr="0016536A">
        <w:rPr>
          <w:rFonts w:eastAsia="Calibri" w:hint="eastAsia"/>
          <w:b/>
          <w:bCs/>
          <w:rtl/>
        </w:rPr>
        <w:t>המצב</w:t>
      </w:r>
      <w:r w:rsidRPr="0016536A">
        <w:rPr>
          <w:rFonts w:eastAsia="Calibri"/>
          <w:b/>
          <w:bCs/>
          <w:rtl/>
        </w:rPr>
        <w:t xml:space="preserve"> </w:t>
      </w:r>
      <w:r w:rsidRPr="0016536A">
        <w:rPr>
          <w:rFonts w:eastAsia="Calibri" w:hint="eastAsia"/>
          <w:b/>
          <w:bCs/>
          <w:rtl/>
        </w:rPr>
        <w:t>האסטרטגית</w:t>
      </w:r>
      <w:r w:rsidRPr="0016536A">
        <w:rPr>
          <w:rFonts w:eastAsia="Calibri"/>
          <w:b/>
          <w:bCs/>
          <w:rtl/>
        </w:rPr>
        <w:t xml:space="preserve"> </w:t>
      </w:r>
      <w:r w:rsidRPr="0016536A">
        <w:rPr>
          <w:rFonts w:eastAsia="Calibri" w:hint="eastAsia"/>
          <w:b/>
          <w:bCs/>
          <w:rtl/>
        </w:rPr>
        <w:t>ציין</w:t>
      </w:r>
      <w:r w:rsidRPr="0016536A">
        <w:rPr>
          <w:rFonts w:eastAsia="Calibri"/>
          <w:b/>
          <w:bCs/>
          <w:rtl/>
        </w:rPr>
        <w:t xml:space="preserve"> </w:t>
      </w:r>
      <w:r w:rsidRPr="0016536A">
        <w:rPr>
          <w:rFonts w:eastAsia="Calibri" w:hint="eastAsia"/>
          <w:b/>
          <w:bCs/>
          <w:rtl/>
        </w:rPr>
        <w:t>כי</w:t>
      </w:r>
      <w:r w:rsidRPr="0016536A">
        <w:rPr>
          <w:rFonts w:eastAsia="Calibri"/>
          <w:b/>
          <w:bCs/>
          <w:rtl/>
        </w:rPr>
        <w:t xml:space="preserve"> </w:t>
      </w:r>
      <w:r w:rsidRPr="0016536A">
        <w:rPr>
          <w:rFonts w:eastAsia="Calibri" w:hint="eastAsia"/>
          <w:b/>
          <w:bCs/>
          <w:rtl/>
        </w:rPr>
        <w:t>אוכלוסיית</w:t>
      </w:r>
      <w:r w:rsidRPr="0016536A">
        <w:rPr>
          <w:rFonts w:eastAsia="Calibri"/>
          <w:b/>
          <w:bCs/>
          <w:rtl/>
        </w:rPr>
        <w:t xml:space="preserve"> </w:t>
      </w:r>
      <w:r w:rsidRPr="0016536A">
        <w:rPr>
          <w:rFonts w:eastAsia="Calibri" w:hint="eastAsia"/>
          <w:b/>
          <w:bCs/>
          <w:rtl/>
        </w:rPr>
        <w:t>בני</w:t>
      </w:r>
      <w:r w:rsidRPr="0016536A">
        <w:rPr>
          <w:rFonts w:eastAsia="Calibri"/>
          <w:b/>
          <w:bCs/>
          <w:rtl/>
        </w:rPr>
        <w:t xml:space="preserve"> </w:t>
      </w:r>
      <w:r w:rsidRPr="0016536A">
        <w:rPr>
          <w:rFonts w:eastAsia="Calibri" w:hint="eastAsia"/>
          <w:b/>
          <w:bCs/>
          <w:rtl/>
        </w:rPr>
        <w:t>ה</w:t>
      </w:r>
      <w:r w:rsidRPr="0016536A">
        <w:rPr>
          <w:rFonts w:eastAsia="Calibri"/>
          <w:b/>
          <w:bCs/>
          <w:rtl/>
        </w:rPr>
        <w:t xml:space="preserve">-65 </w:t>
      </w:r>
      <w:r w:rsidRPr="0016536A">
        <w:rPr>
          <w:rFonts w:eastAsia="Calibri" w:hint="eastAsia"/>
          <w:b/>
          <w:bCs/>
          <w:rtl/>
        </w:rPr>
        <w:t>ומעלה</w:t>
      </w:r>
      <w:r w:rsidRPr="0016536A">
        <w:rPr>
          <w:rFonts w:eastAsia="Calibri"/>
          <w:b/>
          <w:bCs/>
          <w:rtl/>
        </w:rPr>
        <w:t xml:space="preserve">, </w:t>
      </w:r>
      <w:r w:rsidRPr="0016536A">
        <w:rPr>
          <w:rFonts w:eastAsia="Calibri" w:hint="eastAsia"/>
          <w:b/>
          <w:bCs/>
          <w:rtl/>
        </w:rPr>
        <w:t>המהווה</w:t>
      </w:r>
      <w:r w:rsidRPr="0016536A">
        <w:rPr>
          <w:rFonts w:eastAsia="Calibri"/>
          <w:b/>
          <w:bCs/>
          <w:rtl/>
        </w:rPr>
        <w:t xml:space="preserve"> </w:t>
      </w:r>
      <w:r w:rsidRPr="0016536A">
        <w:rPr>
          <w:rFonts w:eastAsia="Calibri" w:hint="eastAsia"/>
          <w:b/>
          <w:bCs/>
          <w:rtl/>
        </w:rPr>
        <w:t>כ</w:t>
      </w:r>
      <w:r w:rsidRPr="0016536A">
        <w:rPr>
          <w:rFonts w:eastAsia="Calibri"/>
          <w:b/>
          <w:bCs/>
          <w:rtl/>
        </w:rPr>
        <w:t xml:space="preserve">-11% </w:t>
      </w:r>
      <w:r w:rsidRPr="0016536A">
        <w:rPr>
          <w:rFonts w:eastAsia="Calibri" w:hint="eastAsia"/>
          <w:b/>
          <w:bCs/>
          <w:rtl/>
        </w:rPr>
        <w:t>מהאוכלוסייה</w:t>
      </w:r>
      <w:r w:rsidRPr="0016536A">
        <w:rPr>
          <w:rFonts w:eastAsia="Calibri"/>
          <w:b/>
          <w:bCs/>
          <w:rtl/>
        </w:rPr>
        <w:t xml:space="preserve">, </w:t>
      </w:r>
      <w:r w:rsidRPr="0016536A">
        <w:rPr>
          <w:rFonts w:eastAsia="Calibri" w:hint="eastAsia"/>
          <w:b/>
          <w:bCs/>
          <w:rtl/>
        </w:rPr>
        <w:t>צורכת</w:t>
      </w:r>
      <w:r w:rsidRPr="0016536A">
        <w:rPr>
          <w:rFonts w:eastAsia="Calibri"/>
          <w:b/>
          <w:bCs/>
          <w:rtl/>
        </w:rPr>
        <w:t xml:space="preserve"> 45% </w:t>
      </w:r>
      <w:r w:rsidRPr="0016536A">
        <w:rPr>
          <w:rFonts w:eastAsia="Calibri" w:hint="eastAsia"/>
          <w:b/>
          <w:bCs/>
          <w:rtl/>
        </w:rPr>
        <w:t>מהיקף</w:t>
      </w:r>
      <w:r w:rsidRPr="0016536A">
        <w:rPr>
          <w:rFonts w:eastAsia="Calibri"/>
          <w:b/>
          <w:bCs/>
          <w:rtl/>
        </w:rPr>
        <w:t xml:space="preserve"> </w:t>
      </w:r>
      <w:r w:rsidRPr="0016536A">
        <w:rPr>
          <w:rFonts w:eastAsia="Calibri" w:hint="eastAsia"/>
          <w:b/>
          <w:bCs/>
          <w:rtl/>
        </w:rPr>
        <w:t>שירותי</w:t>
      </w:r>
      <w:r w:rsidRPr="0016536A">
        <w:rPr>
          <w:rFonts w:eastAsia="Calibri"/>
          <w:b/>
          <w:bCs/>
          <w:rtl/>
        </w:rPr>
        <w:t xml:space="preserve"> </w:t>
      </w:r>
      <w:r w:rsidRPr="0016536A">
        <w:rPr>
          <w:rFonts w:eastAsia="Calibri" w:hint="eastAsia"/>
          <w:b/>
          <w:bCs/>
          <w:rtl/>
        </w:rPr>
        <w:t>האשפוז</w:t>
      </w:r>
      <w:r w:rsidRPr="0016536A">
        <w:rPr>
          <w:rFonts w:eastAsia="Calibri"/>
          <w:b/>
          <w:bCs/>
          <w:rtl/>
        </w:rPr>
        <w:t xml:space="preserve"> </w:t>
      </w:r>
      <w:r w:rsidRPr="0016536A">
        <w:rPr>
          <w:rFonts w:eastAsia="Calibri" w:hint="eastAsia"/>
          <w:b/>
          <w:bCs/>
          <w:rtl/>
        </w:rPr>
        <w:t>במדינת</w:t>
      </w:r>
      <w:r w:rsidRPr="0016536A">
        <w:rPr>
          <w:rFonts w:eastAsia="Calibri"/>
          <w:b/>
          <w:bCs/>
          <w:rtl/>
        </w:rPr>
        <w:t xml:space="preserve"> </w:t>
      </w:r>
      <w:r w:rsidRPr="0016536A">
        <w:rPr>
          <w:rFonts w:eastAsia="Calibri" w:hint="eastAsia"/>
          <w:b/>
          <w:bCs/>
          <w:rtl/>
        </w:rPr>
        <w:t>ישראל</w:t>
      </w:r>
      <w:r>
        <w:rPr>
          <w:rFonts w:eastAsia="Calibri"/>
          <w:b/>
          <w:bCs/>
          <w:vertAlign w:val="superscript"/>
          <w:rtl/>
        </w:rPr>
        <w:footnoteReference w:id="199"/>
      </w:r>
      <w:r w:rsidRPr="0016536A">
        <w:rPr>
          <w:rFonts w:eastAsia="Calibri"/>
          <w:b/>
          <w:bCs/>
          <w:rtl/>
        </w:rPr>
        <w:t xml:space="preserve">. ועדת </w:t>
      </w:r>
      <w:r w:rsidRPr="0016536A">
        <w:rPr>
          <w:rFonts w:eastAsia="Calibri" w:hint="eastAsia"/>
          <w:b/>
          <w:bCs/>
          <w:rtl/>
        </w:rPr>
        <w:t>שטסמן</w:t>
      </w:r>
      <w:r w:rsidRPr="0016536A">
        <w:rPr>
          <w:rFonts w:eastAsia="Calibri"/>
          <w:b/>
          <w:bCs/>
          <w:rtl/>
        </w:rPr>
        <w:t xml:space="preserve"> הצביעה על הצורך בהגדלת מספר מיטות האשפוז הכללי והגריאטרי כדי לתת מענה לעלייה הצפויה במספר האשפוזים של זקנים. בדוח שפרסמה ציינה הוועדה כי זקנים תופסים באשפוז בבתי החולים הכלליים חלק ממוצע הגבוה פי כמה משיעורם באוכלוסייה, ומהווים רוב מוחלט של האשפוזים במחלקות הפנימיות, וכי עם הגידול באוכלוסיית הזקנים, מספר מיטות האשפוז שיתפסו צפוי לגדול באופן משמעותי</w:t>
      </w:r>
      <w:r>
        <w:rPr>
          <w:rFonts w:eastAsia="Calibri"/>
          <w:b/>
          <w:bCs/>
          <w:vertAlign w:val="superscript"/>
          <w:rtl/>
        </w:rPr>
        <w:footnoteReference w:id="200"/>
      </w:r>
      <w:r w:rsidRPr="0016536A">
        <w:rPr>
          <w:rFonts w:eastAsia="Calibri"/>
          <w:b/>
          <w:bCs/>
          <w:rtl/>
        </w:rPr>
        <w:t xml:space="preserve">. </w:t>
      </w:r>
      <w:r w:rsidRPr="0016536A">
        <w:rPr>
          <w:rFonts w:eastAsia="Calibri" w:hint="eastAsia"/>
          <w:b/>
          <w:bCs/>
          <w:rtl/>
        </w:rPr>
        <w:t>כפי</w:t>
      </w:r>
      <w:r w:rsidRPr="0016536A">
        <w:rPr>
          <w:rFonts w:eastAsia="Calibri"/>
          <w:b/>
          <w:bCs/>
          <w:rtl/>
        </w:rPr>
        <w:t xml:space="preserve"> </w:t>
      </w:r>
      <w:r w:rsidRPr="0016536A">
        <w:rPr>
          <w:rFonts w:eastAsia="Calibri" w:hint="eastAsia"/>
          <w:b/>
          <w:bCs/>
          <w:rtl/>
        </w:rPr>
        <w:t>שהוצג</w:t>
      </w:r>
      <w:r w:rsidRPr="0016536A">
        <w:rPr>
          <w:rFonts w:eastAsia="Calibri"/>
          <w:b/>
          <w:bCs/>
          <w:rtl/>
        </w:rPr>
        <w:t xml:space="preserve"> </w:t>
      </w:r>
      <w:r w:rsidRPr="0016536A">
        <w:rPr>
          <w:rFonts w:eastAsia="Calibri" w:hint="eastAsia"/>
          <w:b/>
          <w:bCs/>
          <w:rtl/>
        </w:rPr>
        <w:t>לעיל</w:t>
      </w:r>
      <w:r w:rsidRPr="0016536A">
        <w:rPr>
          <w:rFonts w:eastAsia="Calibri"/>
          <w:b/>
          <w:bCs/>
          <w:rtl/>
        </w:rPr>
        <w:t xml:space="preserve">, </w:t>
      </w:r>
      <w:r w:rsidRPr="0016536A">
        <w:rPr>
          <w:rFonts w:eastAsia="Calibri" w:hint="eastAsia"/>
          <w:b/>
          <w:bCs/>
          <w:rtl/>
        </w:rPr>
        <w:t>הוצאות</w:t>
      </w:r>
      <w:r w:rsidRPr="0016536A">
        <w:rPr>
          <w:rFonts w:eastAsia="Calibri"/>
          <w:b/>
          <w:bCs/>
          <w:rtl/>
        </w:rPr>
        <w:t xml:space="preserve"> </w:t>
      </w:r>
      <w:r w:rsidRPr="0016536A">
        <w:rPr>
          <w:rFonts w:eastAsia="Calibri" w:hint="eastAsia"/>
          <w:b/>
          <w:bCs/>
          <w:rtl/>
        </w:rPr>
        <w:t>האשפוז</w:t>
      </w:r>
      <w:r w:rsidRPr="0016536A">
        <w:rPr>
          <w:rFonts w:eastAsia="Calibri"/>
          <w:b/>
          <w:bCs/>
          <w:rtl/>
        </w:rPr>
        <w:t xml:space="preserve"> </w:t>
      </w:r>
      <w:r w:rsidRPr="0016536A">
        <w:rPr>
          <w:rFonts w:eastAsia="Calibri" w:hint="eastAsia"/>
          <w:b/>
          <w:bCs/>
          <w:rtl/>
        </w:rPr>
        <w:t>של</w:t>
      </w:r>
      <w:r w:rsidRPr="0016536A">
        <w:rPr>
          <w:rFonts w:eastAsia="Calibri"/>
          <w:b/>
          <w:bCs/>
          <w:rtl/>
        </w:rPr>
        <w:t xml:space="preserve"> </w:t>
      </w:r>
      <w:r w:rsidRPr="0016536A">
        <w:rPr>
          <w:rFonts w:eastAsia="Calibri" w:hint="eastAsia"/>
          <w:b/>
          <w:bCs/>
          <w:rtl/>
        </w:rPr>
        <w:t>הזקנים</w:t>
      </w:r>
      <w:r w:rsidRPr="0016536A">
        <w:rPr>
          <w:rFonts w:eastAsia="Calibri"/>
          <w:b/>
          <w:bCs/>
          <w:rtl/>
        </w:rPr>
        <w:t xml:space="preserve"> </w:t>
      </w:r>
      <w:r w:rsidRPr="0016536A">
        <w:rPr>
          <w:rFonts w:eastAsia="Calibri" w:hint="eastAsia"/>
          <w:b/>
          <w:bCs/>
          <w:rtl/>
        </w:rPr>
        <w:t>עומדות</w:t>
      </w:r>
      <w:r w:rsidRPr="0016536A">
        <w:rPr>
          <w:rFonts w:eastAsia="Calibri"/>
          <w:b/>
          <w:bCs/>
          <w:rtl/>
        </w:rPr>
        <w:t xml:space="preserve"> </w:t>
      </w:r>
      <w:r w:rsidRPr="0016536A">
        <w:rPr>
          <w:rFonts w:eastAsia="Calibri" w:hint="eastAsia"/>
          <w:b/>
          <w:bCs/>
          <w:rtl/>
        </w:rPr>
        <w:t>על</w:t>
      </w:r>
      <w:r w:rsidRPr="0016536A">
        <w:rPr>
          <w:rFonts w:eastAsia="Calibri"/>
          <w:b/>
          <w:bCs/>
          <w:rtl/>
        </w:rPr>
        <w:t xml:space="preserve"> </w:t>
      </w:r>
      <w:r w:rsidRPr="0016536A">
        <w:rPr>
          <w:rFonts w:eastAsia="Calibri" w:hint="eastAsia"/>
          <w:b/>
          <w:bCs/>
          <w:rtl/>
        </w:rPr>
        <w:t>כ</w:t>
      </w:r>
      <w:r w:rsidRPr="0016536A">
        <w:rPr>
          <w:rFonts w:eastAsia="Calibri"/>
          <w:b/>
          <w:bCs/>
          <w:rtl/>
        </w:rPr>
        <w:t xml:space="preserve">-40% </w:t>
      </w:r>
      <w:r w:rsidRPr="0016536A">
        <w:rPr>
          <w:rFonts w:eastAsia="Calibri" w:hint="eastAsia"/>
          <w:b/>
          <w:bCs/>
          <w:rtl/>
        </w:rPr>
        <w:t>מכלל</w:t>
      </w:r>
      <w:r w:rsidRPr="0016536A">
        <w:rPr>
          <w:rFonts w:eastAsia="Calibri"/>
          <w:b/>
          <w:bCs/>
          <w:rtl/>
        </w:rPr>
        <w:t xml:space="preserve"> </w:t>
      </w:r>
      <w:r w:rsidRPr="0016536A">
        <w:rPr>
          <w:rFonts w:eastAsia="Calibri" w:hint="eastAsia"/>
          <w:b/>
          <w:bCs/>
          <w:rtl/>
        </w:rPr>
        <w:t>הוצאות</w:t>
      </w:r>
      <w:r w:rsidRPr="0016536A">
        <w:rPr>
          <w:rFonts w:eastAsia="Calibri"/>
          <w:b/>
          <w:bCs/>
          <w:rtl/>
        </w:rPr>
        <w:t xml:space="preserve"> </w:t>
      </w:r>
      <w:r w:rsidRPr="0016536A">
        <w:rPr>
          <w:rFonts w:eastAsia="Calibri" w:hint="eastAsia"/>
          <w:b/>
          <w:bCs/>
          <w:rtl/>
        </w:rPr>
        <w:t>האשפוז</w:t>
      </w:r>
      <w:r w:rsidRPr="0016536A">
        <w:rPr>
          <w:rFonts w:eastAsia="Calibri"/>
          <w:b/>
          <w:bCs/>
          <w:rtl/>
        </w:rPr>
        <w:t xml:space="preserve"> </w:t>
      </w:r>
      <w:r w:rsidRPr="0016536A">
        <w:rPr>
          <w:rFonts w:eastAsia="Calibri" w:hint="eastAsia"/>
          <w:b/>
          <w:bCs/>
          <w:rtl/>
        </w:rPr>
        <w:t>בשנת</w:t>
      </w:r>
      <w:r w:rsidRPr="0016536A">
        <w:rPr>
          <w:rFonts w:eastAsia="Calibri"/>
          <w:b/>
          <w:bCs/>
          <w:rtl/>
        </w:rPr>
        <w:t xml:space="preserve"> 2018.</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הוועדה המליצה בין היתר על מתווה להגדלת מספר מיטות האשפוז בבתי החולים. כאמור, משרד הבריאות מסר בהודעתו שנרשמה בהחלטה 150 כי החל בגיבוש תוכנית להיערכות מערכת הבריאות להזדקנות האוכלוסייה, ובכללה התייחסות להיבט של מיטות האשפוז. </w:t>
      </w:r>
      <w:r w:rsidRPr="0016536A">
        <w:rPr>
          <w:rFonts w:eastAsia="Calibri"/>
          <w:rtl/>
        </w:rPr>
        <w:t>משרד הבריאות מבחין בין שני סוגי</w:t>
      </w:r>
      <w:r w:rsidRPr="0016536A">
        <w:rPr>
          <w:rFonts w:eastAsia="Calibri" w:hint="cs"/>
          <w:rtl/>
        </w:rPr>
        <w:t>ם של</w:t>
      </w:r>
      <w:r w:rsidRPr="0016536A">
        <w:rPr>
          <w:rFonts w:eastAsia="Calibri"/>
          <w:rtl/>
        </w:rPr>
        <w:t xml:space="preserve"> מיטות אשפוז גריאטריות: מיטות גריאטריה כרונית המיועדות למטופלים סיעודיים או תשושי נפש ומ</w:t>
      </w:r>
      <w:r w:rsidRPr="0016536A">
        <w:rPr>
          <w:rFonts w:eastAsia="Calibri" w:hint="cs"/>
          <w:rtl/>
        </w:rPr>
        <w:t>שמשות</w:t>
      </w:r>
      <w:r w:rsidRPr="0016536A">
        <w:rPr>
          <w:rFonts w:eastAsia="Calibri"/>
          <w:rtl/>
        </w:rPr>
        <w:t xml:space="preserve"> בפועל מסגרת מגורים ארוכת טווח עבור </w:t>
      </w:r>
      <w:r w:rsidRPr="0016536A">
        <w:rPr>
          <w:rFonts w:eastAsia="Calibri" w:hint="cs"/>
          <w:rtl/>
        </w:rPr>
        <w:t>זקנים</w:t>
      </w:r>
      <w:r w:rsidRPr="0016536A">
        <w:rPr>
          <w:rFonts w:eastAsia="Calibri"/>
          <w:rtl/>
        </w:rPr>
        <w:t xml:space="preserve"> הזקוקים לסיוע מלא בפעולות יומיומיות; ומיטות גריאטריה פעילה </w:t>
      </w:r>
      <w:r w:rsidRPr="0016536A">
        <w:rPr>
          <w:rFonts w:eastAsia="Calibri" w:hint="cs"/>
          <w:rtl/>
        </w:rPr>
        <w:t>שהן</w:t>
      </w:r>
      <w:r w:rsidRPr="0016536A">
        <w:rPr>
          <w:rFonts w:eastAsia="Calibri"/>
          <w:rtl/>
        </w:rPr>
        <w:t xml:space="preserve"> המשך לרצף הטיפולי האקוטי במחלקות שיקום גריאטרי, סיעוד מורכב, הנשמה ממושכת ויחידות תת-אקוטיות, ו</w:t>
      </w:r>
      <w:r w:rsidRPr="0016536A">
        <w:rPr>
          <w:rFonts w:eastAsia="Calibri" w:hint="cs"/>
          <w:rtl/>
        </w:rPr>
        <w:t xml:space="preserve">הן </w:t>
      </w:r>
      <w:r w:rsidRPr="0016536A">
        <w:rPr>
          <w:rFonts w:eastAsia="Calibri"/>
          <w:rtl/>
        </w:rPr>
        <w:t>מיועד</w:t>
      </w:r>
      <w:r w:rsidRPr="0016536A">
        <w:rPr>
          <w:rFonts w:eastAsia="Calibri" w:hint="cs"/>
          <w:rtl/>
        </w:rPr>
        <w:t>ו</w:t>
      </w:r>
      <w:r w:rsidRPr="0016536A">
        <w:rPr>
          <w:rFonts w:eastAsia="Calibri"/>
          <w:rtl/>
        </w:rPr>
        <w:t>ת למטופלים הזקוקים לאשפוז קצר עד בינוני עד להתייצבות במצבם הקליני (להלן - מיטות אשפוז גריאטרי)</w:t>
      </w:r>
      <w:r w:rsidRPr="0016536A">
        <w:rPr>
          <w:rFonts w:eastAsia="Calibri" w:hint="cs"/>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eastAsia"/>
          <w:b/>
          <w:bCs/>
          <w:rtl/>
        </w:rPr>
        <w:t>בהתאם</w:t>
      </w:r>
      <w:r w:rsidRPr="0016536A">
        <w:rPr>
          <w:rFonts w:eastAsia="Calibri"/>
          <w:b/>
          <w:bCs/>
          <w:rtl/>
        </w:rPr>
        <w:t xml:space="preserve"> </w:t>
      </w:r>
      <w:r w:rsidRPr="0016536A">
        <w:rPr>
          <w:rFonts w:eastAsia="Calibri" w:hint="eastAsia"/>
          <w:b/>
          <w:bCs/>
          <w:rtl/>
        </w:rPr>
        <w:t>לכך</w:t>
      </w:r>
      <w:r w:rsidRPr="0016536A">
        <w:rPr>
          <w:rFonts w:eastAsia="Calibri"/>
          <w:b/>
          <w:bCs/>
          <w:rtl/>
        </w:rPr>
        <w:t xml:space="preserve"> </w:t>
      </w:r>
      <w:r w:rsidRPr="0016536A">
        <w:rPr>
          <w:rFonts w:eastAsia="Calibri" w:hint="eastAsia"/>
          <w:b/>
          <w:bCs/>
          <w:rtl/>
        </w:rPr>
        <w:t>גדל</w:t>
      </w:r>
      <w:r w:rsidRPr="0016536A">
        <w:rPr>
          <w:rFonts w:eastAsia="Calibri"/>
          <w:b/>
          <w:bCs/>
          <w:rtl/>
        </w:rPr>
        <w:t xml:space="preserve"> </w:t>
      </w:r>
      <w:r w:rsidRPr="0016536A">
        <w:rPr>
          <w:rFonts w:eastAsia="Calibri" w:hint="eastAsia"/>
          <w:b/>
          <w:bCs/>
          <w:rtl/>
        </w:rPr>
        <w:t>מספר</w:t>
      </w:r>
      <w:r w:rsidRPr="0016536A">
        <w:rPr>
          <w:rFonts w:eastAsia="Calibri"/>
          <w:b/>
          <w:bCs/>
          <w:rtl/>
        </w:rPr>
        <w:t xml:space="preserve"> </w:t>
      </w:r>
      <w:r w:rsidRPr="0016536A">
        <w:rPr>
          <w:rFonts w:eastAsia="Calibri" w:hint="eastAsia"/>
          <w:b/>
          <w:bCs/>
          <w:rtl/>
        </w:rPr>
        <w:t>מיטות</w:t>
      </w:r>
      <w:r w:rsidRPr="0016536A">
        <w:rPr>
          <w:rFonts w:eastAsia="Calibri"/>
          <w:b/>
          <w:bCs/>
          <w:rtl/>
        </w:rPr>
        <w:t xml:space="preserve"> </w:t>
      </w:r>
      <w:r w:rsidRPr="0016536A">
        <w:rPr>
          <w:rFonts w:eastAsia="Calibri" w:hint="eastAsia"/>
          <w:b/>
          <w:bCs/>
          <w:rtl/>
        </w:rPr>
        <w:t>האשפוז</w:t>
      </w:r>
      <w:r w:rsidRPr="0016536A">
        <w:rPr>
          <w:rFonts w:eastAsia="Calibri"/>
          <w:b/>
          <w:bCs/>
          <w:rtl/>
        </w:rPr>
        <w:t xml:space="preserve"> </w:t>
      </w:r>
      <w:r w:rsidRPr="0016536A">
        <w:rPr>
          <w:rFonts w:eastAsia="Calibri" w:hint="eastAsia"/>
          <w:b/>
          <w:bCs/>
          <w:rtl/>
        </w:rPr>
        <w:t>הגריאטרי</w:t>
      </w:r>
      <w:r w:rsidRPr="0016536A">
        <w:rPr>
          <w:rFonts w:eastAsia="Calibri"/>
          <w:b/>
          <w:bCs/>
          <w:rtl/>
        </w:rPr>
        <w:t xml:space="preserve"> </w:t>
      </w:r>
      <w:r w:rsidRPr="0016536A">
        <w:rPr>
          <w:rFonts w:eastAsia="Calibri" w:hint="eastAsia"/>
          <w:b/>
          <w:bCs/>
          <w:rtl/>
        </w:rPr>
        <w:t>ב</w:t>
      </w:r>
      <w:r w:rsidRPr="0016536A">
        <w:rPr>
          <w:rFonts w:eastAsia="Calibri"/>
          <w:b/>
          <w:bCs/>
          <w:rtl/>
        </w:rPr>
        <w:t xml:space="preserve">-8% </w:t>
      </w:r>
      <w:r w:rsidRPr="0016536A">
        <w:rPr>
          <w:rFonts w:eastAsia="Calibri" w:hint="eastAsia"/>
          <w:b/>
          <w:bCs/>
          <w:rtl/>
        </w:rPr>
        <w:t>בשנים</w:t>
      </w:r>
      <w:r w:rsidRPr="0016536A">
        <w:rPr>
          <w:rFonts w:eastAsia="Calibri"/>
          <w:b/>
          <w:bCs/>
          <w:rtl/>
        </w:rPr>
        <w:t xml:space="preserve"> 2020 - 2023</w:t>
      </w:r>
      <w:r>
        <w:rPr>
          <w:rFonts w:eastAsia="Calibri"/>
          <w:b/>
          <w:bCs/>
          <w:vertAlign w:val="superscript"/>
          <w:rtl/>
        </w:rPr>
        <w:footnoteReference w:id="201"/>
      </w:r>
      <w:r w:rsidRPr="0016536A">
        <w:rPr>
          <w:rFonts w:eastAsia="Calibri"/>
          <w:b/>
          <w:bCs/>
          <w:rtl/>
        </w:rPr>
        <w:t xml:space="preserve"> (מ-25,312 </w:t>
      </w:r>
      <w:r w:rsidRPr="0016536A">
        <w:rPr>
          <w:rFonts w:eastAsia="Calibri"/>
          <w:b/>
          <w:bCs/>
          <w:rtl/>
        </w:rPr>
        <w:br/>
        <w:t>ל-27,300), ומספר מיטות האשפוז הכללי גדל ב-4% בשנים אלה (מ-16,346 ל-16,938).</w:t>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בביקורת נבדק השינוי בשיעור מיטות האשפוז הכללי</w:t>
      </w:r>
      <w:r>
        <w:rPr>
          <w:rFonts w:eastAsia="Calibri"/>
          <w:vertAlign w:val="superscript"/>
          <w:rtl/>
        </w:rPr>
        <w:footnoteReference w:id="202"/>
      </w:r>
      <w:r w:rsidRPr="0016536A">
        <w:rPr>
          <w:rFonts w:eastAsia="Calibri" w:hint="cs"/>
          <w:rtl/>
        </w:rPr>
        <w:t xml:space="preserve"> ובכלל המחלקות הגריאטריות</w:t>
      </w:r>
      <w:r>
        <w:rPr>
          <w:rFonts w:eastAsia="Calibri"/>
          <w:vertAlign w:val="superscript"/>
          <w:rtl/>
        </w:rPr>
        <w:footnoteReference w:id="203"/>
      </w:r>
      <w:r w:rsidRPr="0016536A">
        <w:rPr>
          <w:rFonts w:eastAsia="Calibri" w:hint="cs"/>
          <w:rtl/>
        </w:rPr>
        <w:t xml:space="preserve"> בשנים 2020 - 2023</w:t>
      </w:r>
      <w:r>
        <w:rPr>
          <w:rFonts w:eastAsia="Calibri"/>
          <w:vertAlign w:val="superscript"/>
          <w:rtl/>
        </w:rPr>
        <w:footnoteReference w:id="204"/>
      </w:r>
      <w:r w:rsidRPr="0016536A">
        <w:rPr>
          <w:rFonts w:eastAsia="Calibri" w:hint="cs"/>
          <w:rtl/>
        </w:rPr>
        <w:t>, ונאמד שיעורן ב-2030 ו-2040</w:t>
      </w:r>
      <w:r>
        <w:rPr>
          <w:rFonts w:eastAsia="Calibri"/>
          <w:vertAlign w:val="superscript"/>
          <w:rtl/>
        </w:rPr>
        <w:footnoteReference w:id="205"/>
      </w:r>
      <w:r w:rsidRPr="0016536A">
        <w:rPr>
          <w:rFonts w:eastAsia="Calibri" w:hint="cs"/>
          <w:rtl/>
        </w:rPr>
        <w:t>, כמוצג בתרשים שלהלן.</w:t>
      </w:r>
    </w:p>
    <w:p w:rsidR="0016536A" w:rsidRPr="0016536A" w:rsidP="004614AF">
      <w:pPr>
        <w:spacing w:line="269" w:lineRule="auto"/>
        <w:rPr>
          <w:rFonts w:eastAsia="Calibri"/>
          <w:rtl/>
        </w:rPr>
      </w:pPr>
    </w:p>
    <w:p w:rsidR="0016536A" w:rsidRPr="0016536A" w:rsidP="004614AF">
      <w:pPr>
        <w:spacing w:line="269" w:lineRule="auto"/>
        <w:jc w:val="center"/>
        <w:rPr>
          <w:rFonts w:eastAsia="Calibri"/>
          <w:b/>
          <w:bCs/>
          <w:rtl/>
        </w:rPr>
      </w:pPr>
      <w:r w:rsidRPr="0016536A">
        <w:rPr>
          <w:rFonts w:eastAsia="Calibri" w:hint="cs"/>
          <w:rtl/>
        </w:rPr>
        <w:t>תרשים 27:</w:t>
      </w:r>
      <w:r w:rsidRPr="0016536A">
        <w:rPr>
          <w:rFonts w:eastAsia="Calibri" w:hint="cs"/>
          <w:b/>
          <w:bCs/>
          <w:rtl/>
        </w:rPr>
        <w:t xml:space="preserve"> מספר מיטות האשפוז הכללי והגריאטרי ל-1,000 איש, לפי גיל, 2020 - 2040</w:t>
      </w:r>
    </w:p>
    <w:p w:rsidR="0016536A" w:rsidRPr="0016536A" w:rsidP="004614AF">
      <w:pPr>
        <w:spacing w:line="269" w:lineRule="auto"/>
        <w:jc w:val="center"/>
        <w:rPr>
          <w:rFonts w:eastAsia="Calibri"/>
          <w:b/>
          <w:bCs/>
          <w:rtl/>
        </w:rPr>
      </w:pPr>
      <w:bookmarkStart w:id="20" w:name="_GoBack"/>
      <w:r w:rsidRPr="0016536A">
        <w:rPr>
          <w:rFonts w:eastAsia="Calibri"/>
          <w:b/>
          <w:bCs/>
          <w:noProof/>
        </w:rPr>
        <w:drawing>
          <wp:inline distT="0" distB="0" distL="0" distR="0">
            <wp:extent cx="4705350" cy="2722202"/>
            <wp:effectExtent l="0" t="0" r="0" b="2540"/>
            <wp:docPr id="25" name="תמונה 25" descr="מספר מיטות אשפוז גריאטרי (בני +75):&#10;2020: 64.57&#10;2021: 62.03&#10;2022: 61.03&#10;2023: 54.49&#10;אומדן ל-2030: 40.36&#10;אומדן ל-2040: 36.13&#10;&#10;מספר מיטות אשפוז גריאטרי (בני 65 - 74):&#10;2020: 44.56&#10;2021: 43.71&#10;2022: 45.48&#10;2023: 44.03&#10;אומדן ל-2030: 41.64&#10;אומדן ל-2040: 40.72&#10;&#10;מספר מיטות אשפוז כללי (בני +75):&#10;2020: 41.70&#10;2021: 40.22&#10;2022: 38.96&#10;2023: 33.81&#10;אומדן ל-2030: 23.54&#10;אומדן ל-2040: 19.30&#10;&#10;מספר מיטות אשפוז כללי (בני 65 - 74):&#10;2020: 28.78&#10;2021: 28.34&#10;2022: 29.03&#10;2023: 27.32&#10;אומדן ל-2030: 24.29&#10;אומדן ל-2040: 21.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9584" cy="2736222"/>
                    </a:xfrm>
                    <a:prstGeom prst="rect">
                      <a:avLst/>
                    </a:prstGeom>
                    <a:noFill/>
                  </pic:spPr>
                </pic:pic>
              </a:graphicData>
            </a:graphic>
          </wp:inline>
        </w:drawing>
      </w:r>
      <w:bookmarkEnd w:id="20"/>
    </w:p>
    <w:p w:rsidR="0016536A" w:rsidRPr="00455830" w:rsidP="004614AF">
      <w:pPr>
        <w:spacing w:line="269" w:lineRule="auto"/>
        <w:jc w:val="left"/>
        <w:rPr>
          <w:rFonts w:eastAsia="Calibri"/>
          <w:szCs w:val="20"/>
          <w:rtl/>
        </w:rPr>
      </w:pPr>
      <w:r w:rsidRPr="00455830">
        <w:rPr>
          <w:rFonts w:eastAsia="Calibri" w:hint="cs"/>
          <w:szCs w:val="20"/>
          <w:rtl/>
        </w:rPr>
        <w:t>על פי נתוני משרד הבריאות</w:t>
      </w:r>
      <w:r>
        <w:rPr>
          <w:rFonts w:eastAsia="Calibri"/>
          <w:szCs w:val="20"/>
          <w:vertAlign w:val="superscript"/>
          <w:rtl/>
        </w:rPr>
        <w:footnoteReference w:id="206"/>
      </w:r>
      <w:r w:rsidRPr="00455830">
        <w:rPr>
          <w:rFonts w:eastAsia="Calibri" w:hint="cs"/>
          <w:szCs w:val="20"/>
          <w:rtl/>
        </w:rPr>
        <w:t>, בעיבוד משרד מבקר המדינה</w:t>
      </w:r>
      <w:r>
        <w:rPr>
          <w:rFonts w:eastAsia="Calibri"/>
          <w:szCs w:val="20"/>
          <w:vertAlign w:val="superscript"/>
          <w:rtl/>
        </w:rPr>
        <w:footnoteReference w:id="207"/>
      </w:r>
      <w:r w:rsidRPr="00455830">
        <w:rPr>
          <w:rFonts w:eastAsia="Calibri" w:hint="cs"/>
          <w:szCs w:val="20"/>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מהתרשים עולה כי בין השנים 2020 - 2023 חלה ירידה של 19% בשיעור מיטות האשפוז הכללי ל-1,000 איש בני 75 ומעלה (מכ-42 מיטות לכ-34) וכן חלה ירידה של 16% בשיעור מיטות האשפוז הגריאטרי ל-1,000 איש בני 75 ומעלה בשנים אלה (מכ-65 מיטות לכ-55). בשיעור מיטות האשפוז הכללי ל-1,000 איש בני 65 - 74 חלה ירידה קלה של כ-5% בשנים אלה, ובשיעור מיטות האשפוז הגריאטרי בגילים אלה לא חל שינוי. אומדן לשנת 2030 ולשנת 2040 מעלה כי בקצב הגידול הנוכחי במספר מיטות האשפוז, יוסיף לרדת שיעורן ל-1,000 איש בשנת 2030 ובשנת 2040 (לדוגמה, ל-41 מיטות אשפוז גריאטרי ל-1,000 איש בני 75 ומעלה בשנת 2030, </w:t>
      </w:r>
      <w:r w:rsidR="00705E89">
        <w:rPr>
          <w:rFonts w:eastAsia="Calibri"/>
          <w:b/>
          <w:bCs/>
          <w:rtl/>
        </w:rPr>
        <w:br/>
      </w:r>
      <w:r w:rsidRPr="0016536A">
        <w:rPr>
          <w:rFonts w:eastAsia="Calibri" w:hint="cs"/>
          <w:b/>
          <w:bCs/>
          <w:rtl/>
        </w:rPr>
        <w:t>ול-36 מיטות בשנת 2040). עולה אפוא כי למרות מאמצי משרד הבריאות להעלות את מספר מיטות האשפוז, שיעורן ל-1,000 זקנים הולך ויורד ואף צפוי לרדת עוד בעתיד.</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משרד הבריאות מסר בתשובתו כי בתחום</w:t>
      </w:r>
      <w:r w:rsidRPr="0016536A">
        <w:rPr>
          <w:rFonts w:eastAsia="Calibri"/>
          <w:rtl/>
        </w:rPr>
        <w:t xml:space="preserve"> הגריאטריה הפעילה המשרד מוביל מהלכים שי</w:t>
      </w:r>
      <w:r w:rsidRPr="0016536A">
        <w:rPr>
          <w:rFonts w:eastAsia="Calibri" w:hint="cs"/>
          <w:rtl/>
        </w:rPr>
        <w:t>ובילו</w:t>
      </w:r>
      <w:r w:rsidRPr="0016536A">
        <w:rPr>
          <w:rFonts w:eastAsia="Calibri"/>
          <w:rtl/>
        </w:rPr>
        <w:t xml:space="preserve"> לעליה במספר המיטות: מבחני תמיכה לבינוי של מוסדות חדשים וצעדים כלכליים להגבלת ההנחות שמקבלות קופות החולים על מחיר יום אשפוז</w:t>
      </w:r>
      <w:r w:rsidRPr="0016536A">
        <w:rPr>
          <w:rFonts w:eastAsia="Calibri" w:hint="cs"/>
          <w:rtl/>
        </w:rPr>
        <w:t xml:space="preserve">. עוד נמסר כי </w:t>
      </w:r>
      <w:r w:rsidRPr="0016536A">
        <w:rPr>
          <w:rFonts w:eastAsia="Calibri"/>
          <w:rtl/>
        </w:rPr>
        <w:t>להערכת</w:t>
      </w:r>
      <w:r w:rsidRPr="0016536A">
        <w:rPr>
          <w:rFonts w:eastAsia="Calibri" w:hint="cs"/>
          <w:rtl/>
        </w:rPr>
        <w:t xml:space="preserve"> המשרד צעדים אלה</w:t>
      </w:r>
      <w:r w:rsidRPr="0016536A">
        <w:rPr>
          <w:rFonts w:eastAsia="Calibri"/>
          <w:rtl/>
        </w:rPr>
        <w:t xml:space="preserve"> יעלו בשנים הקרובות את שיעור המיטות הפעילות ל-1</w:t>
      </w:r>
      <w:r w:rsidRPr="0016536A">
        <w:rPr>
          <w:rFonts w:eastAsia="Calibri" w:hint="cs"/>
          <w:rtl/>
        </w:rPr>
        <w:t>,</w:t>
      </w:r>
      <w:r w:rsidRPr="0016536A">
        <w:rPr>
          <w:rFonts w:eastAsia="Calibri"/>
          <w:rtl/>
        </w:rPr>
        <w:t xml:space="preserve">000 </w:t>
      </w:r>
      <w:r w:rsidRPr="0016536A">
        <w:rPr>
          <w:rFonts w:eastAsia="Calibri" w:hint="cs"/>
          <w:rtl/>
        </w:rPr>
        <w:t>איש</w:t>
      </w:r>
      <w:r w:rsidRPr="0016536A">
        <w:rPr>
          <w:rFonts w:eastAsia="Calibri"/>
          <w:rtl/>
        </w:rPr>
        <w:t xml:space="preserve"> בני 75</w:t>
      </w:r>
      <w:r w:rsidRPr="0016536A">
        <w:rPr>
          <w:rFonts w:eastAsia="Calibri" w:hint="cs"/>
          <w:rtl/>
        </w:rPr>
        <w:t xml:space="preserve"> ומעלה. משרד הבריאות ציין כי שיעור מיטות הגריאטריה הכרונית אכן צפוי לרדת, וכי המשרד מקדם מכרז חדש שבאמצעותו תתאפשר רווחיות בתחום שתעודד יזמים להיכנס אליו.</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 xml:space="preserve">נוסף על המהלכים שתיאר המשרד, מומלץ כי משרד הבריאות יגבש תוכנית להתאמת מספר מיטות האשפוז הכללי, ובפרט מיטות האשפוז הגריאטרי, לצרכים הנוכחיים ולצרכים הצפויים </w:t>
      </w:r>
      <w:r w:rsidRPr="0016536A">
        <w:rPr>
          <w:rFonts w:eastAsia="Calibri" w:hint="cs"/>
          <w:b/>
          <w:bCs/>
          <w:rtl/>
        </w:rPr>
        <w:t>עם הזדקנות האוכלוסייה, ובפרט לגידול הצפוי באוכלוסיית בני ה-75 ומעלה והצפי לעלייה במספר המאושפזים בעקבותיהם, בהתאם להודעתו בהחלטת הממשלה 150. מומלץ גם שהתוכנית תכלול יעדים, וכי המשרד יבצע מעקב אחר השגתם. במקביל, מומלץ כי משרד הבריאות יפתח חלופות יעילות, זמינות ובהיקף מספק לאשפוז גריאטרי במסגרת הקהילה כדי לווסת את הביקוש הצפוי.</w:t>
      </w:r>
    </w:p>
    <w:p w:rsidR="0016536A" w:rsidRPr="0016536A" w:rsidP="004614AF">
      <w:pPr>
        <w:spacing w:line="269" w:lineRule="auto"/>
        <w:jc w:val="center"/>
        <w:rPr>
          <w:rFonts w:ascii="Arial" w:eastAsia="Calibri" w:hAnsi="Arial" w:cs="Arial"/>
          <w:sz w:val="36"/>
          <w:rtl/>
        </w:rPr>
      </w:pPr>
      <w:r w:rsidRPr="0016536A">
        <w:rPr>
          <w:rFonts w:ascii="Segoe UI Symbol" w:eastAsia="Calibri" w:hAnsi="Segoe UI Symbol" w:cs="Segoe UI Symbol" w:hint="cs"/>
          <w:sz w:val="36"/>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b/>
          <w:bCs/>
          <w:rtl/>
        </w:rPr>
        <w:t xml:space="preserve">הזדקנות האוכלוסייה </w:t>
      </w:r>
      <w:r w:rsidRPr="0016536A">
        <w:rPr>
          <w:rFonts w:eastAsia="Calibri" w:hint="cs"/>
          <w:b/>
          <w:bCs/>
          <w:rtl/>
        </w:rPr>
        <w:t>היא</w:t>
      </w:r>
      <w:r w:rsidRPr="0016536A">
        <w:rPr>
          <w:rFonts w:eastAsia="Calibri"/>
          <w:b/>
          <w:bCs/>
          <w:rtl/>
        </w:rPr>
        <w:t xml:space="preserve"> אחד האתגרים המרכזיים העומדים בפני מערכת הבריאות במדינת ישראל </w:t>
      </w:r>
      <w:r w:rsidRPr="0016536A">
        <w:rPr>
          <w:rFonts w:eastAsia="Calibri" w:hint="cs"/>
          <w:b/>
          <w:bCs/>
          <w:rtl/>
        </w:rPr>
        <w:t>ב</w:t>
      </w:r>
      <w:r w:rsidRPr="0016536A">
        <w:rPr>
          <w:rFonts w:eastAsia="Calibri"/>
          <w:b/>
          <w:bCs/>
          <w:rtl/>
        </w:rPr>
        <w:t>עשורים הקרובים</w:t>
      </w:r>
      <w:r w:rsidRPr="0016536A">
        <w:rPr>
          <w:rFonts w:eastAsia="Calibri" w:hint="cs"/>
          <w:b/>
          <w:bCs/>
          <w:rtl/>
        </w:rPr>
        <w:t>. נמצא כי מדיניות משרד הבריאות להיערכות מערכת הבריאות להזדקנות האוכלוסייה חסרה רכיבים בסיסיים, ובכלל זה הגדרת יעדים כמותיים ומדידים והכנת תוכנית עבודה רב-שנתית ליישומם.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ממצאי הביקורת מלמדים כי משרד הבריאות יישם את החלטות הממשלה משנת 2015 ומשנת 2021 להיערכות המדינה להזדקנות האוכלוסייה באופן חלקי: למרות ההגדרה של רפואת גריאטריה כמקצוע במצוקה, על אף הגידול הצפוי בצורך ברופאים מומחים בגריאטריה נוכח הגידול באוכלוסיית הזקנים, וחרף מרכזיות המקצוע בהיערכות מערכת הבריאות להזדקנות האוכלוסייה - שיעור הרופאים המומחים והמתמחים בגריאטריה כמעט ש</w:t>
      </w:r>
      <w:r w:rsidRPr="0016536A">
        <w:rPr>
          <w:rFonts w:eastAsia="Calibri" w:hint="eastAsia"/>
          <w:b/>
          <w:bCs/>
          <w:rtl/>
        </w:rPr>
        <w:t>לא</w:t>
      </w:r>
      <w:r w:rsidRPr="0016536A">
        <w:rPr>
          <w:rFonts w:eastAsia="Calibri"/>
          <w:b/>
          <w:bCs/>
          <w:rtl/>
        </w:rPr>
        <w:t xml:space="preserve"> </w:t>
      </w:r>
      <w:r w:rsidRPr="0016536A">
        <w:rPr>
          <w:rFonts w:eastAsia="Calibri" w:hint="eastAsia"/>
          <w:b/>
          <w:bCs/>
          <w:rtl/>
        </w:rPr>
        <w:t>השתנה</w:t>
      </w:r>
      <w:r w:rsidRPr="0016536A">
        <w:rPr>
          <w:rFonts w:eastAsia="Calibri" w:hint="cs"/>
          <w:b/>
          <w:bCs/>
          <w:rtl/>
        </w:rPr>
        <w:t xml:space="preserve"> וגם לא צפוי להשתנות (מ-1.07 מומחים ו-0.13 מתמחים ל-1,000 איש בני 75 ומעלה ב-2020, ל-0.99 מומחים ו-0.15 מתמחים באומדן לשנת 2040). בין הסיבות לכך, הצורך בהתאמות שכר, מחסור בתקנים, הכרה במסלולי לימוד רפואה בחו"ל, המקטינה את פוטנציאל הרופאים הגריאטרים, וחשיפה מצומצמת לתחום במסגרת ההכשרה. נוסף על כך לא חל שינוי מהותי בהכשרה של רופאי המשפחה בתחום הגריאטריה, ולגבי הכשרת רופאים מומחים ברפואת משפחה נמצא כי אין כל הכשרה ייעודית בגריאטריה לרופאים מומחים ברפואת משפחה.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עוד נמצא כי בשיעור מיטות האשפוז הכללי ל-1,000 איש בני 75 ומעלה חלה ירידה של 19% בין השנים 2020 ל ־ 2023, מכ-42 מיטות אשפוז לכל 1,000 איש מעל גיל 75 לכ-34, וירידה זו צפויה להימשך.</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כחלק מהיערכותו להזדקנות האוכלוסייה, מומלץ כי משרד הבריאות יבחן בשיתוף עם הר"י, עם המועצה הלאומית לגריאטריה, עם האיגוד הישראלי לרפואה גריאטרית ועם קופות החולים את מכלול החסמים להעלאת מספר המתמחים והרופאים בתחום הגריאטריה, ויגבש תוכנית פעולה להסרתם ולהשלמת הפערים במומחים לגריאטריה. בשל הקושי להעלות את שיעור הרופאים הגריאטרים, מומלץ גם כי גורמים אלו יגבשו תוכנית התמחות ברפואת משפחה, ששמה דגש משמעותי על הכשרת המתמחים ברפואה גריאטרית.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b/>
          <w:bCs/>
          <w:rtl/>
        </w:rPr>
        <w:t xml:space="preserve">בטווח הקצר מומלץ כי קופות החולים ישקלו להעסיק את מעט הרופאים הגריאטרים ברפואה גריאטרית בלבד, באמצעות קביעת מערך תמריצים </w:t>
      </w:r>
      <w:r w:rsidRPr="0016536A">
        <w:rPr>
          <w:rFonts w:eastAsia="Calibri" w:hint="eastAsia"/>
          <w:b/>
          <w:bCs/>
          <w:rtl/>
        </w:rPr>
        <w:t>מתאים</w:t>
      </w:r>
      <w:r w:rsidRPr="0016536A">
        <w:rPr>
          <w:rFonts w:eastAsia="Calibri" w:hint="cs"/>
          <w:b/>
          <w:bCs/>
          <w:rtl/>
        </w:rPr>
        <w:t>. מומלץ גם כי משרד הבריאות בשיתוף עם הר"י וקופות החולים יפתחו הכשרות המשך לרופאי המשפחה, העוסקות בהיבטים שונים של רפואה גריאטרית ומעניקות מיומנויות וגישות מתאימות לטיפול בזקנים.</w:t>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עוד מומלץ כי משרד הבריאות יגבש תוכנית להתאמת מספר מיטות האשפוז הגריאטרי לצרכים הנוכחיים וכן לצרכים הצפויים עם הזדקנות האוכלוסייה והצפי לעלייה במספר המאושפזים בעקבותיה.</w:t>
      </w:r>
    </w:p>
    <w:p w:rsidR="0016536A" w:rsidRPr="0016536A" w:rsidP="004614AF">
      <w:pPr>
        <w:spacing w:line="269" w:lineRule="auto"/>
        <w:rPr>
          <w:rFonts w:eastAsia="Calibri"/>
          <w:b/>
          <w:bCs/>
          <w:rtl/>
        </w:rPr>
      </w:pPr>
    </w:p>
    <w:p w:rsidR="00455830" w:rsidRPr="00455830">
      <w:pPr>
        <w:bidi w:val="0"/>
        <w:spacing w:after="200" w:line="276" w:lineRule="auto"/>
        <w:rPr>
          <w:rFonts w:eastAsia="Times New Roman"/>
          <w:b/>
          <w:szCs w:val="28"/>
          <w:rtl/>
        </w:rPr>
      </w:pPr>
      <w:r w:rsidRPr="00455830">
        <w:rPr>
          <w:rFonts w:eastAsia="Times New Roman"/>
          <w:b/>
          <w:szCs w:val="28"/>
          <w:rtl/>
        </w:rPr>
        <w:br w:type="page"/>
      </w:r>
    </w:p>
    <w:p w:rsidR="0016536A" w:rsidRPr="0016536A" w:rsidP="004614AF">
      <w:pPr>
        <w:keepNext/>
        <w:keepLines/>
        <w:spacing w:line="269" w:lineRule="auto"/>
        <w:outlineLvl w:val="2"/>
        <w:rPr>
          <w:rFonts w:eastAsia="Times New Roman"/>
          <w:bCs/>
          <w:szCs w:val="28"/>
          <w:u w:val="single"/>
          <w:rtl/>
        </w:rPr>
      </w:pPr>
      <w:r w:rsidRPr="0016536A">
        <w:rPr>
          <w:rFonts w:eastAsia="Times New Roman" w:hint="cs"/>
          <w:bCs/>
          <w:szCs w:val="28"/>
          <w:u w:val="single"/>
          <w:rtl/>
        </w:rPr>
        <w:t>הצורך בקביעת אסטרטגיה ל</w:t>
      </w:r>
      <w:r w:rsidRPr="0016536A">
        <w:rPr>
          <w:rFonts w:eastAsia="Times New Roman"/>
          <w:bCs/>
          <w:szCs w:val="28"/>
          <w:u w:val="single"/>
          <w:rtl/>
        </w:rPr>
        <w:t>חיזוק</w:t>
      </w:r>
      <w:r w:rsidRPr="0016536A">
        <w:rPr>
          <w:rFonts w:eastAsia="Times New Roman" w:hint="cs"/>
          <w:bCs/>
          <w:szCs w:val="28"/>
          <w:u w:val="single"/>
          <w:rtl/>
        </w:rPr>
        <w:t>ם של</w:t>
      </w:r>
      <w:r w:rsidRPr="0016536A">
        <w:rPr>
          <w:rFonts w:eastAsia="Times New Roman"/>
          <w:bCs/>
          <w:szCs w:val="28"/>
          <w:u w:val="single"/>
          <w:rtl/>
        </w:rPr>
        <w:t xml:space="preserve"> שירותי המניעה בהיערכות להזדקנות האוכלוסייה</w:t>
      </w:r>
      <w:r w:rsidRPr="0016536A">
        <w:rPr>
          <w:rFonts w:eastAsia="Times New Roman" w:hint="cs"/>
          <w:bCs/>
          <w:szCs w:val="28"/>
          <w:u w:val="single"/>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תוכנית</w:t>
      </w:r>
      <w:r w:rsidRPr="0016536A">
        <w:rPr>
          <w:rFonts w:eastAsia="Calibri"/>
          <w:b/>
          <w:bCs/>
          <w:rtl/>
        </w:rPr>
        <w:t xml:space="preserve"> משרד הבריאות </w:t>
      </w:r>
      <w:r w:rsidRPr="0016536A">
        <w:rPr>
          <w:rFonts w:eastAsia="Calibri" w:hint="eastAsia"/>
          <w:b/>
          <w:bCs/>
          <w:rtl/>
        </w:rPr>
        <w:t>להיערכות</w:t>
      </w:r>
      <w:r w:rsidRPr="0016536A">
        <w:rPr>
          <w:rFonts w:eastAsia="Calibri"/>
          <w:b/>
          <w:bCs/>
          <w:rtl/>
        </w:rPr>
        <w:t xml:space="preserve"> ל</w:t>
      </w:r>
      <w:r w:rsidRPr="0016536A">
        <w:rPr>
          <w:rFonts w:eastAsia="Calibri" w:hint="eastAsia"/>
          <w:b/>
          <w:bCs/>
          <w:rtl/>
        </w:rPr>
        <w:t>גידול</w:t>
      </w:r>
      <w:r w:rsidRPr="0016536A">
        <w:rPr>
          <w:rFonts w:eastAsia="Calibri"/>
          <w:b/>
          <w:bCs/>
          <w:rtl/>
        </w:rPr>
        <w:t xml:space="preserve"> </w:t>
      </w:r>
      <w:r w:rsidRPr="0016536A">
        <w:rPr>
          <w:rFonts w:eastAsia="Calibri" w:hint="eastAsia"/>
          <w:b/>
          <w:bCs/>
          <w:rtl/>
        </w:rPr>
        <w:t>הצפוי</w:t>
      </w:r>
      <w:r w:rsidRPr="0016536A">
        <w:rPr>
          <w:rFonts w:eastAsia="Calibri"/>
          <w:b/>
          <w:bCs/>
          <w:rtl/>
        </w:rPr>
        <w:t xml:space="preserve"> </w:t>
      </w:r>
      <w:r w:rsidRPr="0016536A">
        <w:rPr>
          <w:rFonts w:eastAsia="Calibri" w:hint="eastAsia"/>
          <w:b/>
          <w:bCs/>
          <w:rtl/>
        </w:rPr>
        <w:t>באוכלוסיית</w:t>
      </w:r>
      <w:r w:rsidRPr="0016536A">
        <w:rPr>
          <w:rFonts w:eastAsia="Calibri"/>
          <w:b/>
          <w:bCs/>
          <w:rtl/>
        </w:rPr>
        <w:t xml:space="preserve"> </w:t>
      </w:r>
      <w:r w:rsidRPr="0016536A">
        <w:rPr>
          <w:rFonts w:eastAsia="Calibri" w:hint="eastAsia"/>
          <w:b/>
          <w:bCs/>
          <w:rtl/>
        </w:rPr>
        <w:t>הזקנים</w:t>
      </w:r>
      <w:r w:rsidRPr="0016536A">
        <w:rPr>
          <w:rFonts w:eastAsia="Calibri"/>
          <w:b/>
          <w:bCs/>
          <w:rtl/>
        </w:rPr>
        <w:t xml:space="preserve"> </w:t>
      </w:r>
      <w:r w:rsidRPr="0016536A">
        <w:rPr>
          <w:rFonts w:eastAsia="Calibri" w:hint="eastAsia"/>
          <w:b/>
          <w:bCs/>
          <w:rtl/>
        </w:rPr>
        <w:t>בישראל</w:t>
      </w:r>
      <w:r w:rsidRPr="0016536A">
        <w:rPr>
          <w:rFonts w:eastAsia="Calibri" w:hint="cs"/>
          <w:b/>
          <w:bCs/>
          <w:rtl/>
        </w:rPr>
        <w:t>,</w:t>
      </w:r>
      <w:r w:rsidRPr="0016536A">
        <w:rPr>
          <w:rFonts w:eastAsia="Calibri"/>
          <w:b/>
          <w:bCs/>
          <w:rtl/>
        </w:rPr>
        <w:t xml:space="preserve"> </w:t>
      </w:r>
      <w:r w:rsidRPr="0016536A">
        <w:rPr>
          <w:rFonts w:eastAsia="Calibri" w:hint="cs"/>
          <w:b/>
          <w:bCs/>
          <w:rtl/>
        </w:rPr>
        <w:t>בהתאם ל</w:t>
      </w:r>
      <w:r w:rsidRPr="0016536A">
        <w:rPr>
          <w:rFonts w:eastAsia="Calibri"/>
          <w:b/>
          <w:bCs/>
          <w:rtl/>
        </w:rPr>
        <w:t>החלט</w:t>
      </w:r>
      <w:r w:rsidRPr="0016536A">
        <w:rPr>
          <w:rFonts w:eastAsia="Calibri" w:hint="cs"/>
          <w:b/>
          <w:bCs/>
          <w:rtl/>
        </w:rPr>
        <w:t>ת הממשלה</w:t>
      </w:r>
      <w:r w:rsidRPr="0016536A">
        <w:rPr>
          <w:rFonts w:eastAsia="Calibri"/>
          <w:b/>
          <w:bCs/>
          <w:rtl/>
        </w:rPr>
        <w:t xml:space="preserve"> 150</w:t>
      </w:r>
      <w:r w:rsidRPr="0016536A">
        <w:rPr>
          <w:rFonts w:eastAsia="Calibri" w:hint="cs"/>
          <w:b/>
          <w:bCs/>
          <w:rtl/>
        </w:rPr>
        <w:t xml:space="preserve"> משנת 2015,</w:t>
      </w:r>
      <w:r w:rsidRPr="0016536A">
        <w:rPr>
          <w:rFonts w:eastAsia="Calibri"/>
          <w:b/>
          <w:bCs/>
          <w:rtl/>
        </w:rPr>
        <w:t xml:space="preserve"> מתייחסת כאמור לצור</w:t>
      </w:r>
      <w:r w:rsidRPr="0016536A">
        <w:rPr>
          <w:rFonts w:eastAsia="Calibri" w:hint="eastAsia"/>
          <w:b/>
          <w:bCs/>
          <w:rtl/>
        </w:rPr>
        <w:t>ך</w:t>
      </w:r>
      <w:r w:rsidRPr="0016536A">
        <w:rPr>
          <w:rFonts w:eastAsia="Calibri"/>
          <w:b/>
          <w:bCs/>
          <w:rtl/>
        </w:rPr>
        <w:t xml:space="preserve"> </w:t>
      </w:r>
      <w:r w:rsidRPr="0016536A">
        <w:rPr>
          <w:rFonts w:eastAsia="Calibri" w:hint="eastAsia"/>
          <w:b/>
          <w:bCs/>
          <w:rtl/>
        </w:rPr>
        <w:t>בהגדלת</w:t>
      </w:r>
      <w:r w:rsidRPr="0016536A">
        <w:rPr>
          <w:rFonts w:eastAsia="Calibri"/>
          <w:b/>
          <w:bCs/>
          <w:rtl/>
        </w:rPr>
        <w:t xml:space="preserve"> </w:t>
      </w:r>
      <w:r w:rsidRPr="0016536A">
        <w:rPr>
          <w:rFonts w:eastAsia="Calibri" w:hint="eastAsia"/>
          <w:b/>
          <w:bCs/>
          <w:rtl/>
        </w:rPr>
        <w:t>מספר</w:t>
      </w:r>
      <w:r w:rsidRPr="0016536A">
        <w:rPr>
          <w:rFonts w:eastAsia="Calibri"/>
          <w:b/>
          <w:bCs/>
          <w:rtl/>
        </w:rPr>
        <w:t xml:space="preserve"> </w:t>
      </w:r>
      <w:r w:rsidRPr="0016536A">
        <w:rPr>
          <w:rFonts w:eastAsia="Calibri" w:hint="eastAsia"/>
          <w:b/>
          <w:bCs/>
          <w:rtl/>
        </w:rPr>
        <w:t>הרופאים</w:t>
      </w:r>
      <w:r w:rsidRPr="0016536A">
        <w:rPr>
          <w:rFonts w:eastAsia="Calibri"/>
          <w:b/>
          <w:bCs/>
          <w:rtl/>
        </w:rPr>
        <w:t xml:space="preserve"> </w:t>
      </w:r>
      <w:r w:rsidRPr="0016536A">
        <w:rPr>
          <w:rFonts w:eastAsia="Calibri" w:hint="eastAsia"/>
          <w:b/>
          <w:bCs/>
          <w:rtl/>
        </w:rPr>
        <w:t>הגריאטרים</w:t>
      </w:r>
      <w:r w:rsidRPr="0016536A">
        <w:rPr>
          <w:rFonts w:eastAsia="Calibri"/>
          <w:b/>
          <w:bCs/>
          <w:rtl/>
        </w:rPr>
        <w:t xml:space="preserve"> </w:t>
      </w:r>
      <w:r w:rsidRPr="0016536A">
        <w:rPr>
          <w:rFonts w:eastAsia="Calibri" w:hint="eastAsia"/>
          <w:b/>
          <w:bCs/>
          <w:rtl/>
        </w:rPr>
        <w:t>ומיטות</w:t>
      </w:r>
      <w:r w:rsidRPr="0016536A">
        <w:rPr>
          <w:rFonts w:eastAsia="Calibri"/>
          <w:b/>
          <w:bCs/>
          <w:rtl/>
        </w:rPr>
        <w:t xml:space="preserve"> </w:t>
      </w:r>
      <w:r w:rsidRPr="0016536A">
        <w:rPr>
          <w:rFonts w:eastAsia="Calibri" w:hint="eastAsia"/>
          <w:b/>
          <w:bCs/>
          <w:rtl/>
        </w:rPr>
        <w:t>האשפוז</w:t>
      </w:r>
      <w:r w:rsidRPr="0016536A">
        <w:rPr>
          <w:rFonts w:eastAsia="Calibri"/>
          <w:b/>
          <w:bCs/>
          <w:rtl/>
        </w:rPr>
        <w:t xml:space="preserve"> </w:t>
      </w:r>
      <w:r w:rsidRPr="0016536A">
        <w:rPr>
          <w:rFonts w:eastAsia="Calibri" w:hint="eastAsia"/>
          <w:b/>
          <w:bCs/>
          <w:rtl/>
        </w:rPr>
        <w:t>בבתי</w:t>
      </w:r>
      <w:r w:rsidRPr="0016536A">
        <w:rPr>
          <w:rFonts w:eastAsia="Calibri"/>
          <w:b/>
          <w:bCs/>
          <w:rtl/>
        </w:rPr>
        <w:t xml:space="preserve"> </w:t>
      </w:r>
      <w:r w:rsidRPr="0016536A">
        <w:rPr>
          <w:rFonts w:eastAsia="Calibri" w:hint="eastAsia"/>
          <w:b/>
          <w:bCs/>
          <w:rtl/>
        </w:rPr>
        <w:t>החולים</w:t>
      </w:r>
      <w:r w:rsidRPr="0016536A">
        <w:rPr>
          <w:rFonts w:eastAsia="Calibri"/>
          <w:b/>
          <w:bCs/>
          <w:rtl/>
        </w:rPr>
        <w:t xml:space="preserve">. </w:t>
      </w:r>
      <w:r w:rsidRPr="0016536A">
        <w:rPr>
          <w:rFonts w:eastAsia="Calibri" w:hint="eastAsia"/>
          <w:b/>
          <w:bCs/>
          <w:rtl/>
        </w:rPr>
        <w:t>ממצאי</w:t>
      </w:r>
      <w:r w:rsidRPr="0016536A">
        <w:rPr>
          <w:rFonts w:eastAsia="Calibri"/>
          <w:b/>
          <w:bCs/>
          <w:rtl/>
        </w:rPr>
        <w:t xml:space="preserve"> </w:t>
      </w:r>
      <w:r w:rsidRPr="0016536A">
        <w:rPr>
          <w:rFonts w:eastAsia="Calibri" w:hint="eastAsia"/>
          <w:b/>
          <w:bCs/>
          <w:rtl/>
        </w:rPr>
        <w:t>הביקורת</w:t>
      </w:r>
      <w:r w:rsidRPr="0016536A">
        <w:rPr>
          <w:rFonts w:eastAsia="Calibri"/>
          <w:b/>
          <w:bCs/>
          <w:rtl/>
        </w:rPr>
        <w:t xml:space="preserve"> </w:t>
      </w:r>
      <w:r w:rsidRPr="0016536A">
        <w:rPr>
          <w:rFonts w:eastAsia="Calibri" w:hint="cs"/>
          <w:b/>
          <w:bCs/>
          <w:rtl/>
        </w:rPr>
        <w:t>מראים כי על אף הגידול הצפוי בצורך ברופאים מומחים בגריאטריה ובמיטות אשפוז, נוכח הגידול באוכלוסיית הזקנים, שיעור הרופאים המומחים והמתמחים בגריאטריה ושיעור מיטות האשפוז כמעט ש</w:t>
      </w:r>
      <w:r w:rsidRPr="0016536A">
        <w:rPr>
          <w:rFonts w:eastAsia="Calibri" w:hint="eastAsia"/>
          <w:b/>
          <w:bCs/>
          <w:rtl/>
        </w:rPr>
        <w:t>לא</w:t>
      </w:r>
      <w:r w:rsidRPr="0016536A">
        <w:rPr>
          <w:rFonts w:eastAsia="Calibri"/>
          <w:b/>
          <w:bCs/>
          <w:rtl/>
        </w:rPr>
        <w:t xml:space="preserve"> </w:t>
      </w:r>
      <w:r w:rsidRPr="0016536A">
        <w:rPr>
          <w:rFonts w:eastAsia="Calibri" w:hint="eastAsia"/>
          <w:b/>
          <w:bCs/>
          <w:rtl/>
        </w:rPr>
        <w:t>השתנ</w:t>
      </w:r>
      <w:r w:rsidRPr="0016536A">
        <w:rPr>
          <w:rFonts w:eastAsia="Calibri" w:hint="cs"/>
          <w:b/>
          <w:bCs/>
          <w:rtl/>
        </w:rPr>
        <w:t>ו וגם לא צפויים להשתנות,</w:t>
      </w:r>
      <w:r w:rsidRPr="0016536A">
        <w:rPr>
          <w:rFonts w:eastAsia="Calibri" w:hint="eastAsia"/>
          <w:b/>
          <w:bCs/>
          <w:rtl/>
        </w:rPr>
        <w:t xml:space="preserve"> </w:t>
      </w:r>
      <w:r w:rsidRPr="0016536A">
        <w:rPr>
          <w:rFonts w:eastAsia="Calibri" w:hint="cs"/>
          <w:b/>
          <w:bCs/>
          <w:rtl/>
        </w:rPr>
        <w:t>ויתרה מזו אף עלולים לקטון עבור הזקנים בני 75 ומעלה (מ-1.07 מומחים, 0.13 מתמחים ו-41.7 מיטות אשפוז כללי ל-1,000 איש בני 75 ומעלה ב-2020, ל-0.99 מומחים, 0.15 מתמחים ו-19.3 מיטות אשפוז כללי באומדן לשנת 2040).</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פעולות ל</w:t>
      </w:r>
      <w:r w:rsidRPr="0016536A">
        <w:rPr>
          <w:rFonts w:eastAsia="Calibri" w:hint="eastAsia"/>
          <w:b/>
          <w:bCs/>
          <w:rtl/>
        </w:rPr>
        <w:t>מניעת</w:t>
      </w:r>
      <w:r w:rsidRPr="0016536A">
        <w:rPr>
          <w:rFonts w:eastAsia="Calibri"/>
          <w:b/>
          <w:bCs/>
          <w:rtl/>
        </w:rPr>
        <w:t xml:space="preserve"> </w:t>
      </w:r>
      <w:r w:rsidRPr="0016536A">
        <w:rPr>
          <w:rFonts w:eastAsia="Calibri" w:hint="eastAsia"/>
          <w:b/>
          <w:bCs/>
          <w:rtl/>
        </w:rPr>
        <w:t>מחלות</w:t>
      </w:r>
      <w:r w:rsidRPr="0016536A">
        <w:rPr>
          <w:rFonts w:eastAsia="Calibri"/>
          <w:b/>
          <w:bCs/>
          <w:rtl/>
        </w:rPr>
        <w:t xml:space="preserve">, </w:t>
      </w:r>
      <w:r w:rsidRPr="0016536A">
        <w:rPr>
          <w:rFonts w:eastAsia="Calibri" w:hint="eastAsia"/>
          <w:b/>
          <w:bCs/>
          <w:rtl/>
        </w:rPr>
        <w:t>צמצום</w:t>
      </w:r>
      <w:r w:rsidRPr="0016536A">
        <w:rPr>
          <w:rFonts w:eastAsia="Calibri"/>
          <w:b/>
          <w:bCs/>
          <w:rtl/>
        </w:rPr>
        <w:t xml:space="preserve"> </w:t>
      </w:r>
      <w:r w:rsidRPr="0016536A">
        <w:rPr>
          <w:rFonts w:eastAsia="Calibri" w:hint="eastAsia"/>
          <w:b/>
          <w:bCs/>
          <w:rtl/>
        </w:rPr>
        <w:t>שבריריות</w:t>
      </w:r>
      <w:r w:rsidRPr="0016536A">
        <w:rPr>
          <w:rFonts w:eastAsia="Calibri"/>
          <w:b/>
          <w:bCs/>
          <w:rtl/>
        </w:rPr>
        <w:t xml:space="preserve"> </w:t>
      </w:r>
      <w:r w:rsidRPr="0016536A">
        <w:rPr>
          <w:rFonts w:eastAsia="Calibri" w:hint="eastAsia"/>
          <w:b/>
          <w:bCs/>
          <w:rtl/>
        </w:rPr>
        <w:t>והארכת</w:t>
      </w:r>
      <w:r w:rsidRPr="0016536A">
        <w:rPr>
          <w:rFonts w:eastAsia="Calibri"/>
          <w:b/>
          <w:bCs/>
          <w:rtl/>
        </w:rPr>
        <w:t xml:space="preserve"> </w:t>
      </w:r>
      <w:r w:rsidRPr="0016536A">
        <w:rPr>
          <w:rFonts w:eastAsia="Calibri" w:hint="eastAsia"/>
          <w:b/>
          <w:bCs/>
          <w:rtl/>
        </w:rPr>
        <w:t>תוחלת</w:t>
      </w:r>
      <w:r w:rsidRPr="0016536A">
        <w:rPr>
          <w:rFonts w:eastAsia="Calibri"/>
          <w:b/>
          <w:bCs/>
          <w:rtl/>
        </w:rPr>
        <w:t xml:space="preserve"> </w:t>
      </w:r>
      <w:r w:rsidRPr="0016536A">
        <w:rPr>
          <w:rFonts w:eastAsia="Calibri" w:hint="eastAsia"/>
          <w:b/>
          <w:bCs/>
          <w:rtl/>
        </w:rPr>
        <w:t>החיים</w:t>
      </w:r>
      <w:r w:rsidRPr="0016536A">
        <w:rPr>
          <w:rFonts w:eastAsia="Calibri"/>
          <w:b/>
          <w:bCs/>
          <w:rtl/>
        </w:rPr>
        <w:t xml:space="preserve"> </w:t>
      </w:r>
      <w:r w:rsidRPr="0016536A">
        <w:rPr>
          <w:rFonts w:eastAsia="Calibri" w:hint="eastAsia"/>
          <w:b/>
          <w:bCs/>
          <w:rtl/>
        </w:rPr>
        <w:t>הבריא</w:t>
      </w:r>
      <w:r w:rsidRPr="0016536A">
        <w:rPr>
          <w:rFonts w:eastAsia="Calibri" w:hint="cs"/>
          <w:b/>
          <w:bCs/>
          <w:rtl/>
        </w:rPr>
        <w:t>ים</w:t>
      </w:r>
      <w:r w:rsidRPr="0016536A">
        <w:rPr>
          <w:rFonts w:eastAsia="Calibri"/>
          <w:b/>
          <w:bCs/>
          <w:rtl/>
        </w:rPr>
        <w:t xml:space="preserve"> </w:t>
      </w:r>
      <w:r w:rsidRPr="0016536A">
        <w:rPr>
          <w:rFonts w:eastAsia="Calibri" w:hint="eastAsia"/>
          <w:b/>
          <w:bCs/>
          <w:rtl/>
        </w:rPr>
        <w:t>של</w:t>
      </w:r>
      <w:r w:rsidRPr="0016536A">
        <w:rPr>
          <w:rFonts w:eastAsia="Calibri"/>
          <w:b/>
          <w:bCs/>
          <w:rtl/>
        </w:rPr>
        <w:t xml:space="preserve"> </w:t>
      </w:r>
      <w:r w:rsidRPr="0016536A">
        <w:rPr>
          <w:rFonts w:eastAsia="Calibri" w:hint="eastAsia"/>
          <w:b/>
          <w:bCs/>
          <w:rtl/>
        </w:rPr>
        <w:t>זקנים</w:t>
      </w:r>
      <w:r w:rsidRPr="0016536A">
        <w:rPr>
          <w:rFonts w:eastAsia="Calibri"/>
          <w:b/>
          <w:bCs/>
          <w:rtl/>
        </w:rPr>
        <w:t xml:space="preserve"> </w:t>
      </w:r>
      <w:r w:rsidRPr="0016536A">
        <w:rPr>
          <w:rFonts w:eastAsia="Calibri" w:hint="eastAsia"/>
          <w:b/>
          <w:bCs/>
          <w:rtl/>
        </w:rPr>
        <w:t>יכול</w:t>
      </w:r>
      <w:r w:rsidRPr="0016536A">
        <w:rPr>
          <w:rFonts w:eastAsia="Calibri" w:hint="cs"/>
          <w:b/>
          <w:bCs/>
          <w:rtl/>
        </w:rPr>
        <w:t>ות</w:t>
      </w:r>
      <w:r w:rsidRPr="0016536A">
        <w:rPr>
          <w:rFonts w:eastAsia="Calibri"/>
          <w:b/>
          <w:bCs/>
          <w:rtl/>
        </w:rPr>
        <w:t xml:space="preserve"> </w:t>
      </w:r>
      <w:r w:rsidRPr="0016536A">
        <w:rPr>
          <w:rFonts w:eastAsia="Calibri" w:hint="eastAsia"/>
          <w:b/>
          <w:bCs/>
          <w:rtl/>
        </w:rPr>
        <w:t>לסייע</w:t>
      </w:r>
      <w:r w:rsidRPr="0016536A">
        <w:rPr>
          <w:rFonts w:eastAsia="Calibri"/>
          <w:b/>
          <w:bCs/>
          <w:rtl/>
        </w:rPr>
        <w:t xml:space="preserve"> </w:t>
      </w:r>
      <w:r w:rsidRPr="0016536A">
        <w:rPr>
          <w:rFonts w:eastAsia="Calibri" w:hint="eastAsia"/>
          <w:b/>
          <w:bCs/>
          <w:rtl/>
        </w:rPr>
        <w:t>בצמצום</w:t>
      </w:r>
      <w:r w:rsidRPr="0016536A">
        <w:rPr>
          <w:rFonts w:eastAsia="Calibri"/>
          <w:b/>
          <w:bCs/>
          <w:rtl/>
        </w:rPr>
        <w:t xml:space="preserve"> </w:t>
      </w:r>
      <w:r w:rsidRPr="0016536A">
        <w:rPr>
          <w:rFonts w:eastAsia="Calibri" w:hint="eastAsia"/>
          <w:b/>
          <w:bCs/>
          <w:rtl/>
        </w:rPr>
        <w:t>העומסים</w:t>
      </w:r>
      <w:r w:rsidRPr="0016536A">
        <w:rPr>
          <w:rFonts w:eastAsia="Calibri"/>
          <w:b/>
          <w:bCs/>
          <w:rtl/>
        </w:rPr>
        <w:t xml:space="preserve"> </w:t>
      </w:r>
      <w:r w:rsidRPr="0016536A">
        <w:rPr>
          <w:rFonts w:eastAsia="Calibri" w:hint="eastAsia"/>
          <w:b/>
          <w:bCs/>
          <w:rtl/>
        </w:rPr>
        <w:t>הצפויים</w:t>
      </w:r>
      <w:r w:rsidRPr="0016536A">
        <w:rPr>
          <w:rFonts w:eastAsia="Calibri"/>
          <w:b/>
          <w:bCs/>
          <w:rtl/>
        </w:rPr>
        <w:t xml:space="preserve"> </w:t>
      </w:r>
      <w:r w:rsidRPr="0016536A">
        <w:rPr>
          <w:rFonts w:eastAsia="Calibri" w:hint="eastAsia"/>
          <w:b/>
          <w:bCs/>
          <w:rtl/>
        </w:rPr>
        <w:t>על</w:t>
      </w:r>
      <w:r w:rsidRPr="0016536A">
        <w:rPr>
          <w:rFonts w:eastAsia="Calibri"/>
          <w:b/>
          <w:bCs/>
          <w:rtl/>
        </w:rPr>
        <w:t xml:space="preserve"> </w:t>
      </w:r>
      <w:r w:rsidRPr="0016536A">
        <w:rPr>
          <w:rFonts w:eastAsia="Calibri" w:hint="eastAsia"/>
          <w:b/>
          <w:bCs/>
          <w:rtl/>
        </w:rPr>
        <w:t>מערכת</w:t>
      </w:r>
      <w:r w:rsidRPr="0016536A">
        <w:rPr>
          <w:rFonts w:eastAsia="Calibri"/>
          <w:b/>
          <w:bCs/>
          <w:rtl/>
        </w:rPr>
        <w:t xml:space="preserve"> </w:t>
      </w:r>
      <w:r w:rsidRPr="0016536A">
        <w:rPr>
          <w:rFonts w:eastAsia="Calibri" w:hint="eastAsia"/>
          <w:b/>
          <w:bCs/>
          <w:rtl/>
        </w:rPr>
        <w:t>הבריאות</w:t>
      </w:r>
      <w:r w:rsidRPr="0016536A">
        <w:rPr>
          <w:rFonts w:eastAsia="Calibri"/>
          <w:b/>
          <w:bCs/>
          <w:rtl/>
        </w:rPr>
        <w:t xml:space="preserve"> </w:t>
      </w:r>
      <w:r w:rsidRPr="0016536A">
        <w:rPr>
          <w:rFonts w:eastAsia="Calibri" w:hint="eastAsia"/>
          <w:b/>
          <w:bCs/>
          <w:rtl/>
        </w:rPr>
        <w:t>בעקבות</w:t>
      </w:r>
      <w:r w:rsidRPr="0016536A">
        <w:rPr>
          <w:rFonts w:eastAsia="Calibri"/>
          <w:b/>
          <w:bCs/>
          <w:rtl/>
        </w:rPr>
        <w:t xml:space="preserve"> </w:t>
      </w:r>
      <w:r w:rsidRPr="0016536A">
        <w:rPr>
          <w:rFonts w:eastAsia="Calibri" w:hint="eastAsia"/>
          <w:b/>
          <w:bCs/>
          <w:rtl/>
        </w:rPr>
        <w:t>הגידול</w:t>
      </w:r>
      <w:r w:rsidRPr="0016536A">
        <w:rPr>
          <w:rFonts w:eastAsia="Calibri"/>
          <w:b/>
          <w:bCs/>
          <w:rtl/>
        </w:rPr>
        <w:t xml:space="preserve"> </w:t>
      </w:r>
      <w:r w:rsidRPr="0016536A">
        <w:rPr>
          <w:rFonts w:eastAsia="Calibri" w:hint="eastAsia"/>
          <w:b/>
          <w:bCs/>
          <w:rtl/>
        </w:rPr>
        <w:t>הצפוי</w:t>
      </w:r>
      <w:r w:rsidRPr="0016536A">
        <w:rPr>
          <w:rFonts w:eastAsia="Calibri"/>
          <w:b/>
          <w:bCs/>
          <w:rtl/>
        </w:rPr>
        <w:t xml:space="preserve"> </w:t>
      </w:r>
      <w:r w:rsidRPr="0016536A">
        <w:rPr>
          <w:rFonts w:eastAsia="Calibri" w:hint="eastAsia"/>
          <w:b/>
          <w:bCs/>
          <w:rtl/>
        </w:rPr>
        <w:t>במספר</w:t>
      </w:r>
      <w:r w:rsidRPr="0016536A">
        <w:rPr>
          <w:rFonts w:eastAsia="Calibri"/>
          <w:b/>
          <w:bCs/>
          <w:rtl/>
        </w:rPr>
        <w:t xml:space="preserve"> </w:t>
      </w:r>
      <w:r w:rsidRPr="0016536A">
        <w:rPr>
          <w:rFonts w:eastAsia="Calibri" w:hint="eastAsia"/>
          <w:b/>
          <w:bCs/>
          <w:rtl/>
        </w:rPr>
        <w:t>הזקנים</w:t>
      </w:r>
      <w:r w:rsidRPr="0016536A">
        <w:rPr>
          <w:rFonts w:eastAsia="Calibri"/>
          <w:b/>
          <w:bCs/>
          <w:rtl/>
        </w:rPr>
        <w:t xml:space="preserve">, </w:t>
      </w:r>
      <w:r w:rsidRPr="0016536A">
        <w:rPr>
          <w:rFonts w:eastAsia="Calibri" w:hint="eastAsia"/>
          <w:b/>
          <w:bCs/>
          <w:rtl/>
        </w:rPr>
        <w:t>וכך</w:t>
      </w:r>
      <w:r w:rsidRPr="0016536A">
        <w:rPr>
          <w:rFonts w:eastAsia="Calibri"/>
          <w:b/>
          <w:bCs/>
          <w:rtl/>
        </w:rPr>
        <w:t xml:space="preserve"> </w:t>
      </w:r>
      <w:r w:rsidRPr="0016536A">
        <w:rPr>
          <w:rFonts w:eastAsia="Calibri" w:hint="eastAsia"/>
          <w:b/>
          <w:bCs/>
          <w:rtl/>
        </w:rPr>
        <w:t>לגשר</w:t>
      </w:r>
      <w:r w:rsidRPr="0016536A">
        <w:rPr>
          <w:rFonts w:eastAsia="Calibri" w:hint="cs"/>
          <w:b/>
          <w:bCs/>
          <w:rtl/>
        </w:rPr>
        <w:t>,</w:t>
      </w:r>
      <w:r w:rsidRPr="0016536A">
        <w:rPr>
          <w:rFonts w:eastAsia="Calibri"/>
          <w:b/>
          <w:bCs/>
          <w:rtl/>
        </w:rPr>
        <w:t xml:space="preserve"> </w:t>
      </w:r>
      <w:r w:rsidRPr="0016536A">
        <w:rPr>
          <w:rFonts w:eastAsia="Calibri" w:hint="eastAsia"/>
          <w:b/>
          <w:bCs/>
          <w:rtl/>
        </w:rPr>
        <w:t>ולו</w:t>
      </w:r>
      <w:r w:rsidRPr="0016536A">
        <w:rPr>
          <w:rFonts w:eastAsia="Calibri"/>
          <w:b/>
          <w:bCs/>
          <w:rtl/>
        </w:rPr>
        <w:t xml:space="preserve"> </w:t>
      </w:r>
      <w:r w:rsidRPr="0016536A">
        <w:rPr>
          <w:rFonts w:eastAsia="Calibri" w:hint="eastAsia"/>
          <w:b/>
          <w:bCs/>
          <w:rtl/>
        </w:rPr>
        <w:t>באופן</w:t>
      </w:r>
      <w:r w:rsidRPr="0016536A">
        <w:rPr>
          <w:rFonts w:eastAsia="Calibri"/>
          <w:b/>
          <w:bCs/>
          <w:rtl/>
        </w:rPr>
        <w:t xml:space="preserve"> </w:t>
      </w:r>
      <w:r w:rsidRPr="0016536A">
        <w:rPr>
          <w:rFonts w:eastAsia="Calibri" w:hint="eastAsia"/>
          <w:b/>
          <w:bCs/>
          <w:rtl/>
        </w:rPr>
        <w:t>חלקי</w:t>
      </w:r>
      <w:r w:rsidRPr="0016536A">
        <w:rPr>
          <w:rFonts w:eastAsia="Calibri" w:hint="cs"/>
          <w:b/>
          <w:bCs/>
          <w:rtl/>
        </w:rPr>
        <w:t>,</w:t>
      </w:r>
      <w:r w:rsidRPr="0016536A">
        <w:rPr>
          <w:rFonts w:eastAsia="Calibri"/>
          <w:b/>
          <w:bCs/>
          <w:rtl/>
        </w:rPr>
        <w:t xml:space="preserve"> על הפער בין הצרכים הגוברים לבין ה</w:t>
      </w:r>
      <w:r w:rsidRPr="0016536A">
        <w:rPr>
          <w:rFonts w:eastAsia="Calibri" w:hint="eastAsia"/>
          <w:b/>
          <w:bCs/>
          <w:rtl/>
        </w:rPr>
        <w:t>מענה</w:t>
      </w:r>
      <w:r w:rsidRPr="0016536A">
        <w:rPr>
          <w:rFonts w:eastAsia="Calibri"/>
          <w:b/>
          <w:bCs/>
          <w:rtl/>
        </w:rPr>
        <w:t xml:space="preserve"> המוגבל ברופאים ובמיטות אשפוז. </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אולם</w:t>
      </w:r>
      <w:r w:rsidRPr="0016536A">
        <w:rPr>
          <w:rFonts w:eastAsia="Calibri"/>
          <w:b/>
          <w:bCs/>
          <w:rtl/>
        </w:rPr>
        <w:t xml:space="preserve"> </w:t>
      </w:r>
      <w:r w:rsidRPr="0016536A">
        <w:rPr>
          <w:rFonts w:eastAsia="Calibri" w:hint="eastAsia"/>
          <w:b/>
          <w:bCs/>
          <w:rtl/>
        </w:rPr>
        <w:t>כאמור</w:t>
      </w:r>
      <w:r w:rsidRPr="0016536A">
        <w:rPr>
          <w:rFonts w:eastAsia="Calibri" w:hint="cs"/>
          <w:b/>
          <w:bCs/>
          <w:rtl/>
        </w:rPr>
        <w:t xml:space="preserve"> בביקורת עלה כי</w:t>
      </w:r>
      <w:r w:rsidRPr="0016536A">
        <w:rPr>
          <w:rFonts w:eastAsia="Calibri"/>
          <w:b/>
          <w:bCs/>
          <w:rtl/>
        </w:rPr>
        <w:t xml:space="preserve"> בפועל חלק ניכר מהפעולות המתועדות כפעולות מניעה מתבצע</w:t>
      </w:r>
      <w:r w:rsidRPr="0016536A">
        <w:rPr>
          <w:rFonts w:eastAsia="Calibri" w:hint="cs"/>
          <w:b/>
          <w:bCs/>
          <w:rtl/>
        </w:rPr>
        <w:t>ות</w:t>
      </w:r>
      <w:r w:rsidRPr="0016536A">
        <w:rPr>
          <w:rFonts w:eastAsia="Calibri"/>
          <w:b/>
          <w:bCs/>
          <w:rtl/>
        </w:rPr>
        <w:t xml:space="preserve"> בקרב זקנים חולים ושבריריים, ואינ</w:t>
      </w:r>
      <w:r w:rsidRPr="0016536A">
        <w:rPr>
          <w:rFonts w:eastAsia="Calibri" w:hint="cs"/>
          <w:b/>
          <w:bCs/>
          <w:rtl/>
        </w:rPr>
        <w:t>ן</w:t>
      </w:r>
      <w:r w:rsidRPr="0016536A">
        <w:rPr>
          <w:rFonts w:eastAsia="Calibri"/>
          <w:b/>
          <w:bCs/>
          <w:rtl/>
        </w:rPr>
        <w:t xml:space="preserve"> מופנ</w:t>
      </w:r>
      <w:r w:rsidRPr="0016536A">
        <w:rPr>
          <w:rFonts w:eastAsia="Calibri" w:hint="cs"/>
          <w:b/>
          <w:bCs/>
          <w:rtl/>
        </w:rPr>
        <w:t>ות</w:t>
      </w:r>
      <w:r w:rsidRPr="0016536A">
        <w:rPr>
          <w:rFonts w:eastAsia="Calibri"/>
          <w:b/>
          <w:bCs/>
          <w:rtl/>
        </w:rPr>
        <w:t xml:space="preserve"> במידה מספקת גם לזקנים שמצבם הבריאותי טוב יחסית, לצורך מניעת מחלות ושימור בריאותם לאורך זמן</w:t>
      </w:r>
      <w:r w:rsidRPr="0016536A">
        <w:rPr>
          <w:rFonts w:eastAsia="Calibri" w:hint="cs"/>
          <w:b/>
          <w:bCs/>
          <w:rtl/>
        </w:rPr>
        <w:t>.</w:t>
      </w:r>
      <w:r w:rsidRPr="0016536A">
        <w:rPr>
          <w:rFonts w:eastAsia="Calibri"/>
          <w:b/>
          <w:bCs/>
          <w:rtl/>
        </w:rPr>
        <w:t xml:space="preserve"> </w:t>
      </w:r>
      <w:r w:rsidRPr="0016536A">
        <w:rPr>
          <w:rFonts w:eastAsia="Calibri" w:hint="eastAsia"/>
          <w:b/>
          <w:bCs/>
          <w:rtl/>
        </w:rPr>
        <w:t>כך</w:t>
      </w:r>
      <w:r w:rsidRPr="0016536A">
        <w:rPr>
          <w:rFonts w:eastAsia="Calibri"/>
          <w:b/>
          <w:bCs/>
          <w:rtl/>
        </w:rPr>
        <w:t xml:space="preserve"> בפועל </w:t>
      </w:r>
      <w:r w:rsidRPr="0016536A">
        <w:rPr>
          <w:rFonts w:eastAsia="Calibri" w:hint="cs"/>
          <w:b/>
          <w:bCs/>
          <w:rtl/>
        </w:rPr>
        <w:t xml:space="preserve">קופות החולים עושות שימוש חסר בכלי זה בכל הקשור לשימור הבריאות של חבריהן הזקנים </w:t>
      </w:r>
      <w:r w:rsidRPr="0016536A">
        <w:rPr>
          <w:rFonts w:eastAsia="Calibri"/>
          <w:b/>
          <w:bCs/>
          <w:rtl/>
        </w:rPr>
        <w:t xml:space="preserve">לאורך זמן </w:t>
      </w:r>
      <w:r w:rsidRPr="0016536A">
        <w:rPr>
          <w:rFonts w:eastAsia="Calibri" w:hint="cs"/>
          <w:b/>
          <w:bCs/>
          <w:rtl/>
        </w:rPr>
        <w:t>ולמניעת</w:t>
      </w:r>
      <w:r w:rsidRPr="0016536A">
        <w:rPr>
          <w:rFonts w:eastAsia="Calibri"/>
          <w:b/>
          <w:bCs/>
          <w:rtl/>
        </w:rPr>
        <w:t xml:space="preserve"> העומסים </w:t>
      </w:r>
      <w:r w:rsidRPr="0016536A">
        <w:rPr>
          <w:rFonts w:eastAsia="Calibri" w:hint="eastAsia"/>
          <w:b/>
          <w:bCs/>
          <w:rtl/>
        </w:rPr>
        <w:t>הצפויים</w:t>
      </w:r>
      <w:r w:rsidRPr="0016536A">
        <w:rPr>
          <w:rFonts w:eastAsia="Calibri"/>
          <w:b/>
          <w:bCs/>
          <w:rtl/>
        </w:rPr>
        <w:t xml:space="preserve"> </w:t>
      </w:r>
      <w:r w:rsidRPr="0016536A">
        <w:rPr>
          <w:rFonts w:eastAsia="Calibri" w:hint="eastAsia"/>
          <w:b/>
          <w:bCs/>
          <w:rtl/>
        </w:rPr>
        <w:t>על</w:t>
      </w:r>
      <w:r w:rsidRPr="0016536A">
        <w:rPr>
          <w:rFonts w:eastAsia="Calibri"/>
          <w:b/>
          <w:bCs/>
          <w:rtl/>
        </w:rPr>
        <w:t xml:space="preserve"> </w:t>
      </w:r>
      <w:r w:rsidRPr="0016536A">
        <w:rPr>
          <w:rFonts w:eastAsia="Calibri" w:hint="eastAsia"/>
          <w:b/>
          <w:bCs/>
          <w:rtl/>
        </w:rPr>
        <w:t>מערכת</w:t>
      </w:r>
      <w:r w:rsidRPr="0016536A">
        <w:rPr>
          <w:rFonts w:eastAsia="Calibri"/>
          <w:b/>
          <w:bCs/>
          <w:rtl/>
        </w:rPr>
        <w:t xml:space="preserve"> </w:t>
      </w:r>
      <w:r w:rsidRPr="0016536A">
        <w:rPr>
          <w:rFonts w:eastAsia="Calibri" w:hint="eastAsia"/>
          <w:b/>
          <w:bCs/>
          <w:rtl/>
        </w:rPr>
        <w:t>הבריאות</w:t>
      </w:r>
      <w:r w:rsidRPr="0016536A">
        <w:rPr>
          <w:rFonts w:eastAsia="Calibri"/>
          <w:b/>
          <w:bCs/>
          <w:rtl/>
        </w:rPr>
        <w:t xml:space="preserve">, </w:t>
      </w:r>
      <w:r w:rsidRPr="0016536A">
        <w:rPr>
          <w:rFonts w:eastAsia="Calibri" w:hint="eastAsia"/>
          <w:b/>
          <w:bCs/>
          <w:rtl/>
        </w:rPr>
        <w:t>כתוצאה</w:t>
      </w:r>
      <w:r w:rsidRPr="0016536A">
        <w:rPr>
          <w:rFonts w:eastAsia="Calibri"/>
          <w:b/>
          <w:bCs/>
          <w:rtl/>
        </w:rPr>
        <w:t xml:space="preserve"> </w:t>
      </w:r>
      <w:r w:rsidRPr="0016536A">
        <w:rPr>
          <w:rFonts w:eastAsia="Calibri" w:hint="eastAsia"/>
          <w:b/>
          <w:bCs/>
          <w:rtl/>
        </w:rPr>
        <w:t>מחולי</w:t>
      </w:r>
      <w:r w:rsidRPr="0016536A">
        <w:rPr>
          <w:rFonts w:eastAsia="Calibri"/>
          <w:b/>
          <w:bCs/>
          <w:rtl/>
        </w:rPr>
        <w:t xml:space="preserve"> </w:t>
      </w:r>
      <w:r w:rsidRPr="0016536A">
        <w:rPr>
          <w:rFonts w:eastAsia="Calibri" w:hint="eastAsia"/>
          <w:b/>
          <w:bCs/>
          <w:rtl/>
        </w:rPr>
        <w:t>רב</w:t>
      </w:r>
      <w:r w:rsidRPr="0016536A">
        <w:rPr>
          <w:rFonts w:eastAsia="Calibri"/>
          <w:b/>
          <w:bCs/>
          <w:rtl/>
        </w:rPr>
        <w:t xml:space="preserve"> </w:t>
      </w:r>
      <w:r w:rsidRPr="0016536A">
        <w:rPr>
          <w:rFonts w:eastAsia="Calibri" w:hint="eastAsia"/>
          <w:b/>
          <w:bCs/>
          <w:rtl/>
        </w:rPr>
        <w:t>בקרב</w:t>
      </w:r>
      <w:r w:rsidRPr="0016536A">
        <w:rPr>
          <w:rFonts w:eastAsia="Calibri"/>
          <w:b/>
          <w:bCs/>
          <w:rtl/>
        </w:rPr>
        <w:t xml:space="preserve"> </w:t>
      </w:r>
      <w:r w:rsidRPr="0016536A">
        <w:rPr>
          <w:rFonts w:eastAsia="Calibri" w:hint="eastAsia"/>
          <w:b/>
          <w:bCs/>
          <w:rtl/>
        </w:rPr>
        <w:t>זקנים</w:t>
      </w:r>
      <w:r w:rsidRPr="0016536A">
        <w:rPr>
          <w:rFonts w:eastAsia="Calibri"/>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b/>
          <w:bCs/>
          <w:rtl/>
        </w:rPr>
        <w:t>נוכח הפער בין קצב הגידול בצורכי האוכלוסייה המזדקנת לבין קצב הרחבת התשתיות</w:t>
      </w:r>
      <w:r w:rsidRPr="0016536A">
        <w:rPr>
          <w:rFonts w:eastAsia="Calibri" w:hint="cs"/>
          <w:b/>
          <w:bCs/>
          <w:rtl/>
        </w:rPr>
        <w:t xml:space="preserve"> - </w:t>
      </w:r>
      <w:r w:rsidRPr="0016536A">
        <w:rPr>
          <w:rFonts w:eastAsia="Calibri"/>
          <w:b/>
          <w:bCs/>
          <w:rtl/>
        </w:rPr>
        <w:t xml:space="preserve">בכוח אדם מקצועי ובמספר מיטות האשפוז </w:t>
      </w:r>
      <w:r w:rsidRPr="0016536A">
        <w:rPr>
          <w:rFonts w:eastAsia="Calibri" w:hint="cs"/>
          <w:b/>
          <w:bCs/>
          <w:rtl/>
        </w:rPr>
        <w:t>-</w:t>
      </w:r>
      <w:r w:rsidRPr="0016536A">
        <w:rPr>
          <w:rFonts w:eastAsia="Calibri"/>
          <w:b/>
          <w:bCs/>
          <w:rtl/>
        </w:rPr>
        <w:t xml:space="preserve"> בהיקפים הנדרשים כדי לתת מענה מיטבי, </w:t>
      </w:r>
      <w:r w:rsidRPr="0016536A">
        <w:rPr>
          <w:rFonts w:eastAsia="Calibri" w:hint="cs"/>
          <w:b/>
          <w:bCs/>
          <w:rtl/>
        </w:rPr>
        <w:t>מומלץ כי במקביל למאמצים בתחומים אלה,</w:t>
      </w:r>
      <w:r w:rsidRPr="0016536A">
        <w:rPr>
          <w:rFonts w:eastAsia="Calibri"/>
          <w:b/>
          <w:bCs/>
          <w:rtl/>
        </w:rPr>
        <w:t xml:space="preserve"> כחלק מהאסטרטגיה </w:t>
      </w:r>
      <w:r w:rsidRPr="0016536A">
        <w:rPr>
          <w:rFonts w:eastAsia="Calibri" w:hint="eastAsia"/>
          <w:b/>
          <w:bCs/>
          <w:rtl/>
        </w:rPr>
        <w:t>להיערכות</w:t>
      </w:r>
      <w:r w:rsidRPr="0016536A">
        <w:rPr>
          <w:rFonts w:eastAsia="Calibri"/>
          <w:b/>
          <w:bCs/>
          <w:rtl/>
        </w:rPr>
        <w:t xml:space="preserve"> </w:t>
      </w:r>
      <w:r w:rsidRPr="0016536A">
        <w:rPr>
          <w:rFonts w:eastAsia="Calibri" w:hint="eastAsia"/>
          <w:b/>
          <w:bCs/>
          <w:rtl/>
        </w:rPr>
        <w:t>מערכת</w:t>
      </w:r>
      <w:r w:rsidRPr="0016536A">
        <w:rPr>
          <w:rFonts w:eastAsia="Calibri"/>
          <w:b/>
          <w:bCs/>
          <w:rtl/>
        </w:rPr>
        <w:t xml:space="preserve"> </w:t>
      </w:r>
      <w:r w:rsidRPr="0016536A">
        <w:rPr>
          <w:rFonts w:eastAsia="Calibri" w:hint="eastAsia"/>
          <w:b/>
          <w:bCs/>
          <w:rtl/>
        </w:rPr>
        <w:t>הבריאות</w:t>
      </w:r>
      <w:r w:rsidRPr="0016536A">
        <w:rPr>
          <w:rFonts w:eastAsia="Calibri"/>
          <w:b/>
          <w:bCs/>
          <w:rtl/>
        </w:rPr>
        <w:t xml:space="preserve"> להזדקנות </w:t>
      </w:r>
      <w:r w:rsidRPr="0016536A">
        <w:rPr>
          <w:rFonts w:eastAsia="Calibri" w:hint="eastAsia"/>
          <w:b/>
          <w:bCs/>
          <w:rtl/>
        </w:rPr>
        <w:t>האוכלוסייה</w:t>
      </w:r>
      <w:r w:rsidRPr="0016536A">
        <w:rPr>
          <w:rFonts w:eastAsia="Calibri" w:hint="cs"/>
          <w:b/>
          <w:bCs/>
          <w:rtl/>
        </w:rPr>
        <w:t>, יקבע משרד הבריאות</w:t>
      </w:r>
      <w:r w:rsidRPr="0016536A">
        <w:rPr>
          <w:rFonts w:eastAsia="Calibri"/>
          <w:b/>
          <w:bCs/>
          <w:rtl/>
        </w:rPr>
        <w:t xml:space="preserve"> מהלך של הגברת </w:t>
      </w:r>
      <w:r w:rsidRPr="0016536A">
        <w:rPr>
          <w:rFonts w:eastAsia="Calibri" w:hint="cs"/>
          <w:b/>
          <w:bCs/>
          <w:rtl/>
        </w:rPr>
        <w:t>טיפולים שעיקרם</w:t>
      </w:r>
      <w:r w:rsidRPr="0016536A">
        <w:rPr>
          <w:rFonts w:eastAsia="Calibri"/>
          <w:b/>
          <w:bCs/>
          <w:rtl/>
        </w:rPr>
        <w:t xml:space="preserve"> </w:t>
      </w:r>
      <w:r w:rsidRPr="0016536A">
        <w:rPr>
          <w:rFonts w:eastAsia="Calibri" w:hint="eastAsia"/>
          <w:b/>
          <w:bCs/>
          <w:rtl/>
        </w:rPr>
        <w:t>מניעת</w:t>
      </w:r>
      <w:r w:rsidRPr="0016536A">
        <w:rPr>
          <w:rFonts w:eastAsia="Calibri"/>
          <w:b/>
          <w:bCs/>
          <w:rtl/>
        </w:rPr>
        <w:t xml:space="preserve"> מחלות ושימור בריאות בקרב זקנים</w:t>
      </w:r>
      <w:r w:rsidRPr="0016536A">
        <w:rPr>
          <w:rFonts w:eastAsia="Calibri" w:hint="cs"/>
          <w:b/>
          <w:bCs/>
          <w:rtl/>
        </w:rPr>
        <w:t xml:space="preserve"> עוד בטרם חלה הידרדרות במצבם הבריאותי</w:t>
      </w:r>
      <w:r w:rsidRPr="0016536A">
        <w:rPr>
          <w:rFonts w:eastAsia="Calibri"/>
          <w:b/>
          <w:bCs/>
          <w:rtl/>
        </w:rPr>
        <w:t xml:space="preserve">, כאמצעי משמעותי לצמצום השבריריות שלהם ולהארכת תוחלת השנים הבריאים. </w:t>
      </w:r>
      <w:r w:rsidRPr="0016536A">
        <w:rPr>
          <w:rFonts w:eastAsia="Calibri" w:hint="cs"/>
          <w:b/>
          <w:bCs/>
          <w:rtl/>
        </w:rPr>
        <w:t>כאמור, מומלץ לעשות כן</w:t>
      </w:r>
      <w:r w:rsidRPr="0016536A">
        <w:rPr>
          <w:rFonts w:eastAsia="Calibri"/>
          <w:b/>
          <w:bCs/>
          <w:rtl/>
        </w:rPr>
        <w:t xml:space="preserve"> באמצעות קביעת יעדים ומדדים </w:t>
      </w:r>
      <w:r w:rsidRPr="0016536A">
        <w:rPr>
          <w:rFonts w:eastAsia="Calibri" w:hint="eastAsia"/>
          <w:b/>
          <w:bCs/>
          <w:rtl/>
        </w:rPr>
        <w:t>לקופות</w:t>
      </w:r>
      <w:r w:rsidRPr="0016536A">
        <w:rPr>
          <w:rFonts w:eastAsia="Calibri"/>
          <w:b/>
          <w:bCs/>
          <w:rtl/>
        </w:rPr>
        <w:t xml:space="preserve"> החולים בתחום </w:t>
      </w:r>
      <w:r w:rsidRPr="0016536A">
        <w:rPr>
          <w:rFonts w:eastAsia="Calibri" w:hint="eastAsia"/>
          <w:b/>
          <w:bCs/>
          <w:rtl/>
        </w:rPr>
        <w:t>טיפולי</w:t>
      </w:r>
      <w:r w:rsidRPr="0016536A">
        <w:rPr>
          <w:rFonts w:eastAsia="Calibri"/>
          <w:b/>
          <w:bCs/>
          <w:rtl/>
        </w:rPr>
        <w:t xml:space="preserve"> </w:t>
      </w:r>
      <w:r w:rsidRPr="0016536A">
        <w:rPr>
          <w:rFonts w:eastAsia="Calibri" w:hint="eastAsia"/>
          <w:b/>
          <w:bCs/>
          <w:rtl/>
        </w:rPr>
        <w:t>המניעה</w:t>
      </w:r>
      <w:r w:rsidRPr="0016536A">
        <w:rPr>
          <w:rFonts w:eastAsia="Calibri"/>
          <w:b/>
          <w:bCs/>
          <w:rtl/>
        </w:rPr>
        <w:t xml:space="preserve">, </w:t>
      </w:r>
      <w:r w:rsidRPr="0016536A">
        <w:rPr>
          <w:rFonts w:eastAsia="Calibri" w:hint="eastAsia"/>
          <w:b/>
          <w:bCs/>
          <w:rtl/>
        </w:rPr>
        <w:t>הכשרת</w:t>
      </w:r>
      <w:r w:rsidRPr="0016536A">
        <w:rPr>
          <w:rFonts w:eastAsia="Calibri"/>
          <w:b/>
          <w:bCs/>
          <w:rtl/>
        </w:rPr>
        <w:t xml:space="preserve"> </w:t>
      </w:r>
      <w:r w:rsidRPr="0016536A">
        <w:rPr>
          <w:rFonts w:eastAsia="Calibri" w:hint="eastAsia"/>
          <w:b/>
          <w:bCs/>
          <w:rtl/>
        </w:rPr>
        <w:t>רופאי</w:t>
      </w:r>
      <w:r w:rsidRPr="0016536A">
        <w:rPr>
          <w:rFonts w:eastAsia="Calibri"/>
          <w:b/>
          <w:bCs/>
          <w:rtl/>
        </w:rPr>
        <w:t xml:space="preserve"> </w:t>
      </w:r>
      <w:r w:rsidRPr="0016536A">
        <w:rPr>
          <w:rFonts w:eastAsia="Calibri" w:hint="eastAsia"/>
          <w:b/>
          <w:bCs/>
          <w:rtl/>
        </w:rPr>
        <w:t>משפחה</w:t>
      </w:r>
      <w:r w:rsidRPr="0016536A">
        <w:rPr>
          <w:rFonts w:eastAsia="Calibri"/>
          <w:b/>
          <w:bCs/>
          <w:rtl/>
        </w:rPr>
        <w:t xml:space="preserve"> </w:t>
      </w:r>
      <w:r w:rsidRPr="0016536A">
        <w:rPr>
          <w:rFonts w:eastAsia="Calibri" w:hint="eastAsia"/>
          <w:b/>
          <w:bCs/>
          <w:rtl/>
        </w:rPr>
        <w:t>בתחום</w:t>
      </w:r>
      <w:r w:rsidRPr="0016536A">
        <w:rPr>
          <w:rFonts w:eastAsia="Calibri"/>
          <w:b/>
          <w:bCs/>
          <w:rtl/>
        </w:rPr>
        <w:t xml:space="preserve"> </w:t>
      </w:r>
      <w:r w:rsidRPr="0016536A">
        <w:rPr>
          <w:rFonts w:eastAsia="Calibri" w:hint="eastAsia"/>
          <w:b/>
          <w:bCs/>
          <w:rtl/>
        </w:rPr>
        <w:t>הגריאטריה</w:t>
      </w:r>
      <w:r w:rsidRPr="0016536A">
        <w:rPr>
          <w:rFonts w:eastAsia="Calibri"/>
          <w:b/>
          <w:bCs/>
          <w:rtl/>
        </w:rPr>
        <w:t xml:space="preserve"> </w:t>
      </w:r>
      <w:r w:rsidRPr="0016536A">
        <w:rPr>
          <w:rFonts w:eastAsia="Calibri" w:hint="eastAsia"/>
          <w:b/>
          <w:bCs/>
          <w:rtl/>
        </w:rPr>
        <w:t>וקביעת</w:t>
      </w:r>
      <w:r w:rsidRPr="0016536A">
        <w:rPr>
          <w:rFonts w:eastAsia="Calibri"/>
          <w:b/>
          <w:bCs/>
          <w:rtl/>
        </w:rPr>
        <w:t xml:space="preserve"> </w:t>
      </w:r>
      <w:r w:rsidRPr="0016536A">
        <w:rPr>
          <w:rFonts w:eastAsia="Calibri" w:hint="eastAsia"/>
          <w:b/>
          <w:bCs/>
          <w:rtl/>
        </w:rPr>
        <w:t>מדד</w:t>
      </w:r>
      <w:r w:rsidRPr="0016536A">
        <w:rPr>
          <w:rFonts w:eastAsia="Calibri"/>
          <w:b/>
          <w:bCs/>
          <w:rtl/>
        </w:rPr>
        <w:t xml:space="preserve"> </w:t>
      </w:r>
      <w:r w:rsidRPr="0016536A">
        <w:rPr>
          <w:rFonts w:eastAsia="Calibri" w:hint="eastAsia"/>
          <w:b/>
          <w:bCs/>
          <w:rtl/>
        </w:rPr>
        <w:t>לאומי</w:t>
      </w:r>
      <w:r w:rsidRPr="0016536A">
        <w:rPr>
          <w:rFonts w:eastAsia="Calibri"/>
          <w:b/>
          <w:bCs/>
          <w:rtl/>
        </w:rPr>
        <w:t xml:space="preserve"> </w:t>
      </w:r>
      <w:r w:rsidRPr="0016536A">
        <w:rPr>
          <w:rFonts w:eastAsia="Calibri" w:hint="eastAsia"/>
          <w:b/>
          <w:bCs/>
          <w:rtl/>
        </w:rPr>
        <w:t>ל</w:t>
      </w:r>
      <w:r w:rsidRPr="0016536A">
        <w:rPr>
          <w:rFonts w:eastAsia="Calibri" w:hint="cs"/>
          <w:b/>
          <w:bCs/>
          <w:rtl/>
        </w:rPr>
        <w:t>בריאות הזקנים ותפקודם</w:t>
      </w:r>
      <w:r w:rsidRPr="0016536A">
        <w:rPr>
          <w:rFonts w:eastAsia="Calibri"/>
          <w:b/>
          <w:bCs/>
          <w:rtl/>
        </w:rPr>
        <w:t xml:space="preserve"> בקופות החולים.</w:t>
      </w:r>
    </w:p>
    <w:p w:rsidR="00C77AC7" w:rsidP="004614AF">
      <w:pPr>
        <w:keepNext/>
        <w:keepLines/>
        <w:spacing w:line="269" w:lineRule="auto"/>
        <w:outlineLvl w:val="2"/>
        <w:rPr>
          <w:rFonts w:eastAsia="Times New Roman"/>
          <w:bCs/>
          <w:szCs w:val="28"/>
          <w:u w:val="single"/>
          <w:rtl/>
        </w:rPr>
      </w:pPr>
    </w:p>
    <w:p w:rsidR="0016536A" w:rsidRPr="0016536A" w:rsidP="004614AF">
      <w:pPr>
        <w:keepNext/>
        <w:keepLines/>
        <w:spacing w:line="269" w:lineRule="auto"/>
        <w:outlineLvl w:val="2"/>
        <w:rPr>
          <w:rFonts w:eastAsia="Times New Roman"/>
          <w:bCs/>
          <w:szCs w:val="28"/>
          <w:u w:val="single"/>
          <w:rtl/>
        </w:rPr>
      </w:pPr>
      <w:r w:rsidRPr="0016536A">
        <w:rPr>
          <w:rFonts w:eastAsia="Times New Roman"/>
          <w:bCs/>
          <w:szCs w:val="28"/>
          <w:u w:val="single"/>
          <w:rtl/>
        </w:rPr>
        <w:t>סיכום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b/>
          <w:bCs/>
          <w:rtl/>
        </w:rPr>
        <w:t>העלייה בתוחלת החיים בישראל</w:t>
      </w:r>
      <w:r w:rsidRPr="0016536A">
        <w:rPr>
          <w:rFonts w:eastAsia="Calibri" w:hint="cs"/>
          <w:b/>
          <w:bCs/>
          <w:rtl/>
        </w:rPr>
        <w:t>, שהיא</w:t>
      </w:r>
      <w:r w:rsidRPr="0016536A">
        <w:rPr>
          <w:rFonts w:eastAsia="Calibri"/>
          <w:b/>
          <w:bCs/>
          <w:rtl/>
        </w:rPr>
        <w:t xml:space="preserve"> </w:t>
      </w:r>
      <w:r w:rsidRPr="0016536A">
        <w:rPr>
          <w:rFonts w:eastAsia="Calibri" w:hint="cs"/>
          <w:b/>
          <w:bCs/>
          <w:rtl/>
        </w:rPr>
        <w:t>במקום הרביעי</w:t>
      </w:r>
      <w:r w:rsidRPr="0016536A">
        <w:rPr>
          <w:rFonts w:eastAsia="Calibri"/>
          <w:b/>
          <w:bCs/>
          <w:rtl/>
        </w:rPr>
        <w:t xml:space="preserve"> במדינות ה-</w:t>
      </w:r>
      <w:r w:rsidRPr="0016536A">
        <w:rPr>
          <w:rFonts w:eastAsia="Calibri"/>
          <w:b/>
          <w:bCs/>
        </w:rPr>
        <w:t>OECD</w:t>
      </w:r>
      <w:r w:rsidRPr="0016536A">
        <w:rPr>
          <w:rFonts w:eastAsia="Calibri"/>
          <w:b/>
          <w:bCs/>
          <w:rtl/>
        </w:rPr>
        <w:t xml:space="preserve"> ועומדת על </w:t>
      </w:r>
      <w:r w:rsidRPr="0016536A">
        <w:rPr>
          <w:rFonts w:eastAsia="Calibri" w:hint="cs"/>
          <w:b/>
          <w:bCs/>
          <w:rtl/>
        </w:rPr>
        <w:t>87.6</w:t>
      </w:r>
      <w:r w:rsidRPr="0016536A">
        <w:rPr>
          <w:rFonts w:eastAsia="Calibri"/>
          <w:b/>
          <w:bCs/>
          <w:rtl/>
        </w:rPr>
        <w:t xml:space="preserve"> </w:t>
      </w:r>
      <w:r w:rsidRPr="0016536A">
        <w:rPr>
          <w:rFonts w:eastAsia="Calibri" w:hint="eastAsia"/>
          <w:b/>
          <w:bCs/>
          <w:rtl/>
        </w:rPr>
        <w:t>שנים</w:t>
      </w:r>
      <w:r w:rsidRPr="0016536A">
        <w:rPr>
          <w:rFonts w:eastAsia="Calibri"/>
          <w:b/>
          <w:bCs/>
          <w:rtl/>
        </w:rPr>
        <w:t xml:space="preserve"> </w:t>
      </w:r>
      <w:r w:rsidRPr="0016536A">
        <w:rPr>
          <w:rFonts w:eastAsia="Calibri" w:hint="eastAsia"/>
          <w:b/>
          <w:bCs/>
          <w:rtl/>
        </w:rPr>
        <w:t>לנשים</w:t>
      </w:r>
      <w:r w:rsidRPr="0016536A">
        <w:rPr>
          <w:rFonts w:eastAsia="Calibri"/>
          <w:b/>
          <w:bCs/>
          <w:rtl/>
        </w:rPr>
        <w:t xml:space="preserve"> ו-</w:t>
      </w:r>
      <w:r w:rsidRPr="0016536A">
        <w:rPr>
          <w:rFonts w:eastAsia="Calibri" w:hint="cs"/>
          <w:b/>
          <w:bCs/>
          <w:rtl/>
        </w:rPr>
        <w:t>85</w:t>
      </w:r>
      <w:r w:rsidRPr="0016536A">
        <w:rPr>
          <w:rFonts w:eastAsia="Calibri"/>
          <w:b/>
          <w:bCs/>
          <w:rtl/>
        </w:rPr>
        <w:t xml:space="preserve"> </w:t>
      </w:r>
      <w:r w:rsidRPr="0016536A">
        <w:rPr>
          <w:rFonts w:eastAsia="Calibri" w:hint="eastAsia"/>
          <w:b/>
          <w:bCs/>
          <w:rtl/>
        </w:rPr>
        <w:t>שנים</w:t>
      </w:r>
      <w:r w:rsidRPr="0016536A">
        <w:rPr>
          <w:rFonts w:eastAsia="Calibri"/>
          <w:b/>
          <w:bCs/>
          <w:rtl/>
        </w:rPr>
        <w:t xml:space="preserve"> </w:t>
      </w:r>
      <w:r w:rsidRPr="0016536A">
        <w:rPr>
          <w:rFonts w:eastAsia="Calibri" w:hint="eastAsia"/>
          <w:b/>
          <w:bCs/>
          <w:rtl/>
        </w:rPr>
        <w:t>לגברים</w:t>
      </w:r>
      <w:r w:rsidRPr="0016536A">
        <w:rPr>
          <w:rFonts w:eastAsia="Calibri"/>
          <w:b/>
          <w:bCs/>
          <w:rtl/>
        </w:rPr>
        <w:t xml:space="preserve"> בני 65, </w:t>
      </w:r>
      <w:r w:rsidRPr="0016536A">
        <w:rPr>
          <w:rFonts w:eastAsia="Calibri" w:hint="cs"/>
          <w:b/>
          <w:bCs/>
          <w:rtl/>
        </w:rPr>
        <w:t xml:space="preserve">לצד </w:t>
      </w:r>
      <w:r w:rsidRPr="0016536A">
        <w:rPr>
          <w:rFonts w:eastAsia="Calibri"/>
          <w:b/>
          <w:bCs/>
          <w:rtl/>
        </w:rPr>
        <w:t>הזדקנות האוכלוסייה</w:t>
      </w:r>
      <w:r w:rsidRPr="0016536A">
        <w:rPr>
          <w:rFonts w:eastAsia="Calibri" w:hint="cs"/>
          <w:b/>
          <w:bCs/>
          <w:rtl/>
        </w:rPr>
        <w:t>,</w:t>
      </w:r>
      <w:r w:rsidRPr="0016536A">
        <w:rPr>
          <w:rFonts w:eastAsia="Calibri"/>
          <w:b/>
          <w:bCs/>
          <w:rtl/>
        </w:rPr>
        <w:t xml:space="preserve"> מציבות אתגר משמעותי בפני מערכת הבריאות</w:t>
      </w:r>
      <w:r w:rsidRPr="0016536A">
        <w:rPr>
          <w:rFonts w:eastAsia="Calibri" w:hint="cs"/>
          <w:b/>
          <w:bCs/>
          <w:rtl/>
        </w:rPr>
        <w:t xml:space="preserve"> </w:t>
      </w:r>
      <w:r w:rsidRPr="0016536A">
        <w:rPr>
          <w:rFonts w:eastAsia="Calibri"/>
          <w:b/>
          <w:bCs/>
          <w:rtl/>
        </w:rPr>
        <w:t xml:space="preserve">בשל </w:t>
      </w:r>
      <w:r w:rsidRPr="0016536A">
        <w:rPr>
          <w:rFonts w:eastAsia="Calibri" w:hint="eastAsia"/>
          <w:b/>
          <w:bCs/>
          <w:rtl/>
        </w:rPr>
        <w:t>ה</w:t>
      </w:r>
      <w:r w:rsidRPr="0016536A">
        <w:rPr>
          <w:rFonts w:eastAsia="Calibri"/>
          <w:b/>
          <w:bCs/>
          <w:rtl/>
        </w:rPr>
        <w:t xml:space="preserve">גידול </w:t>
      </w:r>
      <w:r w:rsidRPr="0016536A">
        <w:rPr>
          <w:rFonts w:eastAsia="Calibri" w:hint="eastAsia"/>
          <w:b/>
          <w:bCs/>
          <w:rtl/>
        </w:rPr>
        <w:t>הצפוי</w:t>
      </w:r>
      <w:r w:rsidRPr="0016536A">
        <w:rPr>
          <w:rFonts w:eastAsia="Calibri"/>
          <w:b/>
          <w:bCs/>
          <w:rtl/>
        </w:rPr>
        <w:t xml:space="preserve"> בצריכת שירותים רפואיים</w:t>
      </w:r>
      <w:r w:rsidRPr="0016536A">
        <w:rPr>
          <w:rFonts w:eastAsia="Calibri" w:hint="cs"/>
          <w:b/>
          <w:bCs/>
          <w:rtl/>
        </w:rPr>
        <w:t>, שכן</w:t>
      </w:r>
      <w:r w:rsidRPr="0016536A">
        <w:rPr>
          <w:rFonts w:eastAsia="Calibri"/>
          <w:b/>
          <w:bCs/>
          <w:rtl/>
        </w:rPr>
        <w:t xml:space="preserve"> </w:t>
      </w:r>
      <w:r w:rsidRPr="0016536A">
        <w:rPr>
          <w:rFonts w:eastAsia="Calibri" w:hint="cs"/>
          <w:b/>
          <w:bCs/>
          <w:rtl/>
        </w:rPr>
        <w:t>אף ששיעורם הצפוי של הזקנים יעמוד בשנת 2030 על 14% ובשנת 2050 על 15%, שיעורי הוצאות שירותי הבריאות שלהם יעמדו על 40% - 52% מתוך כלל הוצאות שירותי הבריאות. כדי להיערך לכך,</w:t>
      </w:r>
      <w:r w:rsidRPr="0016536A">
        <w:rPr>
          <w:rFonts w:eastAsia="Calibri"/>
          <w:b/>
          <w:bCs/>
          <w:rtl/>
        </w:rPr>
        <w:t xml:space="preserve"> משרד הבריאות גיבש מדיניות שמתמקדת בקידום בריאות, </w:t>
      </w:r>
      <w:r w:rsidRPr="0016536A">
        <w:rPr>
          <w:rFonts w:eastAsia="Calibri" w:hint="cs"/>
          <w:b/>
          <w:bCs/>
          <w:rtl/>
        </w:rPr>
        <w:t>ב</w:t>
      </w:r>
      <w:r w:rsidRPr="0016536A">
        <w:rPr>
          <w:rFonts w:eastAsia="Calibri"/>
          <w:b/>
          <w:bCs/>
          <w:rtl/>
        </w:rPr>
        <w:t>איתור מוקדם של מחלות ו</w:t>
      </w:r>
      <w:r w:rsidRPr="0016536A">
        <w:rPr>
          <w:rFonts w:eastAsia="Calibri" w:hint="cs"/>
          <w:b/>
          <w:bCs/>
          <w:rtl/>
        </w:rPr>
        <w:t>ב</w:t>
      </w:r>
      <w:r w:rsidRPr="0016536A">
        <w:rPr>
          <w:rFonts w:eastAsia="Calibri"/>
          <w:b/>
          <w:bCs/>
          <w:rtl/>
        </w:rPr>
        <w:t>מניעת הידרדרות בריאותית בקרב זקנים.</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eastAsia"/>
          <w:b/>
          <w:bCs/>
          <w:rtl/>
        </w:rPr>
        <w:t>כבר</w:t>
      </w:r>
      <w:r w:rsidRPr="0016536A">
        <w:rPr>
          <w:rFonts w:eastAsia="Calibri"/>
          <w:b/>
          <w:bCs/>
          <w:rtl/>
        </w:rPr>
        <w:t xml:space="preserve"> ב</w:t>
      </w:r>
      <w:r w:rsidRPr="0016536A">
        <w:rPr>
          <w:rFonts w:eastAsia="Calibri" w:hint="cs"/>
          <w:b/>
          <w:bCs/>
          <w:rtl/>
        </w:rPr>
        <w:t xml:space="preserve">שנת </w:t>
      </w:r>
      <w:r w:rsidRPr="0016536A">
        <w:rPr>
          <w:rFonts w:eastAsia="Calibri"/>
          <w:b/>
          <w:bCs/>
          <w:rtl/>
        </w:rPr>
        <w:t xml:space="preserve">2015 הודיע משרד הבריאות כי החל בגיבוש תוכנית שתתייחס בין היתר למשאבי כוח אדם </w:t>
      </w:r>
      <w:r w:rsidRPr="0016536A">
        <w:rPr>
          <w:rFonts w:eastAsia="Calibri" w:hint="eastAsia"/>
          <w:b/>
          <w:bCs/>
          <w:rtl/>
        </w:rPr>
        <w:t>ול</w:t>
      </w:r>
      <w:r w:rsidRPr="0016536A">
        <w:rPr>
          <w:rFonts w:eastAsia="Calibri"/>
          <w:b/>
          <w:bCs/>
          <w:rtl/>
        </w:rPr>
        <w:t>מיטות אשפוז שיידרשו ב</w:t>
      </w:r>
      <w:r w:rsidRPr="0016536A">
        <w:rPr>
          <w:rFonts w:eastAsia="Calibri" w:hint="cs"/>
          <w:b/>
          <w:bCs/>
          <w:rtl/>
        </w:rPr>
        <w:t>-20</w:t>
      </w:r>
      <w:r w:rsidRPr="0016536A">
        <w:rPr>
          <w:rFonts w:eastAsia="Calibri"/>
          <w:b/>
          <w:bCs/>
          <w:rtl/>
        </w:rPr>
        <w:t xml:space="preserve"> השנים הבאות</w:t>
      </w:r>
      <w:r w:rsidRPr="0016536A">
        <w:rPr>
          <w:rFonts w:eastAsia="Calibri"/>
          <w:b/>
          <w:bCs/>
        </w:rPr>
        <w:t>.</w:t>
      </w:r>
      <w:r w:rsidRPr="0016536A">
        <w:rPr>
          <w:rFonts w:eastAsia="Calibri"/>
          <w:b/>
          <w:bCs/>
          <w:rtl/>
        </w:rPr>
        <w:t xml:space="preserve"> עם זאת, בביקורת נמצא </w:t>
      </w:r>
      <w:r w:rsidRPr="0016536A">
        <w:rPr>
          <w:rFonts w:eastAsia="Calibri" w:hint="cs"/>
          <w:b/>
          <w:bCs/>
          <w:rtl/>
        </w:rPr>
        <w:t xml:space="preserve">כי </w:t>
      </w:r>
      <w:r w:rsidRPr="0016536A">
        <w:rPr>
          <w:rFonts w:eastAsia="Calibri"/>
          <w:b/>
          <w:bCs/>
          <w:rtl/>
        </w:rPr>
        <w:t>למרות ה</w:t>
      </w:r>
      <w:r w:rsidRPr="0016536A">
        <w:rPr>
          <w:rFonts w:eastAsia="Calibri" w:hint="cs"/>
          <w:b/>
          <w:bCs/>
          <w:rtl/>
        </w:rPr>
        <w:t>ודעת משרד הבריאות</w:t>
      </w:r>
      <w:r w:rsidRPr="0016536A">
        <w:rPr>
          <w:rFonts w:eastAsia="Calibri"/>
          <w:b/>
          <w:bCs/>
          <w:rtl/>
        </w:rPr>
        <w:t xml:space="preserve"> על גיבוש תוכנית לכוח אדם ולמיטות אשפוז, ב</w:t>
      </w:r>
      <w:r w:rsidRPr="0016536A">
        <w:rPr>
          <w:rFonts w:eastAsia="Calibri" w:hint="cs"/>
          <w:b/>
          <w:bCs/>
          <w:rtl/>
        </w:rPr>
        <w:t>שנים</w:t>
      </w:r>
      <w:r w:rsidRPr="0016536A">
        <w:rPr>
          <w:rFonts w:eastAsia="Calibri"/>
          <w:b/>
          <w:bCs/>
          <w:rtl/>
        </w:rPr>
        <w:t xml:space="preserve"> 202</w:t>
      </w:r>
      <w:r w:rsidRPr="0016536A">
        <w:rPr>
          <w:rFonts w:eastAsia="Calibri" w:hint="cs"/>
          <w:b/>
          <w:bCs/>
          <w:rtl/>
        </w:rPr>
        <w:t xml:space="preserve">0 - </w:t>
      </w:r>
      <w:r w:rsidRPr="0016536A">
        <w:rPr>
          <w:rFonts w:eastAsia="Calibri"/>
          <w:b/>
          <w:bCs/>
          <w:rtl/>
        </w:rPr>
        <w:t xml:space="preserve">2024 </w:t>
      </w:r>
      <w:r w:rsidRPr="0016536A">
        <w:rPr>
          <w:rFonts w:eastAsia="Calibri" w:hint="cs"/>
          <w:b/>
          <w:bCs/>
          <w:rtl/>
        </w:rPr>
        <w:t>לא חל שינוי במספר הרופאים הגריאטרים ל-1,000 איש בני 75 ומעלה</w:t>
      </w:r>
      <w:r w:rsidRPr="0016536A">
        <w:rPr>
          <w:rFonts w:eastAsia="Calibri"/>
          <w:b/>
          <w:bCs/>
          <w:rtl/>
        </w:rPr>
        <w:t xml:space="preserve"> ו</w:t>
      </w:r>
      <w:r w:rsidRPr="0016536A">
        <w:rPr>
          <w:rFonts w:eastAsia="Calibri" w:hint="cs"/>
          <w:b/>
          <w:bCs/>
          <w:rtl/>
        </w:rPr>
        <w:t xml:space="preserve">חלה </w:t>
      </w:r>
      <w:r w:rsidRPr="0016536A">
        <w:rPr>
          <w:rFonts w:eastAsia="Calibri"/>
          <w:b/>
          <w:bCs/>
          <w:rtl/>
        </w:rPr>
        <w:t>ירידה של 16%</w:t>
      </w:r>
      <w:r w:rsidRPr="0016536A">
        <w:rPr>
          <w:rFonts w:eastAsia="Calibri" w:hint="cs"/>
          <w:b/>
          <w:bCs/>
          <w:rtl/>
        </w:rPr>
        <w:t xml:space="preserve"> - </w:t>
      </w:r>
      <w:r w:rsidRPr="0016536A">
        <w:rPr>
          <w:rFonts w:eastAsia="Calibri"/>
          <w:b/>
          <w:bCs/>
          <w:rtl/>
        </w:rPr>
        <w:t xml:space="preserve">19% </w:t>
      </w:r>
      <w:r w:rsidRPr="0016536A">
        <w:rPr>
          <w:rFonts w:eastAsia="Calibri" w:hint="cs"/>
          <w:b/>
          <w:bCs/>
          <w:rtl/>
        </w:rPr>
        <w:t>בשיעור</w:t>
      </w:r>
      <w:r w:rsidRPr="0016536A">
        <w:rPr>
          <w:rFonts w:eastAsia="Calibri"/>
          <w:b/>
          <w:bCs/>
          <w:rtl/>
        </w:rPr>
        <w:t xml:space="preserve"> מיטות </w:t>
      </w:r>
      <w:r w:rsidRPr="0016536A">
        <w:rPr>
          <w:rFonts w:eastAsia="Calibri" w:hint="cs"/>
          <w:b/>
          <w:bCs/>
          <w:rtl/>
        </w:rPr>
        <w:t>ה</w:t>
      </w:r>
      <w:r w:rsidRPr="0016536A">
        <w:rPr>
          <w:rFonts w:eastAsia="Calibri"/>
          <w:b/>
          <w:bCs/>
          <w:rtl/>
        </w:rPr>
        <w:t xml:space="preserve">אשפוז </w:t>
      </w:r>
      <w:r w:rsidRPr="0016536A">
        <w:rPr>
          <w:rFonts w:eastAsia="Calibri" w:hint="cs"/>
          <w:b/>
          <w:bCs/>
          <w:rtl/>
        </w:rPr>
        <w:t>ה</w:t>
      </w:r>
      <w:r w:rsidRPr="0016536A">
        <w:rPr>
          <w:rFonts w:eastAsia="Calibri"/>
          <w:b/>
          <w:bCs/>
          <w:rtl/>
        </w:rPr>
        <w:t>גריאטרי ו</w:t>
      </w:r>
      <w:r w:rsidRPr="0016536A">
        <w:rPr>
          <w:rFonts w:eastAsia="Calibri" w:hint="cs"/>
          <w:b/>
          <w:bCs/>
          <w:rtl/>
        </w:rPr>
        <w:t>ה</w:t>
      </w:r>
      <w:r w:rsidRPr="0016536A">
        <w:rPr>
          <w:rFonts w:eastAsia="Calibri"/>
          <w:b/>
          <w:bCs/>
          <w:rtl/>
        </w:rPr>
        <w:t>כללי לאותה אוכלוסייה</w:t>
      </w:r>
      <w:r w:rsidRPr="0016536A">
        <w:rPr>
          <w:rFonts w:eastAsia="Calibri" w:hint="cs"/>
          <w:b/>
          <w:bCs/>
          <w:rtl/>
        </w:rPr>
        <w:t xml:space="preserve">; </w:t>
      </w:r>
      <w:r w:rsidRPr="0016536A">
        <w:rPr>
          <w:rFonts w:eastAsia="Calibri" w:hint="eastAsia"/>
          <w:b/>
          <w:bCs/>
          <w:rtl/>
        </w:rPr>
        <w:t>מגמות</w:t>
      </w:r>
      <w:r w:rsidRPr="0016536A">
        <w:rPr>
          <w:rFonts w:eastAsia="Calibri"/>
          <w:b/>
          <w:bCs/>
          <w:rtl/>
        </w:rPr>
        <w:t xml:space="preserve"> </w:t>
      </w:r>
      <w:r w:rsidRPr="0016536A">
        <w:rPr>
          <w:rFonts w:eastAsia="Calibri" w:hint="eastAsia"/>
          <w:b/>
          <w:bCs/>
          <w:rtl/>
        </w:rPr>
        <w:t>אלו</w:t>
      </w:r>
      <w:r w:rsidRPr="0016536A">
        <w:rPr>
          <w:rFonts w:eastAsia="Calibri"/>
          <w:b/>
          <w:bCs/>
          <w:rtl/>
        </w:rPr>
        <w:t xml:space="preserve"> </w:t>
      </w:r>
      <w:r w:rsidRPr="0016536A">
        <w:rPr>
          <w:rFonts w:eastAsia="Calibri" w:hint="eastAsia"/>
          <w:b/>
          <w:bCs/>
          <w:rtl/>
        </w:rPr>
        <w:t>צפויות</w:t>
      </w:r>
      <w:r w:rsidRPr="0016536A">
        <w:rPr>
          <w:rFonts w:eastAsia="Calibri"/>
          <w:b/>
          <w:bCs/>
          <w:rtl/>
        </w:rPr>
        <w:t xml:space="preserve"> להימשך ואף להחריף</w:t>
      </w:r>
      <w:r w:rsidRPr="0016536A">
        <w:rPr>
          <w:rFonts w:eastAsia="Calibri" w:hint="cs"/>
          <w:b/>
          <w:bCs/>
          <w:rtl/>
        </w:rPr>
        <w:t xml:space="preserve"> (מ-1.07 מומחים, 0.13 מתמחים ו-41.7 מיטות אשפוז כללי ל-1,000 איש בני 75 ומעלה בשנת 2020, ל-1.05 מומחים, 0.15 מתמחים ו-33.81 מיטות אשפוז כללי בשנת 2024 - ועד ל-0.99 מומחים, 0.15 מתמחים ו-19.3 מיטות אשפוז כללי באומדן לשנת 2040)</w:t>
      </w:r>
      <w:r w:rsidRPr="0016536A">
        <w:rPr>
          <w:rFonts w:eastAsia="Calibri"/>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b/>
          <w:bCs/>
          <w:rtl/>
        </w:rPr>
        <w:t>נוכח הפער בין קצב הגידול בצורכי האוכלוסייה המזדקנת לבין קצב הרחבת התשתיות</w:t>
      </w:r>
      <w:r w:rsidRPr="0016536A">
        <w:rPr>
          <w:rFonts w:eastAsia="Calibri" w:hint="cs"/>
          <w:b/>
          <w:bCs/>
          <w:rtl/>
        </w:rPr>
        <w:t xml:space="preserve"> - </w:t>
      </w:r>
      <w:r w:rsidRPr="0016536A">
        <w:rPr>
          <w:rFonts w:eastAsia="Calibri"/>
          <w:b/>
          <w:bCs/>
          <w:rtl/>
        </w:rPr>
        <w:t xml:space="preserve">בכוח אדם מקצועי ובמספר מיטות האשפוז </w:t>
      </w:r>
      <w:r w:rsidRPr="0016536A">
        <w:rPr>
          <w:rFonts w:eastAsia="Calibri" w:hint="cs"/>
          <w:b/>
          <w:bCs/>
          <w:rtl/>
        </w:rPr>
        <w:t>-</w:t>
      </w:r>
      <w:r w:rsidRPr="0016536A">
        <w:rPr>
          <w:rFonts w:eastAsia="Calibri"/>
          <w:b/>
          <w:bCs/>
          <w:rtl/>
        </w:rPr>
        <w:t xml:space="preserve"> בהיקפים הנדרשים כדי לתת מענה מיטבי</w:t>
      </w:r>
      <w:r w:rsidRPr="0016536A">
        <w:rPr>
          <w:rFonts w:eastAsia="Calibri" w:hint="cs"/>
          <w:b/>
          <w:bCs/>
          <w:rtl/>
        </w:rPr>
        <w:t xml:space="preserve">, היה מצופה כי משרד הבריאות יחד עם קופות החולים </w:t>
      </w:r>
      <w:r w:rsidRPr="0016536A">
        <w:rPr>
          <w:rFonts w:eastAsia="Calibri" w:hint="eastAsia"/>
          <w:b/>
          <w:bCs/>
          <w:rtl/>
        </w:rPr>
        <w:t>ינקטו</w:t>
      </w:r>
      <w:r w:rsidRPr="0016536A">
        <w:rPr>
          <w:rFonts w:eastAsia="Calibri"/>
          <w:b/>
          <w:bCs/>
          <w:rtl/>
        </w:rPr>
        <w:t xml:space="preserve"> מדיניות של </w:t>
      </w:r>
      <w:r w:rsidRPr="0016536A">
        <w:rPr>
          <w:rFonts w:eastAsia="Calibri" w:hint="eastAsia"/>
          <w:b/>
          <w:bCs/>
          <w:rtl/>
        </w:rPr>
        <w:t>מניעת</w:t>
      </w:r>
      <w:r w:rsidRPr="0016536A">
        <w:rPr>
          <w:rFonts w:eastAsia="Calibri"/>
          <w:b/>
          <w:bCs/>
          <w:rtl/>
        </w:rPr>
        <w:t xml:space="preserve"> </w:t>
      </w:r>
      <w:r w:rsidRPr="0016536A">
        <w:rPr>
          <w:rFonts w:eastAsia="Calibri" w:hint="eastAsia"/>
          <w:b/>
          <w:bCs/>
          <w:rtl/>
        </w:rPr>
        <w:t>מחלות</w:t>
      </w:r>
      <w:r w:rsidRPr="0016536A">
        <w:rPr>
          <w:rFonts w:eastAsia="Calibri"/>
          <w:b/>
          <w:bCs/>
          <w:rtl/>
        </w:rPr>
        <w:t xml:space="preserve">, </w:t>
      </w:r>
      <w:r w:rsidRPr="0016536A">
        <w:rPr>
          <w:rFonts w:eastAsia="Calibri" w:hint="cs"/>
          <w:b/>
          <w:bCs/>
          <w:rtl/>
        </w:rPr>
        <w:t xml:space="preserve">קידום בריאות, </w:t>
      </w:r>
      <w:r w:rsidRPr="0016536A">
        <w:rPr>
          <w:rFonts w:eastAsia="Calibri"/>
          <w:b/>
          <w:bCs/>
          <w:rtl/>
        </w:rPr>
        <w:t>צמצום שבריריות והארכת תוחלת החיים הבריא</w:t>
      </w:r>
      <w:r w:rsidRPr="0016536A">
        <w:rPr>
          <w:rFonts w:eastAsia="Calibri" w:hint="cs"/>
          <w:b/>
          <w:bCs/>
          <w:rtl/>
        </w:rPr>
        <w:t>ים</w:t>
      </w:r>
      <w:r w:rsidRPr="0016536A">
        <w:rPr>
          <w:rFonts w:eastAsia="Calibri"/>
          <w:b/>
          <w:bCs/>
          <w:rtl/>
        </w:rPr>
        <w:t xml:space="preserve"> של זקנים</w:t>
      </w:r>
      <w:r w:rsidRPr="0016536A">
        <w:rPr>
          <w:rFonts w:eastAsia="Calibri" w:hint="cs"/>
          <w:b/>
          <w:bCs/>
          <w:rtl/>
        </w:rPr>
        <w:t>,</w:t>
      </w:r>
      <w:r w:rsidRPr="0016536A">
        <w:rPr>
          <w:rFonts w:eastAsia="Calibri"/>
          <w:b/>
          <w:bCs/>
          <w:rtl/>
        </w:rPr>
        <w:t xml:space="preserve"> כאמצעי</w:t>
      </w:r>
      <w:r w:rsidRPr="0016536A">
        <w:rPr>
          <w:rFonts w:eastAsia="Calibri" w:hint="cs"/>
          <w:b/>
          <w:bCs/>
          <w:rtl/>
        </w:rPr>
        <w:t xml:space="preserve">ם מרכזיים </w:t>
      </w:r>
      <w:r w:rsidRPr="0016536A">
        <w:rPr>
          <w:rFonts w:eastAsia="Calibri"/>
          <w:b/>
          <w:bCs/>
          <w:rtl/>
        </w:rPr>
        <w:t>להתמ</w:t>
      </w:r>
      <w:r w:rsidRPr="0016536A">
        <w:rPr>
          <w:rFonts w:eastAsia="Calibri" w:hint="eastAsia"/>
          <w:b/>
          <w:bCs/>
          <w:rtl/>
        </w:rPr>
        <w:t>ודדות</w:t>
      </w:r>
      <w:r w:rsidRPr="0016536A">
        <w:rPr>
          <w:rFonts w:eastAsia="Calibri"/>
          <w:b/>
          <w:bCs/>
          <w:rtl/>
        </w:rPr>
        <w:t xml:space="preserve"> </w:t>
      </w:r>
      <w:r w:rsidRPr="0016536A">
        <w:rPr>
          <w:rFonts w:eastAsia="Calibri" w:hint="eastAsia"/>
          <w:b/>
          <w:bCs/>
          <w:rtl/>
        </w:rPr>
        <w:t>עם</w:t>
      </w:r>
      <w:r w:rsidRPr="0016536A">
        <w:rPr>
          <w:rFonts w:eastAsia="Calibri"/>
          <w:b/>
          <w:bCs/>
          <w:rtl/>
        </w:rPr>
        <w:t xml:space="preserve"> העומסים הצפויים על מערכת הבריאות בעקבות הגידול הצפוי במספר הזקנים</w:t>
      </w:r>
      <w:r w:rsidRPr="0016536A">
        <w:rPr>
          <w:rFonts w:eastAsia="Calibri" w:hint="cs"/>
          <w:b/>
          <w:bCs/>
          <w:rtl/>
        </w:rPr>
        <w:t>.</w:t>
      </w:r>
    </w:p>
    <w:p w:rsidR="0016536A" w:rsidRPr="0016536A" w:rsidP="004614AF">
      <w:pPr>
        <w:spacing w:line="269" w:lineRule="auto"/>
        <w:rPr>
          <w:rFonts w:eastAsia="Calibri"/>
          <w:rtl/>
        </w:rPr>
      </w:pPr>
    </w:p>
    <w:p w:rsidR="0016536A" w:rsidRPr="0016536A" w:rsidP="004614AF">
      <w:pPr>
        <w:spacing w:line="269" w:lineRule="auto"/>
        <w:rPr>
          <w:rFonts w:eastAsia="Calibri"/>
          <w:b/>
          <w:bCs/>
          <w:rtl/>
        </w:rPr>
      </w:pPr>
      <w:r w:rsidRPr="0016536A">
        <w:rPr>
          <w:rFonts w:eastAsia="Calibri" w:hint="cs"/>
          <w:b/>
          <w:bCs/>
          <w:rtl/>
        </w:rPr>
        <w:t>אולם</w:t>
      </w:r>
      <w:r w:rsidRPr="0016536A">
        <w:rPr>
          <w:rFonts w:eastAsia="Calibri"/>
          <w:b/>
          <w:bCs/>
          <w:rtl/>
        </w:rPr>
        <w:t xml:space="preserve"> </w:t>
      </w:r>
      <w:r w:rsidRPr="0016536A">
        <w:rPr>
          <w:rFonts w:eastAsia="Calibri" w:hint="cs"/>
          <w:b/>
          <w:bCs/>
          <w:rtl/>
        </w:rPr>
        <w:t>בביקורת עלה כי</w:t>
      </w:r>
      <w:r w:rsidRPr="0016536A">
        <w:rPr>
          <w:rFonts w:eastAsia="Calibri"/>
          <w:b/>
          <w:bCs/>
          <w:rtl/>
        </w:rPr>
        <w:t xml:space="preserve"> בפועל חלק ניכר מהפעולות המתועדות כפעולות מניעה מתבצע</w:t>
      </w:r>
      <w:r w:rsidRPr="0016536A">
        <w:rPr>
          <w:rFonts w:eastAsia="Calibri" w:hint="cs"/>
          <w:b/>
          <w:bCs/>
          <w:rtl/>
        </w:rPr>
        <w:t>ות</w:t>
      </w:r>
      <w:r w:rsidRPr="0016536A">
        <w:rPr>
          <w:rFonts w:eastAsia="Calibri"/>
          <w:b/>
          <w:bCs/>
          <w:rtl/>
        </w:rPr>
        <w:t xml:space="preserve"> בקרב זקנים חולים ושבריריים או </w:t>
      </w:r>
      <w:r w:rsidRPr="0016536A">
        <w:rPr>
          <w:rFonts w:eastAsia="Calibri" w:hint="cs"/>
          <w:b/>
          <w:bCs/>
          <w:rtl/>
        </w:rPr>
        <w:t xml:space="preserve">כאלו המצויים </w:t>
      </w:r>
      <w:r w:rsidRPr="0016536A">
        <w:rPr>
          <w:rFonts w:eastAsia="Calibri"/>
          <w:b/>
          <w:bCs/>
          <w:rtl/>
        </w:rPr>
        <w:t>בסיכון גבוה ואינ</w:t>
      </w:r>
      <w:r w:rsidRPr="0016536A">
        <w:rPr>
          <w:rFonts w:eastAsia="Calibri" w:hint="cs"/>
          <w:b/>
          <w:bCs/>
          <w:rtl/>
        </w:rPr>
        <w:t>ן</w:t>
      </w:r>
      <w:r w:rsidRPr="0016536A">
        <w:rPr>
          <w:rFonts w:eastAsia="Calibri"/>
          <w:b/>
          <w:bCs/>
          <w:rtl/>
        </w:rPr>
        <w:t xml:space="preserve"> מופנ</w:t>
      </w:r>
      <w:r w:rsidRPr="0016536A">
        <w:rPr>
          <w:rFonts w:eastAsia="Calibri" w:hint="cs"/>
          <w:b/>
          <w:bCs/>
          <w:rtl/>
        </w:rPr>
        <w:t>ות</w:t>
      </w:r>
      <w:r w:rsidRPr="0016536A">
        <w:rPr>
          <w:rFonts w:eastAsia="Calibri"/>
          <w:b/>
          <w:bCs/>
          <w:rtl/>
        </w:rPr>
        <w:t xml:space="preserve"> במידה מספקת גם לזקנים שמצבם הבריאותי טוב יחסית, לצורך מניעת מחלות ושימור בריאותם לאורך זמן</w:t>
      </w:r>
      <w:r w:rsidRPr="0016536A">
        <w:rPr>
          <w:rFonts w:eastAsia="Calibri" w:hint="cs"/>
          <w:b/>
          <w:bCs/>
          <w:rtl/>
        </w:rPr>
        <w:t>.</w:t>
      </w:r>
      <w:r w:rsidRPr="0016536A">
        <w:rPr>
          <w:rFonts w:eastAsia="Calibri"/>
          <w:b/>
          <w:bCs/>
          <w:rtl/>
        </w:rPr>
        <w:t xml:space="preserve"> </w:t>
      </w:r>
      <w:r w:rsidRPr="0016536A">
        <w:rPr>
          <w:rFonts w:eastAsia="Calibri" w:hint="cs"/>
          <w:b/>
          <w:bCs/>
          <w:rtl/>
        </w:rPr>
        <w:t xml:space="preserve">עוד עלה כי </w:t>
      </w:r>
      <w:r w:rsidRPr="0016536A">
        <w:rPr>
          <w:rFonts w:eastAsia="Calibri"/>
          <w:b/>
          <w:bCs/>
          <w:rtl/>
        </w:rPr>
        <w:t xml:space="preserve">משרד הבריאות </w:t>
      </w:r>
      <w:r w:rsidRPr="0016536A">
        <w:rPr>
          <w:rFonts w:eastAsia="Calibri" w:hint="cs"/>
          <w:b/>
          <w:bCs/>
          <w:rtl/>
        </w:rPr>
        <w:t>לא הגדיר לקופות החולים יעדים לשיפור במדדי הרפואה המונעת, לא קבע תוכנית פעולה ולא ביצע הכשרות לאנשי מקצוע לשם כך. בפועל, חלה ירידה בפעולות המניעה המדווחות למשרד הבריאות (נמצאה ירידה בשיעור הביצוע בשנת 2024 בהשוואה לשנת 2019, בשיעורים של 6 נקודות אחוז לחיסון נגד שפעת עד עשירית נקודת אחוז לגילוי מוקדם של סרטן המעי הגס), ולגבי אלו שאינן מדווחות נמצא שהן מבוצעות, על פי התיעוד, בקרב שיעור מצומצם של זקנים (כ-15% בממוצע)</w:t>
      </w:r>
      <w:r w:rsidRPr="0016536A">
        <w:rPr>
          <w:rFonts w:eastAsia="Calibri"/>
          <w:b/>
          <w:bCs/>
          <w:rtl/>
        </w:rPr>
        <w:t>.</w:t>
      </w:r>
      <w:r w:rsidRPr="0016536A">
        <w:rPr>
          <w:rFonts w:eastAsia="Calibri" w:hint="cs"/>
          <w:b/>
          <w:bCs/>
          <w:rtl/>
        </w:rPr>
        <w:t xml:space="preserve"> </w:t>
      </w:r>
      <w:r w:rsidRPr="0016536A">
        <w:rPr>
          <w:rFonts w:eastAsia="Calibri" w:hint="eastAsia"/>
          <w:b/>
          <w:bCs/>
          <w:rtl/>
        </w:rPr>
        <w:t>עוד</w:t>
      </w:r>
      <w:r w:rsidRPr="0016536A">
        <w:rPr>
          <w:rFonts w:eastAsia="Calibri"/>
          <w:b/>
          <w:bCs/>
          <w:rtl/>
        </w:rPr>
        <w:t xml:space="preserve"> </w:t>
      </w:r>
      <w:r w:rsidRPr="0016536A">
        <w:rPr>
          <w:rFonts w:eastAsia="Calibri" w:hint="eastAsia"/>
          <w:b/>
          <w:bCs/>
          <w:rtl/>
        </w:rPr>
        <w:t>נמצא</w:t>
      </w:r>
      <w:r w:rsidRPr="0016536A">
        <w:rPr>
          <w:rFonts w:eastAsia="Calibri"/>
          <w:b/>
          <w:bCs/>
          <w:rtl/>
        </w:rPr>
        <w:t xml:space="preserve"> כי משרד הבריאות לא גיבש מדד שבריריות לאומי, </w:t>
      </w:r>
      <w:r w:rsidRPr="0016536A">
        <w:rPr>
          <w:rFonts w:eastAsia="Calibri" w:hint="cs"/>
          <w:b/>
          <w:bCs/>
          <w:rtl/>
        </w:rPr>
        <w:t xml:space="preserve">וכי הוא </w:t>
      </w:r>
      <w:r w:rsidRPr="0016536A">
        <w:rPr>
          <w:rFonts w:eastAsia="Calibri"/>
          <w:b/>
          <w:bCs/>
          <w:rtl/>
        </w:rPr>
        <w:t>אינו אוסף נתונים על שיעור השבריריות</w:t>
      </w:r>
      <w:r w:rsidRPr="0016536A">
        <w:rPr>
          <w:rFonts w:eastAsia="Calibri" w:hint="cs"/>
          <w:b/>
          <w:bCs/>
          <w:rtl/>
        </w:rPr>
        <w:t xml:space="preserve">, ומכאן </w:t>
      </w:r>
      <w:r w:rsidRPr="0016536A">
        <w:rPr>
          <w:rFonts w:eastAsia="Calibri"/>
          <w:b/>
          <w:bCs/>
          <w:rtl/>
        </w:rPr>
        <w:t xml:space="preserve">אינו יכול להעריך מדיניות בתחום זה </w:t>
      </w:r>
      <w:r w:rsidRPr="0016536A">
        <w:rPr>
          <w:rFonts w:eastAsia="Calibri" w:hint="cs"/>
          <w:b/>
          <w:bCs/>
          <w:rtl/>
        </w:rPr>
        <w:t>לשם גיבוש</w:t>
      </w:r>
      <w:r w:rsidRPr="0016536A">
        <w:rPr>
          <w:rFonts w:eastAsia="Calibri"/>
          <w:b/>
          <w:bCs/>
          <w:rtl/>
        </w:rPr>
        <w:t xml:space="preserve"> </w:t>
      </w:r>
      <w:r w:rsidRPr="0016536A">
        <w:rPr>
          <w:rFonts w:eastAsia="Calibri" w:hint="eastAsia"/>
          <w:b/>
          <w:bCs/>
          <w:rtl/>
        </w:rPr>
        <w:t>תמונת</w:t>
      </w:r>
      <w:r w:rsidRPr="0016536A">
        <w:rPr>
          <w:rFonts w:eastAsia="Calibri"/>
          <w:b/>
          <w:bCs/>
          <w:rtl/>
        </w:rPr>
        <w:t xml:space="preserve"> </w:t>
      </w:r>
      <w:r w:rsidRPr="0016536A">
        <w:rPr>
          <w:rFonts w:eastAsia="Calibri" w:hint="eastAsia"/>
          <w:b/>
          <w:bCs/>
          <w:rtl/>
        </w:rPr>
        <w:t>מצב</w:t>
      </w:r>
      <w:r w:rsidRPr="0016536A">
        <w:rPr>
          <w:rFonts w:eastAsia="Calibri"/>
          <w:b/>
          <w:bCs/>
          <w:rtl/>
        </w:rPr>
        <w:t xml:space="preserve"> </w:t>
      </w:r>
      <w:r w:rsidRPr="0016536A">
        <w:rPr>
          <w:rFonts w:eastAsia="Calibri" w:hint="eastAsia"/>
          <w:b/>
          <w:bCs/>
          <w:rtl/>
        </w:rPr>
        <w:t>ו</w:t>
      </w:r>
      <w:r w:rsidRPr="0016536A">
        <w:rPr>
          <w:rFonts w:eastAsia="Calibri" w:hint="cs"/>
          <w:b/>
          <w:bCs/>
          <w:rtl/>
        </w:rPr>
        <w:t>קבלת</w:t>
      </w:r>
      <w:r w:rsidRPr="0016536A">
        <w:rPr>
          <w:rFonts w:eastAsia="Calibri"/>
          <w:b/>
          <w:bCs/>
          <w:rtl/>
        </w:rPr>
        <w:t xml:space="preserve"> החלטות </w:t>
      </w:r>
      <w:r w:rsidRPr="0016536A">
        <w:rPr>
          <w:rFonts w:eastAsia="Calibri" w:hint="eastAsia"/>
          <w:b/>
          <w:bCs/>
          <w:rtl/>
        </w:rPr>
        <w:t>ברמה</w:t>
      </w:r>
      <w:r w:rsidRPr="0016536A">
        <w:rPr>
          <w:rFonts w:eastAsia="Calibri"/>
          <w:b/>
          <w:bCs/>
          <w:rtl/>
        </w:rPr>
        <w:t xml:space="preserve"> </w:t>
      </w:r>
      <w:r w:rsidRPr="0016536A">
        <w:rPr>
          <w:rFonts w:eastAsia="Calibri" w:hint="eastAsia"/>
          <w:b/>
          <w:bCs/>
          <w:rtl/>
        </w:rPr>
        <w:t>ה</w:t>
      </w:r>
      <w:r w:rsidRPr="0016536A">
        <w:rPr>
          <w:rFonts w:eastAsia="Calibri"/>
          <w:b/>
          <w:bCs/>
          <w:rtl/>
        </w:rPr>
        <w:t>לאומי</w:t>
      </w:r>
      <w:r w:rsidRPr="0016536A">
        <w:rPr>
          <w:rFonts w:eastAsia="Calibri" w:hint="eastAsia"/>
          <w:b/>
          <w:bCs/>
          <w:rtl/>
        </w:rPr>
        <w:t>ת</w:t>
      </w:r>
      <w:r w:rsidRPr="0016536A">
        <w:rPr>
          <w:rFonts w:eastAsia="Calibri"/>
          <w:b/>
          <w:bCs/>
          <w:rtl/>
        </w:rPr>
        <w:t>.</w:t>
      </w:r>
      <w:r w:rsidRPr="0016536A">
        <w:rPr>
          <w:rFonts w:eastAsia="Calibri" w:hint="cs"/>
          <w:b/>
          <w:bCs/>
          <w:rtl/>
        </w:rPr>
        <w:t xml:space="preserve"> </w:t>
      </w:r>
    </w:p>
    <w:p w:rsidR="0016536A" w:rsidRPr="0016536A" w:rsidP="004614AF">
      <w:pPr>
        <w:spacing w:line="269" w:lineRule="auto"/>
        <w:rPr>
          <w:rFonts w:eastAsia="Calibri"/>
        </w:rPr>
      </w:pPr>
    </w:p>
    <w:p w:rsidR="0016536A" w:rsidRPr="0016536A" w:rsidP="004614AF">
      <w:pPr>
        <w:spacing w:line="269" w:lineRule="auto"/>
        <w:rPr>
          <w:rFonts w:eastAsia="Calibri"/>
          <w:b/>
          <w:bCs/>
          <w:rtl/>
        </w:rPr>
      </w:pPr>
      <w:r w:rsidRPr="0016536A">
        <w:rPr>
          <w:rFonts w:eastAsia="Calibri" w:hint="cs"/>
          <w:b/>
          <w:bCs/>
          <w:rtl/>
        </w:rPr>
        <w:t xml:space="preserve">נוכח הקושי בהרחבת תשתיות אשפוז וכוח אדם מומחה בתחום הגריאטריה בקצב הנדרש ובהמשך להערכה שהמשך המדיניות הקיימת </w:t>
      </w:r>
      <w:r w:rsidRPr="0016536A">
        <w:rPr>
          <w:rFonts w:eastAsia="Calibri" w:hint="eastAsia"/>
          <w:b/>
          <w:bCs/>
          <w:rtl/>
        </w:rPr>
        <w:t>אינ</w:t>
      </w:r>
      <w:r w:rsidRPr="0016536A">
        <w:rPr>
          <w:rFonts w:eastAsia="Calibri" w:hint="cs"/>
          <w:b/>
          <w:bCs/>
          <w:rtl/>
        </w:rPr>
        <w:t>ו</w:t>
      </w:r>
      <w:r w:rsidRPr="0016536A">
        <w:rPr>
          <w:rFonts w:eastAsia="Calibri"/>
          <w:b/>
          <w:bCs/>
          <w:rtl/>
        </w:rPr>
        <w:t xml:space="preserve"> </w:t>
      </w:r>
      <w:r w:rsidRPr="0016536A">
        <w:rPr>
          <w:rFonts w:eastAsia="Calibri" w:hint="cs"/>
          <w:b/>
          <w:bCs/>
          <w:rtl/>
        </w:rPr>
        <w:t xml:space="preserve">עוד </w:t>
      </w:r>
      <w:r w:rsidRPr="0016536A">
        <w:rPr>
          <w:rFonts w:eastAsia="Calibri" w:hint="eastAsia"/>
          <w:b/>
          <w:bCs/>
          <w:rtl/>
        </w:rPr>
        <w:t>ב</w:t>
      </w:r>
      <w:r w:rsidRPr="0016536A">
        <w:rPr>
          <w:rFonts w:eastAsia="Calibri" w:hint="cs"/>
          <w:b/>
          <w:bCs/>
          <w:rtl/>
        </w:rPr>
        <w:t xml:space="preserve">ר </w:t>
      </w:r>
      <w:r w:rsidRPr="0016536A">
        <w:rPr>
          <w:rFonts w:eastAsia="Calibri" w:hint="eastAsia"/>
          <w:b/>
          <w:bCs/>
          <w:rtl/>
        </w:rPr>
        <w:t>קיימ</w:t>
      </w:r>
      <w:r w:rsidRPr="0016536A">
        <w:rPr>
          <w:rFonts w:eastAsia="Calibri" w:hint="cs"/>
          <w:b/>
          <w:bCs/>
          <w:rtl/>
        </w:rPr>
        <w:t xml:space="preserve">ה, </w:t>
      </w:r>
      <w:r w:rsidRPr="0016536A">
        <w:rPr>
          <w:rFonts w:eastAsia="Calibri"/>
          <w:b/>
          <w:bCs/>
          <w:rtl/>
        </w:rPr>
        <w:t>משרד מבקר המדינה ממליץ כי</w:t>
      </w:r>
      <w:r w:rsidRPr="0016536A">
        <w:rPr>
          <w:rFonts w:eastAsia="Calibri" w:hint="cs"/>
          <w:b/>
          <w:bCs/>
          <w:rtl/>
        </w:rPr>
        <w:t xml:space="preserve"> במקביל למאמצים בתחומים אלה,</w:t>
      </w:r>
      <w:r w:rsidRPr="0016536A">
        <w:rPr>
          <w:rFonts w:eastAsia="Calibri"/>
          <w:b/>
          <w:bCs/>
          <w:rtl/>
        </w:rPr>
        <w:t xml:space="preserve"> </w:t>
      </w:r>
      <w:r w:rsidRPr="0016536A">
        <w:rPr>
          <w:rFonts w:eastAsia="Calibri" w:hint="cs"/>
          <w:b/>
          <w:bCs/>
          <w:rtl/>
        </w:rPr>
        <w:t xml:space="preserve">יגבש </w:t>
      </w:r>
      <w:r w:rsidRPr="0016536A">
        <w:rPr>
          <w:rFonts w:eastAsia="Calibri"/>
          <w:b/>
          <w:bCs/>
          <w:rtl/>
        </w:rPr>
        <w:t>משרד הבריאות תוכנית עבודה רב</w:t>
      </w:r>
      <w:r w:rsidRPr="0016536A">
        <w:rPr>
          <w:rFonts w:eastAsia="Calibri" w:hint="cs"/>
          <w:b/>
          <w:bCs/>
          <w:rtl/>
        </w:rPr>
        <w:t>-</w:t>
      </w:r>
      <w:r w:rsidRPr="0016536A">
        <w:rPr>
          <w:rFonts w:eastAsia="Calibri"/>
          <w:b/>
          <w:bCs/>
          <w:rtl/>
        </w:rPr>
        <w:t>שנתית להתמודדות עם הזדקנות האוכלוסייה, הכוללת יעדים להארכת תוחלת החיים הבריא</w:t>
      </w:r>
      <w:r w:rsidRPr="0016536A">
        <w:rPr>
          <w:rFonts w:eastAsia="Calibri" w:hint="cs"/>
          <w:b/>
          <w:bCs/>
          <w:rtl/>
        </w:rPr>
        <w:t>ים</w:t>
      </w:r>
      <w:r w:rsidRPr="0016536A">
        <w:rPr>
          <w:rFonts w:eastAsia="Calibri"/>
          <w:b/>
          <w:bCs/>
          <w:rtl/>
        </w:rPr>
        <w:t xml:space="preserve"> ולצמצום שנות החיים </w:t>
      </w:r>
      <w:r w:rsidRPr="0016536A">
        <w:rPr>
          <w:rFonts w:eastAsia="Calibri" w:hint="cs"/>
          <w:b/>
          <w:bCs/>
          <w:rtl/>
        </w:rPr>
        <w:t>הלא-בריאים;</w:t>
      </w:r>
      <w:r w:rsidRPr="0016536A">
        <w:rPr>
          <w:rFonts w:eastAsia="Calibri"/>
          <w:b/>
          <w:bCs/>
          <w:rtl/>
        </w:rPr>
        <w:t xml:space="preserve"> </w:t>
      </w:r>
      <w:r w:rsidRPr="0016536A">
        <w:rPr>
          <w:rFonts w:eastAsia="Calibri" w:hint="cs"/>
          <w:b/>
          <w:bCs/>
          <w:rtl/>
        </w:rPr>
        <w:t>וכן י</w:t>
      </w:r>
      <w:r w:rsidRPr="0016536A">
        <w:rPr>
          <w:rFonts w:eastAsia="Calibri"/>
          <w:b/>
          <w:bCs/>
          <w:rtl/>
        </w:rPr>
        <w:t>פתח ו</w:t>
      </w:r>
      <w:r w:rsidRPr="0016536A">
        <w:rPr>
          <w:rFonts w:eastAsia="Calibri" w:hint="cs"/>
          <w:b/>
          <w:bCs/>
          <w:rtl/>
        </w:rPr>
        <w:t>י</w:t>
      </w:r>
      <w:r w:rsidRPr="0016536A">
        <w:rPr>
          <w:rFonts w:eastAsia="Calibri"/>
          <w:b/>
          <w:bCs/>
          <w:rtl/>
        </w:rPr>
        <w:t>אסוף מדדי שבריריות ברמה הלאומית ו</w:t>
      </w:r>
      <w:r w:rsidRPr="0016536A">
        <w:rPr>
          <w:rFonts w:eastAsia="Calibri" w:hint="cs"/>
          <w:b/>
          <w:bCs/>
          <w:rtl/>
        </w:rPr>
        <w:t>י</w:t>
      </w:r>
      <w:r w:rsidRPr="0016536A">
        <w:rPr>
          <w:rFonts w:eastAsia="Calibri"/>
          <w:b/>
          <w:bCs/>
          <w:rtl/>
        </w:rPr>
        <w:t xml:space="preserve">נתח את הגורמים המשפיעים עליה. בתחום הרפואה המונעת </w:t>
      </w:r>
      <w:r w:rsidRPr="0016536A">
        <w:rPr>
          <w:rFonts w:eastAsia="Calibri" w:hint="cs"/>
          <w:b/>
          <w:bCs/>
          <w:rtl/>
        </w:rPr>
        <w:t xml:space="preserve">מומלץ </w:t>
      </w:r>
      <w:r w:rsidRPr="0016536A">
        <w:rPr>
          <w:rFonts w:eastAsia="Calibri"/>
          <w:b/>
          <w:bCs/>
          <w:rtl/>
        </w:rPr>
        <w:t>לבחון מחדש את הקצאת המשאבים</w:t>
      </w:r>
      <w:r w:rsidRPr="0016536A">
        <w:rPr>
          <w:rFonts w:eastAsia="Calibri" w:hint="cs"/>
          <w:b/>
          <w:bCs/>
          <w:rtl/>
        </w:rPr>
        <w:t xml:space="preserve"> בקרב כלל הזקנים</w:t>
      </w:r>
      <w:r w:rsidRPr="0016536A">
        <w:rPr>
          <w:rFonts w:eastAsia="Calibri"/>
          <w:b/>
          <w:bCs/>
          <w:rtl/>
        </w:rPr>
        <w:t xml:space="preserve"> </w:t>
      </w:r>
      <w:r w:rsidRPr="0016536A">
        <w:rPr>
          <w:rFonts w:eastAsia="Calibri" w:hint="cs"/>
          <w:b/>
          <w:bCs/>
          <w:rtl/>
        </w:rPr>
        <w:t xml:space="preserve">ולהקצות אותם גם </w:t>
      </w:r>
      <w:r w:rsidRPr="0016536A">
        <w:rPr>
          <w:rFonts w:eastAsia="Calibri"/>
          <w:b/>
          <w:bCs/>
          <w:rtl/>
        </w:rPr>
        <w:t xml:space="preserve">בקרב </w:t>
      </w:r>
      <w:r w:rsidRPr="0016536A">
        <w:rPr>
          <w:rFonts w:eastAsia="Calibri" w:hint="cs"/>
          <w:b/>
          <w:bCs/>
          <w:rtl/>
        </w:rPr>
        <w:t xml:space="preserve">אלו שיהיה ניתן למנוע אצלם את המחלות ולהאריך את שנות החיים הבריאים שלהם; כמו כן </w:t>
      </w:r>
      <w:r w:rsidRPr="0016536A">
        <w:rPr>
          <w:rFonts w:eastAsia="Calibri"/>
          <w:b/>
          <w:bCs/>
          <w:rtl/>
        </w:rPr>
        <w:t>לגבש עם קופות החולים מדיניות אחידה</w:t>
      </w:r>
      <w:r w:rsidRPr="0016536A">
        <w:rPr>
          <w:rFonts w:eastAsia="Calibri" w:hint="cs"/>
          <w:b/>
          <w:bCs/>
          <w:rtl/>
        </w:rPr>
        <w:t>,</w:t>
      </w:r>
      <w:r w:rsidRPr="0016536A">
        <w:rPr>
          <w:rFonts w:eastAsia="Calibri"/>
          <w:b/>
          <w:bCs/>
          <w:rtl/>
        </w:rPr>
        <w:t xml:space="preserve"> שמטרתה שימור הבריאות והארכת שנות חיים בריאים. לבסוף, מומלץ לקבוע מערך מלא של מדדי איכות להיערכות להזדקנות ולחייב את קופות החולים בדיווח תקופתי על עמידה בהם</w:t>
      </w:r>
      <w:r w:rsidRPr="0016536A">
        <w:rPr>
          <w:rFonts w:eastAsia="Calibri"/>
          <w:b/>
          <w:bCs/>
        </w:rPr>
        <w:t>.</w:t>
      </w:r>
    </w:p>
    <w:p w:rsidR="0016536A" w:rsidRPr="0016536A" w:rsidP="004614AF">
      <w:pPr>
        <w:bidi w:val="0"/>
        <w:spacing w:line="269" w:lineRule="auto"/>
        <w:rPr>
          <w:rFonts w:eastAsia="Times New Roman"/>
          <w:bCs/>
          <w:szCs w:val="32"/>
        </w:rPr>
      </w:pPr>
      <w:r w:rsidRPr="0016536A">
        <w:rPr>
          <w:rFonts w:eastAsia="Calibri"/>
          <w:rtl/>
        </w:rPr>
        <w:br w:type="page"/>
      </w:r>
    </w:p>
    <w:p w:rsidR="0016536A" w:rsidRPr="0016536A" w:rsidP="004614AF">
      <w:pPr>
        <w:keepNext/>
        <w:keepLines/>
        <w:spacing w:line="269" w:lineRule="auto"/>
        <w:jc w:val="center"/>
        <w:outlineLvl w:val="1"/>
        <w:rPr>
          <w:rFonts w:eastAsia="Times New Roman"/>
          <w:bCs/>
          <w:szCs w:val="32"/>
          <w:rtl/>
        </w:rPr>
      </w:pPr>
      <w:r w:rsidRPr="0016536A">
        <w:rPr>
          <w:rFonts w:eastAsia="Times New Roman"/>
          <w:bCs/>
          <w:szCs w:val="32"/>
          <w:rtl/>
        </w:rPr>
        <w:t>נספח מתודולוגי: חישוב תוחלת חיים בריאים בשיטת סאליבן</w:t>
      </w:r>
      <w:r w:rsidRPr="0016536A">
        <w:rPr>
          <w:rFonts w:eastAsia="Times New Roman" w:hint="cs"/>
          <w:bCs/>
          <w:szCs w:val="32"/>
          <w:rtl/>
        </w:rPr>
        <w:t xml:space="preserve"> (</w:t>
      </w:r>
      <w:r w:rsidRPr="0016536A">
        <w:rPr>
          <w:rFonts w:eastAsia="Times New Roman"/>
          <w:bCs/>
          <w:sz w:val="32"/>
          <w:szCs w:val="44"/>
        </w:rPr>
        <w:t>Sullivan</w:t>
      </w:r>
      <w:r w:rsidRPr="0016536A">
        <w:rPr>
          <w:rFonts w:eastAsia="Times New Roman" w:hint="cs"/>
          <w:bCs/>
          <w:szCs w:val="32"/>
          <w:rtl/>
        </w:rPr>
        <w:t>)</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rtl/>
        </w:rPr>
        <w:t>שיטת סאליבן (</w:t>
      </w:r>
      <w:r w:rsidRPr="0016536A">
        <w:rPr>
          <w:rFonts w:eastAsia="Calibri"/>
        </w:rPr>
        <w:t>Sullivan</w:t>
      </w:r>
      <w:r w:rsidRPr="0016536A">
        <w:rPr>
          <w:rFonts w:eastAsia="Calibri"/>
          <w:rtl/>
        </w:rPr>
        <w:t>) להערכת תוחלת חיים בריאים משלבת בין לוח חיים (שמבוסס על שיעורי תמותה)</w:t>
      </w:r>
      <w:r w:rsidRPr="0016536A">
        <w:rPr>
          <w:rFonts w:eastAsia="Calibri" w:hint="cs"/>
          <w:rtl/>
        </w:rPr>
        <w:t>, כפי שמפרסמת הלמ"ס,</w:t>
      </w:r>
      <w:r w:rsidRPr="0016536A">
        <w:rPr>
          <w:rFonts w:eastAsia="Calibri"/>
          <w:rtl/>
        </w:rPr>
        <w:t xml:space="preserve"> לבין נתוני סקר על מצב בריאות האוכלוסייה לפי גיל (למשל</w:t>
      </w:r>
      <w:r w:rsidRPr="0016536A">
        <w:rPr>
          <w:rFonts w:eastAsia="Calibri" w:hint="cs"/>
          <w:rtl/>
        </w:rPr>
        <w:t>,</w:t>
      </w:r>
      <w:r w:rsidRPr="0016536A">
        <w:rPr>
          <w:rFonts w:eastAsia="Calibri"/>
          <w:rtl/>
        </w:rPr>
        <w:t xml:space="preserve"> שיעור</w:t>
      </w:r>
      <w:r w:rsidRPr="0016536A">
        <w:rPr>
          <w:rFonts w:eastAsia="Calibri" w:hint="cs"/>
          <w:rtl/>
        </w:rPr>
        <w:t xml:space="preserve"> אנשים</w:t>
      </w:r>
      <w:r w:rsidRPr="0016536A">
        <w:rPr>
          <w:rFonts w:eastAsia="Calibri"/>
          <w:rtl/>
        </w:rPr>
        <w:t xml:space="preserve"> ללא מוגבלות</w:t>
      </w:r>
      <w:r w:rsidRPr="0016536A">
        <w:rPr>
          <w:rFonts w:eastAsia="Calibri" w:hint="cs"/>
          <w:rtl/>
        </w:rPr>
        <w:t xml:space="preserve"> כפי שנוקטת הלמ"ס או שיעור השבריריות כפי שננקט בדוח זה</w:t>
      </w:r>
      <w:r w:rsidRPr="0016536A">
        <w:rPr>
          <w:rFonts w:eastAsia="Calibri"/>
          <w:rtl/>
        </w:rPr>
        <w:t xml:space="preserve">). </w:t>
      </w:r>
      <w:r w:rsidRPr="0016536A">
        <w:rPr>
          <w:rFonts w:eastAsia="Calibri" w:hint="cs"/>
          <w:rtl/>
        </w:rPr>
        <w:t>כדי לקבל את תוחלת החיים הבריאים יש</w:t>
      </w:r>
      <w:r w:rsidRPr="0016536A">
        <w:rPr>
          <w:rFonts w:eastAsia="Calibri"/>
          <w:rtl/>
        </w:rPr>
        <w:t xml:space="preserve"> לחלק את שנות החיים הצפויות בגיל נתון לשנות חיים בריא</w:t>
      </w:r>
      <w:r w:rsidRPr="0016536A">
        <w:rPr>
          <w:rFonts w:eastAsia="Calibri" w:hint="cs"/>
          <w:rtl/>
        </w:rPr>
        <w:t>ים</w:t>
      </w:r>
      <w:r w:rsidRPr="0016536A">
        <w:rPr>
          <w:rFonts w:eastAsia="Calibri"/>
          <w:rtl/>
        </w:rPr>
        <w:t xml:space="preserve"> ולשנות חיים עם </w:t>
      </w:r>
      <w:r w:rsidRPr="0016536A">
        <w:rPr>
          <w:rFonts w:eastAsia="Calibri" w:hint="cs"/>
          <w:rtl/>
        </w:rPr>
        <w:t>חולי</w:t>
      </w:r>
      <w:r w:rsidRPr="0016536A">
        <w:rPr>
          <w:rFonts w:eastAsia="Calibri"/>
          <w:rtl/>
        </w:rPr>
        <w:t>, לפי השכיחות בגיל המתאים. כך מקבלים לא רק כמה שנים חיים, אלא גם כמה מהן צפויות להיות בריאות.</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 xml:space="preserve">החישוב בפועל נעשה באופן הבא: </w:t>
      </w:r>
      <m:oMath>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x</m:t>
            </m:r>
          </m:sub>
        </m:sSub>
      </m:oMath>
      <w:r w:rsidRPr="0016536A">
        <w:rPr>
          <w:rFonts w:eastAsia="Calibri"/>
          <w:rtl/>
        </w:rPr>
        <w:t xml:space="preserve"> </w:t>
      </w:r>
      <w:r w:rsidRPr="0016536A">
        <w:rPr>
          <w:rFonts w:eastAsia="Calibri" w:hint="cs"/>
          <w:rtl/>
        </w:rPr>
        <w:t xml:space="preserve">מייצג את שנות החיים שחיים אנשים בכל קבוצת גיל </w:t>
      </w:r>
      <m:oMath>
        <m:r>
          <w:rPr>
            <w:rFonts w:ascii="Cambria Math" w:eastAsia="Calibri" w:hAnsi="Cambria Math"/>
          </w:rPr>
          <m:t>x</m:t>
        </m:r>
      </m:oMath>
      <w:r w:rsidRPr="0016536A">
        <w:rPr>
          <w:rFonts w:eastAsia="Calibri" w:hint="cs"/>
          <w:rtl/>
        </w:rPr>
        <w:t xml:space="preserve">, לפי לוח החיים. </w:t>
      </w:r>
      <m:oMath>
        <m:sSub>
          <m:sSubPr>
            <m:ctrlPr>
              <w:rPr>
                <w:rFonts w:ascii="Cambria Math" w:eastAsia="Calibri" w:hAnsi="Cambria Math"/>
              </w:rPr>
            </m:ctrlPr>
          </m:sSubPr>
          <m:e>
            <m:r>
              <w:rPr>
                <w:rFonts w:ascii="Cambria Math" w:eastAsia="Calibri" w:hAnsi="Cambria Math"/>
              </w:rPr>
              <m:t>π</m:t>
            </m:r>
          </m:e>
          <m:sub>
            <m:r>
              <w:rPr>
                <w:rFonts w:ascii="Cambria Math" w:eastAsia="Calibri" w:hAnsi="Cambria Math"/>
              </w:rPr>
              <m:t>x</m:t>
            </m:r>
          </m:sub>
        </m:sSub>
      </m:oMath>
      <w:r w:rsidRPr="0016536A">
        <w:rPr>
          <w:rFonts w:eastAsia="Calibri"/>
          <w:rtl/>
        </w:rPr>
        <w:t>מ</w:t>
      </w:r>
      <w:r w:rsidRPr="0016536A">
        <w:rPr>
          <w:rFonts w:eastAsia="Calibri" w:hint="cs"/>
          <w:rtl/>
        </w:rPr>
        <w:t xml:space="preserve"> מייצג </w:t>
      </w:r>
      <w:r w:rsidRPr="0016536A">
        <w:rPr>
          <w:rFonts w:eastAsia="Calibri"/>
          <w:rtl/>
        </w:rPr>
        <w:t>את שיעור האנשים הבריאים בקבוצת הגיל</w:t>
      </w:r>
      <w:r w:rsidRPr="0016536A">
        <w:rPr>
          <w:rFonts w:eastAsia="Calibri" w:hint="cs"/>
          <w:rtl/>
        </w:rPr>
        <w:t>, לפי</w:t>
      </w:r>
      <w:r w:rsidRPr="0016536A">
        <w:rPr>
          <w:rFonts w:eastAsia="Calibri"/>
          <w:rtl/>
        </w:rPr>
        <w:t xml:space="preserve"> סקר בריאות</w:t>
      </w:r>
      <w:r w:rsidRPr="0016536A">
        <w:rPr>
          <w:rFonts w:eastAsia="Calibri" w:hint="cs"/>
          <w:rtl/>
        </w:rPr>
        <w:t>.</w:t>
      </w:r>
      <w:r w:rsidRPr="0016536A">
        <w:rPr>
          <w:rFonts w:eastAsia="Calibri"/>
          <w:rtl/>
        </w:rPr>
        <w:t xml:space="preserve"> שנות חיים </w:t>
      </w:r>
      <w:r w:rsidRPr="0016536A">
        <w:rPr>
          <w:rFonts w:eastAsia="Calibri" w:hint="cs"/>
          <w:rtl/>
        </w:rPr>
        <w:t>בריאים</w:t>
      </w:r>
      <w:r w:rsidRPr="0016536A">
        <w:rPr>
          <w:rFonts w:eastAsia="Calibri"/>
          <w:rtl/>
        </w:rPr>
        <w:t xml:space="preserve"> בקבוצת גיל </w:t>
      </w:r>
      <m:oMath>
        <m:r>
          <w:rPr>
            <w:rFonts w:ascii="Cambria Math" w:eastAsia="Calibri" w:hAnsi="Cambria Math"/>
          </w:rPr>
          <m:t>x</m:t>
        </m:r>
      </m:oMath>
      <w:r w:rsidRPr="0016536A">
        <w:rPr>
          <w:rFonts w:eastAsia="Calibri" w:hint="cs"/>
          <w:rtl/>
        </w:rPr>
        <w:t xml:space="preserve"> </w:t>
      </w:r>
      <w:r w:rsidRPr="0016536A">
        <w:rPr>
          <w:rFonts w:eastAsia="Calibri"/>
          <w:rtl/>
        </w:rPr>
        <w:t xml:space="preserve">הן </w:t>
      </w:r>
      <m:oMath>
        <m:sSub>
          <m:sSubPr>
            <m:ctrlPr>
              <w:rPr>
                <w:rFonts w:ascii="Cambria Math" w:eastAsia="Calibri" w:hAnsi="Cambria Math"/>
              </w:rPr>
            </m:ctrlPr>
          </m:sSubPr>
          <m:e>
            <m:r>
              <w:rPr>
                <w:rFonts w:ascii="Cambria Math" w:eastAsia="Calibri" w:hAnsi="Cambria Math"/>
              </w:rPr>
              <m:t>π</m:t>
            </m:r>
          </m:e>
          <m:sub>
            <m:r>
              <w:rPr>
                <w:rFonts w:ascii="Cambria Math" w:eastAsia="Calibri" w:hAnsi="Cambria Math"/>
              </w:rPr>
              <m:t>x</m:t>
            </m:r>
          </m:sub>
        </m:sSub>
        <m:r>
          <w:rPr>
            <w:rFonts w:ascii="Cambria Math" w:eastAsia="Calibri" w:hAnsi="Cambria Math"/>
          </w:rPr>
          <m:t xml:space="preserve"> ×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oMath>
      <w:r w:rsidRPr="0016536A">
        <w:rPr>
          <w:rFonts w:eastAsia="Calibri" w:hint="cs"/>
          <w:rtl/>
        </w:rPr>
        <w:t xml:space="preserve">. </w:t>
      </w:r>
      <w:r w:rsidRPr="0016536A">
        <w:rPr>
          <w:rFonts w:eastAsia="Calibri"/>
          <w:rtl/>
        </w:rPr>
        <w:t xml:space="preserve">מחברים את התוצאות </w:t>
      </w:r>
      <w:r w:rsidRPr="0016536A">
        <w:rPr>
          <w:rFonts w:eastAsia="Calibri" w:hint="cs"/>
          <w:rtl/>
        </w:rPr>
        <w:t>עבור</w:t>
      </w:r>
      <w:r w:rsidRPr="0016536A">
        <w:rPr>
          <w:rFonts w:eastAsia="Calibri"/>
          <w:rtl/>
        </w:rPr>
        <w:t xml:space="preserve"> כל קבוצות הגיל שמעל גיל התחלה</w:t>
      </w:r>
      <w:r w:rsidRPr="0016536A">
        <w:rPr>
          <w:rFonts w:eastAsia="Calibri" w:hint="cs"/>
          <w:rtl/>
        </w:rPr>
        <w:t xml:space="preserve"> </w:t>
      </w:r>
      <m:oMath>
        <m:r>
          <w:rPr>
            <w:rFonts w:ascii="Cambria Math" w:eastAsia="Calibri" w:hAnsi="Cambria Math"/>
          </w:rPr>
          <m:t>a</m:t>
        </m:r>
      </m:oMath>
      <w:r w:rsidRPr="0016536A">
        <w:rPr>
          <w:rFonts w:eastAsia="Calibri" w:hint="cs"/>
          <w:rtl/>
        </w:rPr>
        <w:t xml:space="preserve"> (גיל 65),</w:t>
      </w:r>
      <w:r w:rsidRPr="0016536A">
        <w:rPr>
          <w:rFonts w:eastAsia="Calibri"/>
        </w:rPr>
        <w:t xml:space="preserve"> </w:t>
      </w:r>
      <w:r w:rsidRPr="0016536A">
        <w:rPr>
          <w:rFonts w:eastAsia="Calibri"/>
          <w:rtl/>
        </w:rPr>
        <w:t xml:space="preserve">ומחלקים במספר השורדים בגיל </w:t>
      </w:r>
      <m:oMath>
        <m:r>
          <w:rPr>
            <w:rFonts w:ascii="Cambria Math" w:eastAsia="Calibri" w:hAnsi="Cambria Math"/>
          </w:rPr>
          <m:t>a</m:t>
        </m:r>
      </m:oMath>
      <w:r w:rsidRPr="0016536A">
        <w:rPr>
          <w:rFonts w:eastAsia="Calibri"/>
          <w:rtl/>
        </w:rPr>
        <w:t xml:space="preserve"> מסומן </w:t>
      </w:r>
      <w:r w:rsidRPr="0016536A">
        <w:rPr>
          <w:rFonts w:eastAsia="Calibri" w:hint="cs"/>
          <w:rtl/>
        </w:rPr>
        <w:t>(</w:t>
      </w:r>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a</m:t>
            </m:r>
          </m:sub>
        </m:sSub>
      </m:oMath>
      <w:r w:rsidRPr="0016536A">
        <w:rPr>
          <w:rFonts w:eastAsia="Calibri" w:hint="cs"/>
          <w:rtl/>
        </w:rPr>
        <w:t xml:space="preserve">) </w:t>
      </w:r>
      <w:r w:rsidRPr="0016536A">
        <w:rPr>
          <w:rFonts w:eastAsia="Calibri"/>
          <w:rtl/>
        </w:rPr>
        <w:t xml:space="preserve">כדי לקבל את תוחלת החיים הבריאים מגיל </w:t>
      </w:r>
      <m:oMath>
        <m:r>
          <w:rPr>
            <w:rFonts w:ascii="Cambria Math" w:eastAsia="Calibri" w:hAnsi="Cambria Math"/>
          </w:rPr>
          <m:t>a</m:t>
        </m:r>
      </m:oMath>
      <w:r w:rsidRPr="0016536A">
        <w:rPr>
          <w:rFonts w:eastAsia="Calibri" w:hint="cs"/>
          <w:rtl/>
        </w:rPr>
        <w:t>, כלומר מגיל 65:</w:t>
      </w:r>
    </w:p>
    <w:p w:rsidR="0016536A" w:rsidRPr="0016536A" w:rsidP="004614AF">
      <w:pPr>
        <w:spacing w:line="269" w:lineRule="auto"/>
        <w:rPr>
          <w:rFonts w:eastAsia="Calibri"/>
          <w:i/>
        </w:rPr>
      </w:pPr>
      <m:oMathPara>
        <m:oMath>
          <m:sSub>
            <m:sSubPr>
              <m:ctrlPr>
                <w:rPr>
                  <w:rFonts w:ascii="Cambria Math" w:eastAsia="Calibri" w:hAnsi="Cambria Math"/>
                </w:rPr>
              </m:ctrlPr>
            </m:sSubPr>
            <m:e>
              <m:r>
                <w:rPr>
                  <w:rFonts w:ascii="Cambria Math" w:eastAsia="Calibri" w:hAnsi="Cambria Math"/>
                </w:rPr>
                <m:t>HE</m:t>
              </m:r>
            </m:e>
            <m:sub>
              <m:r>
                <w:rPr>
                  <w:rFonts w:ascii="Cambria Math" w:eastAsia="Calibri" w:hAnsi="Cambria Math"/>
                </w:rPr>
                <m:t>a</m:t>
              </m:r>
            </m:sub>
          </m:sSub>
          <m:r>
            <w:rPr>
              <w:rFonts w:ascii="Cambria Math" w:eastAsia="Calibri"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x=a</m:t>
                  </m:r>
                </m:sub>
                <m:sup>
                  <m:r>
                    <w:rPr>
                      <w:rFonts w:ascii="Cambria Math" w:eastAsia="Calibri" w:hAnsi="Cambria Math"/>
                    </w:rPr>
                    <m:t>ω</m:t>
                  </m:r>
                </m:sup>
                <m:e>
                  <m:r>
                    <w:rPr>
                      <w:rFonts w:ascii="Cambria Math" w:eastAsia="Calibri" w:hAnsi="Cambria Math"/>
                    </w:rPr>
                    <m:t>π∙x</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e>
              </m:nary>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a</m:t>
                  </m:r>
                </m:sub>
              </m:sSub>
            </m:den>
          </m:f>
        </m:oMath>
      </m:oMathPara>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בדרך דומה</w:t>
      </w:r>
      <w:r w:rsidRPr="0016536A">
        <w:rPr>
          <w:rFonts w:eastAsia="Calibri"/>
          <w:rtl/>
        </w:rPr>
        <w:t xml:space="preserve"> </w:t>
      </w:r>
      <w:r w:rsidRPr="0016536A">
        <w:rPr>
          <w:rFonts w:eastAsia="Calibri" w:hint="cs"/>
          <w:rtl/>
        </w:rPr>
        <w:t>ניתן</w:t>
      </w:r>
      <w:r w:rsidRPr="0016536A">
        <w:rPr>
          <w:rFonts w:eastAsia="Calibri"/>
          <w:rtl/>
        </w:rPr>
        <w:t xml:space="preserve"> לקבל גם את שנות החיים </w:t>
      </w:r>
      <w:r w:rsidRPr="0016536A">
        <w:rPr>
          <w:rFonts w:eastAsia="Calibri"/>
          <w:i/>
          <w:iCs/>
          <w:rtl/>
        </w:rPr>
        <w:t xml:space="preserve">עם </w:t>
      </w:r>
      <w:r w:rsidRPr="0016536A">
        <w:rPr>
          <w:rFonts w:eastAsia="Calibri" w:hint="cs"/>
          <w:i/>
          <w:iCs/>
          <w:rtl/>
        </w:rPr>
        <w:t>חולי</w:t>
      </w:r>
      <w:r w:rsidRPr="0016536A">
        <w:rPr>
          <w:rFonts w:eastAsia="Calibri"/>
          <w:rtl/>
        </w:rPr>
        <w:t xml:space="preserve"> </w:t>
      </w:r>
      <w:r w:rsidRPr="0016536A">
        <w:rPr>
          <w:rFonts w:eastAsia="Calibri" w:hint="cs"/>
          <w:rtl/>
        </w:rPr>
        <w:t>באמצעות הכפלה</w:t>
      </w:r>
      <w:r w:rsidRPr="0016536A">
        <w:rPr>
          <w:rFonts w:eastAsia="Calibri"/>
          <w:rtl/>
        </w:rPr>
        <w:t xml:space="preserve"> ב</w:t>
      </w:r>
      <w:r w:rsidRPr="0016536A">
        <w:rPr>
          <w:rFonts w:eastAsia="Calibri"/>
        </w:rPr>
        <w:t>-</w:t>
      </w:r>
      <w:r w:rsidRPr="0016536A">
        <w:rPr>
          <w:rFonts w:eastAsia="Calibri" w:hint="cs"/>
          <w:rtl/>
        </w:rPr>
        <w:t xml:space="preserve"> </w:t>
      </w:r>
      <m:oMath>
        <m:r>
          <w:rPr>
            <w:rFonts w:ascii="Cambria Math" w:eastAsia="Calibri" w:hAnsi="Cambria Math"/>
          </w:rPr>
          <m:t>1-</m:t>
        </m:r>
        <m:sSub>
          <m:sSubPr>
            <m:ctrlPr>
              <w:rPr>
                <w:rFonts w:ascii="Cambria Math" w:eastAsia="Calibri" w:hAnsi="Cambria Math"/>
              </w:rPr>
            </m:ctrlPr>
          </m:sSubPr>
          <m:e>
            <m:r>
              <w:rPr>
                <w:rFonts w:ascii="Cambria Math" w:eastAsia="Calibri" w:hAnsi="Cambria Math"/>
              </w:rPr>
              <m:t>π</m:t>
            </m:r>
          </m:e>
          <m:sub>
            <m:r>
              <w:rPr>
                <w:rFonts w:ascii="Cambria Math" w:eastAsia="Calibri" w:hAnsi="Cambria Math"/>
              </w:rPr>
              <m:t>x</m:t>
            </m:r>
          </m:sub>
        </m:sSub>
      </m:oMath>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eastAsia"/>
          <w:rtl/>
        </w:rPr>
        <w:t>היתרון</w:t>
      </w:r>
      <w:r w:rsidRPr="0016536A">
        <w:rPr>
          <w:rFonts w:eastAsia="Calibri"/>
          <w:rtl/>
        </w:rPr>
        <w:t xml:space="preserve"> של שיטת סאליבן הוא בפשטות</w:t>
      </w:r>
      <w:r w:rsidRPr="0016536A">
        <w:rPr>
          <w:rFonts w:eastAsia="Calibri" w:hint="cs"/>
          <w:rtl/>
        </w:rPr>
        <w:t>ה</w:t>
      </w:r>
      <w:r w:rsidRPr="0016536A">
        <w:rPr>
          <w:rFonts w:eastAsia="Calibri"/>
          <w:rtl/>
        </w:rPr>
        <w:t xml:space="preserve">: די בלוח חיים עדכני ובסקר בריאות </w:t>
      </w:r>
      <w:r w:rsidRPr="0016536A">
        <w:rPr>
          <w:rFonts w:eastAsia="Calibri" w:hint="cs"/>
          <w:rtl/>
        </w:rPr>
        <w:t>לפי</w:t>
      </w:r>
      <w:r w:rsidRPr="0016536A">
        <w:rPr>
          <w:rFonts w:eastAsia="Calibri"/>
          <w:rtl/>
        </w:rPr>
        <w:t xml:space="preserve"> גיל. עם זאת, היא מניחה ששיעורי הבריאות לפי גיל יציבים לאורך תקופת החישוב; כשיש שינוי מהיר באוכלוסייה, ההנחה הזו פחות מדויקת. המדד שימושי להשוואות בין אוכלוסיות, למעקב אחר מגמות ולהערכ</w:t>
      </w:r>
      <w:r w:rsidRPr="0016536A">
        <w:rPr>
          <w:rFonts w:eastAsia="Calibri" w:hint="eastAsia"/>
          <w:rtl/>
        </w:rPr>
        <w:t>ת</w:t>
      </w:r>
      <w:r w:rsidRPr="0016536A">
        <w:rPr>
          <w:rFonts w:eastAsia="Calibri"/>
          <w:rtl/>
        </w:rPr>
        <w:t xml:space="preserve"> האיזון בין הארכת חיים לבין איכות החיים.</w:t>
      </w:r>
    </w:p>
    <w:p w:rsidR="0016536A" w:rsidRPr="0016536A" w:rsidP="004614AF">
      <w:pPr>
        <w:spacing w:line="269" w:lineRule="auto"/>
        <w:rPr>
          <w:rFonts w:eastAsia="Calibri"/>
          <w:rtl/>
        </w:rPr>
      </w:pPr>
    </w:p>
    <w:p w:rsidR="0016536A" w:rsidRPr="0016536A" w:rsidP="004614AF">
      <w:pPr>
        <w:spacing w:line="269" w:lineRule="auto"/>
        <w:rPr>
          <w:rFonts w:eastAsia="Calibri"/>
          <w:rtl/>
        </w:rPr>
      </w:pPr>
      <w:r w:rsidRPr="0016536A">
        <w:rPr>
          <w:rFonts w:eastAsia="Calibri" w:hint="cs"/>
          <w:rtl/>
        </w:rPr>
        <w:t>להרחבה ראו</w:t>
      </w:r>
      <w:r w:rsidRPr="0016536A">
        <w:rPr>
          <w:rFonts w:eastAsia="Calibri"/>
        </w:rPr>
        <w:t xml:space="preserve">Yasuhiko Saitoa, et al., “The methods and materials of health expectancy”, </w:t>
      </w:r>
      <w:r w:rsidRPr="0016536A">
        <w:rPr>
          <w:rFonts w:eastAsia="Calibri"/>
          <w:b/>
          <w:bCs/>
        </w:rPr>
        <w:t>Statistical Journal of the IAOS</w:t>
      </w:r>
      <w:r w:rsidRPr="0016536A">
        <w:rPr>
          <w:rFonts w:eastAsia="Calibri"/>
        </w:rPr>
        <w:t>, 30 (2014), pp. 209 - 223.</w:t>
      </w:r>
      <w:r w:rsidRPr="0016536A">
        <w:rPr>
          <w:rFonts w:eastAsia="Calibri" w:hint="cs"/>
          <w:rtl/>
        </w:rPr>
        <w:t xml:space="preserve"> </w:t>
      </w:r>
    </w:p>
    <w:p w:rsidR="0016536A" w:rsidRPr="0016536A" w:rsidP="004614AF">
      <w:pPr>
        <w:spacing w:line="269" w:lineRule="auto"/>
        <w:rPr>
          <w:rFonts w:eastAsia="Calibri"/>
          <w:rtl/>
        </w:rPr>
      </w:pPr>
    </w:p>
    <w:p w:rsidR="0016536A" w:rsidRPr="0016536A" w:rsidP="004614AF">
      <w:pPr>
        <w:spacing w:line="269" w:lineRule="auto"/>
        <w:rPr>
          <w:rFonts w:eastAsia="Calibri"/>
          <w:rtl/>
        </w:rPr>
      </w:pPr>
    </w:p>
    <w:bookmarkEnd w:id="0"/>
    <w:bookmarkEnd w:id="1"/>
    <w:bookmarkEnd w:id="2"/>
    <w:p w:rsidR="00F954E4" w:rsidP="004614AF">
      <w:pPr>
        <w:bidi w:val="0"/>
        <w:spacing w:line="269" w:lineRule="auto"/>
        <w:rPr>
          <w:rFonts w:ascii="Calibri" w:hAnsi="Calibri" w:cs="Calibri"/>
          <w:b/>
          <w:bCs/>
          <w:color w:val="002060"/>
          <w:sz w:val="80"/>
          <w:szCs w:val="80"/>
        </w:rPr>
      </w:pPr>
    </w:p>
    <w:p w:rsidR="00F954E4" w:rsidP="004614AF">
      <w:pPr>
        <w:bidi w:val="0"/>
        <w:spacing w:line="269" w:lineRule="auto"/>
        <w:rPr>
          <w:rFonts w:ascii="Calibri" w:hAnsi="Calibri" w:cs="Calibri"/>
          <w:b/>
          <w:bCs/>
          <w:color w:val="002060"/>
          <w:sz w:val="80"/>
          <w:szCs w:val="80"/>
        </w:rPr>
      </w:pPr>
    </w:p>
    <w:p w:rsidR="00F954E4" w:rsidP="004614AF">
      <w:pPr>
        <w:bidi w:val="0"/>
        <w:spacing w:line="269" w:lineRule="auto"/>
        <w:rPr>
          <w:rFonts w:ascii="Calibri" w:hAnsi="Calibri" w:cs="Calibri"/>
          <w:b/>
          <w:bCs/>
          <w:color w:val="002060"/>
          <w:sz w:val="80"/>
          <w:szCs w:val="80"/>
        </w:rPr>
      </w:pPr>
    </w:p>
    <w:sectPr w:rsidSect="006C2C6D">
      <w:headerReference w:type="first" r:id="rId49"/>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lmoni ML v5 AAA">
    <w:panose1 w:val="00000500000000000000"/>
    <w:charset w:val="00"/>
    <w:family w:val="modern"/>
    <w:notTrueType/>
    <w:pitch w:val="variable"/>
    <w:sig w:usb0="00000A07" w:usb1="40000000" w:usb2="00000000" w:usb3="00000000" w:csb0="000000B7" w:csb1="00000000"/>
  </w:font>
  <w:font w:name="Almoni ML v5 AAA Light">
    <w:panose1 w:val="00000400000000000000"/>
    <w:charset w:val="00"/>
    <w:family w:val="modern"/>
    <w:notTrueType/>
    <w:pitch w:val="variable"/>
    <w:sig w:usb0="00000A07" w:usb1="40000000" w:usb2="00000000" w:usb3="00000000" w:csb0="000000B7"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532B">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BB532B"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BB532B"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B532B" w:rsidP="00C23CC9">
      <w:pPr>
        <w:spacing w:line="240" w:lineRule="auto"/>
      </w:pPr>
      <w:r>
        <w:separator/>
      </w:r>
    </w:p>
  </w:footnote>
  <w:footnote w:type="continuationSeparator" w:id="1">
    <w:p w:rsidR="00BB532B" w:rsidP="00C23CC9">
      <w:pPr>
        <w:spacing w:line="240" w:lineRule="auto"/>
      </w:pPr>
      <w:r>
        <w:continuationSeparator/>
      </w:r>
    </w:p>
  </w:footnote>
  <w:footnote w:id="2">
    <w:p w:rsidR="00BB532B" w:rsidRPr="00676A1E" w:rsidP="0016536A">
      <w:pPr>
        <w:pStyle w:val="FootnoteText"/>
        <w:rPr>
          <w:b/>
          <w:bCs/>
          <w:rtl/>
        </w:rPr>
      </w:pPr>
      <w:r>
        <w:rPr>
          <w:rStyle w:val="FootnoteReference1"/>
        </w:rPr>
        <w:footnoteRef/>
      </w:r>
      <w:r>
        <w:rPr>
          <w:rtl/>
        </w:rPr>
        <w:t xml:space="preserve"> </w:t>
      </w:r>
      <w:r>
        <w:rPr>
          <w:rtl/>
        </w:rPr>
        <w:tab/>
      </w:r>
      <w:r>
        <w:rPr>
          <w:rFonts w:hint="cs"/>
          <w:rtl/>
        </w:rPr>
        <w:t>הוועדה לתכנון המערך הגריאטרי הלאומי ל-2010 - 2020 ו-2020 - 2030 בראשות פרופ' יוחנן שטסמן (2011)</w:t>
      </w:r>
      <w:r w:rsidRPr="00CF78E8">
        <w:rPr>
          <w:rFonts w:hint="cs"/>
          <w:rtl/>
        </w:rPr>
        <w:t xml:space="preserve">; </w:t>
      </w:r>
      <w:r>
        <w:rPr>
          <w:rFonts w:hint="cs"/>
          <w:rtl/>
        </w:rPr>
        <w:t>המועצה הלאומית לכלכלה, דוח מעקב אחר יישום הערכת המצב האסטרטגית (2018).</w:t>
      </w:r>
    </w:p>
  </w:footnote>
  <w:footnote w:id="3">
    <w:p w:rsidR="00BB532B" w:rsidP="0016536A">
      <w:pPr>
        <w:pStyle w:val="FootnoteText"/>
      </w:pPr>
      <w:r>
        <w:rPr>
          <w:rStyle w:val="FootnoteReference1"/>
        </w:rPr>
        <w:footnoteRef/>
      </w:r>
      <w:r>
        <w:rPr>
          <w:rtl/>
        </w:rPr>
        <w:t xml:space="preserve"> </w:t>
      </w:r>
      <w:r>
        <w:rPr>
          <w:rtl/>
        </w:rPr>
        <w:tab/>
      </w:r>
      <w:r>
        <w:rPr>
          <w:rFonts w:hint="cs"/>
          <w:rtl/>
        </w:rPr>
        <w:t xml:space="preserve">אפרים יאול, </w:t>
      </w:r>
      <w:r w:rsidRPr="00B00D69">
        <w:rPr>
          <w:rFonts w:hint="eastAsia"/>
          <w:b/>
          <w:bCs/>
          <w:rtl/>
        </w:rPr>
        <w:t>הזקן</w:t>
      </w:r>
      <w:r w:rsidRPr="00B00D69">
        <w:rPr>
          <w:b/>
          <w:bCs/>
          <w:rtl/>
        </w:rPr>
        <w:t xml:space="preserve"> </w:t>
      </w:r>
      <w:r w:rsidRPr="00B00D69">
        <w:rPr>
          <w:rFonts w:hint="eastAsia"/>
          <w:b/>
          <w:bCs/>
          <w:rtl/>
        </w:rPr>
        <w:t>הסיעודי</w:t>
      </w:r>
      <w:r w:rsidRPr="00B00D69">
        <w:rPr>
          <w:b/>
          <w:bCs/>
          <w:rtl/>
        </w:rPr>
        <w:t xml:space="preserve">: </w:t>
      </w:r>
      <w:r w:rsidRPr="00B00D69">
        <w:rPr>
          <w:rFonts w:hint="eastAsia"/>
          <w:b/>
          <w:bCs/>
          <w:rtl/>
        </w:rPr>
        <w:t>שלבי</w:t>
      </w:r>
      <w:r w:rsidRPr="00B00D69">
        <w:rPr>
          <w:b/>
          <w:bCs/>
          <w:rtl/>
        </w:rPr>
        <w:t xml:space="preserve"> </w:t>
      </w:r>
      <w:r w:rsidRPr="00B00D69">
        <w:rPr>
          <w:rFonts w:hint="eastAsia"/>
          <w:b/>
          <w:bCs/>
          <w:rtl/>
        </w:rPr>
        <w:t>הירידה</w:t>
      </w:r>
      <w:r w:rsidRPr="00B00D69">
        <w:rPr>
          <w:b/>
          <w:bCs/>
          <w:rtl/>
        </w:rPr>
        <w:t xml:space="preserve"> </w:t>
      </w:r>
      <w:r w:rsidRPr="00B00D69">
        <w:rPr>
          <w:rFonts w:hint="eastAsia"/>
          <w:b/>
          <w:bCs/>
          <w:rtl/>
        </w:rPr>
        <w:t>התפקודית</w:t>
      </w:r>
      <w:r w:rsidRPr="00B00D69">
        <w:rPr>
          <w:b/>
          <w:bCs/>
          <w:rtl/>
        </w:rPr>
        <w:t xml:space="preserve">, </w:t>
      </w:r>
      <w:r w:rsidRPr="00B00D69">
        <w:rPr>
          <w:rFonts w:hint="eastAsia"/>
          <w:b/>
          <w:bCs/>
          <w:rtl/>
        </w:rPr>
        <w:t>ההתמודדות</w:t>
      </w:r>
      <w:r w:rsidRPr="00B00D69">
        <w:rPr>
          <w:b/>
          <w:bCs/>
          <w:rtl/>
        </w:rPr>
        <w:t xml:space="preserve"> </w:t>
      </w:r>
      <w:r w:rsidRPr="00B00D69">
        <w:rPr>
          <w:rFonts w:hint="eastAsia"/>
          <w:b/>
          <w:bCs/>
          <w:rtl/>
        </w:rPr>
        <w:t>והטיפול</w:t>
      </w:r>
      <w:r w:rsidRPr="00B00D69">
        <w:rPr>
          <w:b/>
          <w:bCs/>
          <w:rtl/>
        </w:rPr>
        <w:t xml:space="preserve"> </w:t>
      </w:r>
      <w:r w:rsidRPr="00B00D69">
        <w:rPr>
          <w:rFonts w:hint="eastAsia"/>
          <w:b/>
          <w:bCs/>
          <w:rtl/>
        </w:rPr>
        <w:t>בזקן</w:t>
      </w:r>
      <w:r w:rsidRPr="00B00D69">
        <w:rPr>
          <w:b/>
          <w:bCs/>
          <w:rtl/>
        </w:rPr>
        <w:t xml:space="preserve"> </w:t>
      </w:r>
      <w:r w:rsidRPr="00B00D69">
        <w:rPr>
          <w:rFonts w:hint="eastAsia"/>
          <w:b/>
          <w:bCs/>
          <w:rtl/>
        </w:rPr>
        <w:t>הסיעודי</w:t>
      </w:r>
      <w:r>
        <w:rPr>
          <w:rFonts w:hint="cs"/>
          <w:rtl/>
        </w:rPr>
        <w:t xml:space="preserve"> (2004); מצגת של משרד הבריאות, "הזדקנות מיטבית: קידום בריאות ומניעת הדרדרות" (לא צוין מועד פרסום).</w:t>
      </w:r>
    </w:p>
  </w:footnote>
  <w:footnote w:id="4">
    <w:p w:rsidR="00BB532B" w:rsidP="0016536A">
      <w:pPr>
        <w:pStyle w:val="FootnoteText"/>
        <w:rPr>
          <w:rtl/>
        </w:rPr>
      </w:pPr>
      <w:r>
        <w:rPr>
          <w:rStyle w:val="FootnoteReference1"/>
        </w:rPr>
        <w:footnoteRef/>
      </w:r>
      <w:r>
        <w:rPr>
          <w:rtl/>
        </w:rPr>
        <w:t xml:space="preserve"> </w:t>
      </w:r>
      <w:r>
        <w:rPr>
          <w:rtl/>
        </w:rPr>
        <w:tab/>
      </w:r>
      <w:r>
        <w:rPr>
          <w:rFonts w:hint="cs"/>
          <w:rtl/>
        </w:rPr>
        <w:t>אנשים שלהם חמישה ליקויים בריאותיים או יותר.</w:t>
      </w:r>
    </w:p>
  </w:footnote>
  <w:footnote w:id="5">
    <w:p w:rsidR="00BB532B" w:rsidP="0016536A">
      <w:pPr>
        <w:pStyle w:val="FootnoteText"/>
        <w:rPr>
          <w:rtl/>
        </w:rPr>
      </w:pPr>
      <w:r>
        <w:rPr>
          <w:rStyle w:val="FootnoteReference1"/>
        </w:rPr>
        <w:footnoteRef/>
      </w:r>
      <w:r>
        <w:rPr>
          <w:rtl/>
        </w:rPr>
        <w:t xml:space="preserve"> </w:t>
      </w:r>
      <w:r>
        <w:rPr>
          <w:rtl/>
        </w:rPr>
        <w:tab/>
      </w:r>
      <w:r>
        <w:rPr>
          <w:rFonts w:hint="cs"/>
          <w:rtl/>
        </w:rPr>
        <w:t>נתוני קופת החולים על שיעור הזקנים, בעיבוד משרד מבקר המדינה.</w:t>
      </w:r>
    </w:p>
  </w:footnote>
  <w:footnote w:id="6">
    <w:p w:rsidR="00BB532B" w:rsidP="0016536A">
      <w:pPr>
        <w:pStyle w:val="FootnoteText"/>
        <w:rPr>
          <w:rtl/>
        </w:rPr>
      </w:pPr>
      <w:r>
        <w:rPr>
          <w:rStyle w:val="FootnoteReference1"/>
        </w:rPr>
        <w:footnoteRef/>
      </w:r>
      <w:r>
        <w:rPr>
          <w:rtl/>
        </w:rPr>
        <w:t xml:space="preserve"> </w:t>
      </w:r>
      <w:r>
        <w:rPr>
          <w:rtl/>
        </w:rPr>
        <w:tab/>
      </w:r>
      <w:r>
        <w:t>OECD, Health at a Glance (2023)</w:t>
      </w:r>
      <w:r w:rsidR="00BC1CF5">
        <w:rPr>
          <w:rFonts w:hint="cs"/>
          <w:rtl/>
        </w:rPr>
        <w:t>.</w:t>
      </w:r>
    </w:p>
  </w:footnote>
  <w:footnote w:id="7">
    <w:p w:rsidR="00BB532B" w:rsidP="0016536A">
      <w:pPr>
        <w:pStyle w:val="FootnoteText"/>
        <w:rPr>
          <w:rtl/>
        </w:rPr>
      </w:pPr>
      <w:r>
        <w:rPr>
          <w:rStyle w:val="FootnoteReference1"/>
        </w:rPr>
        <w:footnoteRef/>
      </w:r>
      <w:r>
        <w:rPr>
          <w:rtl/>
        </w:rPr>
        <w:t xml:space="preserve"> </w:t>
      </w:r>
      <w:r>
        <w:rPr>
          <w:rtl/>
        </w:rPr>
        <w:tab/>
      </w:r>
      <w:r w:rsidRPr="00AE1617">
        <w:rPr>
          <w:rtl/>
        </w:rPr>
        <w:t>לפי הסקר החברתי</w:t>
      </w:r>
      <w:r>
        <w:rPr>
          <w:rFonts w:hint="cs"/>
          <w:rtl/>
        </w:rPr>
        <w:t xml:space="preserve"> שערכה הלמ"ס, ב-2021</w:t>
      </w:r>
      <w:r w:rsidRPr="00AE1617">
        <w:rPr>
          <w:rtl/>
        </w:rPr>
        <w:t xml:space="preserve"> 59% מבני 65</w:t>
      </w:r>
      <w:r>
        <w:rPr>
          <w:rFonts w:hint="cs"/>
          <w:rtl/>
        </w:rPr>
        <w:t xml:space="preserve"> ומעלה</w:t>
      </w:r>
      <w:r w:rsidRPr="00AE1617">
        <w:rPr>
          <w:rtl/>
        </w:rPr>
        <w:t xml:space="preserve"> (ב-2024 - 56%) </w:t>
      </w:r>
      <w:r>
        <w:rPr>
          <w:rFonts w:hint="cs"/>
          <w:rtl/>
        </w:rPr>
        <w:t>העריכו</w:t>
      </w:r>
      <w:r w:rsidRPr="00AE1617">
        <w:rPr>
          <w:rtl/>
        </w:rPr>
        <w:t xml:space="preserve"> את בריאותם כטוב</w:t>
      </w:r>
      <w:r>
        <w:rPr>
          <w:rFonts w:hint="cs"/>
          <w:rtl/>
        </w:rPr>
        <w:t>ה</w:t>
      </w:r>
      <w:r w:rsidRPr="00AE1617">
        <w:rPr>
          <w:rtl/>
        </w:rPr>
        <w:t xml:space="preserve"> או טוב</w:t>
      </w:r>
      <w:r>
        <w:rPr>
          <w:rFonts w:hint="cs"/>
          <w:rtl/>
        </w:rPr>
        <w:t>ה</w:t>
      </w:r>
      <w:r w:rsidRPr="00AE1617">
        <w:rPr>
          <w:rtl/>
        </w:rPr>
        <w:t xml:space="preserve"> מאוד</w:t>
      </w:r>
      <w:r>
        <w:rPr>
          <w:rFonts w:hint="cs"/>
          <w:rtl/>
        </w:rPr>
        <w:t>.</w:t>
      </w:r>
    </w:p>
  </w:footnote>
  <w:footnote w:id="8">
    <w:p w:rsidR="00BB532B" w:rsidP="0016536A">
      <w:pPr>
        <w:pStyle w:val="FootnoteText"/>
        <w:rPr>
          <w:rtl/>
        </w:rPr>
      </w:pPr>
      <w:r>
        <w:rPr>
          <w:rStyle w:val="FootnoteReference1"/>
        </w:rPr>
        <w:footnoteRef/>
      </w:r>
      <w:r>
        <w:rPr>
          <w:rtl/>
        </w:rPr>
        <w:t xml:space="preserve"> </w:t>
      </w:r>
      <w:r>
        <w:rPr>
          <w:rtl/>
        </w:rPr>
        <w:tab/>
        <w:t>חוק ביטוח בריאות ממלכתי, התשנ"ד</w:t>
      </w:r>
      <w:r>
        <w:rPr>
          <w:rFonts w:hint="cs"/>
          <w:rtl/>
        </w:rPr>
        <w:t>-</w:t>
      </w:r>
      <w:r>
        <w:rPr>
          <w:rtl/>
        </w:rPr>
        <w:t>1994</w:t>
      </w:r>
      <w:r>
        <w:rPr>
          <w:rFonts w:hint="cs"/>
          <w:rtl/>
        </w:rPr>
        <w:t>.</w:t>
      </w:r>
    </w:p>
  </w:footnote>
  <w:footnote w:id="9">
    <w:p w:rsidR="00BB532B" w:rsidP="0016536A">
      <w:pPr>
        <w:pStyle w:val="FootnoteText"/>
        <w:rPr>
          <w:rtl/>
        </w:rPr>
      </w:pPr>
      <w:r>
        <w:rPr>
          <w:rStyle w:val="FootnoteReference1"/>
        </w:rPr>
        <w:footnoteRef/>
      </w:r>
      <w:r>
        <w:rPr>
          <w:rtl/>
        </w:rPr>
        <w:t xml:space="preserve"> </w:t>
      </w:r>
      <w:r>
        <w:rPr>
          <w:rtl/>
        </w:rPr>
        <w:tab/>
      </w:r>
      <w:r w:rsidRPr="00FF7213">
        <w:rPr>
          <w:rFonts w:hint="cs"/>
          <w:rtl/>
        </w:rPr>
        <w:t>נתוני המוסד לביטוח לאומי, בעיבוד משרד מבקר המדינה</w:t>
      </w:r>
      <w:r>
        <w:rPr>
          <w:rFonts w:hint="cs"/>
          <w:rtl/>
        </w:rPr>
        <w:t>.</w:t>
      </w:r>
    </w:p>
  </w:footnote>
  <w:footnote w:id="10">
    <w:p w:rsidR="00BB532B" w:rsidP="0016536A">
      <w:pPr>
        <w:pStyle w:val="FootnoteText"/>
      </w:pPr>
      <w:r>
        <w:rPr>
          <w:rStyle w:val="FootnoteReference1"/>
        </w:rPr>
        <w:footnoteRef/>
      </w:r>
      <w:r>
        <w:rPr>
          <w:rtl/>
        </w:rPr>
        <w:t xml:space="preserve"> </w:t>
      </w:r>
      <w:r>
        <w:rPr>
          <w:rtl/>
        </w:rPr>
        <w:tab/>
      </w:r>
      <w:r>
        <w:rPr>
          <w:rFonts w:hint="cs"/>
          <w:rtl/>
        </w:rPr>
        <w:t>מפתח התקציב.</w:t>
      </w:r>
    </w:p>
  </w:footnote>
  <w:footnote w:id="11">
    <w:p w:rsidR="00BB532B" w:rsidP="0016536A">
      <w:pPr>
        <w:pStyle w:val="FootnoteText"/>
        <w:rPr>
          <w:rtl/>
        </w:rPr>
      </w:pPr>
      <w:r>
        <w:rPr>
          <w:rStyle w:val="FootnoteReference1"/>
        </w:rPr>
        <w:footnoteRef/>
      </w:r>
      <w:r>
        <w:rPr>
          <w:rtl/>
        </w:rPr>
        <w:t xml:space="preserve"> </w:t>
      </w:r>
      <w:r>
        <w:rPr>
          <w:rtl/>
        </w:rPr>
        <w:tab/>
      </w:r>
      <w:r>
        <w:rPr>
          <w:rFonts w:hint="cs"/>
          <w:rtl/>
        </w:rPr>
        <w:t>משרד הבריאות, "</w:t>
      </w:r>
      <w:r w:rsidRPr="000D3A3F">
        <w:rPr>
          <w:rFonts w:hint="cs"/>
          <w:rtl/>
        </w:rPr>
        <w:t>התכנית הלאומית להיערכות מערכת הבריאות להזדקנות האוכלוסייה</w:t>
      </w:r>
      <w:r>
        <w:rPr>
          <w:rFonts w:hint="cs"/>
          <w:rtl/>
        </w:rPr>
        <w:t>" (לא צוין תאריך).</w:t>
      </w:r>
    </w:p>
  </w:footnote>
  <w:footnote w:id="12">
    <w:p w:rsidR="00BB532B" w:rsidP="0016536A">
      <w:pPr>
        <w:pStyle w:val="FootnoteText"/>
        <w:rPr>
          <w:rtl/>
        </w:rPr>
      </w:pPr>
      <w:r>
        <w:rPr>
          <w:rStyle w:val="FootnoteReference1"/>
        </w:rPr>
        <w:footnoteRef/>
      </w:r>
      <w:r>
        <w:rPr>
          <w:rtl/>
        </w:rPr>
        <w:t xml:space="preserve"> </w:t>
      </w:r>
      <w:r>
        <w:rPr>
          <w:rtl/>
        </w:rPr>
        <w:tab/>
      </w:r>
      <w:r>
        <w:rPr>
          <w:rFonts w:hint="cs"/>
          <w:rtl/>
        </w:rPr>
        <w:t xml:space="preserve">תחזית מתוך הלשכה המרכזית לסטטיסטיקה, </w:t>
      </w:r>
      <w:r w:rsidRPr="00B00D69">
        <w:rPr>
          <w:b/>
          <w:bCs/>
          <w:rtl/>
        </w:rPr>
        <w:t>מדדים לאומיים להזדקנות מיטבית בישראל, 2022</w:t>
      </w:r>
      <w:r>
        <w:rPr>
          <w:rFonts w:hint="cs"/>
          <w:rtl/>
        </w:rPr>
        <w:t xml:space="preserve"> (נובמבר 2024).</w:t>
      </w:r>
    </w:p>
  </w:footnote>
  <w:footnote w:id="13">
    <w:p w:rsidR="00BB532B" w:rsidP="0016536A">
      <w:pPr>
        <w:pStyle w:val="FootnoteText"/>
        <w:rPr>
          <w:rtl/>
        </w:rPr>
      </w:pPr>
      <w:r>
        <w:rPr>
          <w:rStyle w:val="FootnoteReference1"/>
        </w:rPr>
        <w:footnoteRef/>
      </w:r>
      <w:r>
        <w:rPr>
          <w:rtl/>
        </w:rPr>
        <w:t xml:space="preserve"> </w:t>
      </w:r>
      <w:r>
        <w:rPr>
          <w:rtl/>
        </w:rPr>
        <w:tab/>
      </w:r>
      <w:r>
        <w:rPr>
          <w:rFonts w:hint="cs"/>
          <w:rtl/>
        </w:rPr>
        <w:t>המועצה הלאומית לכלכלה, "</w:t>
      </w:r>
      <w:r w:rsidRPr="00A5183B">
        <w:rPr>
          <w:rFonts w:hint="cs"/>
          <w:rtl/>
        </w:rPr>
        <w:t>הערכת מצב אסטרטגית כלכלית חברתית</w:t>
      </w:r>
      <w:r>
        <w:rPr>
          <w:rFonts w:hint="cs"/>
          <w:rtl/>
        </w:rPr>
        <w:t>" (2015).</w:t>
      </w:r>
    </w:p>
  </w:footnote>
  <w:footnote w:id="14">
    <w:p w:rsidR="00BB532B" w:rsidP="0016536A">
      <w:pPr>
        <w:pStyle w:val="FootnoteText"/>
        <w:rPr>
          <w:rtl/>
        </w:rPr>
      </w:pPr>
      <w:r>
        <w:rPr>
          <w:rStyle w:val="FootnoteReference1"/>
        </w:rPr>
        <w:footnoteRef/>
      </w:r>
      <w:r>
        <w:rPr>
          <w:rtl/>
        </w:rPr>
        <w:t xml:space="preserve"> </w:t>
      </w:r>
      <w:r>
        <w:rPr>
          <w:rtl/>
        </w:rPr>
        <w:tab/>
      </w:r>
      <w:r>
        <w:rPr>
          <w:rFonts w:hint="cs"/>
          <w:rtl/>
        </w:rPr>
        <w:t xml:space="preserve">החלטת </w:t>
      </w:r>
      <w:bookmarkStart w:id="4" w:name="_Hlk205479291"/>
      <w:r>
        <w:rPr>
          <w:rFonts w:hint="cs"/>
          <w:rtl/>
        </w:rPr>
        <w:t>הממשלה 150, "</w:t>
      </w:r>
      <w:r w:rsidRPr="00FE6D69">
        <w:rPr>
          <w:rtl/>
        </w:rPr>
        <w:t xml:space="preserve">קידום הסוגיה האסטרטגית </w:t>
      </w:r>
      <w:r>
        <w:rPr>
          <w:rFonts w:hint="cs"/>
          <w:rtl/>
        </w:rPr>
        <w:t>'</w:t>
      </w:r>
      <w:r w:rsidRPr="00FE6D69">
        <w:rPr>
          <w:rtl/>
        </w:rPr>
        <w:t>היערכות להזדקנות האוכלוסייה</w:t>
      </w:r>
      <w:r>
        <w:rPr>
          <w:rFonts w:hint="cs"/>
          <w:rtl/>
        </w:rPr>
        <w:t>'</w:t>
      </w:r>
      <w:r w:rsidRPr="00FE6D69">
        <w:rPr>
          <w:rtl/>
        </w:rPr>
        <w:t xml:space="preserve"> כנגזרת מהערכת המצב האסטרטגית כלכלית-חברתית לממשלה</w:t>
      </w:r>
      <w:r>
        <w:rPr>
          <w:rFonts w:hint="cs"/>
          <w:rtl/>
        </w:rPr>
        <w:t xml:space="preserve">" </w:t>
      </w:r>
      <w:bookmarkEnd w:id="4"/>
      <w:r>
        <w:rPr>
          <w:rFonts w:hint="cs"/>
          <w:rtl/>
        </w:rPr>
        <w:t xml:space="preserve">(28.6.15). </w:t>
      </w:r>
    </w:p>
  </w:footnote>
  <w:footnote w:id="15">
    <w:p w:rsidR="00BB532B" w:rsidP="0016536A">
      <w:pPr>
        <w:pStyle w:val="FootnoteText"/>
        <w:rPr>
          <w:rtl/>
        </w:rPr>
      </w:pPr>
      <w:r>
        <w:rPr>
          <w:rStyle w:val="FootnoteReference1"/>
        </w:rPr>
        <w:footnoteRef/>
      </w:r>
      <w:r>
        <w:rPr>
          <w:rtl/>
        </w:rPr>
        <w:t xml:space="preserve"> </w:t>
      </w:r>
      <w:r>
        <w:rPr>
          <w:rtl/>
        </w:rPr>
        <w:tab/>
      </w:r>
      <w:r>
        <w:rPr>
          <w:rFonts w:hint="cs"/>
          <w:rtl/>
        </w:rPr>
        <w:t>החלטת הממשלה 127, "</w:t>
      </w:r>
      <w:r w:rsidRPr="000F5DFE">
        <w:rPr>
          <w:rFonts w:hint="cs"/>
          <w:rtl/>
        </w:rPr>
        <w:t>מפת</w:t>
      </w:r>
      <w:r w:rsidRPr="000F5DFE">
        <w:rPr>
          <w:rtl/>
        </w:rPr>
        <w:t xml:space="preserve"> </w:t>
      </w:r>
      <w:r w:rsidRPr="000F5DFE">
        <w:rPr>
          <w:rFonts w:hint="cs"/>
          <w:rtl/>
        </w:rPr>
        <w:t>מדדים</w:t>
      </w:r>
      <w:r w:rsidRPr="000F5DFE">
        <w:rPr>
          <w:rtl/>
        </w:rPr>
        <w:t xml:space="preserve"> </w:t>
      </w:r>
      <w:r w:rsidRPr="000F5DFE">
        <w:rPr>
          <w:rFonts w:hint="cs"/>
          <w:rtl/>
        </w:rPr>
        <w:t>לאומיים</w:t>
      </w:r>
      <w:r w:rsidRPr="000F5DFE">
        <w:rPr>
          <w:rtl/>
        </w:rPr>
        <w:t xml:space="preserve"> </w:t>
      </w:r>
      <w:r w:rsidRPr="000F5DFE">
        <w:rPr>
          <w:rFonts w:hint="cs"/>
          <w:rtl/>
        </w:rPr>
        <w:t>להזדקנות</w:t>
      </w:r>
      <w:r w:rsidRPr="000F5DFE">
        <w:rPr>
          <w:rtl/>
        </w:rPr>
        <w:t xml:space="preserve"> </w:t>
      </w:r>
      <w:r w:rsidRPr="000F5DFE">
        <w:rPr>
          <w:rFonts w:hint="cs"/>
          <w:rtl/>
        </w:rPr>
        <w:t>מיטבית</w:t>
      </w:r>
      <w:r>
        <w:rPr>
          <w:rFonts w:hint="cs"/>
          <w:rtl/>
        </w:rPr>
        <w:t>" (19.7.21).</w:t>
      </w:r>
    </w:p>
  </w:footnote>
  <w:footnote w:id="16">
    <w:p w:rsidR="00BB532B" w:rsidP="0016536A">
      <w:pPr>
        <w:pStyle w:val="FootnoteText"/>
        <w:rPr>
          <w:rtl/>
        </w:rPr>
      </w:pPr>
      <w:r>
        <w:rPr>
          <w:rStyle w:val="FootnoteReference1"/>
        </w:rPr>
        <w:footnoteRef/>
      </w:r>
      <w:r>
        <w:rPr>
          <w:rtl/>
        </w:rPr>
        <w:t xml:space="preserve"> </w:t>
      </w:r>
      <w:r>
        <w:rPr>
          <w:rtl/>
        </w:rPr>
        <w:tab/>
      </w:r>
      <w:r>
        <w:rPr>
          <w:rFonts w:hint="cs"/>
          <w:rtl/>
        </w:rPr>
        <w:t>ג'וינט ישראל, "תוכנית עבודה רב שנתית: 2021 - 2025" (2021).</w:t>
      </w:r>
    </w:p>
  </w:footnote>
  <w:footnote w:id="17">
    <w:p w:rsidR="00BB532B" w:rsidP="0016536A">
      <w:pPr>
        <w:pStyle w:val="FootnoteText"/>
        <w:rPr>
          <w:rtl/>
        </w:rPr>
      </w:pPr>
      <w:r>
        <w:rPr>
          <w:rStyle w:val="FootnoteReference1"/>
        </w:rPr>
        <w:footnoteRef/>
      </w:r>
      <w:r>
        <w:rPr>
          <w:rtl/>
        </w:rPr>
        <w:t xml:space="preserve"> </w:t>
      </w:r>
      <w:r>
        <w:rPr>
          <w:rtl/>
        </w:rPr>
        <w:tab/>
      </w:r>
      <w:r>
        <w:rPr>
          <w:rFonts w:hint="cs"/>
          <w:rtl/>
        </w:rPr>
        <w:t xml:space="preserve">תוחלת חיים בריאים </w:t>
      </w:r>
      <w:r w:rsidRPr="00DD3B82">
        <w:rPr>
          <w:rFonts w:hint="cs"/>
          <w:rtl/>
        </w:rPr>
        <w:t>(</w:t>
      </w:r>
      <w:r w:rsidRPr="00DD3B82">
        <w:t>health span</w:t>
      </w:r>
      <w:r w:rsidRPr="00DD3B82">
        <w:rPr>
          <w:rFonts w:hint="cs"/>
          <w:rtl/>
        </w:rPr>
        <w:t>) היא תקופת החיים בבריאות טובה, ללא מחלות כרוניות ומוגבלויות של זקנה</w:t>
      </w:r>
      <w:r>
        <w:rPr>
          <w:rFonts w:hint="cs"/>
          <w:rtl/>
        </w:rPr>
        <w:t>.</w:t>
      </w:r>
    </w:p>
  </w:footnote>
  <w:footnote w:id="18">
    <w:p w:rsidR="00BB532B" w:rsidP="0016536A">
      <w:pPr>
        <w:pStyle w:val="FootnoteText"/>
        <w:rPr>
          <w:rtl/>
        </w:rPr>
      </w:pPr>
      <w:r>
        <w:rPr>
          <w:rStyle w:val="FootnoteReference1"/>
        </w:rPr>
        <w:footnoteRef/>
      </w:r>
      <w:r>
        <w:rPr>
          <w:rtl/>
        </w:rPr>
        <w:t xml:space="preserve"> </w:t>
      </w:r>
      <w:r>
        <w:rPr>
          <w:rtl/>
        </w:rPr>
        <w:tab/>
      </w:r>
      <w:r>
        <w:rPr>
          <w:rFonts w:hint="cs"/>
          <w:rtl/>
        </w:rPr>
        <w:t xml:space="preserve">הלמ"ס, </w:t>
      </w:r>
      <w:r w:rsidRPr="00B00D69">
        <w:rPr>
          <w:b/>
          <w:bCs/>
          <w:rtl/>
        </w:rPr>
        <w:t>מדדים לאומיים להזדקנות מיטבית בישראל - בני 65 ומעלה - לפי גיל, מין וקבוצת אוכלוסייה</w:t>
      </w:r>
      <w:r>
        <w:rPr>
          <w:rFonts w:hint="cs"/>
          <w:rtl/>
        </w:rPr>
        <w:t xml:space="preserve"> (2022).</w:t>
      </w:r>
    </w:p>
  </w:footnote>
  <w:footnote w:id="19">
    <w:p w:rsidR="00BB532B" w:rsidP="0016536A">
      <w:pPr>
        <w:pStyle w:val="FootnoteText"/>
      </w:pPr>
      <w:r>
        <w:rPr>
          <w:rStyle w:val="FootnoteReference1"/>
        </w:rPr>
        <w:footnoteRef/>
      </w:r>
      <w:r>
        <w:rPr>
          <w:rtl/>
        </w:rPr>
        <w:t xml:space="preserve"> </w:t>
      </w:r>
      <w:r>
        <w:rPr>
          <w:rtl/>
        </w:rPr>
        <w:tab/>
      </w:r>
      <w:r>
        <w:rPr>
          <w:rFonts w:hint="cs"/>
          <w:rtl/>
        </w:rPr>
        <w:t>משרד הבריאות, "התכנית הלאומית להיערכות מערכת הבריאות להזדקנות האוכלוסייה" (לא צוין תאריך פרסום); מצגת של משרד הבריאות, "</w:t>
      </w:r>
      <w:r w:rsidRPr="007E7716">
        <w:rPr>
          <w:rFonts w:hint="cs"/>
          <w:rtl/>
        </w:rPr>
        <w:t>הזדקנות מיטבית: קידום בריאות ומניעת הדרדרות</w:t>
      </w:r>
      <w:r>
        <w:rPr>
          <w:rFonts w:hint="cs"/>
          <w:rtl/>
        </w:rPr>
        <w:t>" (לא צוין תאריך פרסום)</w:t>
      </w:r>
      <w:r w:rsidRPr="00E0452F">
        <w:rPr>
          <w:rFonts w:hint="cs"/>
          <w:rtl/>
        </w:rPr>
        <w:t>.</w:t>
      </w:r>
    </w:p>
  </w:footnote>
  <w:footnote w:id="20">
    <w:p w:rsidR="00BB532B" w:rsidP="0016536A">
      <w:pPr>
        <w:pStyle w:val="FootnoteText"/>
      </w:pPr>
      <w:r>
        <w:rPr>
          <w:rStyle w:val="FootnoteReference1"/>
        </w:rPr>
        <w:footnoteRef/>
      </w:r>
      <w:r>
        <w:rPr>
          <w:rtl/>
        </w:rPr>
        <w:t xml:space="preserve"> </w:t>
      </w:r>
      <w:r>
        <w:rPr>
          <w:rtl/>
        </w:rPr>
        <w:tab/>
      </w:r>
      <w:r>
        <w:rPr>
          <w:rFonts w:hint="cs"/>
          <w:rtl/>
        </w:rPr>
        <w:t>משרד הבריאות, "התכנית הלאומית להיערכות מערכת הבריאות להזדקנות האוכלוסייה" (לא צוין תאריך פרסום); מצגת של משרד הבריאות, "</w:t>
      </w:r>
      <w:r w:rsidRPr="007E7716">
        <w:rPr>
          <w:rFonts w:hint="cs"/>
          <w:rtl/>
        </w:rPr>
        <w:t>הזדקנות מיטבית: קידום בריאות ומניעת הידרדרות</w:t>
      </w:r>
      <w:r>
        <w:rPr>
          <w:rFonts w:hint="cs"/>
          <w:rtl/>
        </w:rPr>
        <w:t>" (לא צוין תאריך).</w:t>
      </w:r>
    </w:p>
  </w:footnote>
  <w:footnote w:id="21">
    <w:p w:rsidR="00BB532B" w:rsidP="0016536A">
      <w:pPr>
        <w:pStyle w:val="FootnoteText"/>
        <w:rPr>
          <w:rtl/>
        </w:rPr>
      </w:pPr>
      <w:r>
        <w:rPr>
          <w:rStyle w:val="FootnoteReference1"/>
        </w:rPr>
        <w:footnoteRef/>
      </w:r>
      <w:r>
        <w:rPr>
          <w:rtl/>
        </w:rPr>
        <w:t xml:space="preserve"> </w:t>
      </w:r>
      <w:r>
        <w:rPr>
          <w:rtl/>
        </w:rPr>
        <w:tab/>
      </w:r>
      <w:r>
        <w:rPr>
          <w:rFonts w:hint="cs"/>
          <w:rtl/>
        </w:rPr>
        <w:t>משרד הבריאות, "</w:t>
      </w:r>
      <w:r w:rsidRPr="00A5183B">
        <w:rPr>
          <w:rFonts w:hint="cs"/>
          <w:rtl/>
        </w:rPr>
        <w:t>תכנית אסטרטגית 2018 - 12 המדרגות</w:t>
      </w:r>
      <w:r>
        <w:rPr>
          <w:rFonts w:hint="cs"/>
          <w:rtl/>
        </w:rPr>
        <w:t>" (לא צוין תאריך פרסום).</w:t>
      </w:r>
    </w:p>
  </w:footnote>
  <w:footnote w:id="22">
    <w:p w:rsidR="00BB532B" w:rsidP="0016536A">
      <w:pPr>
        <w:pStyle w:val="FootnoteText"/>
        <w:rPr>
          <w:rtl/>
        </w:rPr>
      </w:pPr>
      <w:r>
        <w:rPr>
          <w:rStyle w:val="FootnoteReference1"/>
        </w:rPr>
        <w:footnoteRef/>
      </w:r>
      <w:r>
        <w:rPr>
          <w:rtl/>
        </w:rPr>
        <w:t xml:space="preserve"> </w:t>
      </w:r>
      <w:r>
        <w:rPr>
          <w:rtl/>
        </w:rPr>
        <w:tab/>
      </w:r>
      <w:bookmarkStart w:id="6" w:name="_Hlk222301579"/>
      <w:r w:rsidRPr="007010D4">
        <w:rPr>
          <w:rtl/>
        </w:rPr>
        <w:t xml:space="preserve">נוצר בסיוע כלי בינה מלאכותית מסוג </w:t>
      </w:r>
      <w:bookmarkEnd w:id="6"/>
      <w:r>
        <w:t>ChatGPT</w:t>
      </w:r>
      <w:r>
        <w:rPr>
          <w:rFonts w:hint="cs"/>
          <w:rtl/>
        </w:rPr>
        <w:t>.</w:t>
      </w:r>
    </w:p>
  </w:footnote>
  <w:footnote w:id="23">
    <w:p w:rsidR="00BB532B" w:rsidP="0016536A">
      <w:pPr>
        <w:pStyle w:val="FootnoteText"/>
        <w:rPr>
          <w:rtl/>
        </w:rPr>
      </w:pPr>
      <w:r>
        <w:rPr>
          <w:rStyle w:val="FootnoteReference1"/>
        </w:rPr>
        <w:footnoteRef/>
      </w:r>
      <w:r>
        <w:rPr>
          <w:rtl/>
        </w:rPr>
        <w:t xml:space="preserve"> </w:t>
      </w:r>
      <w:r>
        <w:rPr>
          <w:rtl/>
        </w:rPr>
        <w:tab/>
      </w:r>
      <w:r w:rsidRPr="007010D4">
        <w:rPr>
          <w:rtl/>
        </w:rPr>
        <w:t xml:space="preserve">נוצר בסיוע כלי בינה מלאכותית מסוג </w:t>
      </w:r>
      <w:r>
        <w:t>ChatGPT</w:t>
      </w:r>
      <w:r>
        <w:rPr>
          <w:rFonts w:hint="cs"/>
          <w:rtl/>
        </w:rPr>
        <w:t>.</w:t>
      </w:r>
    </w:p>
  </w:footnote>
  <w:footnote w:id="24">
    <w:p w:rsidR="00BB532B" w:rsidRPr="004813DF" w:rsidP="0016536A">
      <w:pPr>
        <w:pStyle w:val="FootnoteText"/>
        <w:rPr>
          <w:rtl/>
        </w:rPr>
      </w:pPr>
      <w:r>
        <w:rPr>
          <w:rStyle w:val="FootnoteReference1"/>
        </w:rPr>
        <w:footnoteRef/>
      </w:r>
      <w:r>
        <w:rPr>
          <w:rtl/>
        </w:rPr>
        <w:t xml:space="preserve"> </w:t>
      </w:r>
      <w:r>
        <w:rPr>
          <w:rtl/>
        </w:rPr>
        <w:tab/>
      </w:r>
      <w:r>
        <w:rPr>
          <w:rFonts w:hint="cs"/>
          <w:rtl/>
        </w:rPr>
        <w:t xml:space="preserve">משרד הבריאות ומאיירס ג'וינט ברוקדייל, "המלצות הוועדה הבין-משרדית לקידום בריאות ומניעת תחלואה כרונית" (2022), עמ' 40 - 44; כוח המשימה הישראלי בנושא קידום בריאות ורפואה מונעת, (2022), עמ' 41 - 48. </w:t>
      </w:r>
    </w:p>
  </w:footnote>
  <w:footnote w:id="25">
    <w:p w:rsidR="00BB532B" w:rsidP="0016536A">
      <w:pPr>
        <w:pStyle w:val="FootnoteText"/>
      </w:pPr>
      <w:r>
        <w:rPr>
          <w:rStyle w:val="FootnoteReference1"/>
        </w:rPr>
        <w:footnoteRef/>
      </w:r>
      <w:r>
        <w:rPr>
          <w:rtl/>
        </w:rPr>
        <w:t xml:space="preserve"> </w:t>
      </w:r>
      <w:r>
        <w:rPr>
          <w:rtl/>
        </w:rPr>
        <w:tab/>
      </w:r>
      <w:r>
        <w:rPr>
          <w:rFonts w:hint="cs"/>
          <w:rtl/>
        </w:rPr>
        <w:t>משרד הבריאות והג'וינט, "מית"ב - מונעים ירידה תפקודית באשפוז אקוטי" (לא צוין תאריך פרסום).</w:t>
      </w:r>
    </w:p>
  </w:footnote>
  <w:footnote w:id="26">
    <w:p w:rsidR="00BB532B" w:rsidP="0016536A">
      <w:pPr>
        <w:pStyle w:val="FootnoteText"/>
      </w:pPr>
      <w:r>
        <w:rPr>
          <w:rStyle w:val="FootnoteReference1"/>
        </w:rPr>
        <w:footnoteRef/>
      </w:r>
      <w:r>
        <w:rPr>
          <w:rtl/>
        </w:rPr>
        <w:t xml:space="preserve"> </w:t>
      </w:r>
      <w:r>
        <w:rPr>
          <w:rtl/>
        </w:rPr>
        <w:tab/>
      </w:r>
      <w:r>
        <w:rPr>
          <w:rFonts w:hint="cs"/>
          <w:rtl/>
        </w:rPr>
        <w:t>משרד הבריאות, משרד החינוך ומשרד התרבות והספורט, "על התוכנית הלאומית לחיים פעילים ובריאים - אפשריבריא" (לא צוין תאריך).</w:t>
      </w:r>
    </w:p>
  </w:footnote>
  <w:footnote w:id="27">
    <w:p w:rsidR="00BB532B" w:rsidP="0016536A">
      <w:pPr>
        <w:pStyle w:val="FootnoteText"/>
      </w:pPr>
      <w:r>
        <w:rPr>
          <w:rStyle w:val="FootnoteReference1"/>
        </w:rPr>
        <w:footnoteRef/>
      </w:r>
      <w:r>
        <w:rPr>
          <w:rtl/>
        </w:rPr>
        <w:t xml:space="preserve"> </w:t>
      </w:r>
      <w:r>
        <w:rPr>
          <w:rtl/>
        </w:rPr>
        <w:tab/>
      </w:r>
      <w:r>
        <w:rPr>
          <w:rFonts w:hint="cs"/>
          <w:rtl/>
        </w:rPr>
        <w:t>התוכנית היא ביוזמה משותפת של משרד הבריאות והרווחה ושל ג'וינט-אשל, מופעלת בשלוש מקופות החולים - כללית, מכבי ומאוחדת, ומתוקצבת באופן מלא על ידי משרדי הבריאות והרווחה.</w:t>
      </w:r>
    </w:p>
  </w:footnote>
  <w:footnote w:id="28">
    <w:p w:rsidR="00BB532B" w:rsidP="0016536A">
      <w:pPr>
        <w:pStyle w:val="FootnoteText"/>
        <w:rPr>
          <w:rtl/>
        </w:rPr>
      </w:pPr>
      <w:r>
        <w:rPr>
          <w:rStyle w:val="FootnoteReference1"/>
        </w:rPr>
        <w:footnoteRef/>
      </w:r>
      <w:r>
        <w:rPr>
          <w:rtl/>
        </w:rPr>
        <w:t xml:space="preserve"> </w:t>
      </w:r>
      <w:r>
        <w:rPr>
          <w:rtl/>
        </w:rPr>
        <w:tab/>
      </w:r>
      <w:r>
        <w:rPr>
          <w:rFonts w:hint="cs"/>
          <w:rtl/>
        </w:rPr>
        <w:t>מכבי, "כלים ותהליכים לניהול גריאטריה במכבי" (2024).</w:t>
      </w:r>
    </w:p>
  </w:footnote>
  <w:footnote w:id="29">
    <w:p w:rsidR="00BB532B" w:rsidP="0016536A">
      <w:pPr>
        <w:pStyle w:val="FootnoteText"/>
      </w:pPr>
      <w:r>
        <w:rPr>
          <w:rStyle w:val="FootnoteReference1"/>
        </w:rPr>
        <w:footnoteRef/>
      </w:r>
      <w:r>
        <w:rPr>
          <w:rtl/>
        </w:rPr>
        <w:t xml:space="preserve"> </w:t>
      </w:r>
      <w:r>
        <w:rPr>
          <w:rtl/>
        </w:rPr>
        <w:tab/>
      </w:r>
      <w:r>
        <w:rPr>
          <w:rFonts w:hint="cs"/>
          <w:rtl/>
        </w:rPr>
        <w:t>מאוחדת, "הערכת התוכנית 'תיאום טיפול'"(2024).</w:t>
      </w:r>
    </w:p>
  </w:footnote>
  <w:footnote w:id="30">
    <w:p w:rsidR="00BB532B" w:rsidP="0016536A">
      <w:pPr>
        <w:pStyle w:val="FootnoteText"/>
        <w:rPr>
          <w:rtl/>
        </w:rPr>
      </w:pPr>
      <w:r>
        <w:rPr>
          <w:rStyle w:val="FootnoteReference1"/>
        </w:rPr>
        <w:footnoteRef/>
      </w:r>
      <w:r>
        <w:rPr>
          <w:rtl/>
        </w:rPr>
        <w:t xml:space="preserve"> </w:t>
      </w:r>
      <w:r>
        <w:rPr>
          <w:rtl/>
        </w:rPr>
        <w:tab/>
      </w:r>
      <w:r w:rsidRPr="007010D4">
        <w:rPr>
          <w:rtl/>
        </w:rPr>
        <w:t xml:space="preserve">נוצר בסיוע כלי בינה מלאכותית מסוג </w:t>
      </w:r>
      <w:r>
        <w:t>ChatGPT</w:t>
      </w:r>
      <w:r>
        <w:rPr>
          <w:rFonts w:hint="cs"/>
          <w:rtl/>
        </w:rPr>
        <w:t>.</w:t>
      </w:r>
    </w:p>
  </w:footnote>
  <w:footnote w:id="31">
    <w:p w:rsidR="00BB532B" w:rsidP="0016536A">
      <w:pPr>
        <w:pStyle w:val="FootnoteText"/>
        <w:rPr>
          <w:rtl/>
        </w:rPr>
      </w:pPr>
      <w:r>
        <w:rPr>
          <w:rStyle w:val="FootnoteReference1"/>
        </w:rPr>
        <w:footnoteRef/>
      </w:r>
      <w:r>
        <w:rPr>
          <w:rtl/>
        </w:rPr>
        <w:t xml:space="preserve"> </w:t>
      </w:r>
      <w:r>
        <w:rPr>
          <w:rtl/>
        </w:rPr>
        <w:tab/>
      </w:r>
      <w:r w:rsidRPr="007010D4">
        <w:rPr>
          <w:rtl/>
        </w:rPr>
        <w:t xml:space="preserve">נוצר בסיוע כלי בינה מלאכותית מסוג </w:t>
      </w:r>
      <w:r>
        <w:t>ChatGPT</w:t>
      </w:r>
      <w:r>
        <w:rPr>
          <w:rFonts w:hint="cs"/>
          <w:rtl/>
        </w:rPr>
        <w:t>.</w:t>
      </w:r>
    </w:p>
  </w:footnote>
  <w:footnote w:id="32">
    <w:p w:rsidR="00BB532B" w:rsidP="0016536A">
      <w:pPr>
        <w:pStyle w:val="FootnoteText"/>
      </w:pPr>
      <w:r>
        <w:rPr>
          <w:rStyle w:val="FootnoteReference1"/>
        </w:rPr>
        <w:footnoteRef/>
      </w:r>
      <w:r>
        <w:rPr>
          <w:rtl/>
        </w:rPr>
        <w:t xml:space="preserve"> </w:t>
      </w:r>
      <w:r>
        <w:rPr>
          <w:rtl/>
        </w:rPr>
        <w:tab/>
      </w:r>
      <w:r>
        <w:rPr>
          <w:rFonts w:hint="cs"/>
          <w:rtl/>
        </w:rPr>
        <w:t>אתר משרד הבריאות.</w:t>
      </w:r>
    </w:p>
  </w:footnote>
  <w:footnote w:id="33">
    <w:p w:rsidR="00BB532B" w:rsidP="0016536A">
      <w:pPr>
        <w:pStyle w:val="FootnoteText"/>
      </w:pPr>
      <w:r>
        <w:rPr>
          <w:rStyle w:val="FootnoteReference1"/>
        </w:rPr>
        <w:footnoteRef/>
      </w:r>
      <w:r>
        <w:rPr>
          <w:rtl/>
        </w:rPr>
        <w:t xml:space="preserve"> </w:t>
      </w:r>
      <w:r>
        <w:rPr>
          <w:rtl/>
        </w:rPr>
        <w:tab/>
        <w:t>חוק ביטוח בריאות ממלכתי, התשנ"ד</w:t>
      </w:r>
      <w:r>
        <w:rPr>
          <w:rFonts w:hint="cs"/>
          <w:rtl/>
        </w:rPr>
        <w:t>-</w:t>
      </w:r>
      <w:r>
        <w:rPr>
          <w:rtl/>
        </w:rPr>
        <w:t>1994</w:t>
      </w:r>
      <w:r>
        <w:rPr>
          <w:rFonts w:hint="cs"/>
          <w:rtl/>
        </w:rPr>
        <w:t xml:space="preserve">; שירותי בריאות כללית, "היערכות הכללית להזדקנות האוכלוסייה" (2025); מכבי שירותי בריאות, "כלים ותהליכים לניהול גריאטריה במכבי" (2024); קופת חולים מאוחדת, </w:t>
      </w:r>
      <w:r w:rsidRPr="002D72E4">
        <w:rPr>
          <w:rFonts w:hint="cs"/>
          <w:rtl/>
        </w:rPr>
        <w:t>"המינהל לאזרחים ותיקים במאוחדת - תפיסה אסטרטגית ותכנית עבודה רב שנתית" (2022).</w:t>
      </w:r>
      <w:r>
        <w:rPr>
          <w:rtl/>
        </w:rPr>
        <w:tab/>
      </w:r>
    </w:p>
  </w:footnote>
  <w:footnote w:id="34">
    <w:p w:rsidR="00BB532B" w:rsidP="0016536A">
      <w:pPr>
        <w:pStyle w:val="FootnoteText"/>
        <w:rPr>
          <w:rtl/>
        </w:rPr>
      </w:pPr>
      <w:r>
        <w:rPr>
          <w:rStyle w:val="FootnoteReference1"/>
        </w:rPr>
        <w:footnoteRef/>
      </w:r>
      <w:r>
        <w:rPr>
          <w:rtl/>
        </w:rPr>
        <w:t xml:space="preserve"> </w:t>
      </w:r>
      <w:r>
        <w:rPr>
          <w:rtl/>
        </w:rPr>
        <w:tab/>
      </w:r>
      <w:r w:rsidRPr="00DD3B82">
        <w:rPr>
          <w:rtl/>
        </w:rPr>
        <w:t xml:space="preserve">שבריריות </w:t>
      </w:r>
      <w:r w:rsidRPr="00DD3B82">
        <w:rPr>
          <w:rFonts w:hint="cs"/>
          <w:rtl/>
        </w:rPr>
        <w:t>(</w:t>
      </w:r>
      <w:r>
        <w:t>f</w:t>
      </w:r>
      <w:r w:rsidRPr="00DD3B82">
        <w:t>railty</w:t>
      </w:r>
      <w:r w:rsidRPr="00DD3B82">
        <w:rPr>
          <w:rFonts w:hint="cs"/>
          <w:rtl/>
        </w:rPr>
        <w:t xml:space="preserve">) </w:t>
      </w:r>
      <w:r w:rsidRPr="00DD3B82">
        <w:rPr>
          <w:rtl/>
        </w:rPr>
        <w:t xml:space="preserve">היא מצב הקשור לגיל, </w:t>
      </w:r>
      <w:r w:rsidRPr="00DD3B82">
        <w:rPr>
          <w:rFonts w:hint="cs"/>
          <w:rtl/>
        </w:rPr>
        <w:t>המתבטא בהידרדרו</w:t>
      </w:r>
      <w:r w:rsidRPr="00DD3B82">
        <w:rPr>
          <w:rFonts w:hint="eastAsia"/>
          <w:rtl/>
        </w:rPr>
        <w:t>ת</w:t>
      </w:r>
      <w:r w:rsidRPr="00DD3B82">
        <w:rPr>
          <w:rFonts w:hint="cs"/>
          <w:rtl/>
        </w:rPr>
        <w:t xml:space="preserve"> תפקודית עקב ירידה רב-מערכתית במאגרים הפיזיולוגיים של האדם.</w:t>
      </w:r>
    </w:p>
  </w:footnote>
  <w:footnote w:id="35">
    <w:p w:rsidR="00BB532B" w:rsidP="0016536A">
      <w:pPr>
        <w:pStyle w:val="FootnoteText"/>
        <w:rPr>
          <w:rtl/>
        </w:rPr>
      </w:pPr>
      <w:r>
        <w:rPr>
          <w:rStyle w:val="FootnoteReference1"/>
        </w:rPr>
        <w:footnoteRef/>
      </w:r>
      <w:r>
        <w:rPr>
          <w:rtl/>
        </w:rPr>
        <w:t xml:space="preserve"> </w:t>
      </w:r>
      <w:r>
        <w:rPr>
          <w:rtl/>
        </w:rPr>
        <w:tab/>
      </w:r>
      <w:r>
        <w:rPr>
          <w:rFonts w:hint="cs"/>
          <w:rtl/>
        </w:rPr>
        <w:t>עד לסיום מועד הביקורת לא התקבלו נתונים אלו מלאומית, שחבריה בני 65 ומעלה מהווים כ-7% מאוכלוסיית הזקנים בישראל.</w:t>
      </w:r>
    </w:p>
  </w:footnote>
  <w:footnote w:id="36">
    <w:p w:rsidR="00BB532B" w:rsidRPr="0048396F" w:rsidP="0016536A">
      <w:pPr>
        <w:pStyle w:val="FootnoteText"/>
        <w:rPr>
          <w:rtl/>
        </w:rPr>
      </w:pPr>
      <w:r>
        <w:rPr>
          <w:rStyle w:val="FootnoteReference1"/>
        </w:rPr>
        <w:footnoteRef/>
      </w:r>
      <w:r>
        <w:rPr>
          <w:rtl/>
        </w:rPr>
        <w:t xml:space="preserve"> </w:t>
      </w:r>
      <w:r>
        <w:rPr>
          <w:rtl/>
        </w:rPr>
        <w:tab/>
      </w:r>
      <w:r>
        <w:rPr>
          <w:rFonts w:hint="cs"/>
          <w:rtl/>
        </w:rPr>
        <w:t>נתוני השבריריות התקבלו רק עבור מכבי ומאוחדת, ועובדו עבור חברי קופות בני 65 - 88.</w:t>
      </w:r>
    </w:p>
  </w:footnote>
  <w:footnote w:id="37">
    <w:p w:rsidR="00BB532B" w:rsidP="0016536A">
      <w:pPr>
        <w:pStyle w:val="FootnoteText"/>
        <w:rPr>
          <w:rtl/>
        </w:rPr>
      </w:pPr>
      <w:r>
        <w:rPr>
          <w:rStyle w:val="FootnoteReference1"/>
        </w:rPr>
        <w:footnoteRef/>
      </w:r>
      <w:r>
        <w:rPr>
          <w:rtl/>
        </w:rPr>
        <w:t xml:space="preserve"> </w:t>
      </w:r>
      <w:r>
        <w:rPr>
          <w:rtl/>
        </w:rPr>
        <w:tab/>
      </w:r>
      <w:r>
        <w:rPr>
          <w:rFonts w:hint="cs"/>
          <w:rtl/>
        </w:rPr>
        <w:t xml:space="preserve">רווח בר-סמך של </w:t>
      </w:r>
      <w:r w:rsidRPr="00FA0385">
        <w:rPr>
          <w:rtl/>
        </w:rPr>
        <w:t>±4.47%</w:t>
      </w:r>
      <w:r>
        <w:rPr>
          <w:rFonts w:hint="cs"/>
          <w:rtl/>
        </w:rPr>
        <w:t xml:space="preserve">, </w:t>
      </w:r>
      <w:r>
        <w:t>p = 95%</w:t>
      </w:r>
      <w:r>
        <w:rPr>
          <w:rFonts w:hint="cs"/>
          <w:rtl/>
        </w:rPr>
        <w:t>.</w:t>
      </w:r>
    </w:p>
  </w:footnote>
  <w:footnote w:id="38">
    <w:p w:rsidR="00BB532B" w:rsidP="0016536A">
      <w:pPr>
        <w:pStyle w:val="FootnoteText"/>
        <w:rPr>
          <w:rtl/>
        </w:rPr>
      </w:pPr>
      <w:r>
        <w:rPr>
          <w:rStyle w:val="FootnoteReference1"/>
        </w:rPr>
        <w:footnoteRef/>
      </w:r>
      <w:r>
        <w:rPr>
          <w:rtl/>
        </w:rPr>
        <w:t xml:space="preserve"> </w:t>
      </w:r>
      <w:r>
        <w:rPr>
          <w:rtl/>
        </w:rPr>
        <w:tab/>
      </w:r>
      <w:r>
        <w:rPr>
          <w:rFonts w:hint="cs"/>
          <w:rtl/>
        </w:rPr>
        <w:t>תוחלת החיים של אדם עם לידתו לא תהיה בהכרח זהה לזו שתהיה לו בהגיעו לגיל 65. כך לדוגמה ב-2020 תוחלת החיים הממוצעת לגבר בישראל עמדה על 80.7, ותוחלת החיים הממוצעת בישראל לגבר שהגיע לגיל 65 עמדה על 19.3 שנים.</w:t>
      </w:r>
    </w:p>
  </w:footnote>
  <w:footnote w:id="39">
    <w:p w:rsidR="00BB532B" w:rsidP="0016536A">
      <w:pPr>
        <w:pStyle w:val="FootnoteText"/>
        <w:rPr>
          <w:rtl/>
        </w:rPr>
      </w:pPr>
      <w:r>
        <w:rPr>
          <w:rStyle w:val="FootnoteReference1"/>
        </w:rPr>
        <w:footnoteRef/>
      </w:r>
      <w:r>
        <w:rPr>
          <w:rtl/>
        </w:rPr>
        <w:t xml:space="preserve"> </w:t>
      </w:r>
      <w:r>
        <w:rPr>
          <w:rtl/>
        </w:rPr>
        <w:tab/>
      </w:r>
      <w:r>
        <w:t>WHO, GHE: Life expectancy and healthy life expectancy (2020)</w:t>
      </w:r>
      <w:r>
        <w:rPr>
          <w:rFonts w:hint="cs"/>
          <w:rtl/>
        </w:rPr>
        <w:t xml:space="preserve"> </w:t>
      </w:r>
    </w:p>
  </w:footnote>
  <w:footnote w:id="40">
    <w:p w:rsidR="00BB532B" w:rsidP="0016536A">
      <w:pPr>
        <w:pStyle w:val="FootnoteText"/>
        <w:rPr>
          <w:rtl/>
        </w:rPr>
      </w:pPr>
      <w:r>
        <w:rPr>
          <w:rStyle w:val="FootnoteReference1"/>
        </w:rPr>
        <w:footnoteRef/>
      </w:r>
      <w:r>
        <w:rPr>
          <w:rtl/>
        </w:rPr>
        <w:t xml:space="preserve"> </w:t>
      </w:r>
      <w:r>
        <w:rPr>
          <w:rtl/>
        </w:rPr>
        <w:tab/>
      </w:r>
      <w:r>
        <w:rPr>
          <w:rFonts w:hint="cs"/>
          <w:rtl/>
        </w:rPr>
        <w:t>אתר משרד הבריאות.</w:t>
      </w:r>
    </w:p>
  </w:footnote>
  <w:footnote w:id="41">
    <w:p w:rsidR="00BB532B" w:rsidP="0016536A">
      <w:pPr>
        <w:pStyle w:val="FootnoteText"/>
        <w:rPr>
          <w:rtl/>
        </w:rPr>
      </w:pPr>
      <w:r>
        <w:rPr>
          <w:rStyle w:val="FootnoteReference1"/>
        </w:rPr>
        <w:footnoteRef/>
      </w:r>
      <w:r>
        <w:rPr>
          <w:rtl/>
        </w:rPr>
        <w:t xml:space="preserve"> </w:t>
      </w:r>
      <w:r>
        <w:rPr>
          <w:rtl/>
        </w:rPr>
        <w:tab/>
      </w:r>
      <w:r w:rsidRPr="00D2451F">
        <w:t>Matt Kaeberlein</w:t>
      </w:r>
      <w:r>
        <w:t>,</w:t>
      </w:r>
      <w:r w:rsidRPr="00D2451F">
        <w:t xml:space="preserve"> </w:t>
      </w:r>
      <w:r>
        <w:t>“</w:t>
      </w:r>
      <w:r w:rsidRPr="00D2451F">
        <w:t>How healthy is the healthspan concept?</w:t>
      </w:r>
      <w:r>
        <w:t xml:space="preserve">”, </w:t>
      </w:r>
      <w:r w:rsidRPr="00AC5C9F">
        <w:rPr>
          <w:b/>
          <w:bCs/>
        </w:rPr>
        <w:t>GeroScience</w:t>
      </w:r>
      <w:r>
        <w:rPr>
          <w:b/>
          <w:bCs/>
        </w:rPr>
        <w:t xml:space="preserve"> </w:t>
      </w:r>
      <w:r w:rsidRPr="00AC5C9F">
        <w:t>40</w:t>
      </w:r>
      <w:r w:rsidRPr="00D2451F">
        <w:t xml:space="preserve"> (2018)</w:t>
      </w:r>
      <w:r>
        <w:t xml:space="preserve">, pp. </w:t>
      </w:r>
      <w:r w:rsidRPr="00D2451F">
        <w:t>361</w:t>
      </w:r>
      <w:r>
        <w:t>-</w:t>
      </w:r>
      <w:r w:rsidRPr="00D2451F">
        <w:t>364</w:t>
      </w:r>
      <w:r>
        <w:t xml:space="preserve"> </w:t>
      </w:r>
    </w:p>
  </w:footnote>
  <w:footnote w:id="42">
    <w:p w:rsidR="00BB532B" w:rsidP="0016536A">
      <w:pPr>
        <w:pStyle w:val="FootnoteText"/>
        <w:rPr>
          <w:rtl/>
        </w:rPr>
      </w:pPr>
      <w:r>
        <w:rPr>
          <w:rStyle w:val="FootnoteReference1"/>
        </w:rPr>
        <w:footnoteRef/>
      </w:r>
      <w:r>
        <w:rPr>
          <w:rtl/>
        </w:rPr>
        <w:t xml:space="preserve"> </w:t>
      </w:r>
      <w:r>
        <w:rPr>
          <w:rtl/>
        </w:rPr>
        <w:tab/>
      </w:r>
      <w:r>
        <w:rPr>
          <w:rFonts w:hint="cs"/>
          <w:rtl/>
        </w:rPr>
        <w:t>משרד הבריאות, "שנות חיים בבריאות טובה" (לא צוין תאריך פרסום).</w:t>
      </w:r>
    </w:p>
  </w:footnote>
  <w:footnote w:id="43">
    <w:p w:rsidR="00BB532B" w:rsidP="0016536A">
      <w:pPr>
        <w:pStyle w:val="FootnoteText"/>
        <w:rPr>
          <w:rtl/>
        </w:rPr>
      </w:pPr>
      <w:r>
        <w:rPr>
          <w:rStyle w:val="FootnoteReference1"/>
        </w:rPr>
        <w:footnoteRef/>
      </w:r>
      <w:r>
        <w:rPr>
          <w:rtl/>
        </w:rPr>
        <w:t xml:space="preserve"> </w:t>
      </w:r>
      <w:r>
        <w:rPr>
          <w:rtl/>
        </w:rPr>
        <w:tab/>
      </w:r>
      <w:r>
        <w:t xml:space="preserve">S. Jay Olshansky, "From lifespan to Healthspan", </w:t>
      </w:r>
      <w:r w:rsidRPr="00AC5C9F">
        <w:rPr>
          <w:b/>
          <w:bCs/>
        </w:rPr>
        <w:t>Scientific Discovery and the Future of</w:t>
      </w:r>
      <w:r w:rsidR="0040350B">
        <w:rPr>
          <w:b/>
          <w:bCs/>
        </w:rPr>
        <w:t xml:space="preserve"> </w:t>
      </w:r>
      <w:r w:rsidRPr="00AC5C9F">
        <w:rPr>
          <w:b/>
          <w:bCs/>
        </w:rPr>
        <w:t>Medicine</w:t>
      </w:r>
      <w:r>
        <w:t xml:space="preserve"> (2018), pp. E1 - E2</w:t>
      </w:r>
      <w:r>
        <w:rPr>
          <w:rFonts w:hint="cs"/>
          <w:rtl/>
        </w:rPr>
        <w:t xml:space="preserve"> </w:t>
      </w:r>
    </w:p>
  </w:footnote>
  <w:footnote w:id="44">
    <w:p w:rsidR="00BB532B" w:rsidP="0016536A">
      <w:pPr>
        <w:pStyle w:val="FootnoteText"/>
        <w:rPr>
          <w:rtl/>
        </w:rPr>
      </w:pPr>
      <w:r>
        <w:rPr>
          <w:rStyle w:val="FootnoteReference1"/>
        </w:rPr>
        <w:footnoteRef/>
      </w:r>
      <w:r>
        <w:rPr>
          <w:rtl/>
        </w:rPr>
        <w:t xml:space="preserve"> </w:t>
      </w:r>
      <w:r>
        <w:rPr>
          <w:rtl/>
        </w:rPr>
        <w:tab/>
      </w:r>
      <w:r w:rsidRPr="007010D4">
        <w:rPr>
          <w:rtl/>
        </w:rPr>
        <w:t xml:space="preserve">נוצר בסיוע כלי בינה מלאכותית מסוג </w:t>
      </w:r>
      <w:r>
        <w:t>ChatGPT</w:t>
      </w:r>
      <w:r>
        <w:rPr>
          <w:rFonts w:hint="cs"/>
          <w:rtl/>
        </w:rPr>
        <w:t>.</w:t>
      </w:r>
    </w:p>
  </w:footnote>
  <w:footnote w:id="45">
    <w:p w:rsidR="00BB532B" w:rsidP="0016536A">
      <w:pPr>
        <w:pStyle w:val="FootnoteText"/>
        <w:rPr>
          <w:rtl/>
        </w:rPr>
      </w:pPr>
      <w:r>
        <w:rPr>
          <w:rStyle w:val="FootnoteReference1"/>
        </w:rPr>
        <w:footnoteRef/>
      </w:r>
      <w:r>
        <w:rPr>
          <w:rtl/>
        </w:rPr>
        <w:t xml:space="preserve"> </w:t>
      </w:r>
      <w:r>
        <w:rPr>
          <w:rtl/>
        </w:rPr>
        <w:tab/>
      </w:r>
      <w:r>
        <w:rPr>
          <w:rFonts w:hint="cs"/>
          <w:rtl/>
        </w:rPr>
        <w:t xml:space="preserve">השאלות הן: </w:t>
      </w:r>
      <w:r>
        <w:rPr>
          <w:rtl/>
        </w:rPr>
        <w:t>"האם יש לך בעיה בריאותית או פיזית כלשהי</w:t>
      </w:r>
      <w:r>
        <w:rPr>
          <w:rFonts w:hint="cs"/>
          <w:rtl/>
        </w:rPr>
        <w:t xml:space="preserve"> (</w:t>
      </w:r>
      <w:r>
        <w:rPr>
          <w:rtl/>
        </w:rPr>
        <w:t>הכוונה לבעיה הקיימת</w:t>
      </w:r>
      <w:r>
        <w:rPr>
          <w:rFonts w:hint="cs"/>
          <w:rtl/>
        </w:rPr>
        <w:t xml:space="preserve"> זה</w:t>
      </w:r>
      <w:r>
        <w:rPr>
          <w:rtl/>
        </w:rPr>
        <w:t xml:space="preserve"> שישה חודשים או יותר</w:t>
      </w:r>
      <w:r>
        <w:rPr>
          <w:rFonts w:hint="cs"/>
          <w:rtl/>
        </w:rPr>
        <w:t>)</w:t>
      </w:r>
      <w:r>
        <w:rPr>
          <w:rtl/>
        </w:rPr>
        <w:t xml:space="preserve">"? במדד נכלל מי שענה </w:t>
      </w:r>
      <w:r>
        <w:rPr>
          <w:rFonts w:hint="cs"/>
          <w:rtl/>
        </w:rPr>
        <w:t>"</w:t>
      </w:r>
      <w:r>
        <w:rPr>
          <w:rtl/>
        </w:rPr>
        <w:t>לא</w:t>
      </w:r>
      <w:r>
        <w:rPr>
          <w:rFonts w:hint="cs"/>
          <w:rtl/>
        </w:rPr>
        <w:t>"</w:t>
      </w:r>
      <w:r>
        <w:rPr>
          <w:rtl/>
        </w:rPr>
        <w:t xml:space="preserve">, ואם ענה </w:t>
      </w:r>
      <w:r>
        <w:rPr>
          <w:rFonts w:hint="cs"/>
          <w:rtl/>
        </w:rPr>
        <w:t>"</w:t>
      </w:r>
      <w:r>
        <w:rPr>
          <w:rtl/>
        </w:rPr>
        <w:t>כן</w:t>
      </w:r>
      <w:r>
        <w:rPr>
          <w:rFonts w:hint="cs"/>
          <w:rtl/>
        </w:rPr>
        <w:t xml:space="preserve">" </w:t>
      </w:r>
      <w:r>
        <w:rPr>
          <w:rtl/>
        </w:rPr>
        <w:t>הוא מועבר</w:t>
      </w:r>
      <w:r>
        <w:rPr>
          <w:rFonts w:hint="cs"/>
          <w:rtl/>
        </w:rPr>
        <w:t xml:space="preserve"> </w:t>
      </w:r>
      <w:r>
        <w:rPr>
          <w:rtl/>
        </w:rPr>
        <w:t xml:space="preserve">לשאלה השנייה </w:t>
      </w:r>
      <w:r>
        <w:rPr>
          <w:rFonts w:hint="cs"/>
          <w:rtl/>
        </w:rPr>
        <w:t>-</w:t>
      </w:r>
      <w:r>
        <w:rPr>
          <w:rtl/>
        </w:rPr>
        <w:t xml:space="preserve"> "האם בעיה זו מפריעה לך בפעולות יום-יומיות?". במדד נכלל מי שהשיב שהבעיה</w:t>
      </w:r>
      <w:r>
        <w:rPr>
          <w:rFonts w:hint="cs"/>
          <w:rtl/>
        </w:rPr>
        <w:t xml:space="preserve"> "</w:t>
      </w:r>
      <w:r>
        <w:rPr>
          <w:rtl/>
        </w:rPr>
        <w:t>לא כל כך מפריעה</w:t>
      </w:r>
      <w:r>
        <w:rPr>
          <w:rFonts w:hint="cs"/>
          <w:rtl/>
        </w:rPr>
        <w:t>"</w:t>
      </w:r>
      <w:r>
        <w:rPr>
          <w:rtl/>
        </w:rPr>
        <w:t xml:space="preserve"> או </w:t>
      </w:r>
      <w:r>
        <w:rPr>
          <w:rFonts w:hint="cs"/>
          <w:rtl/>
        </w:rPr>
        <w:t>"</w:t>
      </w:r>
      <w:r>
        <w:rPr>
          <w:rtl/>
        </w:rPr>
        <w:t>בכלל לא מפריעה</w:t>
      </w:r>
      <w:r>
        <w:rPr>
          <w:rFonts w:hint="cs"/>
          <w:rtl/>
        </w:rPr>
        <w:t xml:space="preserve">", ראו: הלשכה המרכזית לסטטיסטיקה, </w:t>
      </w:r>
      <w:r w:rsidRPr="00AC5C9F">
        <w:rPr>
          <w:rFonts w:hint="eastAsia"/>
          <w:b/>
          <w:bCs/>
          <w:rtl/>
        </w:rPr>
        <w:t>תוחלת</w:t>
      </w:r>
      <w:r w:rsidRPr="00AC5C9F">
        <w:rPr>
          <w:b/>
          <w:bCs/>
          <w:rtl/>
        </w:rPr>
        <w:t xml:space="preserve"> </w:t>
      </w:r>
      <w:r w:rsidRPr="00AC5C9F">
        <w:rPr>
          <w:rFonts w:hint="eastAsia"/>
          <w:b/>
          <w:bCs/>
          <w:rtl/>
        </w:rPr>
        <w:t>חיים</w:t>
      </w:r>
      <w:r w:rsidRPr="00AC5C9F">
        <w:rPr>
          <w:b/>
          <w:bCs/>
          <w:rtl/>
        </w:rPr>
        <w:t xml:space="preserve"> </w:t>
      </w:r>
      <w:r w:rsidRPr="00AC5C9F">
        <w:rPr>
          <w:rFonts w:hint="eastAsia"/>
          <w:b/>
          <w:bCs/>
          <w:rtl/>
        </w:rPr>
        <w:t>ושנות</w:t>
      </w:r>
      <w:r w:rsidRPr="00AC5C9F">
        <w:rPr>
          <w:b/>
          <w:bCs/>
          <w:rtl/>
        </w:rPr>
        <w:t xml:space="preserve"> </w:t>
      </w:r>
      <w:r w:rsidRPr="00AC5C9F">
        <w:rPr>
          <w:rFonts w:hint="eastAsia"/>
          <w:b/>
          <w:bCs/>
          <w:rtl/>
        </w:rPr>
        <w:t>חיים</w:t>
      </w:r>
      <w:r w:rsidRPr="00AC5C9F">
        <w:rPr>
          <w:b/>
          <w:bCs/>
          <w:rtl/>
        </w:rPr>
        <w:t xml:space="preserve"> </w:t>
      </w:r>
      <w:r w:rsidRPr="00AC5C9F">
        <w:rPr>
          <w:rFonts w:hint="eastAsia"/>
          <w:b/>
          <w:bCs/>
          <w:rtl/>
        </w:rPr>
        <w:t>בריאים</w:t>
      </w:r>
      <w:r>
        <w:rPr>
          <w:rFonts w:hint="cs"/>
          <w:rtl/>
        </w:rPr>
        <w:t xml:space="preserve"> (2024).</w:t>
      </w:r>
    </w:p>
  </w:footnote>
  <w:footnote w:id="46">
    <w:p w:rsidR="00BB532B" w:rsidP="0016536A">
      <w:pPr>
        <w:pStyle w:val="FootnoteText"/>
        <w:rPr>
          <w:rtl/>
        </w:rPr>
      </w:pPr>
      <w:r>
        <w:rPr>
          <w:rStyle w:val="FootnoteReference1"/>
        </w:rPr>
        <w:footnoteRef/>
      </w:r>
      <w:r>
        <w:rPr>
          <w:rtl/>
        </w:rPr>
        <w:t xml:space="preserve"> </w:t>
      </w:r>
      <w:r>
        <w:rPr>
          <w:rtl/>
        </w:rPr>
        <w:tab/>
        <w:t xml:space="preserve">הסקר החברתי הוא סקר שנתי </w:t>
      </w:r>
      <w:r>
        <w:rPr>
          <w:rFonts w:hint="cs"/>
          <w:rtl/>
        </w:rPr>
        <w:t>שעורכת הלמ"ס</w:t>
      </w:r>
      <w:r>
        <w:rPr>
          <w:rtl/>
        </w:rPr>
        <w:t xml:space="preserve"> ברציפות משנת 2002</w:t>
      </w:r>
      <w:r>
        <w:rPr>
          <w:rFonts w:hint="cs"/>
          <w:rtl/>
        </w:rPr>
        <w:t>,</w:t>
      </w:r>
      <w:r>
        <w:rPr>
          <w:rtl/>
        </w:rPr>
        <w:t xml:space="preserve"> והוא מבוסס על מדגם חדש בכל שנה</w:t>
      </w:r>
      <w:r>
        <w:rPr>
          <w:rFonts w:hint="cs"/>
          <w:rtl/>
        </w:rPr>
        <w:t xml:space="preserve">. </w:t>
      </w:r>
      <w:r>
        <w:rPr>
          <w:rtl/>
        </w:rPr>
        <w:t xml:space="preserve">מטרת הסקר </w:t>
      </w:r>
      <w:r>
        <w:rPr>
          <w:rFonts w:hint="cs"/>
          <w:rtl/>
        </w:rPr>
        <w:t xml:space="preserve">היא </w:t>
      </w:r>
      <w:r>
        <w:rPr>
          <w:rtl/>
        </w:rPr>
        <w:t>לספק מידע עדכני על האוכלוסייה בישראל ועל תנאי חייה, ונתוניו מיועדים לשימושם של קובעי מדיניות חברתית, לחוקרים בתחומי החברה והרווחה ולציבור הרחב</w:t>
      </w:r>
      <w:r>
        <w:t>.</w:t>
      </w:r>
    </w:p>
  </w:footnote>
  <w:footnote w:id="47">
    <w:p w:rsidR="00BB532B" w:rsidP="0016536A">
      <w:pPr>
        <w:pStyle w:val="FootnoteText"/>
        <w:rPr>
          <w:rtl/>
        </w:rPr>
      </w:pPr>
      <w:r>
        <w:rPr>
          <w:rStyle w:val="FootnoteReference1"/>
        </w:rPr>
        <w:footnoteRef/>
      </w:r>
      <w:r>
        <w:rPr>
          <w:rtl/>
        </w:rPr>
        <w:t xml:space="preserve"> </w:t>
      </w:r>
      <w:r>
        <w:rPr>
          <w:rtl/>
        </w:rPr>
        <w:tab/>
      </w:r>
      <w:r>
        <w:rPr>
          <w:rFonts w:hint="cs"/>
          <w:rtl/>
        </w:rPr>
        <w:t xml:space="preserve">הלשכה המרכזית לסטטיסטיקה, </w:t>
      </w:r>
      <w:r w:rsidRPr="00AC5C9F">
        <w:rPr>
          <w:rFonts w:hint="eastAsia"/>
          <w:b/>
          <w:bCs/>
          <w:rtl/>
        </w:rPr>
        <w:t>תוחלת</w:t>
      </w:r>
      <w:r w:rsidRPr="00AC5C9F">
        <w:rPr>
          <w:b/>
          <w:bCs/>
          <w:rtl/>
        </w:rPr>
        <w:t xml:space="preserve"> </w:t>
      </w:r>
      <w:r w:rsidRPr="00AC5C9F">
        <w:rPr>
          <w:rFonts w:hint="eastAsia"/>
          <w:b/>
          <w:bCs/>
          <w:rtl/>
        </w:rPr>
        <w:t>חיים</w:t>
      </w:r>
      <w:r w:rsidRPr="00AC5C9F">
        <w:rPr>
          <w:b/>
          <w:bCs/>
          <w:rtl/>
        </w:rPr>
        <w:t xml:space="preserve"> </w:t>
      </w:r>
      <w:r w:rsidRPr="00AC5C9F">
        <w:rPr>
          <w:rFonts w:hint="eastAsia"/>
          <w:b/>
          <w:bCs/>
          <w:rtl/>
        </w:rPr>
        <w:t>ושנות</w:t>
      </w:r>
      <w:r w:rsidRPr="00AC5C9F">
        <w:rPr>
          <w:b/>
          <w:bCs/>
          <w:rtl/>
        </w:rPr>
        <w:t xml:space="preserve"> </w:t>
      </w:r>
      <w:r w:rsidRPr="00AC5C9F">
        <w:rPr>
          <w:rFonts w:hint="eastAsia"/>
          <w:b/>
          <w:bCs/>
          <w:rtl/>
        </w:rPr>
        <w:t>חיים</w:t>
      </w:r>
      <w:r w:rsidRPr="00AC5C9F">
        <w:rPr>
          <w:b/>
          <w:bCs/>
          <w:rtl/>
        </w:rPr>
        <w:t xml:space="preserve"> </w:t>
      </w:r>
      <w:r w:rsidRPr="00AC5C9F">
        <w:rPr>
          <w:rFonts w:hint="eastAsia"/>
          <w:b/>
          <w:bCs/>
          <w:rtl/>
        </w:rPr>
        <w:t>בריאים</w:t>
      </w:r>
      <w:r>
        <w:rPr>
          <w:rFonts w:hint="cs"/>
          <w:rtl/>
        </w:rPr>
        <w:t xml:space="preserve"> (2024).</w:t>
      </w:r>
    </w:p>
  </w:footnote>
  <w:footnote w:id="48">
    <w:p w:rsidR="00BB532B" w:rsidP="0016536A">
      <w:pPr>
        <w:pStyle w:val="FootnoteText"/>
        <w:rPr>
          <w:rtl/>
        </w:rPr>
      </w:pPr>
      <w:r>
        <w:rPr>
          <w:rStyle w:val="FootnoteReference1"/>
        </w:rPr>
        <w:footnoteRef/>
      </w:r>
      <w:r>
        <w:rPr>
          <w:rtl/>
        </w:rPr>
        <w:t xml:space="preserve"> </w:t>
      </w:r>
      <w:r>
        <w:rPr>
          <w:rtl/>
        </w:rPr>
        <w:tab/>
      </w:r>
      <w:r>
        <w:rPr>
          <w:rFonts w:hint="cs"/>
          <w:rtl/>
        </w:rPr>
        <w:t xml:space="preserve">הלשכה המרכזית לסטטיסטיקה, </w:t>
      </w:r>
      <w:r w:rsidRPr="00AC5C9F">
        <w:rPr>
          <w:rFonts w:hint="eastAsia"/>
          <w:b/>
          <w:bCs/>
          <w:rtl/>
        </w:rPr>
        <w:t>תוחלת</w:t>
      </w:r>
      <w:r w:rsidRPr="00AC5C9F">
        <w:rPr>
          <w:b/>
          <w:bCs/>
          <w:rtl/>
        </w:rPr>
        <w:t xml:space="preserve"> </w:t>
      </w:r>
      <w:r w:rsidRPr="00AC5C9F">
        <w:rPr>
          <w:rFonts w:hint="eastAsia"/>
          <w:b/>
          <w:bCs/>
          <w:rtl/>
        </w:rPr>
        <w:t>חיים</w:t>
      </w:r>
      <w:r w:rsidRPr="00AC5C9F">
        <w:rPr>
          <w:b/>
          <w:bCs/>
          <w:rtl/>
        </w:rPr>
        <w:t xml:space="preserve"> </w:t>
      </w:r>
      <w:r w:rsidRPr="00AC5C9F">
        <w:rPr>
          <w:rFonts w:hint="eastAsia"/>
          <w:b/>
          <w:bCs/>
          <w:rtl/>
        </w:rPr>
        <w:t>ושנות</w:t>
      </w:r>
      <w:r w:rsidRPr="00AC5C9F">
        <w:rPr>
          <w:b/>
          <w:bCs/>
          <w:rtl/>
        </w:rPr>
        <w:t xml:space="preserve"> </w:t>
      </w:r>
      <w:r w:rsidRPr="00AC5C9F">
        <w:rPr>
          <w:rFonts w:hint="eastAsia"/>
          <w:b/>
          <w:bCs/>
          <w:rtl/>
        </w:rPr>
        <w:t>חיים</w:t>
      </w:r>
      <w:r w:rsidRPr="00AC5C9F">
        <w:rPr>
          <w:b/>
          <w:bCs/>
          <w:rtl/>
        </w:rPr>
        <w:t xml:space="preserve"> </w:t>
      </w:r>
      <w:r w:rsidRPr="00AC5C9F">
        <w:rPr>
          <w:rFonts w:hint="eastAsia"/>
          <w:b/>
          <w:bCs/>
          <w:rtl/>
        </w:rPr>
        <w:t>בריאים</w:t>
      </w:r>
      <w:r>
        <w:rPr>
          <w:rFonts w:hint="cs"/>
          <w:rtl/>
        </w:rPr>
        <w:t xml:space="preserve"> (2025).</w:t>
      </w:r>
    </w:p>
  </w:footnote>
  <w:footnote w:id="49">
    <w:p w:rsidR="00BB532B" w:rsidP="0016536A">
      <w:pPr>
        <w:pStyle w:val="FootnoteText"/>
        <w:rPr>
          <w:rtl/>
        </w:rPr>
      </w:pPr>
      <w:r>
        <w:rPr>
          <w:rStyle w:val="FootnoteReference1"/>
        </w:rPr>
        <w:footnoteRef/>
      </w:r>
      <w:r>
        <w:rPr>
          <w:rtl/>
        </w:rPr>
        <w:t xml:space="preserve"> </w:t>
      </w:r>
      <w:r>
        <w:rPr>
          <w:rtl/>
        </w:rPr>
        <w:tab/>
      </w:r>
      <w:r w:rsidRPr="008E3C1B">
        <w:rPr>
          <w:rtl/>
        </w:rPr>
        <w:t>עוד בנושא ראו בפרק העוסק ב</w:t>
      </w:r>
      <w:r>
        <w:rPr>
          <w:rFonts w:hint="cs"/>
          <w:rtl/>
        </w:rPr>
        <w:t>מערך הביטוח הסיעודי</w:t>
      </w:r>
      <w:r w:rsidRPr="008E3C1B">
        <w:rPr>
          <w:rtl/>
        </w:rPr>
        <w:t xml:space="preserve"> במקבץ דוחות זה.</w:t>
      </w:r>
    </w:p>
  </w:footnote>
  <w:footnote w:id="50">
    <w:p w:rsidR="00BB532B" w:rsidP="0016536A">
      <w:pPr>
        <w:pStyle w:val="FootnoteText"/>
      </w:pPr>
      <w:r>
        <w:rPr>
          <w:rStyle w:val="FootnoteReference1"/>
        </w:rPr>
        <w:footnoteRef/>
      </w:r>
      <w:r>
        <w:rPr>
          <w:rtl/>
        </w:rPr>
        <w:t xml:space="preserve"> </w:t>
      </w:r>
      <w:r>
        <w:rPr>
          <w:rtl/>
        </w:rPr>
        <w:tab/>
      </w:r>
      <w:r>
        <w:rPr>
          <w:rFonts w:hint="cs"/>
          <w:rtl/>
        </w:rPr>
        <w:t>משרד הבריאות, "התכנית הלאומית להיערכות מערכת הבריאות להזדקנות האוכלוסייה" (לא צוין תאריך פרסום); מצגת של משרד הבריאות, "הזדקנות מיטבית: קידום בריאות ומניעת הדרדרות" (לא צוין תאריך).</w:t>
      </w:r>
    </w:p>
  </w:footnote>
  <w:footnote w:id="51">
    <w:p w:rsidR="00BB532B" w:rsidP="0016536A">
      <w:pPr>
        <w:pStyle w:val="FootnoteText"/>
        <w:rPr>
          <w:rtl/>
        </w:rPr>
      </w:pPr>
      <w:r>
        <w:rPr>
          <w:rStyle w:val="FootnoteReference1"/>
        </w:rPr>
        <w:footnoteRef/>
      </w:r>
      <w:r>
        <w:rPr>
          <w:rtl/>
        </w:rPr>
        <w:t xml:space="preserve"> </w:t>
      </w:r>
      <w:r>
        <w:rPr>
          <w:rtl/>
        </w:rPr>
        <w:tab/>
      </w:r>
      <w:r>
        <w:rPr>
          <w:rFonts w:hint="cs"/>
          <w:rtl/>
        </w:rPr>
        <w:t xml:space="preserve">מדדים להערכת התלות של אדם בזולת בביצוע פעולות היומיום, כגון מעבר בין מצב ישיבה למצב של עמידה, התלבשות, רחצה (במבחן </w:t>
      </w:r>
      <w:r>
        <w:rPr>
          <w:rFonts w:hint="cs"/>
        </w:rPr>
        <w:t>ADL</w:t>
      </w:r>
      <w:r>
        <w:rPr>
          <w:rFonts w:hint="cs"/>
          <w:rtl/>
        </w:rPr>
        <w:t xml:space="preserve">), הכנת אוכל, אחזקת הבית וביצוע קניות (במבחן </w:t>
      </w:r>
      <w:r>
        <w:rPr>
          <w:rFonts w:hint="cs"/>
        </w:rPr>
        <w:t>IADL</w:t>
      </w:r>
      <w:r>
        <w:rPr>
          <w:rFonts w:hint="cs"/>
          <w:rtl/>
        </w:rPr>
        <w:t>).</w:t>
      </w:r>
    </w:p>
  </w:footnote>
  <w:footnote w:id="52">
    <w:p w:rsidR="00BB532B" w:rsidP="0016536A">
      <w:pPr>
        <w:pStyle w:val="FootnoteText"/>
        <w:rPr>
          <w:rtl/>
        </w:rPr>
      </w:pPr>
      <w:r>
        <w:rPr>
          <w:rStyle w:val="FootnoteReference1"/>
        </w:rPr>
        <w:footnoteRef/>
      </w:r>
      <w:r>
        <w:rPr>
          <w:rtl/>
        </w:rPr>
        <w:t xml:space="preserve"> </w:t>
      </w:r>
      <w:r>
        <w:rPr>
          <w:rtl/>
        </w:rPr>
        <w:tab/>
      </w:r>
      <w:r>
        <w:rPr>
          <w:rFonts w:hint="cs"/>
          <w:rtl/>
        </w:rPr>
        <w:t>משרד הבריאות ומאיירס ג'וינט ברוקדייל, "המלצות הוועדה הבין-משרדית לקידום בריאות ומניעת תחלואה כרונית" (2022), עמ' 37. מטרת הוועדה הייתה ליצור</w:t>
      </w:r>
      <w:r>
        <w:rPr>
          <w:rtl/>
        </w:rPr>
        <w:t xml:space="preserve"> שיתוף פעולה בין-משרדי ובין-מגזרי, מיסוד תפיסת "בריאות בכל מדיניות" והובלת מדיניות אסטרטגית כוללת</w:t>
      </w:r>
      <w:r>
        <w:t>.</w:t>
      </w:r>
      <w:r>
        <w:rPr>
          <w:rFonts w:hint="cs"/>
          <w:rtl/>
        </w:rPr>
        <w:t xml:space="preserve"> הגופים שהיו מיוצגים בוועדה כוללים את משרד הבריאות, שהיה המוביל המרכזי, משרד החקלאות, משרד החינוך, המשרד לשוויון חברתי, משרד האוצר, משרד הרווחה, המשרד להגנת הסביבה, משרד הפנים, משרד הספורט, קופות החולים, רשויות מקומיות וארגוני חברה אזרחית.</w:t>
      </w:r>
    </w:p>
  </w:footnote>
  <w:footnote w:id="53">
    <w:p w:rsidR="00BB532B" w:rsidP="0016536A">
      <w:pPr>
        <w:pStyle w:val="FootnoteText"/>
        <w:rPr>
          <w:rtl/>
        </w:rPr>
      </w:pPr>
      <w:r>
        <w:rPr>
          <w:rStyle w:val="FootnoteReference1"/>
        </w:rPr>
        <w:footnoteRef/>
      </w:r>
      <w:r>
        <w:rPr>
          <w:rtl/>
        </w:rPr>
        <w:t xml:space="preserve"> </w:t>
      </w:r>
      <w:r>
        <w:rPr>
          <w:rtl/>
        </w:rPr>
        <w:tab/>
      </w:r>
      <w:r>
        <w:rPr>
          <w:rFonts w:hint="cs"/>
          <w:rtl/>
        </w:rPr>
        <w:t>משרד ראש הממשלה, "עיקרי תוכניות העבודה לשנת 2025" (2025).</w:t>
      </w:r>
    </w:p>
  </w:footnote>
  <w:footnote w:id="54">
    <w:p w:rsidR="00BB532B" w:rsidP="0016536A">
      <w:pPr>
        <w:pStyle w:val="FootnoteText"/>
      </w:pPr>
      <w:r>
        <w:rPr>
          <w:rStyle w:val="FootnoteReference1"/>
        </w:rPr>
        <w:footnoteRef/>
      </w:r>
      <w:r>
        <w:rPr>
          <w:rtl/>
        </w:rPr>
        <w:t xml:space="preserve"> </w:t>
      </w:r>
      <w:r>
        <w:rPr>
          <w:rtl/>
        </w:rPr>
        <w:tab/>
      </w:r>
      <w:r>
        <w:rPr>
          <w:rFonts w:hint="cs"/>
          <w:rtl/>
        </w:rPr>
        <w:t xml:space="preserve">השאלות שנשאלו בסקר: </w:t>
      </w:r>
      <w:r>
        <w:rPr>
          <w:rtl/>
        </w:rPr>
        <w:t>באיזו מידה אתה סבור כי ניתן להאריך שנות חיים בריא</w:t>
      </w:r>
      <w:r>
        <w:rPr>
          <w:rFonts w:hint="cs"/>
          <w:rtl/>
        </w:rPr>
        <w:t>ים</w:t>
      </w:r>
      <w:r>
        <w:rPr>
          <w:rtl/>
        </w:rPr>
        <w:t xml:space="preserve"> של מטופלים?</w:t>
      </w:r>
      <w:r>
        <w:rPr>
          <w:rFonts w:hint="cs"/>
          <w:rtl/>
        </w:rPr>
        <w:t xml:space="preserve"> </w:t>
      </w:r>
      <w:r>
        <w:rPr>
          <w:rtl/>
        </w:rPr>
        <w:t>באיזו מידה משרד הבריאות, קופת החולים והר"י שמים דגש מספק על הארכת שנות חיים בריאים?</w:t>
      </w:r>
    </w:p>
  </w:footnote>
  <w:footnote w:id="55">
    <w:p w:rsidR="00BB532B" w:rsidP="0016536A">
      <w:pPr>
        <w:pStyle w:val="FootnoteText"/>
        <w:rPr>
          <w:rtl/>
        </w:rPr>
      </w:pPr>
      <w:r>
        <w:rPr>
          <w:rStyle w:val="FootnoteReference1"/>
        </w:rPr>
        <w:footnoteRef/>
      </w:r>
      <w:r>
        <w:rPr>
          <w:rtl/>
        </w:rPr>
        <w:t xml:space="preserve"> </w:t>
      </w:r>
      <w:r>
        <w:rPr>
          <w:rtl/>
        </w:rPr>
        <w:tab/>
      </w:r>
      <w:r>
        <w:rPr>
          <w:rFonts w:hint="cs"/>
          <w:rtl/>
        </w:rPr>
        <w:t xml:space="preserve">ראו לדוגמה: </w:t>
      </w:r>
      <w:r w:rsidRPr="004940E3">
        <w:t>Fabienne Hershkowitz Sikron</w:t>
      </w:r>
      <w:r>
        <w:t xml:space="preserve"> et al.,</w:t>
      </w:r>
      <w:r w:rsidRPr="004940E3">
        <w:t xml:space="preserve"> </w:t>
      </w:r>
      <w:r>
        <w:t xml:space="preserve">“Development and validation of an electronic frailty index in a national health maintenance organization”, </w:t>
      </w:r>
      <w:r w:rsidRPr="00AC5C9F">
        <w:rPr>
          <w:b/>
          <w:bCs/>
        </w:rPr>
        <w:t>Aging</w:t>
      </w:r>
      <w:r>
        <w:t xml:space="preserve"> 16 (2024), pp. 13025 - 13038</w:t>
      </w:r>
      <w:r>
        <w:rPr>
          <w:rFonts w:hint="cs"/>
          <w:rtl/>
        </w:rPr>
        <w:t>, וכן ב:</w:t>
      </w:r>
      <w:r>
        <w:t xml:space="preserve"> </w:t>
      </w:r>
      <w:r w:rsidRPr="00BD5062">
        <w:t>A</w:t>
      </w:r>
      <w:r>
        <w:t xml:space="preserve">ndres Clegg et al., “Development and validation of an electronic frailty index using routine primary care electronic health record data”, </w:t>
      </w:r>
      <w:r w:rsidRPr="00AC5C9F">
        <w:rPr>
          <w:b/>
          <w:bCs/>
        </w:rPr>
        <w:t>Age and Ageing</w:t>
      </w:r>
      <w:r>
        <w:t xml:space="preserve"> 24 (2016), pp. 353 - 360</w:t>
      </w:r>
      <w:r>
        <w:rPr>
          <w:rFonts w:hint="cs"/>
          <w:rtl/>
        </w:rPr>
        <w:t>.</w:t>
      </w:r>
    </w:p>
  </w:footnote>
  <w:footnote w:id="56">
    <w:p w:rsidR="00BB532B" w:rsidP="0016536A">
      <w:pPr>
        <w:pStyle w:val="FootnoteText"/>
      </w:pPr>
      <w:r>
        <w:rPr>
          <w:rStyle w:val="FootnoteReference1"/>
        </w:rPr>
        <w:footnoteRef/>
      </w:r>
      <w:r>
        <w:rPr>
          <w:rtl/>
        </w:rPr>
        <w:t xml:space="preserve"> </w:t>
      </w:r>
      <w:r>
        <w:rPr>
          <w:rtl/>
        </w:rPr>
        <w:tab/>
      </w:r>
      <w:r>
        <w:rPr>
          <w:rFonts w:hint="cs"/>
          <w:rtl/>
        </w:rPr>
        <w:t xml:space="preserve">חשוב לציין כי שיעור הזקנים עם שבריריות ברמה בינונית או חמורה תלוי במדד השבריריות המסוים שבו נעשה שימוש. כך, קיים הבדל בשיעור זה בין קופות חולים שונות, בשל הגדרה שונה שלהן את רמות החומרה של השבריריות, </w:t>
      </w:r>
      <w:r w:rsidRPr="0012673C">
        <w:rPr>
          <w:rFonts w:hint="cs"/>
          <w:rtl/>
        </w:rPr>
        <w:t xml:space="preserve">ראו </w:t>
      </w:r>
      <w:r w:rsidRPr="0012673C">
        <w:rPr>
          <w:rFonts w:hint="eastAsia"/>
          <w:rtl/>
        </w:rPr>
        <w:t>בפרק</w:t>
      </w:r>
      <w:r w:rsidRPr="0012673C">
        <w:rPr>
          <w:rtl/>
        </w:rPr>
        <w:t xml:space="preserve"> העוסק במדידת השבריריות בדוח זה.</w:t>
      </w:r>
    </w:p>
  </w:footnote>
  <w:footnote w:id="57">
    <w:p w:rsidR="00BB532B" w:rsidP="0016536A">
      <w:pPr>
        <w:pStyle w:val="FootnoteText"/>
        <w:rPr>
          <w:rtl/>
        </w:rPr>
      </w:pPr>
      <w:r>
        <w:rPr>
          <w:rStyle w:val="FootnoteReference1"/>
        </w:rPr>
        <w:footnoteRef/>
      </w:r>
      <w:r>
        <w:rPr>
          <w:rtl/>
        </w:rPr>
        <w:t xml:space="preserve"> </w:t>
      </w:r>
      <w:r>
        <w:rPr>
          <w:rtl/>
        </w:rPr>
        <w:tab/>
      </w:r>
      <w:r>
        <w:rPr>
          <w:rFonts w:hint="cs"/>
          <w:rtl/>
        </w:rPr>
        <w:t xml:space="preserve">לדוגמה, במחקר שנערך על חברי מאוחדת בני 65 ומעלה נמצא כי אצל כ-13% מהם חלה החמרה בדרגת השבריריות במהלך שנה, ראו: </w:t>
      </w:r>
      <w:r w:rsidRPr="003C2052">
        <w:t>Fabienne Hershkowitz Sikron</w:t>
      </w:r>
      <w:r>
        <w:t>, et al.,</w:t>
      </w:r>
      <w:r w:rsidRPr="003C2052">
        <w:t xml:space="preserve"> </w:t>
      </w:r>
      <w:r>
        <w:t>“</w:t>
      </w:r>
      <w:r w:rsidRPr="003C2052">
        <w:t>Frailty transitions in electronic health records: who first? what first?</w:t>
      </w:r>
      <w:r>
        <w:t xml:space="preserve">”, </w:t>
      </w:r>
      <w:r w:rsidRPr="00AC5C9F">
        <w:rPr>
          <w:b/>
          <w:bCs/>
        </w:rPr>
        <w:t xml:space="preserve">Aging </w:t>
      </w:r>
      <w:r>
        <w:t>17 (2025), pp. 1 - 16</w:t>
      </w:r>
      <w:r>
        <w:rPr>
          <w:rFonts w:hint="cs"/>
          <w:rtl/>
        </w:rPr>
        <w:t>.</w:t>
      </w:r>
    </w:p>
  </w:footnote>
  <w:footnote w:id="58">
    <w:p w:rsidR="00BB532B" w:rsidP="0016536A">
      <w:pPr>
        <w:pStyle w:val="FootnoteText"/>
        <w:rPr>
          <w:rtl/>
        </w:rPr>
      </w:pPr>
      <w:r>
        <w:rPr>
          <w:rStyle w:val="FootnoteReference1"/>
        </w:rPr>
        <w:footnoteRef/>
      </w:r>
      <w:r>
        <w:rPr>
          <w:rtl/>
        </w:rPr>
        <w:t xml:space="preserve"> </w:t>
      </w:r>
      <w:r>
        <w:rPr>
          <w:rtl/>
        </w:rPr>
        <w:tab/>
      </w:r>
      <w:r w:rsidRPr="00EC4F60">
        <w:t>P</w:t>
      </w:r>
      <w:r>
        <w:t>enelope</w:t>
      </w:r>
      <w:r w:rsidRPr="00EC4F60">
        <w:t xml:space="preserve"> J. B</w:t>
      </w:r>
      <w:r>
        <w:t>oyd, et al.,</w:t>
      </w:r>
      <w:r w:rsidRPr="00EC4F60">
        <w:t xml:space="preserve"> </w:t>
      </w:r>
      <w:r>
        <w:t>“The electronic frailty index as an indicator of community healthcare service utilization in the older population”,</w:t>
      </w:r>
      <w:r w:rsidRPr="00C35DC5">
        <w:t xml:space="preserve"> </w:t>
      </w:r>
      <w:r w:rsidRPr="00AC5C9F">
        <w:rPr>
          <w:b/>
          <w:bCs/>
        </w:rPr>
        <w:t>Age and Ageing</w:t>
      </w:r>
      <w:r w:rsidRPr="00C35DC5">
        <w:t xml:space="preserve"> </w:t>
      </w:r>
      <w:r>
        <w:t>(</w:t>
      </w:r>
      <w:r w:rsidRPr="00C35DC5">
        <w:t>2024</w:t>
      </w:r>
      <w:r>
        <w:t>), pp.</w:t>
      </w:r>
      <w:r w:rsidRPr="00C35DC5">
        <w:t xml:space="preserve"> 53</w:t>
      </w:r>
      <w:r>
        <w:t xml:space="preserve"> - 62.</w:t>
      </w:r>
    </w:p>
  </w:footnote>
  <w:footnote w:id="59">
    <w:p w:rsidR="00BB532B" w:rsidP="0016536A">
      <w:pPr>
        <w:pStyle w:val="FootnoteText"/>
        <w:rPr>
          <w:rtl/>
        </w:rPr>
      </w:pPr>
      <w:r>
        <w:rPr>
          <w:rStyle w:val="FootnoteReference1"/>
        </w:rPr>
        <w:footnoteRef/>
      </w:r>
      <w:r>
        <w:rPr>
          <w:rtl/>
        </w:rPr>
        <w:t xml:space="preserve"> </w:t>
      </w:r>
      <w:r>
        <w:rPr>
          <w:rtl/>
        </w:rPr>
        <w:tab/>
      </w:r>
      <w:r w:rsidRPr="0075144E">
        <w:t>Kun-Pei Lin</w:t>
      </w:r>
      <w:r>
        <w:t>, et al., “Prediction of adverse health outcomes using an electronic frailty index</w:t>
      </w:r>
      <w:r>
        <w:rPr>
          <w:rFonts w:hint="cs"/>
          <w:rtl/>
        </w:rPr>
        <w:t xml:space="preserve"> </w:t>
      </w:r>
      <w:r>
        <w:t xml:space="preserve">among nonfrail and prefrail community elders”, </w:t>
      </w:r>
      <w:r w:rsidRPr="00AC5C9F">
        <w:rPr>
          <w:b/>
          <w:bCs/>
        </w:rPr>
        <w:t xml:space="preserve">BMC </w:t>
      </w:r>
      <w:r>
        <w:rPr>
          <w:b/>
          <w:bCs/>
        </w:rPr>
        <w:t>G</w:t>
      </w:r>
      <w:r w:rsidRPr="00AC5C9F">
        <w:rPr>
          <w:b/>
          <w:bCs/>
        </w:rPr>
        <w:t>eriatrics</w:t>
      </w:r>
      <w:r w:rsidRPr="006A15D7">
        <w:t xml:space="preserve"> 23 (2023)</w:t>
      </w:r>
      <w:r>
        <w:t>, pp.</w:t>
      </w:r>
      <w:r w:rsidRPr="006A15D7">
        <w:t xml:space="preserve"> 474</w:t>
      </w:r>
      <w:r>
        <w:t>.</w:t>
      </w:r>
    </w:p>
  </w:footnote>
  <w:footnote w:id="60">
    <w:p w:rsidR="00BB532B" w:rsidP="0016536A">
      <w:pPr>
        <w:pStyle w:val="FootnoteText"/>
        <w:rPr>
          <w:rtl/>
        </w:rPr>
      </w:pPr>
      <w:r>
        <w:rPr>
          <w:rStyle w:val="FootnoteReference1"/>
        </w:rPr>
        <w:footnoteRef/>
      </w:r>
      <w:r>
        <w:rPr>
          <w:rtl/>
        </w:rPr>
        <w:t xml:space="preserve"> </w:t>
      </w:r>
      <w:r>
        <w:rPr>
          <w:rtl/>
        </w:rPr>
        <w:tab/>
      </w:r>
      <w:r w:rsidRPr="0075144E">
        <w:t>Kun-Pei Lin</w:t>
      </w:r>
      <w:r>
        <w:t>, et al., “Prediction of adverse health outcomes using an electronic frailty index</w:t>
      </w:r>
      <w:r>
        <w:rPr>
          <w:rFonts w:hint="cs"/>
          <w:rtl/>
        </w:rPr>
        <w:t xml:space="preserve"> </w:t>
      </w:r>
      <w:r>
        <w:t xml:space="preserve">among nonfrail and prefrail community elders”, </w:t>
      </w:r>
      <w:r w:rsidRPr="00AC5C9F">
        <w:rPr>
          <w:b/>
          <w:bCs/>
        </w:rPr>
        <w:t>BMC Geriatrics</w:t>
      </w:r>
      <w:r w:rsidRPr="006A15D7">
        <w:t xml:space="preserve"> 23 (2023)</w:t>
      </w:r>
      <w:r>
        <w:t>, pp.</w:t>
      </w:r>
      <w:r w:rsidRPr="006A15D7">
        <w:t xml:space="preserve"> 474</w:t>
      </w:r>
      <w:r>
        <w:t>.</w:t>
      </w:r>
    </w:p>
  </w:footnote>
  <w:footnote w:id="61">
    <w:p w:rsidR="00BB532B" w:rsidP="0016536A">
      <w:pPr>
        <w:pStyle w:val="FootnoteText"/>
      </w:pPr>
      <w:r>
        <w:rPr>
          <w:rStyle w:val="FootnoteReference1"/>
        </w:rPr>
        <w:footnoteRef/>
      </w:r>
      <w:r>
        <w:rPr>
          <w:rtl/>
        </w:rPr>
        <w:t xml:space="preserve"> </w:t>
      </w:r>
      <w:r>
        <w:rPr>
          <w:rtl/>
        </w:rPr>
        <w:tab/>
      </w:r>
      <w:r w:rsidRPr="003C2052">
        <w:t>Fabienne Hershkowitz Sikron</w:t>
      </w:r>
      <w:r>
        <w:t>, et al.,</w:t>
      </w:r>
      <w:r w:rsidRPr="003C2052">
        <w:t xml:space="preserve"> </w:t>
      </w:r>
      <w:r>
        <w:t>“</w:t>
      </w:r>
      <w:r w:rsidRPr="003C2052">
        <w:t xml:space="preserve">Frailty transitions in electronic health records: </w:t>
      </w:r>
      <w:r>
        <w:t>w</w:t>
      </w:r>
      <w:r w:rsidRPr="003C2052">
        <w:t>ho first? what first?</w:t>
      </w:r>
      <w:r>
        <w:t xml:space="preserve">”, </w:t>
      </w:r>
      <w:r w:rsidRPr="00AC5C9F">
        <w:rPr>
          <w:b/>
          <w:bCs/>
        </w:rPr>
        <w:t>Aging</w:t>
      </w:r>
      <w:r>
        <w:t xml:space="preserve"> 17 (2025), pp. 1 - 16.</w:t>
      </w:r>
    </w:p>
  </w:footnote>
  <w:footnote w:id="62">
    <w:p w:rsidR="00BB532B" w:rsidRPr="00A616E5" w:rsidP="0016536A">
      <w:pPr>
        <w:pStyle w:val="FootnoteText"/>
        <w:rPr>
          <w:rtl/>
        </w:rPr>
      </w:pPr>
      <w:r>
        <w:rPr>
          <w:rStyle w:val="FootnoteReference1"/>
        </w:rPr>
        <w:footnoteRef/>
      </w:r>
      <w:r>
        <w:rPr>
          <w:rtl/>
        </w:rPr>
        <w:t xml:space="preserve"> </w:t>
      </w:r>
      <w:r>
        <w:rPr>
          <w:rtl/>
        </w:rPr>
        <w:tab/>
      </w:r>
      <w:r w:rsidRPr="00A616E5">
        <w:t>Kathryn E. Callahan</w:t>
      </w:r>
      <w:r>
        <w:t>,</w:t>
      </w:r>
      <w:r w:rsidRPr="00A616E5">
        <w:t xml:space="preserve"> </w:t>
      </w:r>
      <w:r>
        <w:t>“</w:t>
      </w:r>
      <w:r w:rsidRPr="00A616E5">
        <w:t>Automated Frailty Screening At-Scale for Pre-Operative Risk Stratification Using the Electronic Frailty Index</w:t>
      </w:r>
      <w:r>
        <w:t>,</w:t>
      </w:r>
      <w:r w:rsidRPr="00A616E5">
        <w:t xml:space="preserve"> </w:t>
      </w:r>
      <w:r w:rsidRPr="00AC5C9F">
        <w:rPr>
          <w:b/>
          <w:bCs/>
        </w:rPr>
        <w:t>Journal of the American Geriatrics Society</w:t>
      </w:r>
      <w:r w:rsidRPr="00A616E5">
        <w:t xml:space="preserve"> 69 (2021)</w:t>
      </w:r>
      <w:r>
        <w:t>, pp.</w:t>
      </w:r>
      <w:r w:rsidRPr="00A616E5">
        <w:t>1357</w:t>
      </w:r>
      <w:r>
        <w:t xml:space="preserve"> - </w:t>
      </w:r>
      <w:r w:rsidRPr="00A616E5">
        <w:t>1362</w:t>
      </w:r>
      <w:r>
        <w:t>.</w:t>
      </w:r>
      <w:r>
        <w:rPr>
          <w:rFonts w:hint="cs"/>
          <w:rtl/>
        </w:rPr>
        <w:t xml:space="preserve"> </w:t>
      </w:r>
    </w:p>
  </w:footnote>
  <w:footnote w:id="63">
    <w:p w:rsidR="00BB532B" w:rsidP="0016536A">
      <w:pPr>
        <w:pStyle w:val="FootnoteText"/>
        <w:rPr>
          <w:rtl/>
        </w:rPr>
      </w:pPr>
      <w:r>
        <w:rPr>
          <w:rStyle w:val="FootnoteReference1"/>
        </w:rPr>
        <w:footnoteRef/>
      </w:r>
      <w:r>
        <w:rPr>
          <w:rtl/>
        </w:rPr>
        <w:t xml:space="preserve"> </w:t>
      </w:r>
      <w:r>
        <w:rPr>
          <w:rtl/>
        </w:rPr>
        <w:tab/>
      </w:r>
      <w:r w:rsidRPr="003C2052">
        <w:t>Fabienne Hershkowitz Sikron</w:t>
      </w:r>
      <w:r>
        <w:t>, et al.,</w:t>
      </w:r>
      <w:r w:rsidRPr="003C2052">
        <w:t xml:space="preserve"> </w:t>
      </w:r>
      <w:r>
        <w:t>“</w:t>
      </w:r>
      <w:r w:rsidRPr="003C2052">
        <w:t>Frailty transitions in electronic health records: who first? what first?</w:t>
      </w:r>
      <w:r>
        <w:t xml:space="preserve">”, </w:t>
      </w:r>
      <w:r w:rsidRPr="00AC5C9F">
        <w:rPr>
          <w:b/>
          <w:bCs/>
        </w:rPr>
        <w:t>Aging</w:t>
      </w:r>
      <w:r>
        <w:t xml:space="preserve"> 17 (2025), pp. 1 - 16.</w:t>
      </w:r>
    </w:p>
  </w:footnote>
  <w:footnote w:id="64">
    <w:p w:rsidR="00BB532B" w:rsidP="0016536A">
      <w:pPr>
        <w:pStyle w:val="FootnoteText"/>
        <w:rPr>
          <w:rtl/>
        </w:rPr>
      </w:pPr>
      <w:r>
        <w:rPr>
          <w:rStyle w:val="FootnoteReference1"/>
        </w:rPr>
        <w:footnoteRef/>
      </w:r>
      <w:r>
        <w:rPr>
          <w:rtl/>
        </w:rPr>
        <w:t xml:space="preserve"> </w:t>
      </w:r>
      <w:r>
        <w:rPr>
          <w:rtl/>
        </w:rPr>
        <w:tab/>
      </w:r>
      <w:r w:rsidRPr="003C2052">
        <w:t>Fabienne Hershkowitz Sikron</w:t>
      </w:r>
      <w:r>
        <w:t>, et al.,</w:t>
      </w:r>
      <w:r w:rsidRPr="003C2052">
        <w:t xml:space="preserve"> </w:t>
      </w:r>
      <w:r>
        <w:t>“</w:t>
      </w:r>
      <w:r w:rsidRPr="003C2052">
        <w:t>Frailty transitions in electronic health records: who first? what first?</w:t>
      </w:r>
      <w:r>
        <w:t xml:space="preserve">, </w:t>
      </w:r>
      <w:r w:rsidRPr="00AC5C9F">
        <w:rPr>
          <w:b/>
          <w:bCs/>
        </w:rPr>
        <w:t>Aging</w:t>
      </w:r>
      <w:r>
        <w:t xml:space="preserve"> 17 (2025), pp. 1 - 16</w:t>
      </w:r>
      <w:r>
        <w:rPr>
          <w:rFonts w:hint="cs"/>
          <w:rtl/>
        </w:rPr>
        <w:t xml:space="preserve">; </w:t>
      </w:r>
      <w:r w:rsidRPr="005C27A7">
        <w:rPr>
          <w:rFonts w:hint="cs"/>
          <w:rtl/>
        </w:rPr>
        <w:t xml:space="preserve">קופת חולים מאוחדת, </w:t>
      </w:r>
      <w:r>
        <w:rPr>
          <w:rFonts w:hint="cs"/>
          <w:rtl/>
        </w:rPr>
        <w:t>"</w:t>
      </w:r>
      <w:r w:rsidRPr="005C27A7">
        <w:rPr>
          <w:rFonts w:hint="cs"/>
          <w:rtl/>
        </w:rPr>
        <w:t>המ</w:t>
      </w:r>
      <w:r>
        <w:rPr>
          <w:rFonts w:hint="cs"/>
          <w:rtl/>
        </w:rPr>
        <w:t>י</w:t>
      </w:r>
      <w:r w:rsidRPr="005C27A7">
        <w:rPr>
          <w:rFonts w:hint="cs"/>
          <w:rtl/>
        </w:rPr>
        <w:t>נהל לאזרחים ותיקים - תפיסה אסטרטגית ותוכנית עבודה רב שנתית</w:t>
      </w:r>
      <w:r>
        <w:rPr>
          <w:rFonts w:hint="cs"/>
          <w:rtl/>
        </w:rPr>
        <w:t>"</w:t>
      </w:r>
      <w:r w:rsidRPr="005C27A7">
        <w:rPr>
          <w:rFonts w:hint="cs"/>
          <w:rtl/>
        </w:rPr>
        <w:t xml:space="preserve"> (2022).</w:t>
      </w:r>
      <w:r>
        <w:rPr>
          <w:rFonts w:hint="cs"/>
          <w:rtl/>
        </w:rPr>
        <w:t xml:space="preserve"> </w:t>
      </w:r>
    </w:p>
  </w:footnote>
  <w:footnote w:id="65">
    <w:p w:rsidR="00BB532B" w:rsidP="0016536A">
      <w:pPr>
        <w:pStyle w:val="FootnoteText"/>
        <w:rPr>
          <w:rtl/>
        </w:rPr>
      </w:pPr>
      <w:r>
        <w:rPr>
          <w:rStyle w:val="FootnoteReference1"/>
        </w:rPr>
        <w:footnoteRef/>
      </w:r>
      <w:r>
        <w:rPr>
          <w:rtl/>
        </w:rPr>
        <w:t xml:space="preserve"> </w:t>
      </w:r>
      <w:r>
        <w:rPr>
          <w:rtl/>
        </w:rPr>
        <w:tab/>
      </w:r>
      <w:r w:rsidRPr="00E414B8">
        <w:rPr>
          <w:rtl/>
        </w:rPr>
        <w:t>מדד איכות ברפואה הינו קריטריון המבטא באופן כמותי היבט מסוים של בריאות, כגון תחלואה, מניעה, טיב טיפול ותוצאות טיפול</w:t>
      </w:r>
      <w:r>
        <w:rPr>
          <w:rFonts w:hint="cs"/>
          <w:rtl/>
        </w:rPr>
        <w:t>; ראו הר"י, "מדדי איכות ברפואה" (2016)</w:t>
      </w:r>
      <w:r w:rsidRPr="00E414B8">
        <w:rPr>
          <w:rtl/>
        </w:rPr>
        <w:t xml:space="preserve">. </w:t>
      </w:r>
    </w:p>
  </w:footnote>
  <w:footnote w:id="66">
    <w:p w:rsidR="00BB532B" w:rsidP="0016536A">
      <w:pPr>
        <w:pStyle w:val="FootnoteText"/>
      </w:pPr>
      <w:r>
        <w:rPr>
          <w:rStyle w:val="FootnoteReference1"/>
        </w:rPr>
        <w:footnoteRef/>
      </w:r>
      <w:r>
        <w:rPr>
          <w:rtl/>
        </w:rPr>
        <w:t xml:space="preserve"> </w:t>
      </w:r>
      <w:r>
        <w:rPr>
          <w:rtl/>
        </w:rPr>
        <w:tab/>
      </w:r>
      <w:r>
        <w:rPr>
          <w:rFonts w:hint="cs"/>
          <w:rtl/>
        </w:rPr>
        <w:t>מצגת של משרד הבריאות, "הזדקנות מיטבית: קידום בריאות ומניעת הדרדרות" (לא צוין תאריך פרסום).</w:t>
      </w:r>
    </w:p>
  </w:footnote>
  <w:footnote w:id="67">
    <w:p w:rsidR="00BB532B" w:rsidP="0016536A">
      <w:pPr>
        <w:pStyle w:val="FootnoteText"/>
        <w:rPr>
          <w:rtl/>
        </w:rPr>
      </w:pPr>
      <w:r>
        <w:rPr>
          <w:rStyle w:val="FootnoteReference1"/>
        </w:rPr>
        <w:footnoteRef/>
      </w:r>
      <w:r>
        <w:rPr>
          <w:rtl/>
        </w:rPr>
        <w:t xml:space="preserve"> </w:t>
      </w:r>
      <w:r>
        <w:rPr>
          <w:rtl/>
        </w:rPr>
        <w:tab/>
      </w:r>
      <w:r w:rsidRPr="00CB0CCE">
        <w:rPr>
          <w:rtl/>
        </w:rPr>
        <w:t xml:space="preserve">משרד הבריאות ומאיירס ג'וינט ברוקדייל, </w:t>
      </w:r>
      <w:r>
        <w:rPr>
          <w:rFonts w:hint="cs"/>
          <w:rtl/>
        </w:rPr>
        <w:t>"</w:t>
      </w:r>
      <w:r w:rsidRPr="00CB0CCE">
        <w:rPr>
          <w:rtl/>
        </w:rPr>
        <w:t>המלצות הוועדה הבין-משרדית לקידום בריאות ומניעת תחלואה כרונית</w:t>
      </w:r>
      <w:r>
        <w:rPr>
          <w:rFonts w:hint="cs"/>
          <w:rtl/>
        </w:rPr>
        <w:t>"</w:t>
      </w:r>
      <w:r w:rsidRPr="00CB0CCE">
        <w:rPr>
          <w:rtl/>
        </w:rPr>
        <w:t xml:space="preserve"> (2022)</w:t>
      </w:r>
      <w:r>
        <w:rPr>
          <w:rFonts w:hint="cs"/>
          <w:rtl/>
        </w:rPr>
        <w:t>.</w:t>
      </w:r>
    </w:p>
  </w:footnote>
  <w:footnote w:id="68">
    <w:p w:rsidR="00BB532B" w:rsidRPr="007A18D8" w:rsidP="0016536A">
      <w:pPr>
        <w:pStyle w:val="FootnoteText"/>
        <w:rPr>
          <w:rtl/>
        </w:rPr>
      </w:pPr>
      <w:r>
        <w:rPr>
          <w:rStyle w:val="FootnoteReference1"/>
        </w:rPr>
        <w:footnoteRef/>
      </w:r>
      <w:r>
        <w:rPr>
          <w:rtl/>
        </w:rPr>
        <w:t xml:space="preserve"> </w:t>
      </w:r>
      <w:r>
        <w:rPr>
          <w:rtl/>
        </w:rPr>
        <w:tab/>
      </w:r>
      <w:hyperlink r:id="rId1" w:anchor="what-does-the-new-frailty-identification-requirement-in-the-gp-contract-mean-for-general-practice" w:history="1">
        <w:r w:rsidRPr="00E47F9D">
          <w:rPr>
            <w:rStyle w:val="Hyperlink"/>
          </w:rPr>
          <w:t>https://www.england.nhs.uk/ourwork/clinical-policy/older-people/frailty/efi/#what-does-the-new-frailty-identification-requirement-in-the-gp-contract-mean-for-general-practice</w:t>
        </w:r>
      </w:hyperlink>
      <w:r>
        <w:rPr>
          <w:rFonts w:hint="cs"/>
          <w:rtl/>
        </w:rPr>
        <w:t xml:space="preserve">; </w:t>
      </w:r>
      <w:r>
        <w:t xml:space="preserve">Andrew Clegg, </w:t>
      </w:r>
      <w:r w:rsidRPr="007A18D8">
        <w:t>Using the new version of the electronic frailty index (eFI2) to aid the</w:t>
      </w:r>
      <w:r>
        <w:t xml:space="preserve"> </w:t>
      </w:r>
      <w:r w:rsidRPr="007A18D8">
        <w:t>identification and management of frailty in primary care</w:t>
      </w:r>
      <w:r>
        <w:t>, in press.</w:t>
      </w:r>
      <w:r>
        <w:rPr>
          <w:rFonts w:hint="cs"/>
          <w:rtl/>
        </w:rPr>
        <w:t xml:space="preserve"> </w:t>
      </w:r>
    </w:p>
  </w:footnote>
  <w:footnote w:id="69">
    <w:p w:rsidR="00BB532B" w:rsidP="0016536A">
      <w:pPr>
        <w:pStyle w:val="FootnoteText"/>
        <w:rPr>
          <w:rtl/>
        </w:rPr>
      </w:pPr>
      <w:r>
        <w:rPr>
          <w:rStyle w:val="FootnoteReference1"/>
        </w:rPr>
        <w:footnoteRef/>
      </w:r>
      <w:r>
        <w:rPr>
          <w:rtl/>
        </w:rPr>
        <w:t xml:space="preserve"> </w:t>
      </w:r>
      <w:r>
        <w:rPr>
          <w:rtl/>
        </w:rPr>
        <w:tab/>
      </w:r>
      <w:r>
        <w:t>MRC Unit for Lifelong Health and Ageing, Frailty in younger people meeting (NIHR policy research) (2024)..</w:t>
      </w:r>
    </w:p>
  </w:footnote>
  <w:footnote w:id="70">
    <w:p w:rsidR="00BB532B" w:rsidP="0016536A">
      <w:pPr>
        <w:pStyle w:val="FootnoteText"/>
      </w:pPr>
      <w:r>
        <w:rPr>
          <w:rStyle w:val="FootnoteReference1"/>
        </w:rPr>
        <w:footnoteRef/>
      </w:r>
      <w:r>
        <w:rPr>
          <w:rtl/>
        </w:rPr>
        <w:t xml:space="preserve"> </w:t>
      </w:r>
      <w:r>
        <w:rPr>
          <w:rtl/>
        </w:rPr>
        <w:tab/>
      </w:r>
      <w:r>
        <w:rPr>
          <w:rFonts w:hint="cs"/>
          <w:rtl/>
        </w:rPr>
        <w:t>המדד עבר תיקוף מול נתונים כגון אשפוזים ותמותה וכן עבר בקרת עמיתים לקראת פרסומו בספרות המקצועית.</w:t>
      </w:r>
    </w:p>
  </w:footnote>
  <w:footnote w:id="71">
    <w:p w:rsidR="00BB532B" w:rsidP="0016536A">
      <w:pPr>
        <w:pStyle w:val="FootnoteText"/>
        <w:rPr>
          <w:rtl/>
        </w:rPr>
      </w:pPr>
      <w:r>
        <w:rPr>
          <w:rStyle w:val="FootnoteReference1"/>
        </w:rPr>
        <w:footnoteRef/>
      </w:r>
      <w:r>
        <w:rPr>
          <w:rtl/>
        </w:rPr>
        <w:t xml:space="preserve"> </w:t>
      </w:r>
      <w:r>
        <w:rPr>
          <w:rtl/>
        </w:rPr>
        <w:tab/>
      </w:r>
      <w:r>
        <w:rPr>
          <w:rFonts w:hint="cs"/>
          <w:rtl/>
        </w:rPr>
        <w:t>נתוני מכבי; בשל אופן עיבוד הנתונים באמצעות סטטה, התרשים מוצג עבור בני 66 ומעלה.</w:t>
      </w:r>
    </w:p>
  </w:footnote>
  <w:footnote w:id="72">
    <w:p w:rsidR="00BB532B" w:rsidP="0016536A">
      <w:pPr>
        <w:pStyle w:val="FootnoteText"/>
      </w:pPr>
      <w:r>
        <w:rPr>
          <w:rStyle w:val="FootnoteReference1"/>
        </w:rPr>
        <w:footnoteRef/>
      </w:r>
      <w:r>
        <w:rPr>
          <w:rtl/>
        </w:rPr>
        <w:t xml:space="preserve"> </w:t>
      </w:r>
      <w:r>
        <w:rPr>
          <w:rtl/>
        </w:rPr>
        <w:tab/>
      </w:r>
      <w:r>
        <w:rPr>
          <w:rFonts w:hint="cs"/>
          <w:rtl/>
        </w:rPr>
        <w:t>ג'וינט ישראל אשל, "אתגרי הזדקנות האוכלוסייה בישראל" (לא צוין תאריך).</w:t>
      </w:r>
    </w:p>
  </w:footnote>
  <w:footnote w:id="73">
    <w:p w:rsidR="00BB532B" w:rsidP="0016536A">
      <w:pPr>
        <w:pStyle w:val="FootnoteText"/>
        <w:rPr>
          <w:rtl/>
        </w:rPr>
      </w:pPr>
      <w:r>
        <w:rPr>
          <w:rStyle w:val="FootnoteReference1"/>
        </w:rPr>
        <w:footnoteRef/>
      </w:r>
      <w:r>
        <w:rPr>
          <w:rtl/>
        </w:rPr>
        <w:t xml:space="preserve"> </w:t>
      </w:r>
      <w:r>
        <w:rPr>
          <w:rtl/>
        </w:rPr>
        <w:tab/>
      </w:r>
      <w:r>
        <w:rPr>
          <w:rFonts w:hint="cs"/>
          <w:rtl/>
        </w:rPr>
        <w:t xml:space="preserve">לדיון בנושא ראו: </w:t>
      </w:r>
      <w:r w:rsidRPr="00D2451F">
        <w:t>Matt Kaeberlein</w:t>
      </w:r>
      <w:r>
        <w:t>,</w:t>
      </w:r>
      <w:r w:rsidRPr="00D2451F">
        <w:t xml:space="preserve"> </w:t>
      </w:r>
      <w:r>
        <w:t>“</w:t>
      </w:r>
      <w:r w:rsidRPr="00D2451F">
        <w:t>How healthy is the healthspan concept?</w:t>
      </w:r>
      <w:r>
        <w:t xml:space="preserve">”, </w:t>
      </w:r>
      <w:r w:rsidRPr="00AC5C9F">
        <w:rPr>
          <w:b/>
          <w:bCs/>
        </w:rPr>
        <w:t>GeroScience</w:t>
      </w:r>
      <w:r w:rsidRPr="00D2451F">
        <w:t xml:space="preserve"> 40</w:t>
      </w:r>
      <w:r>
        <w:t xml:space="preserve"> (2018), pp. </w:t>
      </w:r>
      <w:r w:rsidRPr="00D2451F">
        <w:t>361</w:t>
      </w:r>
      <w:r>
        <w:t xml:space="preserve"> - </w:t>
      </w:r>
      <w:r w:rsidRPr="00D2451F">
        <w:t>364</w:t>
      </w:r>
      <w:r>
        <w:rPr>
          <w:rFonts w:hint="cs"/>
          <w:rtl/>
        </w:rPr>
        <w:t>.</w:t>
      </w:r>
    </w:p>
  </w:footnote>
  <w:footnote w:id="74">
    <w:p w:rsidR="00BB532B" w:rsidP="0016536A">
      <w:pPr>
        <w:pStyle w:val="FootnoteText"/>
        <w:rPr>
          <w:rtl/>
        </w:rPr>
      </w:pPr>
      <w:r>
        <w:rPr>
          <w:rStyle w:val="FootnoteReference1"/>
        </w:rPr>
        <w:footnoteRef/>
      </w:r>
      <w:r>
        <w:rPr>
          <w:rtl/>
        </w:rPr>
        <w:t xml:space="preserve"> </w:t>
      </w:r>
      <w:r>
        <w:rPr>
          <w:rtl/>
        </w:rPr>
        <w:tab/>
      </w:r>
      <w:r>
        <w:rPr>
          <w:rFonts w:hint="cs"/>
          <w:rtl/>
        </w:rPr>
        <w:t>משרד הבריאות, "שנות חיים בבריאות טובה" (לא צוין תאריך פרסום).</w:t>
      </w:r>
    </w:p>
  </w:footnote>
  <w:footnote w:id="75">
    <w:p w:rsidR="00BB532B" w:rsidRPr="00D02B12" w:rsidP="0016536A">
      <w:pPr>
        <w:pStyle w:val="FootnoteText"/>
        <w:rPr>
          <w:rtl/>
        </w:rPr>
      </w:pPr>
      <w:r>
        <w:rPr>
          <w:rStyle w:val="FootnoteReference1"/>
        </w:rPr>
        <w:footnoteRef/>
      </w:r>
      <w:r>
        <w:rPr>
          <w:rtl/>
        </w:rPr>
        <w:t xml:space="preserve"> </w:t>
      </w:r>
      <w:r>
        <w:tab/>
      </w:r>
      <w:r w:rsidRPr="00BE059E">
        <w:t>Eurostat</w:t>
      </w:r>
      <w:r w:rsidRPr="00BE059E">
        <w:rPr>
          <w:rtl/>
        </w:rPr>
        <w:t xml:space="preserve"> הוא הגוף המרכזי לסטטיסטיקה של האיחוד האירופי, האחראי על פרסום נתונים ואינדיקטורים</w:t>
      </w:r>
      <w:r>
        <w:rPr>
          <w:rFonts w:hint="cs"/>
          <w:rtl/>
        </w:rPr>
        <w:t xml:space="preserve"> </w:t>
      </w:r>
      <w:r w:rsidRPr="00BE059E">
        <w:rPr>
          <w:rtl/>
        </w:rPr>
        <w:t>סטטיסטיים רשמיים ומשווים ברחבי אירופה.</w:t>
      </w:r>
    </w:p>
  </w:footnote>
  <w:footnote w:id="76">
    <w:p w:rsidR="00BB532B" w:rsidP="0016536A">
      <w:pPr>
        <w:pStyle w:val="FootnoteText"/>
        <w:rPr>
          <w:rtl/>
        </w:rPr>
      </w:pPr>
      <w:r>
        <w:rPr>
          <w:rStyle w:val="FootnoteReference1"/>
        </w:rPr>
        <w:footnoteRef/>
      </w:r>
      <w:r>
        <w:rPr>
          <w:rtl/>
        </w:rPr>
        <w:t xml:space="preserve"> </w:t>
      </w:r>
      <w:r>
        <w:rPr>
          <w:rtl/>
        </w:rPr>
        <w:tab/>
      </w:r>
      <w:r w:rsidRPr="00D2451F">
        <w:t>Matt Kaeberlein</w:t>
      </w:r>
      <w:r>
        <w:t>,</w:t>
      </w:r>
      <w:r w:rsidRPr="00D2451F">
        <w:t xml:space="preserve"> </w:t>
      </w:r>
      <w:r>
        <w:t>“</w:t>
      </w:r>
      <w:r w:rsidRPr="00D2451F">
        <w:t>How healthy is the healthspan concept?</w:t>
      </w:r>
      <w:r>
        <w:t xml:space="preserve">”, </w:t>
      </w:r>
      <w:r w:rsidRPr="009A2E33">
        <w:rPr>
          <w:b/>
          <w:bCs/>
        </w:rPr>
        <w:t>GeroScience</w:t>
      </w:r>
      <w:r w:rsidRPr="00D2451F">
        <w:t xml:space="preserve"> 40</w:t>
      </w:r>
      <w:r>
        <w:t xml:space="preserve"> (2018), pp. </w:t>
      </w:r>
      <w:r w:rsidRPr="00D2451F">
        <w:t>361</w:t>
      </w:r>
      <w:r>
        <w:t xml:space="preserve"> - </w:t>
      </w:r>
      <w:r w:rsidRPr="00D2451F">
        <w:t>364</w:t>
      </w:r>
      <w:r>
        <w:rPr>
          <w:rFonts w:hint="cs"/>
          <w:rtl/>
        </w:rPr>
        <w:t>.</w:t>
      </w:r>
    </w:p>
  </w:footnote>
  <w:footnote w:id="77">
    <w:p w:rsidR="00BB532B" w:rsidP="0016536A">
      <w:pPr>
        <w:pStyle w:val="FootnoteText"/>
        <w:rPr>
          <w:rtl/>
        </w:rPr>
      </w:pPr>
      <w:r>
        <w:rPr>
          <w:rStyle w:val="FootnoteReference1"/>
        </w:rPr>
        <w:footnoteRef/>
      </w:r>
      <w:r>
        <w:rPr>
          <w:rtl/>
        </w:rPr>
        <w:t xml:space="preserve"> </w:t>
      </w:r>
      <w:r>
        <w:rPr>
          <w:rtl/>
        </w:rPr>
        <w:tab/>
      </w:r>
      <w:r>
        <w:rPr>
          <w:rFonts w:hint="cs"/>
          <w:rtl/>
        </w:rPr>
        <w:t>ראו לדוגמה:</w:t>
      </w:r>
      <w:r w:rsidRPr="007E02D1">
        <w:t xml:space="preserve"> </w:t>
      </w:r>
      <w:r w:rsidRPr="00D2451F">
        <w:t>Matt Kaeberlein</w:t>
      </w:r>
      <w:r>
        <w:t>,</w:t>
      </w:r>
      <w:r w:rsidRPr="00D2451F">
        <w:t xml:space="preserve"> </w:t>
      </w:r>
      <w:r>
        <w:t>“</w:t>
      </w:r>
      <w:r w:rsidRPr="00D2451F">
        <w:t>How healthy is the healthspan concept?</w:t>
      </w:r>
      <w:r>
        <w:t xml:space="preserve">”, </w:t>
      </w:r>
      <w:r w:rsidRPr="009A2E33">
        <w:rPr>
          <w:b/>
          <w:bCs/>
        </w:rPr>
        <w:t>GeroScience</w:t>
      </w:r>
      <w:r w:rsidRPr="00D2451F">
        <w:t xml:space="preserve"> 40</w:t>
      </w:r>
      <w:r>
        <w:t xml:space="preserve"> (2018), pp. </w:t>
      </w:r>
      <w:r w:rsidRPr="00D2451F">
        <w:t>361</w:t>
      </w:r>
      <w:r>
        <w:t xml:space="preserve"> - </w:t>
      </w:r>
      <w:r w:rsidRPr="00D2451F">
        <w:t>364</w:t>
      </w:r>
      <w:r>
        <w:rPr>
          <w:rFonts w:hint="cs"/>
          <w:rtl/>
        </w:rPr>
        <w:t>.</w:t>
      </w:r>
    </w:p>
  </w:footnote>
  <w:footnote w:id="78">
    <w:p w:rsidR="00BB532B" w:rsidP="0016536A">
      <w:pPr>
        <w:pStyle w:val="FootnoteText"/>
        <w:rPr>
          <w:rtl/>
        </w:rPr>
      </w:pPr>
      <w:r>
        <w:rPr>
          <w:rStyle w:val="FootnoteReference1"/>
        </w:rPr>
        <w:footnoteRef/>
      </w:r>
      <w:r>
        <w:rPr>
          <w:rtl/>
        </w:rPr>
        <w:t xml:space="preserve"> </w:t>
      </w:r>
      <w:r>
        <w:rPr>
          <w:rtl/>
        </w:rPr>
        <w:tab/>
      </w:r>
      <w:r w:rsidRPr="001F6C53">
        <w:rPr>
          <w:rtl/>
        </w:rPr>
        <w:t>במאוחדת סף המעבר מקטגוריית "איתן"</w:t>
      </w:r>
      <w:r>
        <w:rPr>
          <w:rFonts w:hint="cs"/>
          <w:rtl/>
        </w:rPr>
        <w:t>,</w:t>
      </w:r>
      <w:r w:rsidRPr="001F6C53">
        <w:rPr>
          <w:rtl/>
        </w:rPr>
        <w:t xml:space="preserve"> כלומר בריא, לקטגוריית "קדם</w:t>
      </w:r>
      <w:r>
        <w:rPr>
          <w:rFonts w:hint="cs"/>
          <w:rtl/>
        </w:rPr>
        <w:t>-</w:t>
      </w:r>
      <w:r w:rsidRPr="001F6C53">
        <w:rPr>
          <w:rtl/>
        </w:rPr>
        <w:t>שברירי", כלומר חולה, הוא 5 נקודות, דהיינו, חמישה ליקויים בריאותיים ומעלה, בהתאם לסף במדד השבריריות שהוטמע במערך הבריאות בקהילה בבריטניה. במכבי סף המעבר מקטגוריית "איתן" לקטגוריית "קדם</w:t>
      </w:r>
      <w:r>
        <w:rPr>
          <w:rFonts w:hint="cs"/>
          <w:rtl/>
        </w:rPr>
        <w:t>-</w:t>
      </w:r>
      <w:r w:rsidRPr="001F6C53">
        <w:rPr>
          <w:rtl/>
        </w:rPr>
        <w:t>שברירי" הוא 10 נקודות, והבדיקה נעשתה עבור סף זה</w:t>
      </w:r>
      <w:r>
        <w:rPr>
          <w:rFonts w:hint="cs"/>
          <w:rtl/>
        </w:rPr>
        <w:t>. לצורך השלמת התמונה, בוצעה בדיקה נוספת של נתוני 'מכבי'</w:t>
      </w:r>
      <w:r w:rsidRPr="001F6C53">
        <w:rPr>
          <w:rtl/>
        </w:rPr>
        <w:t xml:space="preserve"> עבור סף של 5 נקודות </w:t>
      </w:r>
      <w:r>
        <w:rPr>
          <w:rFonts w:hint="cs"/>
          <w:rtl/>
        </w:rPr>
        <w:t>- הסף הרלוונטי לפי</w:t>
      </w:r>
      <w:r w:rsidRPr="001F6C53">
        <w:rPr>
          <w:rtl/>
        </w:rPr>
        <w:t xml:space="preserve"> </w:t>
      </w:r>
      <w:r>
        <w:rPr>
          <w:rFonts w:hint="cs"/>
          <w:rtl/>
        </w:rPr>
        <w:t>ה</w:t>
      </w:r>
      <w:r w:rsidRPr="001F6C53">
        <w:rPr>
          <w:rtl/>
        </w:rPr>
        <w:t>מדד בבריטניה</w:t>
      </w:r>
      <w:r>
        <w:rPr>
          <w:rFonts w:hint="cs"/>
          <w:rtl/>
        </w:rPr>
        <w:t xml:space="preserve"> (ובמאוחדת), על אף שמרכיבי המדדים הם כאמור שונים</w:t>
      </w:r>
      <w:r w:rsidRPr="001F6C53">
        <w:rPr>
          <w:rtl/>
        </w:rPr>
        <w:t>.</w:t>
      </w:r>
    </w:p>
  </w:footnote>
  <w:footnote w:id="79">
    <w:p w:rsidR="00BB532B" w:rsidP="0016536A">
      <w:pPr>
        <w:pStyle w:val="FootnoteText"/>
        <w:rPr>
          <w:rtl/>
        </w:rPr>
      </w:pPr>
      <w:r>
        <w:rPr>
          <w:rStyle w:val="FootnoteReference1"/>
        </w:rPr>
        <w:footnoteRef/>
      </w:r>
      <w:r>
        <w:rPr>
          <w:rtl/>
        </w:rPr>
        <w:t xml:space="preserve"> </w:t>
      </w:r>
      <w:r>
        <w:rPr>
          <w:rtl/>
        </w:rPr>
        <w:tab/>
      </w:r>
      <w:r>
        <w:rPr>
          <w:rFonts w:hint="cs"/>
          <w:rtl/>
        </w:rPr>
        <w:t xml:space="preserve">נתוני הלמ"ס </w:t>
      </w:r>
      <w:r w:rsidRPr="007302B4">
        <w:rPr>
          <w:rFonts w:hint="cs"/>
          <w:rtl/>
        </w:rPr>
        <w:t>פורסמו ב-</w:t>
      </w:r>
      <w:r w:rsidRPr="00C528C8">
        <w:rPr>
          <w:rtl/>
        </w:rPr>
        <w:t>2025</w:t>
      </w:r>
      <w:r w:rsidRPr="008561AA">
        <w:rPr>
          <w:rFonts w:hint="cs"/>
          <w:rtl/>
        </w:rPr>
        <w:t xml:space="preserve"> ומתייחסים לתוחלת חיים בריאים ב-2024; וכן הלשכה המרכזית לסטטיסטיקה, </w:t>
      </w:r>
      <w:r w:rsidRPr="00D96F94">
        <w:rPr>
          <w:rFonts w:hint="eastAsia"/>
          <w:b/>
          <w:bCs/>
          <w:rtl/>
        </w:rPr>
        <w:t>תוחלת</w:t>
      </w:r>
      <w:r w:rsidRPr="00D96F94">
        <w:rPr>
          <w:b/>
          <w:bCs/>
          <w:rtl/>
        </w:rPr>
        <w:t xml:space="preserve"> </w:t>
      </w:r>
      <w:r w:rsidRPr="00D96F94">
        <w:rPr>
          <w:rFonts w:hint="eastAsia"/>
          <w:b/>
          <w:bCs/>
          <w:rtl/>
        </w:rPr>
        <w:t>חיים</w:t>
      </w:r>
      <w:r w:rsidRPr="00D96F94">
        <w:rPr>
          <w:b/>
          <w:bCs/>
          <w:rtl/>
        </w:rPr>
        <w:t xml:space="preserve"> </w:t>
      </w:r>
      <w:r w:rsidRPr="00D96F94">
        <w:rPr>
          <w:rFonts w:hint="eastAsia"/>
          <w:b/>
          <w:bCs/>
          <w:rtl/>
        </w:rPr>
        <w:t>ושנות</w:t>
      </w:r>
      <w:r w:rsidRPr="00D96F94">
        <w:rPr>
          <w:b/>
          <w:bCs/>
          <w:rtl/>
        </w:rPr>
        <w:t xml:space="preserve"> </w:t>
      </w:r>
      <w:r w:rsidRPr="00D96F94">
        <w:rPr>
          <w:rFonts w:hint="eastAsia"/>
          <w:b/>
          <w:bCs/>
          <w:rtl/>
        </w:rPr>
        <w:t>חיים</w:t>
      </w:r>
      <w:r w:rsidRPr="00AC5C9F">
        <w:rPr>
          <w:b/>
          <w:bCs/>
          <w:rtl/>
        </w:rPr>
        <w:t xml:space="preserve"> </w:t>
      </w:r>
      <w:r w:rsidRPr="00AC5C9F">
        <w:rPr>
          <w:rFonts w:hint="eastAsia"/>
          <w:b/>
          <w:bCs/>
          <w:rtl/>
        </w:rPr>
        <w:t>בריאים</w:t>
      </w:r>
      <w:r>
        <w:rPr>
          <w:rFonts w:hint="cs"/>
          <w:rtl/>
        </w:rPr>
        <w:t xml:space="preserve"> (2024).</w:t>
      </w:r>
    </w:p>
  </w:footnote>
  <w:footnote w:id="80">
    <w:p w:rsidR="00BB532B" w:rsidP="0016536A">
      <w:pPr>
        <w:pStyle w:val="FootnoteText"/>
        <w:rPr>
          <w:rtl/>
        </w:rPr>
      </w:pPr>
      <w:r>
        <w:rPr>
          <w:rStyle w:val="FootnoteReference1"/>
        </w:rPr>
        <w:footnoteRef/>
      </w:r>
      <w:r>
        <w:rPr>
          <w:rtl/>
        </w:rPr>
        <w:t xml:space="preserve"> </w:t>
      </w:r>
      <w:r>
        <w:rPr>
          <w:rtl/>
        </w:rPr>
        <w:tab/>
      </w:r>
      <w:r>
        <w:rPr>
          <w:rFonts w:hint="cs"/>
          <w:rtl/>
        </w:rPr>
        <w:t>מכבי, נתוני שבריריות (2025), ניתוח הנתונים.</w:t>
      </w:r>
    </w:p>
  </w:footnote>
  <w:footnote w:id="81">
    <w:p w:rsidR="00BB532B" w:rsidP="0016536A">
      <w:pPr>
        <w:pStyle w:val="FootnoteText"/>
      </w:pPr>
      <w:r>
        <w:rPr>
          <w:rStyle w:val="FootnoteReference1"/>
        </w:rPr>
        <w:footnoteRef/>
      </w:r>
      <w:r>
        <w:rPr>
          <w:rtl/>
        </w:rPr>
        <w:t xml:space="preserve"> </w:t>
      </w:r>
      <w:r>
        <w:rPr>
          <w:rtl/>
        </w:rPr>
        <w:tab/>
      </w:r>
      <w:r>
        <w:rPr>
          <w:rFonts w:hint="cs"/>
          <w:rtl/>
        </w:rPr>
        <w:t>מאוחדת, נתוני שבריריות (2025).</w:t>
      </w:r>
    </w:p>
  </w:footnote>
  <w:footnote w:id="82">
    <w:p w:rsidR="00BB532B" w:rsidRPr="0027791F" w:rsidP="0016536A">
      <w:pPr>
        <w:pStyle w:val="FootnoteText"/>
      </w:pPr>
      <w:r>
        <w:rPr>
          <w:rStyle w:val="FootnoteReference1"/>
        </w:rPr>
        <w:footnoteRef/>
      </w:r>
      <w:r>
        <w:rPr>
          <w:rtl/>
        </w:rPr>
        <w:t xml:space="preserve"> </w:t>
      </w:r>
      <w:r>
        <w:rPr>
          <w:rtl/>
        </w:rPr>
        <w:tab/>
      </w:r>
      <w:r w:rsidRPr="0027791F">
        <w:rPr>
          <w:rtl/>
        </w:rPr>
        <w:t>שיטת סאליבן (</w:t>
      </w:r>
      <w:r w:rsidRPr="0027791F">
        <w:t>Sullivan</w:t>
      </w:r>
      <w:r w:rsidRPr="0027791F">
        <w:rPr>
          <w:rtl/>
        </w:rPr>
        <w:t>) להערכת תוחלת חיים בריאים משלבת בין לוח חיים (שמבוסס על שיעורי תמותה), כפי שמפרסמת הלמ"ס, לבין נתוני סקר על מצב בריאות האוכלוסייה לפי גיל (למשל, שיעור אנשים ללא מוגבלות כפי שנוקטת הלמ"ס או שיעור השבריריות כפי שננקט בדוח זה). כדי לקבל את תוחלת החיים הבריאים יש לחלק את שנות החיים הצפויות בגיל נתון לשנות חיים בריאים ולשנות חיים עם חולי, לפי השכיחות בגיל המתאים. כך מקבלים לא רק כמה שנים חיים, אלא גם כמה מהן צפויות להיות בריאות.</w:t>
      </w:r>
    </w:p>
  </w:footnote>
  <w:footnote w:id="83">
    <w:p w:rsidR="00BB532B" w:rsidP="0016536A">
      <w:pPr>
        <w:pStyle w:val="FootnoteText"/>
        <w:rPr>
          <w:rtl/>
        </w:rPr>
      </w:pPr>
      <w:r>
        <w:rPr>
          <w:rStyle w:val="FootnoteReference1"/>
        </w:rPr>
        <w:footnoteRef/>
      </w:r>
      <w:r>
        <w:rPr>
          <w:rtl/>
        </w:rPr>
        <w:t xml:space="preserve"> </w:t>
      </w:r>
      <w:r>
        <w:rPr>
          <w:rtl/>
        </w:rPr>
        <w:tab/>
      </w:r>
      <w:r w:rsidRPr="0076784B">
        <w:rPr>
          <w:rtl/>
        </w:rPr>
        <w:t xml:space="preserve">סקר הבריאות, הזדקנות ופרישה באירופה (להלן - סקר </w:t>
      </w:r>
      <w:r w:rsidRPr="0076784B">
        <w:t>SHARE</w:t>
      </w:r>
      <w:r w:rsidRPr="0076784B">
        <w:rPr>
          <w:rtl/>
        </w:rPr>
        <w:t>). סקר זה, הוא תשתית מחקרית שנועדה לחקור את ההשפעות של מדיניות בריאות, חברה, כלכלה והסביבה על אורח חייהם של אזרחי אירופה ומעבר לה</w:t>
      </w:r>
      <w:r>
        <w:rPr>
          <w:rFonts w:hint="cs"/>
          <w:rtl/>
        </w:rPr>
        <w:t>.</w:t>
      </w:r>
    </w:p>
  </w:footnote>
  <w:footnote w:id="84">
    <w:p w:rsidR="00BB532B" w:rsidP="0016536A">
      <w:pPr>
        <w:pStyle w:val="FootnoteText"/>
        <w:rPr>
          <w:rtl/>
        </w:rPr>
      </w:pPr>
      <w:r>
        <w:rPr>
          <w:rStyle w:val="FootnoteReference1"/>
        </w:rPr>
        <w:footnoteRef/>
      </w:r>
      <w:r>
        <w:rPr>
          <w:rtl/>
        </w:rPr>
        <w:t xml:space="preserve"> </w:t>
      </w:r>
      <w:r>
        <w:rPr>
          <w:rtl/>
        </w:rPr>
        <w:tab/>
      </w:r>
      <w:r>
        <w:rPr>
          <w:rFonts w:hint="cs"/>
          <w:rtl/>
        </w:rPr>
        <w:t xml:space="preserve"> </w:t>
      </w:r>
      <w:r w:rsidRPr="00B51648">
        <w:t>Mark</w:t>
      </w:r>
      <w:r>
        <w:t xml:space="preserve"> </w:t>
      </w:r>
      <w:r w:rsidRPr="00B51648">
        <w:t>R.</w:t>
      </w:r>
      <w:r w:rsidR="00216EC2">
        <w:t xml:space="preserve"> </w:t>
      </w:r>
      <w:r w:rsidRPr="00B51648">
        <w:t>O’Donovan</w:t>
      </w:r>
      <w:r>
        <w:t xml:space="preserve"> et al., “</w:t>
      </w:r>
      <w:r w:rsidRPr="00B51648">
        <w:t>Comparing</w:t>
      </w:r>
      <w:r>
        <w:t xml:space="preserve"> </w:t>
      </w:r>
      <w:r w:rsidRPr="00B51648">
        <w:t>frailty</w:t>
      </w:r>
      <w:r>
        <w:t xml:space="preserve"> </w:t>
      </w:r>
      <w:r w:rsidRPr="00B51648">
        <w:t>prevalence</w:t>
      </w:r>
      <w:r>
        <w:t xml:space="preserve"> </w:t>
      </w:r>
      <w:r w:rsidRPr="00B51648">
        <w:t>between</w:t>
      </w:r>
      <w:r>
        <w:t xml:space="preserve"> </w:t>
      </w:r>
      <w:r w:rsidRPr="00B51648">
        <w:t>countries:</w:t>
      </w:r>
      <w:r>
        <w:t xml:space="preserve"> V</w:t>
      </w:r>
      <w:r w:rsidRPr="00B51648">
        <w:t>alidation</w:t>
      </w:r>
      <w:r>
        <w:t xml:space="preserve"> </w:t>
      </w:r>
      <w:r w:rsidRPr="00B51648">
        <w:t>of</w:t>
      </w:r>
      <w:r>
        <w:t xml:space="preserve"> </w:t>
      </w:r>
      <w:r w:rsidRPr="00B51648">
        <w:t>the</w:t>
      </w:r>
      <w:r>
        <w:t xml:space="preserve"> </w:t>
      </w:r>
      <w:r w:rsidRPr="00B51648">
        <w:t>Global</w:t>
      </w:r>
      <w:r>
        <w:t xml:space="preserve"> </w:t>
      </w:r>
      <w:r w:rsidRPr="00B51648">
        <w:t>Burden</w:t>
      </w:r>
      <w:r>
        <w:t xml:space="preserve"> </w:t>
      </w:r>
      <w:r w:rsidRPr="00B51648">
        <w:t>of</w:t>
      </w:r>
      <w:r>
        <w:t xml:space="preserve"> </w:t>
      </w:r>
      <w:r w:rsidRPr="00B51648">
        <w:t>Disease</w:t>
      </w:r>
      <w:r>
        <w:t xml:space="preserve"> </w:t>
      </w:r>
      <w:r w:rsidRPr="00B51648">
        <w:t>study</w:t>
      </w:r>
      <w:r>
        <w:t xml:space="preserve"> </w:t>
      </w:r>
      <w:r w:rsidRPr="00B51648">
        <w:t>Frailty</w:t>
      </w:r>
      <w:r>
        <w:t xml:space="preserve"> </w:t>
      </w:r>
      <w:r w:rsidRPr="00B51648">
        <w:t>Index</w:t>
      </w:r>
      <w:r>
        <w:t xml:space="preserve"> </w:t>
      </w:r>
      <w:r w:rsidRPr="00B51648">
        <w:t>(GBD-FI)</w:t>
      </w:r>
      <w:r>
        <w:t xml:space="preserve"> </w:t>
      </w:r>
      <w:r w:rsidRPr="00B51648">
        <w:t>in</w:t>
      </w:r>
      <w:r>
        <w:t xml:space="preserve"> </w:t>
      </w:r>
      <w:r w:rsidRPr="00B51648">
        <w:t>the</w:t>
      </w:r>
      <w:r>
        <w:t xml:space="preserve"> </w:t>
      </w:r>
      <w:r w:rsidRPr="00B51648">
        <w:t>survey</w:t>
      </w:r>
      <w:r>
        <w:t xml:space="preserve"> </w:t>
      </w:r>
      <w:r w:rsidRPr="00B51648">
        <w:t>of</w:t>
      </w:r>
      <w:r>
        <w:t xml:space="preserve"> </w:t>
      </w:r>
      <w:r w:rsidRPr="00B51648">
        <w:t>health,</w:t>
      </w:r>
      <w:r>
        <w:t xml:space="preserve"> </w:t>
      </w:r>
      <w:r w:rsidRPr="00B51648">
        <w:t>ageing</w:t>
      </w:r>
      <w:r>
        <w:t xml:space="preserve"> </w:t>
      </w:r>
      <w:r w:rsidRPr="00B51648">
        <w:t>and</w:t>
      </w:r>
      <w:r>
        <w:t xml:space="preserve"> </w:t>
      </w:r>
      <w:r w:rsidRPr="00B51648">
        <w:t>retirement</w:t>
      </w:r>
      <w:r>
        <w:t xml:space="preserve"> </w:t>
      </w:r>
      <w:r w:rsidRPr="00B51648">
        <w:t>in</w:t>
      </w:r>
      <w:r>
        <w:t xml:space="preserve"> </w:t>
      </w:r>
      <w:r w:rsidRPr="00B51648">
        <w:t>Europe</w:t>
      </w:r>
      <w:r>
        <w:t>”,</w:t>
      </w:r>
      <w:r w:rsidRPr="00B51648">
        <w:t xml:space="preserve"> </w:t>
      </w:r>
      <w:r w:rsidRPr="00AC5C9F">
        <w:rPr>
          <w:b/>
          <w:bCs/>
        </w:rPr>
        <w:t>Age and Ageing</w:t>
      </w:r>
      <w:r>
        <w:t xml:space="preserve"> 52 (2023), pp. 1 - 10.</w:t>
      </w:r>
      <w:r>
        <w:rPr>
          <w:rFonts w:hint="cs"/>
          <w:rtl/>
        </w:rPr>
        <w:t xml:space="preserve"> </w:t>
      </w:r>
    </w:p>
  </w:footnote>
  <w:footnote w:id="85">
    <w:p w:rsidR="00BB532B" w:rsidP="0016536A">
      <w:pPr>
        <w:pStyle w:val="FootnoteText"/>
      </w:pPr>
      <w:r>
        <w:rPr>
          <w:rStyle w:val="FootnoteReference1"/>
        </w:rPr>
        <w:footnoteRef/>
      </w:r>
      <w:r>
        <w:rPr>
          <w:rtl/>
        </w:rPr>
        <w:t xml:space="preserve"> </w:t>
      </w:r>
      <w:r>
        <w:rPr>
          <w:rtl/>
        </w:rPr>
        <w:tab/>
      </w:r>
      <w:r>
        <w:rPr>
          <w:rFonts w:hint="cs"/>
          <w:rtl/>
        </w:rPr>
        <w:t>חוק ביטוח בריאות ממלכתי, התשנ"ד-1994, תוספת שלישית, סעיף 1(3).</w:t>
      </w:r>
    </w:p>
  </w:footnote>
  <w:footnote w:id="86">
    <w:p w:rsidR="00BB532B" w:rsidP="0016536A">
      <w:pPr>
        <w:pStyle w:val="FootnoteText"/>
        <w:rPr>
          <w:rtl/>
        </w:rPr>
      </w:pPr>
      <w:r>
        <w:rPr>
          <w:rStyle w:val="FootnoteReference1"/>
        </w:rPr>
        <w:footnoteRef/>
      </w:r>
      <w:r>
        <w:rPr>
          <w:rtl/>
        </w:rPr>
        <w:t xml:space="preserve"> </w:t>
      </w:r>
      <w:r>
        <w:rPr>
          <w:rtl/>
        </w:rPr>
        <w:tab/>
      </w:r>
      <w:r>
        <w:rPr>
          <w:rFonts w:hint="cs"/>
          <w:rtl/>
        </w:rPr>
        <w:t xml:space="preserve">משרד ראש הממשלה, "עיקרי תוכניות העבודה לשנת 2025" (2025); משרד הבריאות, "היערכות מערכת הבריאות להזדקנות האוכלוסייה" (לא צוין תאריך). </w:t>
      </w:r>
    </w:p>
  </w:footnote>
  <w:footnote w:id="87">
    <w:p w:rsidR="00BB532B" w:rsidP="0016536A">
      <w:pPr>
        <w:pStyle w:val="FootnoteText"/>
      </w:pPr>
      <w:r>
        <w:rPr>
          <w:rStyle w:val="FootnoteReference1"/>
        </w:rPr>
        <w:footnoteRef/>
      </w:r>
      <w:r>
        <w:rPr>
          <w:rtl/>
        </w:rPr>
        <w:t xml:space="preserve"> </w:t>
      </w:r>
      <w:r>
        <w:rPr>
          <w:rtl/>
        </w:rPr>
        <w:tab/>
      </w:r>
      <w:r>
        <w:rPr>
          <w:rFonts w:hint="cs"/>
          <w:rtl/>
        </w:rPr>
        <w:t>משרד הבריאות, "התכנית הלאומית להיערכות מערכת הבריאות להזדקנות האוכלוסייה" (לא צוין תאריך פרסום).</w:t>
      </w:r>
    </w:p>
  </w:footnote>
  <w:footnote w:id="88">
    <w:p w:rsidR="00BB532B" w:rsidP="0016536A">
      <w:pPr>
        <w:pStyle w:val="FootnoteText"/>
      </w:pPr>
      <w:r>
        <w:rPr>
          <w:rStyle w:val="FootnoteReference1"/>
        </w:rPr>
        <w:footnoteRef/>
      </w:r>
      <w:r>
        <w:rPr>
          <w:rtl/>
        </w:rPr>
        <w:t xml:space="preserve"> </w:t>
      </w:r>
      <w:r>
        <w:rPr>
          <w:rtl/>
        </w:rPr>
        <w:tab/>
      </w:r>
      <w:r>
        <w:rPr>
          <w:rFonts w:hint="cs"/>
          <w:rtl/>
        </w:rPr>
        <w:t>משרד הבריאות, "התכנית הלאומית להיערכות מערכת הבריאות להזדקנות האוכלוסייה" (לא צוין תאריך פרסום).</w:t>
      </w:r>
    </w:p>
  </w:footnote>
  <w:footnote w:id="89">
    <w:p w:rsidR="00BB532B" w:rsidP="0016536A">
      <w:pPr>
        <w:pStyle w:val="FootnoteText"/>
      </w:pPr>
      <w:r>
        <w:rPr>
          <w:rStyle w:val="FootnoteReference1"/>
        </w:rPr>
        <w:footnoteRef/>
      </w:r>
      <w:r>
        <w:rPr>
          <w:rtl/>
        </w:rPr>
        <w:t xml:space="preserve"> </w:t>
      </w:r>
      <w:r>
        <w:rPr>
          <w:rtl/>
        </w:rPr>
        <w:tab/>
      </w:r>
      <w:r>
        <w:rPr>
          <w:rFonts w:hint="cs"/>
          <w:rtl/>
        </w:rPr>
        <w:t xml:space="preserve">המכון לאיכות ברפואה, "המלצות כוח המשימה הישראלי בנושא: קידום בריאות ורפואה מונעת" (2022). </w:t>
      </w:r>
    </w:p>
  </w:footnote>
  <w:footnote w:id="90">
    <w:p w:rsidR="00BB532B" w:rsidP="0016536A">
      <w:pPr>
        <w:pStyle w:val="FootnoteText"/>
        <w:rPr>
          <w:rtl/>
        </w:rPr>
      </w:pPr>
      <w:r>
        <w:rPr>
          <w:rStyle w:val="FootnoteReference1"/>
        </w:rPr>
        <w:footnoteRef/>
      </w:r>
      <w:r>
        <w:rPr>
          <w:rtl/>
        </w:rPr>
        <w:t xml:space="preserve"> </w:t>
      </w:r>
      <w:r>
        <w:rPr>
          <w:rtl/>
        </w:rPr>
        <w:tab/>
      </w:r>
      <w:r>
        <w:rPr>
          <w:rFonts w:hint="cs"/>
          <w:rtl/>
        </w:rPr>
        <w:t>פעולות שמטרתן לשפר את היכולת של אנשים להבין מידע בריאותי ורפואי ולקבל החלטות מושכלות בנוגע לבריאותם.</w:t>
      </w:r>
    </w:p>
  </w:footnote>
  <w:footnote w:id="91">
    <w:p w:rsidR="00BB532B" w:rsidRPr="00B30709" w:rsidP="0016536A">
      <w:pPr>
        <w:pStyle w:val="FootnoteText"/>
        <w:rPr>
          <w:rtl/>
        </w:rPr>
      </w:pPr>
      <w:r>
        <w:rPr>
          <w:rStyle w:val="FootnoteReference1"/>
        </w:rPr>
        <w:footnoteRef/>
      </w:r>
      <w:r>
        <w:rPr>
          <w:rtl/>
        </w:rPr>
        <w:t xml:space="preserve"> </w:t>
      </w:r>
      <w:r>
        <w:rPr>
          <w:rtl/>
        </w:rPr>
        <w:tab/>
      </w:r>
      <w:r>
        <w:t xml:space="preserve">World Health Organization, </w:t>
      </w:r>
      <w:r w:rsidRPr="00B30709">
        <w:t>Health promotion and disease prevention through population-based interventions, including action to address social determinants and health inequity</w:t>
      </w:r>
      <w:r>
        <w:t>.</w:t>
      </w:r>
      <w:r>
        <w:rPr>
          <w:rFonts w:hint="cs"/>
          <w:rtl/>
        </w:rPr>
        <w:t xml:space="preserve"> </w:t>
      </w:r>
    </w:p>
  </w:footnote>
  <w:footnote w:id="92">
    <w:p w:rsidR="00BB532B" w:rsidP="0016536A">
      <w:pPr>
        <w:pStyle w:val="FootnoteText"/>
        <w:rPr>
          <w:rtl/>
        </w:rPr>
      </w:pPr>
      <w:r>
        <w:rPr>
          <w:rStyle w:val="FootnoteReference1"/>
        </w:rPr>
        <w:footnoteRef/>
      </w:r>
      <w:r>
        <w:rPr>
          <w:rtl/>
        </w:rPr>
        <w:t xml:space="preserve"> </w:t>
      </w:r>
      <w:r>
        <w:rPr>
          <w:rtl/>
        </w:rPr>
        <w:tab/>
      </w:r>
      <w:bookmarkStart w:id="15" w:name="_Hlk197344811"/>
      <w:r>
        <w:rPr>
          <w:rFonts w:hint="cs"/>
          <w:rtl/>
        </w:rPr>
        <w:t>משרד הבריאות ומאיירס ג'וינט ברוקדייל, "המלצות הוועדה הבין-משרדית לקידום בריאות ומניעת תחלואה כרונית (2022)"; פרט למשרד הבריאות שהוביל את הוועדה, השתתפו בה נציגי המשרדים הבאים: משרד החקלאות ופיתוח הכפר, משרד החינוך, המשרד לשוויון חברתי, משרד האוצר, משרד הכלכלה, משרד הפנים, המשרד להגנת הסביבה, משרד התרבות והספורט, משרד ראש הממשלה, נציגי ארבע קופות החולים ונציגים מכמה רשויות מקומיות.</w:t>
      </w:r>
    </w:p>
    <w:bookmarkEnd w:id="15"/>
  </w:footnote>
  <w:footnote w:id="93">
    <w:p w:rsidR="00BB532B" w:rsidP="0016536A">
      <w:pPr>
        <w:pStyle w:val="FootnoteText"/>
        <w:rPr>
          <w:rtl/>
        </w:rPr>
      </w:pPr>
      <w:r>
        <w:rPr>
          <w:rStyle w:val="FootnoteReference1"/>
        </w:rPr>
        <w:footnoteRef/>
      </w:r>
      <w:r>
        <w:rPr>
          <w:rtl/>
        </w:rPr>
        <w:t xml:space="preserve"> </w:t>
      </w:r>
      <w:r>
        <w:rPr>
          <w:rtl/>
        </w:rPr>
        <w:tab/>
      </w:r>
      <w:r>
        <w:rPr>
          <w:rFonts w:hint="cs"/>
          <w:rtl/>
        </w:rPr>
        <w:t>הוועדה לתכנון המערך הגריאטרי הלאומי ל-2010 - 2020 ו-2020 - 2030 בראשות פרופ' יוחנן שטסמן (2011).</w:t>
      </w:r>
    </w:p>
  </w:footnote>
  <w:footnote w:id="94">
    <w:p w:rsidR="00BB532B" w:rsidP="0016536A">
      <w:pPr>
        <w:pStyle w:val="FootnoteText"/>
        <w:rPr>
          <w:rtl/>
        </w:rPr>
      </w:pPr>
      <w:r>
        <w:rPr>
          <w:rStyle w:val="FootnoteReference1"/>
        </w:rPr>
        <w:footnoteRef/>
      </w:r>
      <w:r>
        <w:rPr>
          <w:rtl/>
        </w:rPr>
        <w:t xml:space="preserve"> </w:t>
      </w:r>
      <w:r>
        <w:rPr>
          <w:rtl/>
        </w:rPr>
        <w:tab/>
      </w:r>
      <w:r>
        <w:rPr>
          <w:rFonts w:hint="cs"/>
          <w:rtl/>
        </w:rPr>
        <w:t>הוועדה לתכנון המערך הגריאטרי הלאומי ל-2010 - 2020 ו-2020 - 2030 בראשות פרופ' יוחנן שטסמן (2022).</w:t>
      </w:r>
    </w:p>
  </w:footnote>
  <w:footnote w:id="95">
    <w:p w:rsidR="00BB532B" w:rsidP="0016536A">
      <w:pPr>
        <w:pStyle w:val="FootnoteText"/>
      </w:pPr>
      <w:r>
        <w:rPr>
          <w:rStyle w:val="FootnoteReference1"/>
        </w:rPr>
        <w:footnoteRef/>
      </w:r>
      <w:r>
        <w:rPr>
          <w:rtl/>
        </w:rPr>
        <w:t xml:space="preserve"> </w:t>
      </w:r>
      <w:r>
        <w:rPr>
          <w:rtl/>
        </w:rPr>
        <w:tab/>
      </w:r>
      <w:r>
        <w:rPr>
          <w:rFonts w:hint="cs"/>
          <w:rtl/>
        </w:rPr>
        <w:t>משרד הרווחה והביטחון החברתי, המוסד לביטוח לאומי ומשרד הבריאות, המלצות הצוות למניעת הידרדרות של אזרחים ותיקים (2022).</w:t>
      </w:r>
    </w:p>
  </w:footnote>
  <w:footnote w:id="96">
    <w:p w:rsidR="00BB532B" w:rsidP="0016536A">
      <w:pPr>
        <w:pStyle w:val="FootnoteText"/>
      </w:pPr>
      <w:r>
        <w:rPr>
          <w:rStyle w:val="FootnoteReference1"/>
        </w:rPr>
        <w:footnoteRef/>
      </w:r>
      <w:r>
        <w:rPr>
          <w:rtl/>
        </w:rPr>
        <w:t xml:space="preserve"> </w:t>
      </w:r>
      <w:r>
        <w:rPr>
          <w:rtl/>
        </w:rPr>
        <w:tab/>
      </w:r>
      <w:r>
        <w:rPr>
          <w:rFonts w:hint="cs"/>
          <w:rtl/>
        </w:rPr>
        <w:t>משרד הבריאות תומך בקופות החולים באמצעות מבחן התמיכה המתכלל בסיעוד שמטרתו לסייע בטיפול באוכלוסיית הזקנים הסיעודית ובמניעת הידרדרות אצלה.</w:t>
      </w:r>
    </w:p>
  </w:footnote>
  <w:footnote w:id="97">
    <w:p w:rsidR="00BB532B" w:rsidP="0016536A">
      <w:pPr>
        <w:pStyle w:val="FootnoteText"/>
        <w:rPr>
          <w:rtl/>
        </w:rPr>
      </w:pPr>
      <w:r>
        <w:rPr>
          <w:rStyle w:val="FootnoteReference1"/>
        </w:rPr>
        <w:footnoteRef/>
      </w:r>
      <w:r>
        <w:rPr>
          <w:rtl/>
        </w:rPr>
        <w:t xml:space="preserve"> </w:t>
      </w:r>
      <w:r>
        <w:rPr>
          <w:rtl/>
        </w:rPr>
        <w:tab/>
      </w:r>
      <w:r>
        <w:rPr>
          <w:rFonts w:hint="cs"/>
          <w:rtl/>
        </w:rPr>
        <w:t>ההסתדרות הרפואית בישראל: "המכון לאיכות ברפואה, המלצות כוח המשימה הישראלי בנושא: קידום בריאות ורפואה מונעת" (2022).</w:t>
      </w:r>
    </w:p>
  </w:footnote>
  <w:footnote w:id="98">
    <w:p w:rsidR="00BB532B" w:rsidP="0016536A">
      <w:pPr>
        <w:pStyle w:val="FootnoteText"/>
        <w:rPr>
          <w:rtl/>
        </w:rPr>
      </w:pPr>
      <w:r>
        <w:rPr>
          <w:rStyle w:val="FootnoteReference1"/>
        </w:rPr>
        <w:footnoteRef/>
      </w:r>
      <w:r>
        <w:rPr>
          <w:rtl/>
        </w:rPr>
        <w:t xml:space="preserve"> </w:t>
      </w:r>
      <w:r>
        <w:rPr>
          <w:rtl/>
        </w:rPr>
        <w:tab/>
      </w:r>
      <w:r>
        <w:rPr>
          <w:rFonts w:hint="cs"/>
          <w:rtl/>
        </w:rPr>
        <w:t>פעילות שאין בצידה שכר.</w:t>
      </w:r>
    </w:p>
  </w:footnote>
  <w:footnote w:id="99">
    <w:p w:rsidR="00BB532B" w:rsidP="0016536A">
      <w:pPr>
        <w:pStyle w:val="FootnoteText"/>
        <w:rPr>
          <w:rtl/>
        </w:rPr>
      </w:pPr>
      <w:r>
        <w:rPr>
          <w:rStyle w:val="FootnoteReference1"/>
        </w:rPr>
        <w:footnoteRef/>
      </w:r>
      <w:r>
        <w:rPr>
          <w:rtl/>
        </w:rPr>
        <w:t xml:space="preserve"> </w:t>
      </w:r>
      <w:r>
        <w:rPr>
          <w:rtl/>
        </w:rPr>
        <w:tab/>
      </w:r>
      <w:r>
        <w:rPr>
          <w:rFonts w:hint="cs"/>
          <w:rtl/>
        </w:rPr>
        <w:t>המכון הלאומי לחקר שירותי הבריאות ומדיניות הבריאות, כנס ים המלח ה-23, עמ' 21 - 26 (2025).</w:t>
      </w:r>
    </w:p>
  </w:footnote>
  <w:footnote w:id="100">
    <w:p w:rsidR="00BB532B" w:rsidP="0016536A">
      <w:pPr>
        <w:pStyle w:val="FootnoteText"/>
        <w:rPr>
          <w:rtl/>
        </w:rPr>
      </w:pPr>
      <w:r>
        <w:rPr>
          <w:rStyle w:val="FootnoteReference1"/>
        </w:rPr>
        <w:footnoteRef/>
      </w:r>
      <w:r>
        <w:rPr>
          <w:rtl/>
        </w:rPr>
        <w:t xml:space="preserve"> </w:t>
      </w:r>
      <w:r>
        <w:rPr>
          <w:rtl/>
        </w:rPr>
        <w:tab/>
      </w:r>
      <w:r w:rsidRPr="00AB37FA">
        <w:t xml:space="preserve">Santos, J. V. &amp; Cylus, J. (2024). </w:t>
      </w:r>
      <w:r>
        <w:t>“</w:t>
      </w:r>
      <w:r w:rsidRPr="00AB37FA">
        <w:t>The value of healthy ageing: Estimating the economic value of health using time use data</w:t>
      </w:r>
      <w:r>
        <w:t>”</w:t>
      </w:r>
      <w:r w:rsidRPr="00AB37FA">
        <w:t xml:space="preserve">. </w:t>
      </w:r>
      <w:r w:rsidRPr="00AC5C9F">
        <w:rPr>
          <w:b/>
          <w:bCs/>
        </w:rPr>
        <w:t>Social Science &amp; Medicine</w:t>
      </w:r>
      <w:r w:rsidRPr="00AB37FA">
        <w:t xml:space="preserve"> 340 </w:t>
      </w:r>
      <w:r>
        <w:t>(2023).</w:t>
      </w:r>
      <w:r>
        <w:rPr>
          <w:rFonts w:hint="cs"/>
          <w:rtl/>
        </w:rPr>
        <w:t xml:space="preserve"> </w:t>
      </w:r>
    </w:p>
  </w:footnote>
  <w:footnote w:id="101">
    <w:p w:rsidR="00BB532B" w:rsidRPr="00552C5A" w:rsidP="0016536A">
      <w:pPr>
        <w:pStyle w:val="FootnoteText"/>
        <w:rPr>
          <w:rtl/>
        </w:rPr>
      </w:pPr>
      <w:r>
        <w:rPr>
          <w:rStyle w:val="FootnoteReference1"/>
        </w:rPr>
        <w:footnoteRef/>
      </w:r>
      <w:r>
        <w:rPr>
          <w:rtl/>
        </w:rPr>
        <w:t xml:space="preserve"> </w:t>
      </w:r>
      <w:r>
        <w:rPr>
          <w:rtl/>
        </w:rPr>
        <w:tab/>
      </w:r>
      <w:r w:rsidRPr="00552C5A">
        <w:t xml:space="preserve">McKinsey Health Institute (MHI), </w:t>
      </w:r>
      <w:r>
        <w:t>“</w:t>
      </w:r>
      <w:r w:rsidRPr="00552C5A">
        <w:t>The economic case for investing in healthy aging: Lessons from the United States</w:t>
      </w:r>
      <w:r>
        <w:t>” (</w:t>
      </w:r>
      <w:r w:rsidRPr="00552C5A">
        <w:t>2025</w:t>
      </w:r>
      <w:r>
        <w:t>).</w:t>
      </w:r>
    </w:p>
  </w:footnote>
  <w:footnote w:id="102">
    <w:p w:rsidR="00BB532B" w:rsidP="0016536A">
      <w:pPr>
        <w:pStyle w:val="FootnoteText"/>
        <w:rPr>
          <w:rtl/>
        </w:rPr>
      </w:pPr>
      <w:r>
        <w:rPr>
          <w:rStyle w:val="FootnoteReference1"/>
        </w:rPr>
        <w:footnoteRef/>
      </w:r>
      <w:r>
        <w:rPr>
          <w:rtl/>
        </w:rPr>
        <w:t xml:space="preserve"> </w:t>
      </w:r>
      <w:r>
        <w:rPr>
          <w:rtl/>
        </w:rPr>
        <w:tab/>
      </w:r>
      <w:r>
        <w:rPr>
          <w:rFonts w:hint="cs"/>
          <w:rtl/>
        </w:rPr>
        <w:t>רפואה מונעת סעיף 24.16.03 כוללת תתי</w:t>
      </w:r>
      <w:r>
        <w:t>-</w:t>
      </w:r>
      <w:r>
        <w:rPr>
          <w:rFonts w:hint="cs"/>
          <w:rtl/>
        </w:rPr>
        <w:t>סעיפים, כגון חיסונים, גנטיקה קהילתית (בדיקות גנטיות), בריאות התלמיד וטיפות חלב. רבים מתתי-הסעיפים נוגעים באופן חלקי או אינם נוגעים כלל לזקנים; ראו באתר מפתח התקציב.</w:t>
      </w:r>
    </w:p>
  </w:footnote>
  <w:footnote w:id="103">
    <w:p w:rsidR="00BB532B" w:rsidRPr="00B96674" w:rsidP="0016536A">
      <w:pPr>
        <w:pStyle w:val="FootnoteText"/>
        <w:rPr>
          <w:rtl/>
        </w:rPr>
      </w:pPr>
      <w:r>
        <w:rPr>
          <w:rStyle w:val="FootnoteReference1"/>
        </w:rPr>
        <w:footnoteRef/>
      </w:r>
      <w:r>
        <w:rPr>
          <w:rtl/>
        </w:rPr>
        <w:t xml:space="preserve"> </w:t>
      </w:r>
      <w:r>
        <w:rPr>
          <w:rtl/>
        </w:rPr>
        <w:tab/>
      </w:r>
      <w:r>
        <w:rPr>
          <w:rFonts w:hint="cs"/>
          <w:rtl/>
        </w:rPr>
        <w:t>משרד הבריאות, "מענה למשרד מבקר המדינה בנושא הזדקנות האוכלוסייה" (22.7.25).</w:t>
      </w:r>
    </w:p>
  </w:footnote>
  <w:footnote w:id="104">
    <w:p w:rsidR="00BB532B" w:rsidP="0016536A">
      <w:pPr>
        <w:pStyle w:val="FootnoteText"/>
        <w:rPr>
          <w:rtl/>
        </w:rPr>
      </w:pPr>
      <w:r>
        <w:rPr>
          <w:rStyle w:val="FootnoteReference1"/>
        </w:rPr>
        <w:footnoteRef/>
      </w:r>
      <w:r>
        <w:rPr>
          <w:rtl/>
        </w:rPr>
        <w:t xml:space="preserve"> </w:t>
      </w:r>
      <w:r>
        <w:rPr>
          <w:rtl/>
        </w:rPr>
        <w:tab/>
      </w:r>
      <w:r>
        <w:rPr>
          <w:rFonts w:hint="cs"/>
          <w:rtl/>
        </w:rPr>
        <w:t xml:space="preserve">משרד הבריאות, משרד החינוך ומשרד התרבות והספורט, "על התוכנית הלאומית לחיים פעילים ובריאים </w:t>
      </w:r>
      <w:r>
        <w:t>-</w:t>
      </w:r>
      <w:r>
        <w:rPr>
          <w:rFonts w:hint="cs"/>
          <w:rtl/>
        </w:rPr>
        <w:t xml:space="preserve"> אפשריבריא" (לא צוין תאריך).</w:t>
      </w:r>
    </w:p>
  </w:footnote>
  <w:footnote w:id="105">
    <w:p w:rsidR="00BB532B" w:rsidP="0016536A">
      <w:pPr>
        <w:pStyle w:val="FootnoteText"/>
        <w:rPr>
          <w:rtl/>
        </w:rPr>
      </w:pPr>
      <w:r>
        <w:rPr>
          <w:rStyle w:val="FootnoteReference1"/>
        </w:rPr>
        <w:footnoteRef/>
      </w:r>
      <w:r>
        <w:rPr>
          <w:rtl/>
        </w:rPr>
        <w:t xml:space="preserve"> </w:t>
      </w:r>
      <w:r>
        <w:rPr>
          <w:rtl/>
        </w:rPr>
        <w:tab/>
      </w:r>
      <w:r>
        <w:rPr>
          <w:rFonts w:hint="cs"/>
          <w:rtl/>
        </w:rPr>
        <w:t>ג'וינט ישראל ומשרד הבריאות, "התוכנית הלאומית למניעת נפילות" (2017).</w:t>
      </w:r>
    </w:p>
  </w:footnote>
  <w:footnote w:id="106">
    <w:p w:rsidR="00BB532B" w:rsidRPr="00243ABE" w:rsidP="0016536A">
      <w:pPr>
        <w:pStyle w:val="FootnoteText"/>
      </w:pPr>
      <w:r>
        <w:rPr>
          <w:rStyle w:val="FootnoteReference1"/>
        </w:rPr>
        <w:footnoteRef/>
      </w:r>
      <w:r>
        <w:rPr>
          <w:rtl/>
        </w:rPr>
        <w:t xml:space="preserve"> </w:t>
      </w:r>
      <w:r>
        <w:rPr>
          <w:rtl/>
        </w:rPr>
        <w:tab/>
      </w:r>
      <w:r w:rsidRPr="00243ABE">
        <w:rPr>
          <w:rtl/>
        </w:rPr>
        <w:t xml:space="preserve">מבחני תמיכה הם הוראות עקרוניות הקובעות קריטריונים אשר על פיהם ניתן להעניק תמיכה מתקציב המדינה למוסדות ציבור. </w:t>
      </w:r>
      <w:r>
        <w:rPr>
          <w:rFonts w:hint="cs"/>
          <w:rtl/>
        </w:rPr>
        <w:t xml:space="preserve">משרד הבריאות מפרסם מבחני תמיכה לקופות החולים לחלוקת כספי תמיכות של משרד </w:t>
      </w:r>
      <w:r w:rsidRPr="00AC5C9F">
        <w:rPr>
          <w:rFonts w:hint="cs"/>
          <w:rtl/>
        </w:rPr>
        <w:t>הבריאות (</w:t>
      </w:r>
      <w:r w:rsidRPr="00AC5C9F">
        <w:rPr>
          <w:rFonts w:hint="eastAsia"/>
          <w:rtl/>
        </w:rPr>
        <w:t>להלן</w:t>
      </w:r>
      <w:r w:rsidRPr="00AC5C9F">
        <w:rPr>
          <w:rtl/>
        </w:rPr>
        <w:t xml:space="preserve"> - </w:t>
      </w:r>
      <w:r w:rsidRPr="00AC5C9F">
        <w:rPr>
          <w:rFonts w:hint="eastAsia"/>
          <w:rtl/>
        </w:rPr>
        <w:t>מבחן</w:t>
      </w:r>
      <w:r w:rsidRPr="00AC5C9F">
        <w:rPr>
          <w:rtl/>
        </w:rPr>
        <w:t xml:space="preserve"> </w:t>
      </w:r>
      <w:r w:rsidRPr="00AC5C9F">
        <w:rPr>
          <w:rFonts w:hint="eastAsia"/>
          <w:rtl/>
        </w:rPr>
        <w:t>תמיכה</w:t>
      </w:r>
      <w:r w:rsidRPr="00AC5C9F">
        <w:rPr>
          <w:rtl/>
        </w:rPr>
        <w:t xml:space="preserve"> </w:t>
      </w:r>
      <w:r w:rsidRPr="00AC5C9F">
        <w:rPr>
          <w:rFonts w:hint="eastAsia"/>
          <w:rtl/>
        </w:rPr>
        <w:t>או</w:t>
      </w:r>
      <w:r w:rsidRPr="00AC5C9F">
        <w:rPr>
          <w:rtl/>
        </w:rPr>
        <w:t xml:space="preserve"> </w:t>
      </w:r>
      <w:r w:rsidRPr="00AC5C9F">
        <w:rPr>
          <w:rFonts w:hint="eastAsia"/>
          <w:rtl/>
        </w:rPr>
        <w:t>מבחני</w:t>
      </w:r>
      <w:r w:rsidRPr="00AC5C9F">
        <w:rPr>
          <w:rtl/>
        </w:rPr>
        <w:t xml:space="preserve"> </w:t>
      </w:r>
      <w:r w:rsidRPr="00AC5C9F">
        <w:rPr>
          <w:rFonts w:hint="eastAsia"/>
          <w:rtl/>
        </w:rPr>
        <w:t>תמיכה</w:t>
      </w:r>
      <w:r w:rsidRPr="00AC5C9F">
        <w:rPr>
          <w:rFonts w:hint="cs"/>
          <w:rtl/>
        </w:rPr>
        <w:t>)</w:t>
      </w:r>
      <w:r w:rsidRPr="00AC5C9F">
        <w:rPr>
          <w:rtl/>
        </w:rPr>
        <w:t>.</w:t>
      </w:r>
    </w:p>
  </w:footnote>
  <w:footnote w:id="107">
    <w:p w:rsidR="00BB532B" w:rsidRPr="007F01F7" w:rsidP="0016536A">
      <w:pPr>
        <w:pStyle w:val="FootnoteText"/>
        <w:rPr>
          <w:rtl/>
        </w:rPr>
      </w:pPr>
      <w:r>
        <w:rPr>
          <w:rStyle w:val="FootnoteReference1"/>
        </w:rPr>
        <w:footnoteRef/>
      </w:r>
      <w:r>
        <w:rPr>
          <w:rtl/>
        </w:rPr>
        <w:t xml:space="preserve"> </w:t>
      </w:r>
      <w:r>
        <w:rPr>
          <w:rtl/>
        </w:rPr>
        <w:tab/>
      </w:r>
      <w:r w:rsidRPr="007F01F7">
        <w:rPr>
          <w:rFonts w:hint="cs"/>
          <w:rtl/>
        </w:rPr>
        <w:t>ראו לדוגמה משרד הבריאות</w:t>
      </w:r>
      <w:r w:rsidRPr="00A37149">
        <w:rPr>
          <w:rtl/>
        </w:rPr>
        <w:t>,</w:t>
      </w:r>
      <w:r w:rsidRPr="007F01F7">
        <w:rPr>
          <w:rFonts w:hint="cs"/>
          <w:rtl/>
        </w:rPr>
        <w:t xml:space="preserve"> </w:t>
      </w:r>
      <w:r w:rsidRPr="00A37149">
        <w:rPr>
          <w:rtl/>
        </w:rPr>
        <w:t>"</w:t>
      </w:r>
      <w:r w:rsidRPr="007F01F7">
        <w:rPr>
          <w:rFonts w:hint="cs"/>
          <w:rtl/>
        </w:rPr>
        <w:t>מבחנים לחלוקת כספי תמיכות של משרד הבריאות בקופות החולים בשנת התמיכה 2022</w:t>
      </w:r>
      <w:r w:rsidRPr="00A37149">
        <w:rPr>
          <w:rtl/>
        </w:rPr>
        <w:t>"</w:t>
      </w:r>
      <w:r w:rsidRPr="007F01F7">
        <w:rPr>
          <w:rFonts w:hint="cs"/>
          <w:rtl/>
        </w:rPr>
        <w:t xml:space="preserve">, וכן משרד הבריאות, </w:t>
      </w:r>
      <w:r w:rsidRPr="00A37149">
        <w:rPr>
          <w:rtl/>
        </w:rPr>
        <w:t>"</w:t>
      </w:r>
      <w:r w:rsidRPr="007F01F7">
        <w:rPr>
          <w:rFonts w:hint="cs"/>
          <w:rtl/>
        </w:rPr>
        <w:t>מבחנים לחל</w:t>
      </w:r>
      <w:r w:rsidRPr="00A37149">
        <w:rPr>
          <w:rFonts w:hint="eastAsia"/>
          <w:rtl/>
        </w:rPr>
        <w:t>ו</w:t>
      </w:r>
      <w:r w:rsidRPr="007F01F7">
        <w:rPr>
          <w:rFonts w:hint="cs"/>
          <w:rtl/>
        </w:rPr>
        <w:t>קת כספי תמיכות של משרד הבריאות בקופות החולים (</w:t>
      </w:r>
      <w:r w:rsidRPr="00AC5C9F">
        <w:rPr>
          <w:rtl/>
        </w:rPr>
        <w:t>'</w:t>
      </w:r>
      <w:r w:rsidRPr="007F01F7">
        <w:rPr>
          <w:rFonts w:hint="cs"/>
          <w:rtl/>
        </w:rPr>
        <w:t>המבחן המתכלל</w:t>
      </w:r>
      <w:r w:rsidRPr="00AC5C9F">
        <w:rPr>
          <w:rtl/>
        </w:rPr>
        <w:t>'</w:t>
      </w:r>
      <w:r w:rsidRPr="007F01F7">
        <w:rPr>
          <w:rFonts w:hint="cs"/>
          <w:rtl/>
        </w:rPr>
        <w:t>)</w:t>
      </w:r>
      <w:r w:rsidRPr="00AC5C9F">
        <w:rPr>
          <w:rtl/>
        </w:rPr>
        <w:t>"</w:t>
      </w:r>
      <w:r w:rsidRPr="007F01F7">
        <w:rPr>
          <w:rFonts w:hint="cs"/>
          <w:rtl/>
        </w:rPr>
        <w:t xml:space="preserve"> (2024).</w:t>
      </w:r>
    </w:p>
  </w:footnote>
  <w:footnote w:id="108">
    <w:p w:rsidR="00BB532B" w:rsidP="0016536A">
      <w:pPr>
        <w:pStyle w:val="FootnoteText"/>
        <w:rPr>
          <w:rtl/>
        </w:rPr>
      </w:pPr>
      <w:r w:rsidRPr="007F01F7">
        <w:rPr>
          <w:rStyle w:val="FootnoteReference1"/>
        </w:rPr>
        <w:footnoteRef/>
      </w:r>
      <w:r w:rsidRPr="007F01F7">
        <w:rPr>
          <w:rtl/>
        </w:rPr>
        <w:t xml:space="preserve"> </w:t>
      </w:r>
      <w:r w:rsidRPr="007F01F7">
        <w:rPr>
          <w:rtl/>
        </w:rPr>
        <w:tab/>
      </w:r>
      <w:r w:rsidRPr="007F01F7">
        <w:rPr>
          <w:rFonts w:hint="cs"/>
          <w:rtl/>
        </w:rPr>
        <w:t>ה</w:t>
      </w:r>
      <w:r>
        <w:rPr>
          <w:rFonts w:hint="cs"/>
          <w:rtl/>
        </w:rPr>
        <w:t>ו</w:t>
      </w:r>
      <w:r w:rsidRPr="007F01F7">
        <w:rPr>
          <w:rFonts w:hint="cs"/>
          <w:rtl/>
        </w:rPr>
        <w:t>ועדה הבין-משרדית, עמ' 40 - 44.</w:t>
      </w:r>
    </w:p>
  </w:footnote>
  <w:footnote w:id="109">
    <w:p w:rsidR="00BB532B" w:rsidP="0016536A">
      <w:pPr>
        <w:pStyle w:val="FootnoteText"/>
      </w:pPr>
      <w:r>
        <w:rPr>
          <w:rStyle w:val="FootnoteReference1"/>
        </w:rPr>
        <w:footnoteRef/>
      </w:r>
      <w:r>
        <w:rPr>
          <w:rtl/>
        </w:rPr>
        <w:t xml:space="preserve"> </w:t>
      </w:r>
      <w:r>
        <w:rPr>
          <w:rtl/>
        </w:rPr>
        <w:tab/>
      </w:r>
      <w:r>
        <w:rPr>
          <w:rFonts w:hint="cs"/>
          <w:rtl/>
        </w:rPr>
        <w:t>כוח המשימה, (2022), עמ' 41 - 48.</w:t>
      </w:r>
    </w:p>
  </w:footnote>
  <w:footnote w:id="110">
    <w:p w:rsidR="00BB532B" w:rsidP="0016536A">
      <w:pPr>
        <w:pStyle w:val="FootnoteText"/>
        <w:rPr>
          <w:rtl/>
        </w:rPr>
      </w:pPr>
      <w:r>
        <w:rPr>
          <w:rStyle w:val="FootnoteReference1"/>
        </w:rPr>
        <w:footnoteRef/>
      </w:r>
      <w:r>
        <w:rPr>
          <w:rtl/>
        </w:rPr>
        <w:t xml:space="preserve"> </w:t>
      </w:r>
      <w:r>
        <w:rPr>
          <w:rtl/>
        </w:rPr>
        <w:tab/>
      </w:r>
      <w:r>
        <w:rPr>
          <w:rFonts w:hint="cs"/>
          <w:rtl/>
        </w:rPr>
        <w:t>משרד הבריאות, "ביקור בריא: סקירה גלובלית של תוכניות ביקור בריא לאוכלוסייה המבוגרת" (2024).</w:t>
      </w:r>
    </w:p>
  </w:footnote>
  <w:footnote w:id="111">
    <w:p w:rsidR="00BB532B" w:rsidP="0016536A">
      <w:pPr>
        <w:pStyle w:val="FootnoteText"/>
        <w:rPr>
          <w:rtl/>
        </w:rPr>
      </w:pPr>
      <w:r>
        <w:rPr>
          <w:rStyle w:val="FootnoteReference1"/>
        </w:rPr>
        <w:footnoteRef/>
      </w:r>
      <w:r>
        <w:rPr>
          <w:rtl/>
        </w:rPr>
        <w:t xml:space="preserve"> </w:t>
      </w:r>
      <w:r>
        <w:rPr>
          <w:rtl/>
        </w:rPr>
        <w:tab/>
      </w:r>
      <w:r>
        <w:rPr>
          <w:rFonts w:hint="cs"/>
          <w:rtl/>
        </w:rPr>
        <w:t>מצגת של משרד הבריאות, "הזדקנות מיטבית: קידום בריאות ומניעת הידרדרות" (לא צוין תאריך), עמ' 15.</w:t>
      </w:r>
    </w:p>
  </w:footnote>
  <w:footnote w:id="112">
    <w:p w:rsidR="00BB532B" w:rsidP="0016536A">
      <w:pPr>
        <w:pStyle w:val="FootnoteText"/>
        <w:rPr>
          <w:rtl/>
        </w:rPr>
      </w:pPr>
      <w:r>
        <w:rPr>
          <w:rStyle w:val="FootnoteReference1"/>
        </w:rPr>
        <w:footnoteRef/>
      </w:r>
      <w:r>
        <w:rPr>
          <w:rtl/>
        </w:rPr>
        <w:t xml:space="preserve"> </w:t>
      </w:r>
      <w:r>
        <w:rPr>
          <w:rtl/>
        </w:rPr>
        <w:tab/>
      </w:r>
      <w:r>
        <w:rPr>
          <w:rFonts w:hint="cs"/>
          <w:rtl/>
        </w:rPr>
        <w:t xml:space="preserve">הבדיקה נעשתה על פעולות מניעה </w:t>
      </w:r>
      <w:r w:rsidRPr="00DD3B82">
        <w:rPr>
          <w:rFonts w:hint="cs"/>
          <w:rtl/>
        </w:rPr>
        <w:t>המתועדות בשדות הממוחשבים</w:t>
      </w:r>
      <w:r>
        <w:rPr>
          <w:rFonts w:hint="cs"/>
          <w:rtl/>
        </w:rPr>
        <w:t xml:space="preserve"> בלבד בתיקים הרפואיים של חברי הקופה, ראו בהמשך פרק זה.</w:t>
      </w:r>
    </w:p>
  </w:footnote>
  <w:footnote w:id="113">
    <w:p w:rsidR="00BB532B" w:rsidP="0016536A">
      <w:pPr>
        <w:pStyle w:val="FootnoteText"/>
      </w:pPr>
      <w:r>
        <w:rPr>
          <w:rStyle w:val="FootnoteReference1"/>
        </w:rPr>
        <w:footnoteRef/>
      </w:r>
      <w:r>
        <w:rPr>
          <w:rtl/>
        </w:rPr>
        <w:t xml:space="preserve"> </w:t>
      </w:r>
      <w:r>
        <w:rPr>
          <w:rtl/>
        </w:rPr>
        <w:tab/>
      </w:r>
      <w:r w:rsidRPr="00324C7F">
        <w:rPr>
          <w:rtl/>
        </w:rPr>
        <w:t xml:space="preserve">ניתוח סטטיסטי זה נועד לתאר את עוצמת הקשר בין שני משתנים ומגמתו, ואינו מעיד בהכרח על קשר סיבתי. </w:t>
      </w:r>
      <w:r>
        <w:rPr>
          <w:rFonts w:hint="cs"/>
          <w:rtl/>
        </w:rPr>
        <w:t>המשתנים המפוקחים בניתוח הרגרסיה היו גיל, מין וסוג הביטוח הרפואי.</w:t>
      </w:r>
    </w:p>
  </w:footnote>
  <w:footnote w:id="114">
    <w:p w:rsidR="00BB532B" w:rsidP="0016536A">
      <w:r>
        <w:rPr>
          <w:rStyle w:val="FootnoteReference1"/>
        </w:rPr>
        <w:footnoteRef/>
      </w:r>
      <w:r>
        <w:rPr>
          <w:rtl/>
        </w:rPr>
        <w:t xml:space="preserve"> </w:t>
      </w:r>
      <w:r>
        <w:rPr>
          <w:rtl/>
        </w:rPr>
        <w:tab/>
      </w:r>
      <w:r w:rsidRPr="00DD3B82">
        <w:rPr>
          <w:rFonts w:hint="cs"/>
          <w:sz w:val="16"/>
          <w:szCs w:val="20"/>
          <w:rtl/>
        </w:rPr>
        <w:t>ערכי הרגרסיה הלינארית מובהקים</w:t>
      </w:r>
      <w:r>
        <w:rPr>
          <w:rFonts w:hint="cs"/>
          <w:sz w:val="16"/>
          <w:szCs w:val="20"/>
          <w:rtl/>
        </w:rPr>
        <w:t>:</w:t>
      </w:r>
      <w:r w:rsidRPr="00DD3B82">
        <w:rPr>
          <w:rFonts w:hint="cs"/>
          <w:sz w:val="16"/>
          <w:szCs w:val="20"/>
          <w:rtl/>
        </w:rPr>
        <w:t xml:space="preserve"> </w:t>
      </w:r>
      <w:r w:rsidRPr="00DD3B82">
        <w:rPr>
          <w:sz w:val="16"/>
          <w:szCs w:val="20"/>
        </w:rPr>
        <w:t>p &lt; 0.001</w:t>
      </w:r>
      <w:r>
        <w:rPr>
          <w:rFonts w:hint="cs"/>
          <w:sz w:val="16"/>
          <w:szCs w:val="20"/>
          <w:rtl/>
        </w:rPr>
        <w:t xml:space="preserve"> </w:t>
      </w:r>
      <w:r>
        <w:rPr>
          <w:sz w:val="16"/>
          <w:szCs w:val="20"/>
        </w:rPr>
        <w:t>&gt; 99999,</w:t>
      </w:r>
      <w:r>
        <w:rPr>
          <w:rFonts w:hint="cs"/>
          <w:sz w:val="16"/>
          <w:szCs w:val="20"/>
          <w:rtl/>
        </w:rPr>
        <w:t xml:space="preserve"> </w:t>
      </w:r>
      <w:r>
        <w:rPr>
          <w:sz w:val="16"/>
          <w:szCs w:val="20"/>
        </w:rPr>
        <w:t>F(4, 634556)</w:t>
      </w:r>
      <w:r>
        <w:rPr>
          <w:rFonts w:hint="cs"/>
          <w:sz w:val="16"/>
          <w:szCs w:val="20"/>
          <w:rtl/>
        </w:rPr>
        <w:t>.</w:t>
      </w:r>
    </w:p>
  </w:footnote>
  <w:footnote w:id="115">
    <w:p w:rsidR="00BB532B" w:rsidP="0016536A">
      <w:pPr>
        <w:pStyle w:val="FootnoteText"/>
      </w:pPr>
      <w:r>
        <w:rPr>
          <w:rStyle w:val="FootnoteReference1"/>
        </w:rPr>
        <w:footnoteRef/>
      </w:r>
      <w:r>
        <w:rPr>
          <w:rtl/>
        </w:rPr>
        <w:t xml:space="preserve"> </w:t>
      </w:r>
      <w:r>
        <w:rPr>
          <w:rtl/>
        </w:rPr>
        <w:tab/>
      </w:r>
      <w:r>
        <w:rPr>
          <w:rFonts w:hint="cs"/>
          <w:rtl/>
        </w:rPr>
        <w:t xml:space="preserve">ההבדל מובהק: </w:t>
      </w:r>
      <w:r>
        <w:t>t(229)=</w:t>
      </w:r>
      <w:r w:rsidRPr="00392FBE">
        <w:t xml:space="preserve"> -7.2251</w:t>
      </w:r>
      <w:r>
        <w:t>, p&lt;0.0001</w:t>
      </w:r>
    </w:p>
  </w:footnote>
  <w:footnote w:id="116">
    <w:p w:rsidR="00BB532B" w:rsidP="0016536A">
      <w:pPr>
        <w:pStyle w:val="FootnoteText"/>
        <w:rPr>
          <w:rtl/>
        </w:rPr>
      </w:pPr>
      <w:r>
        <w:rPr>
          <w:rStyle w:val="FootnoteReference1"/>
        </w:rPr>
        <w:footnoteRef/>
      </w:r>
      <w:r>
        <w:rPr>
          <w:rtl/>
        </w:rPr>
        <w:t xml:space="preserve"> </w:t>
      </w:r>
      <w:r>
        <w:rPr>
          <w:rtl/>
        </w:rPr>
        <w:tab/>
      </w:r>
      <w:r>
        <w:rPr>
          <w:rFonts w:hint="cs"/>
          <w:rtl/>
        </w:rPr>
        <w:t>אתר משרד הבריאות.</w:t>
      </w:r>
    </w:p>
  </w:footnote>
  <w:footnote w:id="117">
    <w:p w:rsidR="00BB532B" w:rsidP="0016536A">
      <w:pPr>
        <w:pStyle w:val="FootnoteText"/>
        <w:rPr>
          <w:rtl/>
        </w:rPr>
      </w:pPr>
      <w:r>
        <w:rPr>
          <w:rStyle w:val="FootnoteReference1"/>
        </w:rPr>
        <w:footnoteRef/>
      </w:r>
      <w:r>
        <w:rPr>
          <w:rtl/>
        </w:rPr>
        <w:t xml:space="preserve"> </w:t>
      </w:r>
      <w:r>
        <w:rPr>
          <w:rtl/>
        </w:rPr>
        <w:tab/>
      </w:r>
      <w:r>
        <w:rPr>
          <w:rFonts w:hint="cs"/>
          <w:rtl/>
        </w:rPr>
        <w:t>כנס אלי הורביץ לכלכלה וחברה, "מפת המדדים לטיוב השירות הציבורי בישראל" (2015).</w:t>
      </w:r>
    </w:p>
  </w:footnote>
  <w:footnote w:id="118">
    <w:p w:rsidR="00BB532B" w:rsidRPr="002372E0" w:rsidP="0016536A">
      <w:pPr>
        <w:pStyle w:val="FootnoteText"/>
        <w:rPr>
          <w:rtl/>
        </w:rPr>
      </w:pPr>
      <w:r>
        <w:rPr>
          <w:rStyle w:val="FootnoteReference1"/>
        </w:rPr>
        <w:footnoteRef/>
      </w:r>
      <w:r>
        <w:rPr>
          <w:rtl/>
        </w:rPr>
        <w:t xml:space="preserve"> </w:t>
      </w:r>
      <w:r>
        <w:rPr>
          <w:rtl/>
        </w:rPr>
        <w:tab/>
      </w:r>
      <w:r w:rsidRPr="002372E0">
        <w:rPr>
          <w:rFonts w:hint="cs"/>
          <w:rtl/>
        </w:rPr>
        <w:t>תקנות</w:t>
      </w:r>
      <w:r>
        <w:rPr>
          <w:rFonts w:hint="cs"/>
          <w:rtl/>
        </w:rPr>
        <w:t xml:space="preserve"> ביטוח בריאות ממלכתי (מדדי איכות ומסירת מידע), התשע"ב-2012.</w:t>
      </w:r>
    </w:p>
  </w:footnote>
  <w:footnote w:id="119">
    <w:p w:rsidR="00BB532B" w:rsidP="0016536A">
      <w:pPr>
        <w:pStyle w:val="FootnoteText"/>
        <w:rPr>
          <w:rtl/>
        </w:rPr>
      </w:pPr>
      <w:r>
        <w:rPr>
          <w:rStyle w:val="FootnoteReference1"/>
        </w:rPr>
        <w:footnoteRef/>
      </w:r>
      <w:r>
        <w:rPr>
          <w:rtl/>
        </w:rPr>
        <w:t xml:space="preserve"> </w:t>
      </w:r>
      <w:r>
        <w:rPr>
          <w:rtl/>
        </w:rPr>
        <w:tab/>
      </w:r>
      <w:r>
        <w:rPr>
          <w:rFonts w:hint="cs"/>
          <w:rtl/>
        </w:rPr>
        <w:t>משרד הבריאות, "התוכנית הלאומית למדדי איכות לרפואת הקהילה בישראל: עיקרי הממצאים לנתוני 2023" (2024).</w:t>
      </w:r>
    </w:p>
  </w:footnote>
  <w:footnote w:id="120">
    <w:p w:rsidR="00BB532B" w:rsidP="0016536A">
      <w:pPr>
        <w:pStyle w:val="FootnoteText"/>
        <w:rPr>
          <w:rtl/>
        </w:rPr>
      </w:pPr>
      <w:r>
        <w:rPr>
          <w:rStyle w:val="FootnoteReference1"/>
        </w:rPr>
        <w:footnoteRef/>
      </w:r>
      <w:r>
        <w:rPr>
          <w:rtl/>
        </w:rPr>
        <w:t xml:space="preserve"> </w:t>
      </w:r>
      <w:r>
        <w:rPr>
          <w:rtl/>
        </w:rPr>
        <w:tab/>
      </w:r>
      <w:r>
        <w:rPr>
          <w:rFonts w:hint="cs"/>
          <w:rtl/>
        </w:rPr>
        <w:t>נתוני מדדי איכות נבחרים, ניתוח הנתונים.</w:t>
      </w:r>
    </w:p>
  </w:footnote>
  <w:footnote w:id="121">
    <w:p w:rsidR="00BB532B" w:rsidP="0016536A">
      <w:pPr>
        <w:pStyle w:val="FootnoteText"/>
        <w:rPr>
          <w:rtl/>
        </w:rPr>
      </w:pPr>
      <w:r>
        <w:rPr>
          <w:rStyle w:val="FootnoteReference1"/>
        </w:rPr>
        <w:footnoteRef/>
      </w:r>
      <w:r>
        <w:rPr>
          <w:rtl/>
        </w:rPr>
        <w:t xml:space="preserve"> </w:t>
      </w:r>
      <w:r>
        <w:rPr>
          <w:rtl/>
        </w:rPr>
        <w:tab/>
      </w:r>
      <w:r>
        <w:rPr>
          <w:rFonts w:hint="cs"/>
          <w:rtl/>
        </w:rPr>
        <w:t>אתר התוכנית הלאומית למדדי איכות בקהילה.</w:t>
      </w:r>
    </w:p>
  </w:footnote>
  <w:footnote w:id="122">
    <w:p w:rsidR="00BB532B" w:rsidP="0016536A">
      <w:pPr>
        <w:pStyle w:val="FootnoteText"/>
        <w:rPr>
          <w:rtl/>
        </w:rPr>
      </w:pPr>
      <w:r>
        <w:rPr>
          <w:rStyle w:val="FootnoteReference1"/>
        </w:rPr>
        <w:footnoteRef/>
      </w:r>
      <w:r>
        <w:rPr>
          <w:rtl/>
        </w:rPr>
        <w:t xml:space="preserve"> </w:t>
      </w:r>
      <w:r>
        <w:rPr>
          <w:rtl/>
        </w:rPr>
        <w:tab/>
      </w:r>
      <w:r>
        <w:rPr>
          <w:rFonts w:hint="cs"/>
          <w:rtl/>
        </w:rPr>
        <w:t xml:space="preserve">ממוצע העלייה בהיארעות כל סוגי הסרטן; הלמ"ס, </w:t>
      </w:r>
      <w:r w:rsidRPr="00AC5C9F">
        <w:rPr>
          <w:rFonts w:hint="eastAsia"/>
          <w:b/>
          <w:bCs/>
          <w:rtl/>
        </w:rPr>
        <w:t>מדדים</w:t>
      </w:r>
      <w:r w:rsidRPr="00AC5C9F">
        <w:rPr>
          <w:b/>
          <w:bCs/>
          <w:rtl/>
        </w:rPr>
        <w:t xml:space="preserve"> להזדקנות מיטבית </w:t>
      </w:r>
      <w:r w:rsidRPr="00AC5C9F">
        <w:rPr>
          <w:rFonts w:hint="eastAsia"/>
          <w:b/>
          <w:bCs/>
          <w:rtl/>
        </w:rPr>
        <w:t>בישראל</w:t>
      </w:r>
      <w:r>
        <w:rPr>
          <w:rFonts w:hint="cs"/>
          <w:rtl/>
        </w:rPr>
        <w:t xml:space="preserve"> (2024).</w:t>
      </w:r>
    </w:p>
  </w:footnote>
  <w:footnote w:id="123">
    <w:p w:rsidR="00BB532B" w:rsidP="0016536A">
      <w:pPr>
        <w:pStyle w:val="FootnoteText"/>
        <w:rPr>
          <w:rtl/>
        </w:rPr>
      </w:pPr>
      <w:r>
        <w:rPr>
          <w:rStyle w:val="FootnoteReference1"/>
        </w:rPr>
        <w:footnoteRef/>
      </w:r>
      <w:r>
        <w:rPr>
          <w:rtl/>
        </w:rPr>
        <w:t xml:space="preserve"> </w:t>
      </w:r>
      <w:r>
        <w:rPr>
          <w:rtl/>
        </w:rPr>
        <w:tab/>
      </w:r>
      <w:r>
        <w:rPr>
          <w:rFonts w:hint="cs"/>
          <w:rtl/>
        </w:rPr>
        <w:t xml:space="preserve">משרד ראש הממשלה, </w:t>
      </w:r>
      <w:r w:rsidRPr="00AE3729">
        <w:rPr>
          <w:rFonts w:hint="cs"/>
          <w:b/>
          <w:bCs/>
          <w:rtl/>
        </w:rPr>
        <w:t>מדריך התכנון הממשלתי</w:t>
      </w:r>
      <w:r>
        <w:rPr>
          <w:rFonts w:hint="cs"/>
          <w:rtl/>
        </w:rPr>
        <w:t xml:space="preserve"> (2010). </w:t>
      </w:r>
    </w:p>
  </w:footnote>
  <w:footnote w:id="124">
    <w:p w:rsidR="00BB532B" w:rsidP="0016536A">
      <w:pPr>
        <w:pStyle w:val="FootnoteText"/>
      </w:pPr>
      <w:r>
        <w:rPr>
          <w:rStyle w:val="FootnoteReference1"/>
        </w:rPr>
        <w:footnoteRef/>
      </w:r>
      <w:r>
        <w:rPr>
          <w:rtl/>
        </w:rPr>
        <w:t xml:space="preserve"> </w:t>
      </w:r>
      <w:r>
        <w:rPr>
          <w:rtl/>
        </w:rPr>
        <w:tab/>
      </w:r>
      <w:r>
        <w:rPr>
          <w:rFonts w:hint="cs"/>
          <w:rtl/>
        </w:rPr>
        <w:t>פרט לקופות החולים, משרד הבריאות וחלק מהרשויות המקומיות מפעילים אף הם טיפות חלב.</w:t>
      </w:r>
    </w:p>
  </w:footnote>
  <w:footnote w:id="125">
    <w:p w:rsidR="00BB532B" w:rsidP="0016536A">
      <w:pPr>
        <w:pStyle w:val="FootnoteText"/>
      </w:pPr>
      <w:r>
        <w:rPr>
          <w:rStyle w:val="FootnoteReference1"/>
        </w:rPr>
        <w:footnoteRef/>
      </w:r>
      <w:r>
        <w:rPr>
          <w:rtl/>
        </w:rPr>
        <w:t xml:space="preserve"> </w:t>
      </w:r>
      <w:r>
        <w:rPr>
          <w:rtl/>
        </w:rPr>
        <w:tab/>
      </w:r>
      <w:r>
        <w:rPr>
          <w:rFonts w:hint="cs"/>
          <w:rtl/>
        </w:rPr>
        <w:t>משרד הבריאות, "התוכנית הלאומית למדדי איכות: בתי חולים כלליים וגריאטריים, בתי חולים לבריאות הנפש, טיפות חלב ושירותי חירום (מד"א וחברות אמבולנסים)" (2024).</w:t>
      </w:r>
    </w:p>
  </w:footnote>
  <w:footnote w:id="126">
    <w:p w:rsidR="00BB532B" w:rsidP="0016536A">
      <w:pPr>
        <w:pStyle w:val="FootnoteText"/>
      </w:pPr>
      <w:r>
        <w:rPr>
          <w:rStyle w:val="FootnoteReference1"/>
        </w:rPr>
        <w:footnoteRef/>
      </w:r>
      <w:r>
        <w:rPr>
          <w:rtl/>
        </w:rPr>
        <w:t xml:space="preserve"> </w:t>
      </w:r>
      <w:r>
        <w:rPr>
          <w:rtl/>
        </w:rPr>
        <w:tab/>
        <w:t xml:space="preserve">מטופלים </w:t>
      </w:r>
      <w:r>
        <w:rPr>
          <w:rFonts w:hint="cs"/>
          <w:rtl/>
        </w:rPr>
        <w:t>ה</w:t>
      </w:r>
      <w:r>
        <w:rPr>
          <w:rtl/>
        </w:rPr>
        <w:t>נמצאים במצב שלא דורש טיפול נמרץ או מ</w:t>
      </w:r>
      <w:r>
        <w:rPr>
          <w:rFonts w:hint="cs"/>
          <w:rtl/>
        </w:rPr>
        <w:t>י</w:t>
      </w:r>
      <w:r>
        <w:rPr>
          <w:rtl/>
        </w:rPr>
        <w:t xml:space="preserve">ידי, אך דורש טיפול רפואי או סיעוד מקצועי כדי לשמור על מצבם או </w:t>
      </w:r>
      <w:r>
        <w:rPr>
          <w:rFonts w:hint="cs"/>
          <w:rtl/>
        </w:rPr>
        <w:t xml:space="preserve">כדי </w:t>
      </w:r>
      <w:r>
        <w:rPr>
          <w:rtl/>
        </w:rPr>
        <w:t>לעזור בשיפור</w:t>
      </w:r>
      <w:r>
        <w:rPr>
          <w:rFonts w:hint="cs"/>
          <w:rtl/>
        </w:rPr>
        <w:t>ו</w:t>
      </w:r>
      <w:r>
        <w:rPr>
          <w:rtl/>
        </w:rPr>
        <w:t>. אשפוז כזה יכול להתרחש במצבים של מחלה כרונית לא מאוזנת, מצבים של התאוששות ממחלה, או מחלות קלות יחסית שדורשות מעקב</w:t>
      </w:r>
      <w:r>
        <w:t>.</w:t>
      </w:r>
    </w:p>
  </w:footnote>
  <w:footnote w:id="127">
    <w:p w:rsidR="00BB532B" w:rsidP="0016536A">
      <w:pPr>
        <w:pStyle w:val="FootnoteText"/>
        <w:rPr>
          <w:rtl/>
        </w:rPr>
      </w:pPr>
      <w:r>
        <w:rPr>
          <w:rStyle w:val="FootnoteReference1"/>
        </w:rPr>
        <w:footnoteRef/>
      </w:r>
      <w:r>
        <w:rPr>
          <w:rtl/>
        </w:rPr>
        <w:t xml:space="preserve"> </w:t>
      </w:r>
      <w:r>
        <w:rPr>
          <w:rtl/>
        </w:rPr>
        <w:tab/>
      </w:r>
      <w:r>
        <w:rPr>
          <w:rFonts w:hint="cs"/>
          <w:rtl/>
        </w:rPr>
        <w:t>משרד הבריאות, "התוכנית הלאומית למדדי איכות: בתי חולים כלליים וגריאטריים, בתי חולים לבריאות הנפש, טיפות חלב ושירותי חירום (מד"א וחברות אמבולנסים)" (2024), עמ' 271.</w:t>
      </w:r>
    </w:p>
  </w:footnote>
  <w:footnote w:id="128">
    <w:p w:rsidR="00BB532B" w:rsidP="0016536A">
      <w:pPr>
        <w:pStyle w:val="FootnoteText"/>
        <w:rPr>
          <w:rtl/>
        </w:rPr>
      </w:pPr>
    </w:p>
  </w:footnote>
  <w:footnote w:id="129">
    <w:p w:rsidR="00BB532B" w:rsidP="0016536A">
      <w:pPr>
        <w:pStyle w:val="FootnoteText"/>
        <w:rPr>
          <w:rtl/>
        </w:rPr>
      </w:pPr>
    </w:p>
  </w:footnote>
  <w:footnote w:id="130">
    <w:p w:rsidR="00BB532B" w:rsidP="0016536A">
      <w:pPr>
        <w:pStyle w:val="FootnoteText"/>
      </w:pPr>
      <w:r>
        <w:rPr>
          <w:rStyle w:val="FootnoteReference1"/>
        </w:rPr>
        <w:footnoteRef/>
      </w:r>
      <w:r>
        <w:rPr>
          <w:rtl/>
        </w:rPr>
        <w:t xml:space="preserve"> </w:t>
      </w:r>
      <w:r>
        <w:rPr>
          <w:rtl/>
        </w:rPr>
        <w:tab/>
      </w:r>
      <w:r w:rsidRPr="00F97CC8">
        <w:rPr>
          <w:rtl/>
        </w:rPr>
        <w:t>חוק זכויות החולה, התשנ"ו-1996</w:t>
      </w:r>
      <w:r>
        <w:rPr>
          <w:rFonts w:hint="cs"/>
          <w:rtl/>
        </w:rPr>
        <w:t>, סעיף 17(א); משרד הבריאות, "חוזר המנהל הכללי: הרשומה הרפואית" (1996).</w:t>
      </w:r>
    </w:p>
  </w:footnote>
  <w:footnote w:id="131">
    <w:p w:rsidR="00BB532B" w:rsidRPr="00F76E62" w:rsidP="0016536A">
      <w:pPr>
        <w:pStyle w:val="FootnoteText"/>
      </w:pPr>
      <w:r>
        <w:rPr>
          <w:rStyle w:val="FootnoteReference1"/>
        </w:rPr>
        <w:footnoteRef/>
      </w:r>
      <w:r>
        <w:rPr>
          <w:rtl/>
        </w:rPr>
        <w:t xml:space="preserve"> </w:t>
      </w:r>
      <w:r>
        <w:rPr>
          <w:rtl/>
        </w:rPr>
        <w:tab/>
      </w:r>
      <w:r>
        <w:rPr>
          <w:rFonts w:hint="cs"/>
          <w:rtl/>
        </w:rPr>
        <w:t xml:space="preserve">משרד הבריאות, "חוזר המנהל הכללי: חובת תיעוד של גורמי סיכון ואורחות חיים בתיק הרפואי הממוחשב" (2011). </w:t>
      </w:r>
    </w:p>
  </w:footnote>
  <w:footnote w:id="132">
    <w:p w:rsidR="00BB532B" w:rsidP="0016536A">
      <w:pPr>
        <w:pStyle w:val="FootnoteText"/>
        <w:rPr>
          <w:rtl/>
        </w:rPr>
      </w:pPr>
      <w:r>
        <w:rPr>
          <w:rStyle w:val="FootnoteReference1"/>
        </w:rPr>
        <w:footnoteRef/>
      </w:r>
      <w:r>
        <w:rPr>
          <w:rtl/>
        </w:rPr>
        <w:t xml:space="preserve"> </w:t>
      </w:r>
      <w:r>
        <w:rPr>
          <w:rtl/>
        </w:rPr>
        <w:tab/>
      </w:r>
      <w:r>
        <w:rPr>
          <w:rFonts w:hint="cs"/>
          <w:rtl/>
        </w:rPr>
        <w:t>הפעולות המתועדות שנבדקו מבוצעות על ידי רופאים ואנשי מקצוע נוספים בתחום הרפואה כדוגמת אחיות.</w:t>
      </w:r>
    </w:p>
  </w:footnote>
  <w:footnote w:id="133">
    <w:p w:rsidR="00BB532B" w:rsidP="0016536A">
      <w:pPr>
        <w:pStyle w:val="FootnoteText"/>
        <w:rPr>
          <w:rtl/>
        </w:rPr>
      </w:pPr>
      <w:r>
        <w:rPr>
          <w:rStyle w:val="FootnoteReference1"/>
        </w:rPr>
        <w:footnoteRef/>
      </w:r>
      <w:r>
        <w:rPr>
          <w:rtl/>
        </w:rPr>
        <w:t xml:space="preserve"> </w:t>
      </w:r>
      <w:r>
        <w:rPr>
          <w:rtl/>
        </w:rPr>
        <w:tab/>
      </w:r>
      <w:r>
        <w:rPr>
          <w:rFonts w:hint="cs"/>
          <w:rtl/>
        </w:rPr>
        <w:t>צוות הביקורת התייחס רק לפעולות מניעה שתועדו; ככל שבוצעו פעולות מניעה שלא תועדו, אין דיווח על כך.</w:t>
      </w:r>
    </w:p>
  </w:footnote>
  <w:footnote w:id="134">
    <w:p w:rsidR="00BB532B" w:rsidP="0016536A">
      <w:pPr>
        <w:pStyle w:val="FootnoteText"/>
        <w:rPr>
          <w:rtl/>
        </w:rPr>
      </w:pPr>
      <w:r>
        <w:rPr>
          <w:rStyle w:val="FootnoteReference1"/>
        </w:rPr>
        <w:footnoteRef/>
      </w:r>
      <w:r>
        <w:rPr>
          <w:rtl/>
        </w:rPr>
        <w:t xml:space="preserve"> </w:t>
      </w:r>
      <w:r>
        <w:rPr>
          <w:rtl/>
        </w:rPr>
        <w:tab/>
      </w:r>
      <w:r>
        <w:rPr>
          <w:rFonts w:hint="cs"/>
          <w:rtl/>
        </w:rPr>
        <w:t>ניתוח נתוני קופות החולים בנוגע לביצוע פעולות המניעה.</w:t>
      </w:r>
    </w:p>
  </w:footnote>
  <w:footnote w:id="135">
    <w:p w:rsidR="00BB532B" w:rsidP="0016536A">
      <w:pPr>
        <w:pStyle w:val="FootnoteText"/>
      </w:pPr>
      <w:r>
        <w:rPr>
          <w:rStyle w:val="FootnoteReference1"/>
        </w:rPr>
        <w:footnoteRef/>
      </w:r>
      <w:r>
        <w:rPr>
          <w:rtl/>
        </w:rPr>
        <w:t xml:space="preserve"> </w:t>
      </w:r>
      <w:r>
        <w:rPr>
          <w:rtl/>
        </w:rPr>
        <w:tab/>
      </w:r>
      <w:r>
        <w:rPr>
          <w:rFonts w:hint="cs"/>
          <w:rtl/>
        </w:rPr>
        <w:t>לצורך הניתוח לא נעשה שימוש בנתוני האיתור לסיכון לנפילות, שכן, כאמור, באחת הקופות הם נמסרים לרשם הנפילות.</w:t>
      </w:r>
    </w:p>
  </w:footnote>
  <w:footnote w:id="136">
    <w:p w:rsidR="00BB532B" w:rsidP="0016536A">
      <w:pPr>
        <w:pStyle w:val="FootnoteText"/>
      </w:pPr>
      <w:r>
        <w:rPr>
          <w:rStyle w:val="FootnoteReference1"/>
        </w:rPr>
        <w:footnoteRef/>
      </w:r>
      <w:r>
        <w:rPr>
          <w:rtl/>
        </w:rPr>
        <w:t xml:space="preserve"> </w:t>
      </w:r>
      <w:r>
        <w:rPr>
          <w:rtl/>
        </w:rPr>
        <w:tab/>
      </w:r>
      <w:r>
        <w:rPr>
          <w:rFonts w:hint="cs"/>
          <w:rtl/>
        </w:rPr>
        <w:t xml:space="preserve">דמנציה </w:t>
      </w:r>
      <w:r w:rsidRPr="007854ED">
        <w:rPr>
          <w:rtl/>
        </w:rPr>
        <w:t>היא הידרדרות הדרגתית בתפקוד המוח, המתבטאת בפגיעה בזיכרון, בחשיבה,</w:t>
      </w:r>
      <w:r>
        <w:rPr>
          <w:rFonts w:hint="cs"/>
          <w:rtl/>
        </w:rPr>
        <w:t xml:space="preserve"> </w:t>
      </w:r>
      <w:r w:rsidRPr="007854ED">
        <w:rPr>
          <w:rtl/>
        </w:rPr>
        <w:t>בשיפוט ובהתנהגות.</w:t>
      </w:r>
    </w:p>
  </w:footnote>
  <w:footnote w:id="137">
    <w:p w:rsidR="00BB532B" w:rsidP="0016536A">
      <w:r>
        <w:rPr>
          <w:rStyle w:val="FootnoteReference1"/>
        </w:rPr>
        <w:footnoteRef/>
      </w:r>
      <w:r>
        <w:rPr>
          <w:rtl/>
        </w:rPr>
        <w:t xml:space="preserve"> </w:t>
      </w:r>
      <w:r>
        <w:rPr>
          <w:rtl/>
        </w:rPr>
        <w:tab/>
      </w:r>
      <w:r w:rsidRPr="00767B9D">
        <w:rPr>
          <w:szCs w:val="20"/>
          <w:rtl/>
        </w:rPr>
        <w:t>גרייה (סטימולציה) היא הפעלה של החושים או של מערכת העצבים על ידי גירויים חיצוניים כמו קול</w:t>
      </w:r>
      <w:r>
        <w:rPr>
          <w:rFonts w:hint="cs"/>
          <w:szCs w:val="20"/>
          <w:rtl/>
        </w:rPr>
        <w:t xml:space="preserve"> ואור.</w:t>
      </w:r>
      <w:r w:rsidRPr="00767B9D">
        <w:rPr>
          <w:szCs w:val="20"/>
          <w:rtl/>
        </w:rPr>
        <w:t xml:space="preserve"> </w:t>
      </w:r>
    </w:p>
  </w:footnote>
  <w:footnote w:id="138">
    <w:p w:rsidR="00BB532B" w:rsidRPr="00B72C73" w:rsidP="0016536A">
      <w:pPr>
        <w:pStyle w:val="FootnoteText"/>
        <w:rPr>
          <w:rtl/>
        </w:rPr>
      </w:pPr>
      <w:r>
        <w:rPr>
          <w:rStyle w:val="FootnoteReference1"/>
        </w:rPr>
        <w:footnoteRef/>
      </w:r>
      <w:r>
        <w:rPr>
          <w:rtl/>
        </w:rPr>
        <w:t xml:space="preserve"> </w:t>
      </w:r>
      <w:r>
        <w:rPr>
          <w:rtl/>
        </w:rPr>
        <w:tab/>
      </w:r>
      <w:r>
        <w:rPr>
          <w:rFonts w:hint="cs"/>
          <w:rtl/>
        </w:rPr>
        <w:t>משרד הבריאות, "מענה למשרד מבקר המדינה בנושא הזדקנות האוכלוסייה" (22.7.25).</w:t>
      </w:r>
    </w:p>
  </w:footnote>
  <w:footnote w:id="139">
    <w:p w:rsidR="00BB532B" w:rsidP="0016536A">
      <w:pPr>
        <w:pStyle w:val="FootnoteText"/>
      </w:pPr>
      <w:r>
        <w:rPr>
          <w:rStyle w:val="FootnoteReference1"/>
        </w:rPr>
        <w:footnoteRef/>
      </w:r>
      <w:r>
        <w:rPr>
          <w:rtl/>
        </w:rPr>
        <w:t xml:space="preserve"> </w:t>
      </w:r>
      <w:r>
        <w:rPr>
          <w:rtl/>
        </w:rPr>
        <w:tab/>
      </w:r>
      <w:r>
        <w:rPr>
          <w:rFonts w:hint="cs"/>
          <w:rtl/>
        </w:rPr>
        <w:t xml:space="preserve">הלשכה המרכזית לסטטיסטיקה, </w:t>
      </w:r>
      <w:r w:rsidRPr="0095267D">
        <w:rPr>
          <w:b/>
          <w:bCs/>
          <w:rtl/>
        </w:rPr>
        <w:t xml:space="preserve">נתונים על ילדים ובוגרים עם לקות שמיעה בישראל לרגל יום השמיעה הבין-לאומי </w:t>
      </w:r>
      <w:r>
        <w:rPr>
          <w:rFonts w:hint="cs"/>
          <w:rtl/>
        </w:rPr>
        <w:t xml:space="preserve">(2022). </w:t>
      </w:r>
    </w:p>
  </w:footnote>
  <w:footnote w:id="140">
    <w:p w:rsidR="00BB532B" w:rsidP="0016536A">
      <w:pPr>
        <w:pStyle w:val="FootnoteText"/>
      </w:pPr>
      <w:r>
        <w:rPr>
          <w:rStyle w:val="FootnoteReference1"/>
        </w:rPr>
        <w:footnoteRef/>
      </w:r>
      <w:r>
        <w:rPr>
          <w:rtl/>
        </w:rPr>
        <w:t xml:space="preserve"> </w:t>
      </w:r>
      <w:r>
        <w:rPr>
          <w:rtl/>
        </w:rPr>
        <w:tab/>
      </w:r>
      <w:r>
        <w:rPr>
          <w:rFonts w:hint="cs"/>
          <w:rtl/>
        </w:rPr>
        <w:t xml:space="preserve">על פי סקר שנערך בקרב מבוגרים לגבי בדיקות שמיעה במהלך השנתיים שקדמו לסקר, ראו: </w:t>
      </w:r>
      <w:r>
        <w:t>National poll on healthy aging, Hearing loss in older adults: Screening and testing (2021)</w:t>
      </w:r>
      <w:r>
        <w:rPr>
          <w:rFonts w:hint="cs"/>
          <w:rtl/>
        </w:rPr>
        <w:t>.</w:t>
      </w:r>
      <w:r>
        <w:t xml:space="preserve"> </w:t>
      </w:r>
    </w:p>
  </w:footnote>
  <w:footnote w:id="141">
    <w:p w:rsidR="00BB532B" w:rsidP="0016536A">
      <w:pPr>
        <w:pStyle w:val="FootnoteText"/>
      </w:pPr>
      <w:r>
        <w:rPr>
          <w:rStyle w:val="FootnoteReference1"/>
        </w:rPr>
        <w:footnoteRef/>
      </w:r>
      <w:r>
        <w:rPr>
          <w:rtl/>
        </w:rPr>
        <w:t xml:space="preserve"> </w:t>
      </w:r>
      <w:r>
        <w:rPr>
          <w:rtl/>
        </w:rPr>
        <w:tab/>
      </w:r>
      <w:r>
        <w:rPr>
          <w:rFonts w:hint="cs"/>
          <w:rtl/>
        </w:rPr>
        <w:t>משרד הבריאות, "שימוש מושכל בתרופות בגיל המבוגר" (2017).</w:t>
      </w:r>
    </w:p>
  </w:footnote>
  <w:footnote w:id="142">
    <w:p w:rsidR="00BB532B" w:rsidP="0016536A">
      <w:pPr>
        <w:pStyle w:val="FootnoteText"/>
      </w:pPr>
      <w:r>
        <w:rPr>
          <w:rStyle w:val="FootnoteReference1"/>
        </w:rPr>
        <w:footnoteRef/>
      </w:r>
      <w:r>
        <w:rPr>
          <w:rtl/>
        </w:rPr>
        <w:t xml:space="preserve"> </w:t>
      </w:r>
      <w:r>
        <w:rPr>
          <w:rtl/>
        </w:rPr>
        <w:tab/>
      </w:r>
      <w:r>
        <w:rPr>
          <w:rFonts w:hint="cs"/>
          <w:rtl/>
        </w:rPr>
        <w:t>משרד הבריאות, "התכנית הלאומית להיערכות מערכת הבריאות להזדקנות האוכלוסייה" (לא צוין תאריך פרסום).</w:t>
      </w:r>
    </w:p>
  </w:footnote>
  <w:footnote w:id="143">
    <w:p w:rsidR="00BB532B" w:rsidP="0016536A">
      <w:pPr>
        <w:pStyle w:val="FootnoteText"/>
        <w:rPr>
          <w:rtl/>
        </w:rPr>
      </w:pPr>
      <w:r>
        <w:rPr>
          <w:rStyle w:val="FootnoteReference1"/>
        </w:rPr>
        <w:footnoteRef/>
      </w:r>
      <w:r>
        <w:rPr>
          <w:rtl/>
        </w:rPr>
        <w:t xml:space="preserve"> </w:t>
      </w:r>
      <w:r>
        <w:rPr>
          <w:rtl/>
        </w:rPr>
        <w:tab/>
      </w:r>
      <w:r>
        <w:rPr>
          <w:rFonts w:hint="cs"/>
          <w:rtl/>
        </w:rPr>
        <w:t>משרד הבריאות, "מבחנים לחלוקת כספי תמיכות של משרד הבריאות בקופות החולים ('המבחן המתכלל') לפי חוק יסודות התקציב, התשמ"ה-1985".</w:t>
      </w:r>
    </w:p>
  </w:footnote>
  <w:footnote w:id="144">
    <w:p w:rsidR="00BB532B" w:rsidP="0016536A">
      <w:pPr>
        <w:pStyle w:val="FootnoteText"/>
        <w:rPr>
          <w:rtl/>
        </w:rPr>
      </w:pPr>
      <w:r>
        <w:rPr>
          <w:rStyle w:val="FootnoteReference1"/>
        </w:rPr>
        <w:footnoteRef/>
      </w:r>
      <w:r>
        <w:rPr>
          <w:rtl/>
        </w:rPr>
        <w:t xml:space="preserve"> </w:t>
      </w:r>
      <w:r>
        <w:rPr>
          <w:rtl/>
        </w:rPr>
        <w:tab/>
      </w:r>
      <w:r>
        <w:t>Markus Eyting et al.,</w:t>
      </w:r>
      <w:r w:rsidRPr="0074769C">
        <w:t xml:space="preserve"> </w:t>
      </w:r>
      <w:r>
        <w:t>“</w:t>
      </w:r>
      <w:r w:rsidRPr="0074769C">
        <w:t>A natural experiment on the effect of herpes zoster vaccination on dementia</w:t>
      </w:r>
      <w:r>
        <w:t>”,</w:t>
      </w:r>
      <w:r w:rsidRPr="0074769C">
        <w:t xml:space="preserve"> </w:t>
      </w:r>
      <w:r w:rsidRPr="0095267D">
        <w:rPr>
          <w:b/>
          <w:bCs/>
        </w:rPr>
        <w:t>Nature</w:t>
      </w:r>
      <w:r>
        <w:t xml:space="preserve"> </w:t>
      </w:r>
      <w:r w:rsidRPr="0074769C">
        <w:t>641</w:t>
      </w:r>
      <w:r>
        <w:t xml:space="preserve"> (2025)</w:t>
      </w:r>
      <w:r w:rsidRPr="0074769C">
        <w:t xml:space="preserve">, </w:t>
      </w:r>
      <w:r>
        <w:t xml:space="preserve">pp. </w:t>
      </w:r>
      <w:r w:rsidRPr="0074769C">
        <w:t>438</w:t>
      </w:r>
      <w:r>
        <w:t xml:space="preserve"> - </w:t>
      </w:r>
      <w:r w:rsidRPr="0074769C">
        <w:t>446</w:t>
      </w:r>
      <w:r>
        <w:t>.</w:t>
      </w:r>
      <w:r w:rsidRPr="0074769C">
        <w:rPr>
          <w:rtl/>
        </w:rPr>
        <w:t xml:space="preserve"> </w:t>
      </w:r>
    </w:p>
  </w:footnote>
  <w:footnote w:id="145">
    <w:p w:rsidR="00BB532B" w:rsidP="0016536A">
      <w:pPr>
        <w:pStyle w:val="FootnoteText"/>
        <w:rPr>
          <w:rtl/>
        </w:rPr>
      </w:pPr>
      <w:r>
        <w:rPr>
          <w:rStyle w:val="FootnoteReference1"/>
        </w:rPr>
        <w:footnoteRef/>
      </w:r>
      <w:r>
        <w:rPr>
          <w:rtl/>
        </w:rPr>
        <w:t xml:space="preserve"> </w:t>
      </w:r>
      <w:r>
        <w:rPr>
          <w:rtl/>
        </w:rPr>
        <w:tab/>
      </w:r>
      <w:r w:rsidRPr="007E6B85">
        <w:t>Emily P. Terlizzi</w:t>
      </w:r>
      <w:r>
        <w:t>, et al., “Shingles Vaccination Among Adults Aged 60 and Over: United States, 2018”,</w:t>
      </w:r>
      <w:r w:rsidRPr="007E6B85">
        <w:t xml:space="preserve"> </w:t>
      </w:r>
      <w:r w:rsidRPr="0095267D">
        <w:rPr>
          <w:b/>
          <w:bCs/>
        </w:rPr>
        <w:t>NCHS Data Brief</w:t>
      </w:r>
      <w:r w:rsidRPr="0095267D">
        <w:t xml:space="preserve"> 370 (</w:t>
      </w:r>
      <w:r>
        <w:t>2020).</w:t>
      </w:r>
      <w:r>
        <w:rPr>
          <w:rFonts w:hint="cs"/>
          <w:rtl/>
        </w:rPr>
        <w:t xml:space="preserve"> </w:t>
      </w:r>
    </w:p>
  </w:footnote>
  <w:footnote w:id="146">
    <w:p w:rsidR="00BB532B" w:rsidRPr="00096723" w:rsidP="0016536A">
      <w:pPr>
        <w:pStyle w:val="FootnoteText"/>
        <w:rPr>
          <w:rtl/>
        </w:rPr>
      </w:pPr>
      <w:r>
        <w:rPr>
          <w:rStyle w:val="FootnoteReference1"/>
        </w:rPr>
        <w:footnoteRef/>
      </w:r>
      <w:r>
        <w:rPr>
          <w:rtl/>
        </w:rPr>
        <w:t xml:space="preserve"> </w:t>
      </w:r>
      <w:r>
        <w:rPr>
          <w:rtl/>
        </w:rPr>
        <w:tab/>
      </w:r>
      <w:r w:rsidRPr="00E47A43">
        <w:t>Qiang Wang</w:t>
      </w:r>
      <w:r>
        <w:t>, et al., “</w:t>
      </w:r>
      <w:r w:rsidRPr="00E47A43">
        <w:t>Willingness to Vaccinate Against Herpes Zoster and Its Associated Factors Across WHO Regions: Global Systematic Review and Meta-Analysis</w:t>
      </w:r>
      <w:r>
        <w:t xml:space="preserve">”, </w:t>
      </w:r>
      <w:r w:rsidRPr="0095267D">
        <w:rPr>
          <w:b/>
          <w:bCs/>
        </w:rPr>
        <w:t>JMIR Public Health and Surveillance</w:t>
      </w:r>
      <w:r>
        <w:t xml:space="preserve"> 9 (2023).</w:t>
      </w:r>
    </w:p>
  </w:footnote>
  <w:footnote w:id="147">
    <w:p w:rsidR="00BB532B" w:rsidRPr="00096723" w:rsidP="0016536A">
      <w:pPr>
        <w:pStyle w:val="FootnoteText"/>
        <w:rPr>
          <w:rtl/>
        </w:rPr>
      </w:pPr>
      <w:r>
        <w:rPr>
          <w:rStyle w:val="FootnoteReference1"/>
        </w:rPr>
        <w:footnoteRef/>
      </w:r>
      <w:r>
        <w:rPr>
          <w:rtl/>
        </w:rPr>
        <w:t xml:space="preserve"> </w:t>
      </w:r>
      <w:r>
        <w:rPr>
          <w:rtl/>
        </w:rPr>
        <w:tab/>
      </w:r>
      <w:r w:rsidRPr="00B474FB">
        <w:t>I. Milsom and M. Gyhagen</w:t>
      </w:r>
      <w:r>
        <w:t>,</w:t>
      </w:r>
      <w:r w:rsidRPr="00B474FB">
        <w:t xml:space="preserve"> </w:t>
      </w:r>
      <w:r>
        <w:t>“</w:t>
      </w:r>
      <w:r w:rsidRPr="00B474FB">
        <w:t>The prevalence of urinary incontinence</w:t>
      </w:r>
      <w:r>
        <w:t>”,</w:t>
      </w:r>
      <w:r w:rsidRPr="00B474FB">
        <w:t xml:space="preserve"> </w:t>
      </w:r>
      <w:r w:rsidRPr="0095267D">
        <w:rPr>
          <w:b/>
          <w:bCs/>
        </w:rPr>
        <w:t>Climacteric</w:t>
      </w:r>
      <w:r w:rsidRPr="00B474FB">
        <w:t xml:space="preserve"> 22(3)</w:t>
      </w:r>
      <w:r>
        <w:t xml:space="preserve"> (2019)</w:t>
      </w:r>
      <w:r w:rsidRPr="00B474FB">
        <w:t>,</w:t>
      </w:r>
      <w:r>
        <w:t xml:space="preserve"> pp.</w:t>
      </w:r>
      <w:r w:rsidRPr="00B474FB">
        <w:t xml:space="preserve"> 217</w:t>
      </w:r>
      <w:r>
        <w:t xml:space="preserve"> - </w:t>
      </w:r>
      <w:r w:rsidRPr="00B474FB">
        <w:t>222</w:t>
      </w:r>
      <w:r>
        <w:t>.</w:t>
      </w:r>
    </w:p>
  </w:footnote>
  <w:footnote w:id="148">
    <w:p w:rsidR="00BB532B" w:rsidP="0016536A">
      <w:pPr>
        <w:pStyle w:val="FootnoteText"/>
      </w:pPr>
      <w:r>
        <w:rPr>
          <w:rStyle w:val="FootnoteReference1"/>
        </w:rPr>
        <w:footnoteRef/>
      </w:r>
      <w:r>
        <w:rPr>
          <w:rtl/>
        </w:rPr>
        <w:t xml:space="preserve"> </w:t>
      </w:r>
      <w:r>
        <w:rPr>
          <w:rtl/>
        </w:rPr>
        <w:tab/>
      </w:r>
      <w:r>
        <w:rPr>
          <w:rFonts w:hint="cs"/>
          <w:rtl/>
        </w:rPr>
        <w:t>משרד הבריאות, "התכנית הלאומית להיערכות מערכת הבריאות להזדקנות האוכלוסייה" (לא צוין תאריך פרסום).</w:t>
      </w:r>
    </w:p>
  </w:footnote>
  <w:footnote w:id="149">
    <w:p w:rsidR="00BB532B" w:rsidP="0016536A">
      <w:pPr>
        <w:pStyle w:val="FootnoteText"/>
      </w:pPr>
      <w:r>
        <w:rPr>
          <w:rStyle w:val="FootnoteReference1"/>
        </w:rPr>
        <w:footnoteRef/>
      </w:r>
      <w:r>
        <w:rPr>
          <w:rtl/>
        </w:rPr>
        <w:t xml:space="preserve"> </w:t>
      </w:r>
      <w:r>
        <w:rPr>
          <w:rtl/>
        </w:rPr>
        <w:tab/>
      </w:r>
      <w:r>
        <w:rPr>
          <w:rFonts w:hint="cs"/>
          <w:rtl/>
        </w:rPr>
        <w:t>הכוונה לתשאול של הרופא את המטופל לגבי הנושא. במקרה של חשד, הרופא יכול להפנות את המטופל לאבחון.</w:t>
      </w:r>
    </w:p>
  </w:footnote>
  <w:footnote w:id="150">
    <w:p w:rsidR="00BB532B" w:rsidP="0016536A">
      <w:pPr>
        <w:pStyle w:val="FootnoteText"/>
      </w:pPr>
      <w:r>
        <w:rPr>
          <w:rStyle w:val="FootnoteReference1"/>
        </w:rPr>
        <w:footnoteRef/>
      </w:r>
      <w:r>
        <w:rPr>
          <w:rtl/>
        </w:rPr>
        <w:t xml:space="preserve"> </w:t>
      </w:r>
      <w:r>
        <w:rPr>
          <w:rtl/>
        </w:rPr>
        <w:tab/>
      </w:r>
      <w:r>
        <w:rPr>
          <w:rFonts w:hint="cs"/>
          <w:rtl/>
        </w:rPr>
        <w:t>צוות הביקורת התייחס רק לפעולות מניעה שתועדו; ככל שבוצעו פעולות מניעה שלא תועדו, אין דיווח על כך במסגרת דוח הביקורת. כמו כן, בביקורת נבדק הרישום של רופאי המשפחה, ככל שקיים רישום בטקסט חופשי של פעולות מניעה על ידי אנשי מקצוע אחרים, אין דיווח על כך במסגרת דוח הביקורת.</w:t>
      </w:r>
    </w:p>
  </w:footnote>
  <w:footnote w:id="151">
    <w:p w:rsidR="00BB532B" w:rsidP="0016536A">
      <w:pPr>
        <w:pStyle w:val="FootnoteText"/>
      </w:pPr>
      <w:r>
        <w:rPr>
          <w:rStyle w:val="FootnoteReference1"/>
        </w:rPr>
        <w:footnoteRef/>
      </w:r>
      <w:r>
        <w:rPr>
          <w:rtl/>
        </w:rPr>
        <w:t xml:space="preserve"> </w:t>
      </w:r>
      <w:r>
        <w:rPr>
          <w:rtl/>
        </w:rPr>
        <w:tab/>
      </w:r>
      <w:r>
        <w:rPr>
          <w:rFonts w:hint="cs"/>
          <w:rtl/>
        </w:rPr>
        <w:t xml:space="preserve">תוכנית עבודה סקר </w:t>
      </w:r>
      <w:r>
        <w:rPr>
          <w:rFonts w:hint="cs"/>
        </w:rPr>
        <w:t>SHARE</w:t>
      </w:r>
      <w:r>
        <w:rPr>
          <w:rFonts w:hint="cs"/>
          <w:rtl/>
        </w:rPr>
        <w:t xml:space="preserve"> - גל 10.</w:t>
      </w:r>
    </w:p>
  </w:footnote>
  <w:footnote w:id="152">
    <w:p w:rsidR="00BB532B" w:rsidP="0016536A">
      <w:pPr>
        <w:pStyle w:val="FootnoteText"/>
        <w:rPr>
          <w:rtl/>
        </w:rPr>
      </w:pPr>
      <w:r>
        <w:rPr>
          <w:rStyle w:val="FootnoteReference1"/>
        </w:rPr>
        <w:footnoteRef/>
      </w:r>
      <w:r>
        <w:rPr>
          <w:rtl/>
        </w:rPr>
        <w:tab/>
      </w:r>
      <w:r>
        <w:rPr>
          <w:rStyle w:val="mord"/>
        </w:rPr>
        <w:t>z</w:t>
      </w:r>
      <w:r>
        <w:rPr>
          <w:rStyle w:val="mrel"/>
        </w:rPr>
        <w:t>=</w:t>
      </w:r>
      <w:r>
        <w:rPr>
          <w:rStyle w:val="mord"/>
        </w:rPr>
        <w:t>19.12</w:t>
      </w:r>
      <w:r>
        <w:t xml:space="preserve">, </w:t>
      </w:r>
      <w:r>
        <w:rPr>
          <w:rStyle w:val="katex-mathml"/>
        </w:rPr>
        <w:t>p&lt;0.001</w:t>
      </w:r>
      <w:r>
        <w:rPr>
          <w:rFonts w:hint="cs"/>
          <w:rtl/>
        </w:rPr>
        <w:t>.</w:t>
      </w:r>
    </w:p>
  </w:footnote>
  <w:footnote w:id="153">
    <w:p w:rsidR="00BB532B" w:rsidP="0016536A">
      <w:pPr>
        <w:pStyle w:val="FootnoteText"/>
      </w:pPr>
      <w:r>
        <w:rPr>
          <w:rStyle w:val="FootnoteReference1"/>
        </w:rPr>
        <w:footnoteRef/>
      </w:r>
      <w:r>
        <w:rPr>
          <w:rtl/>
        </w:rPr>
        <w:t xml:space="preserve"> </w:t>
      </w:r>
      <w:r>
        <w:rPr>
          <w:rtl/>
        </w:rPr>
        <w:tab/>
      </w:r>
      <w:r>
        <w:rPr>
          <w:rFonts w:hint="cs"/>
          <w:rtl/>
        </w:rPr>
        <w:t>הרופאים נשאלו על פעולות שנמדדות בתוכנית המדדים: מתן חיסוני שפעת, מתן חיסון נגד פני</w:t>
      </w:r>
      <w:r w:rsidR="00216EC2">
        <w:rPr>
          <w:rFonts w:hint="cs"/>
          <w:rtl/>
        </w:rPr>
        <w:t>או</w:t>
      </w:r>
      <w:r>
        <w:rPr>
          <w:rFonts w:hint="cs"/>
          <w:rtl/>
        </w:rPr>
        <w:t xml:space="preserve">מוקוקים, הפניה לבדיקת דם סמוי או קולונוסקופיה, ביצוע בדיקת כולסטרול, מדידת לחץ דם, מדידת </w:t>
      </w:r>
      <w:r>
        <w:rPr>
          <w:rFonts w:hint="cs"/>
        </w:rPr>
        <w:t>B</w:t>
      </w:r>
      <w:r>
        <w:t>M</w:t>
      </w:r>
      <w:r>
        <w:rPr>
          <w:rFonts w:hint="cs"/>
        </w:rPr>
        <w:t>I</w:t>
      </w:r>
      <w:r>
        <w:rPr>
          <w:rFonts w:hint="cs"/>
          <w:rtl/>
        </w:rPr>
        <w:t xml:space="preserve">, ביצוע בדיקת ממוגרפיה; ופעולות שאינן נמדדות: </w:t>
      </w:r>
      <w:r w:rsidRPr="005337C0">
        <w:rPr>
          <w:rtl/>
        </w:rPr>
        <w:t>פגישה ממושכת עם מטופל המאפשרת בדיקה מקפת של מצבו ומתן המלצות בעניינו</w:t>
      </w:r>
      <w:r>
        <w:rPr>
          <w:rFonts w:hint="cs"/>
          <w:rtl/>
        </w:rPr>
        <w:t>, מתן חיסון נגד שלבקת חוגרת, איתור דיכאון, איתור ירידה קוגניטיבית, איתור הסיכון לנפילות, קיום בירור עם המטופל כדי לוודא שהוא עוסק בפעילות גופנית, המלצות לגבי תזונה, סקירת התרופות שנוטל המטופל והתאמתן. הזקנים נשאלו אף הם על אותן הפעולות.</w:t>
      </w:r>
    </w:p>
  </w:footnote>
  <w:footnote w:id="154">
    <w:p w:rsidR="00BB532B" w:rsidP="0016536A">
      <w:pPr>
        <w:pStyle w:val="FootnoteText"/>
      </w:pPr>
      <w:r>
        <w:rPr>
          <w:rStyle w:val="FootnoteReference1"/>
        </w:rPr>
        <w:footnoteRef/>
      </w:r>
      <w:r>
        <w:rPr>
          <w:rtl/>
        </w:rPr>
        <w:t xml:space="preserve"> </w:t>
      </w:r>
      <w:r>
        <w:rPr>
          <w:rtl/>
        </w:rPr>
        <w:tab/>
      </w:r>
      <w:r>
        <w:rPr>
          <w:rFonts w:hint="cs"/>
          <w:rtl/>
        </w:rPr>
        <w:t>תשובות הרופאים היו בסולם של 1 (כלל לא) - 5 (במידה רבה מאוד); תשובות הזקנים היו בסולם של 0 (לא) - 1 (כן), וממוצע תשובותיהם הותאם לסולם של 1 - 5.</w:t>
      </w:r>
    </w:p>
  </w:footnote>
  <w:footnote w:id="155">
    <w:p w:rsidR="00BB532B" w:rsidP="0016536A">
      <w:pPr>
        <w:pStyle w:val="FootnoteText"/>
        <w:rPr>
          <w:rtl/>
        </w:rPr>
      </w:pPr>
      <w:r>
        <w:rPr>
          <w:rStyle w:val="FootnoteReference1"/>
        </w:rPr>
        <w:footnoteRef/>
      </w:r>
      <w:r>
        <w:rPr>
          <w:rtl/>
        </w:rPr>
        <w:t xml:space="preserve"> </w:t>
      </w:r>
      <w:r>
        <w:rPr>
          <w:rtl/>
        </w:rPr>
        <w:tab/>
      </w:r>
      <w:r>
        <w:rPr>
          <w:rFonts w:hint="cs"/>
          <w:rtl/>
        </w:rPr>
        <w:t>הרופאים והזקנים התבקשו לבחור את שלושת החסמים העיקריים. מלבד החסמים המוצגים בתרשים, חסמים נוספים שהוצגו להם וששיעור הבחירה בהם היה נמוך היו לדוגמה: הטיפול כרוך באי-נוחות גדולה (כ-6% בקרב הרופאים וכ-כ-4% בקרב הזקנים), או שהם חוששים כי הטיפול יפגע בבריאותם (כ-7% בקרב הרופאים וכ-3% בקרב הזקנים).</w:t>
      </w:r>
    </w:p>
  </w:footnote>
  <w:footnote w:id="156">
    <w:p w:rsidR="00BB532B" w:rsidP="0016536A">
      <w:pPr>
        <w:pStyle w:val="FootnoteText"/>
        <w:rPr>
          <w:rtl/>
        </w:rPr>
      </w:pPr>
      <w:r>
        <w:rPr>
          <w:rStyle w:val="FootnoteReference1"/>
        </w:rPr>
        <w:footnoteRef/>
      </w:r>
      <w:r>
        <w:rPr>
          <w:rtl/>
        </w:rPr>
        <w:t xml:space="preserve"> </w:t>
      </w:r>
      <w:r>
        <w:rPr>
          <w:rtl/>
        </w:rPr>
        <w:tab/>
      </w:r>
      <w:r>
        <w:rPr>
          <w:rFonts w:hint="cs"/>
          <w:rtl/>
        </w:rPr>
        <w:t xml:space="preserve">הרופאים התבקשו לסמן את שלושת החסמים העיקריים המקשים עליהם. מלבד החסמים המתוארים בתרשים, חסמים נוספים ששיעורם נמוך היו לדוגמה: </w:t>
      </w:r>
      <w:r w:rsidRPr="001A0277">
        <w:rPr>
          <w:rtl/>
        </w:rPr>
        <w:t>אי-הטמעתן של פעולות אלה בשגרת הבדיקה והטיפול</w:t>
      </w:r>
      <w:r>
        <w:rPr>
          <w:rFonts w:hint="cs"/>
          <w:rtl/>
        </w:rPr>
        <w:t xml:space="preserve">; </w:t>
      </w:r>
      <w:r w:rsidRPr="001A0277">
        <w:rPr>
          <w:rtl/>
        </w:rPr>
        <w:t>היעדר דגש של הקופה על רפואה מונעת</w:t>
      </w:r>
      <w:r>
        <w:rPr>
          <w:rFonts w:hint="cs"/>
          <w:rtl/>
        </w:rPr>
        <w:t>; ו</w:t>
      </w:r>
      <w:r w:rsidRPr="001A0277">
        <w:rPr>
          <w:rtl/>
        </w:rPr>
        <w:t>ספקנות של הרופא בנוגע למועילות של ההנחיות או הפעולות</w:t>
      </w:r>
      <w:r>
        <w:rPr>
          <w:rFonts w:hint="cs"/>
          <w:rtl/>
        </w:rPr>
        <w:t>.</w:t>
      </w:r>
    </w:p>
  </w:footnote>
  <w:footnote w:id="157">
    <w:p w:rsidR="00BB532B" w:rsidP="0016536A">
      <w:pPr>
        <w:pStyle w:val="FootnoteText"/>
        <w:rPr>
          <w:rtl/>
        </w:rPr>
      </w:pPr>
      <w:r>
        <w:rPr>
          <w:rStyle w:val="FootnoteReference1"/>
        </w:rPr>
        <w:footnoteRef/>
      </w:r>
      <w:r>
        <w:rPr>
          <w:rtl/>
        </w:rPr>
        <w:t xml:space="preserve"> </w:t>
      </w:r>
      <w:r>
        <w:rPr>
          <w:rtl/>
        </w:rPr>
        <w:tab/>
      </w:r>
      <w:r>
        <w:t>British Geriatric Society, be proactive: Delivering proactive care for older people with frailty.</w:t>
      </w:r>
    </w:p>
  </w:footnote>
  <w:footnote w:id="158">
    <w:p w:rsidR="00BB532B" w:rsidRPr="004C540D" w:rsidP="0016536A">
      <w:pPr>
        <w:pStyle w:val="FootnoteText"/>
      </w:pPr>
      <w:r>
        <w:rPr>
          <w:rStyle w:val="FootnoteReference1"/>
        </w:rPr>
        <w:footnoteRef/>
      </w:r>
      <w:r>
        <w:rPr>
          <w:rtl/>
        </w:rPr>
        <w:t xml:space="preserve"> </w:t>
      </w:r>
      <w:r>
        <w:rPr>
          <w:rtl/>
        </w:rPr>
        <w:tab/>
      </w:r>
      <w:r>
        <w:rPr>
          <w:rFonts w:hint="cs"/>
          <w:rtl/>
        </w:rPr>
        <w:t>כוח המשימה הישראלי בנושא קידום בריאות ורפואה מונעת (2022), עמ' 6.</w:t>
      </w:r>
    </w:p>
  </w:footnote>
  <w:footnote w:id="159">
    <w:p w:rsidR="00BB532B" w:rsidP="0016536A">
      <w:pPr>
        <w:pStyle w:val="FootnoteText"/>
        <w:rPr>
          <w:rtl/>
        </w:rPr>
      </w:pPr>
      <w:r>
        <w:rPr>
          <w:rStyle w:val="FootnoteReference1"/>
        </w:rPr>
        <w:footnoteRef/>
      </w:r>
      <w:r>
        <w:rPr>
          <w:rtl/>
        </w:rPr>
        <w:t xml:space="preserve"> </w:t>
      </w:r>
      <w:r>
        <w:rPr>
          <w:rtl/>
        </w:rPr>
        <w:tab/>
      </w:r>
      <w:r>
        <w:t xml:space="preserve">NHS, Proactive care: </w:t>
      </w:r>
      <w:r w:rsidRPr="00FC3FF0">
        <w:t>providing care and support for people living at</w:t>
      </w:r>
      <w:r>
        <w:t xml:space="preserve"> </w:t>
      </w:r>
      <w:r w:rsidRPr="00FC3FF0">
        <w:t>home with moderate or severe frailty</w:t>
      </w:r>
      <w:r>
        <w:t xml:space="preserve"> (2023).</w:t>
      </w:r>
    </w:p>
  </w:footnote>
  <w:footnote w:id="160">
    <w:p w:rsidR="00BB532B" w:rsidP="0016536A">
      <w:pPr>
        <w:pStyle w:val="FootnoteText"/>
        <w:rPr>
          <w:rtl/>
        </w:rPr>
      </w:pPr>
      <w:r>
        <w:rPr>
          <w:rStyle w:val="FootnoteReference1"/>
        </w:rPr>
        <w:footnoteRef/>
      </w:r>
      <w:r>
        <w:rPr>
          <w:rtl/>
        </w:rPr>
        <w:t xml:space="preserve"> </w:t>
      </w:r>
      <w:r>
        <w:rPr>
          <w:rtl/>
        </w:rPr>
        <w:tab/>
      </w:r>
      <w:r>
        <w:t>Seranina Petra Lerch et al., “A model of contributors to a trusting patient-physician relationship: a critical review using a systematic search strategy”</w:t>
      </w:r>
      <w:r w:rsidRPr="0095267D">
        <w:rPr>
          <w:b/>
          <w:bCs/>
        </w:rPr>
        <w:t>, BMC Primary Care</w:t>
      </w:r>
      <w:r>
        <w:t xml:space="preserve"> 25 (2024).</w:t>
      </w:r>
    </w:p>
  </w:footnote>
  <w:footnote w:id="161">
    <w:p w:rsidR="00BB532B" w:rsidP="0016536A">
      <w:pPr>
        <w:pStyle w:val="FootnoteText"/>
      </w:pPr>
      <w:r>
        <w:rPr>
          <w:rStyle w:val="FootnoteReference1"/>
        </w:rPr>
        <w:footnoteRef/>
      </w:r>
      <w:r>
        <w:rPr>
          <w:rtl/>
        </w:rPr>
        <w:t xml:space="preserve"> </w:t>
      </w:r>
      <w:r>
        <w:rPr>
          <w:rtl/>
        </w:rPr>
        <w:tab/>
      </w:r>
      <w:r>
        <w:rPr>
          <w:rFonts w:hint="cs"/>
          <w:rtl/>
        </w:rPr>
        <w:t xml:space="preserve">עוד על זמני ההמתנה לתורים ראו במבקר המדינה, </w:t>
      </w:r>
      <w:r>
        <w:rPr>
          <w:rFonts w:hint="cs"/>
          <w:b/>
          <w:bCs/>
          <w:rtl/>
        </w:rPr>
        <w:t>דוח מיוחד</w:t>
      </w:r>
      <w:r w:rsidRPr="0095267D">
        <w:rPr>
          <w:b/>
          <w:bCs/>
          <w:rtl/>
        </w:rPr>
        <w:t xml:space="preserve"> </w:t>
      </w:r>
      <w:r>
        <w:rPr>
          <w:rFonts w:hint="cs"/>
          <w:b/>
          <w:bCs/>
          <w:rtl/>
        </w:rPr>
        <w:t>נובמבר</w:t>
      </w:r>
      <w:r w:rsidRPr="0095267D">
        <w:rPr>
          <w:b/>
          <w:bCs/>
          <w:rtl/>
        </w:rPr>
        <w:t xml:space="preserve"> 2024</w:t>
      </w:r>
      <w:r>
        <w:rPr>
          <w:rFonts w:hint="cs"/>
          <w:rtl/>
        </w:rPr>
        <w:t>, "</w:t>
      </w:r>
      <w:r w:rsidRPr="003513A3">
        <w:rPr>
          <w:rtl/>
        </w:rPr>
        <w:t>זמני המתנה לקבלת שירותי רפואת מומחים</w:t>
      </w:r>
      <w:r>
        <w:rPr>
          <w:rFonts w:hint="cs"/>
          <w:rtl/>
        </w:rPr>
        <w:t>", עמ' 1 - 74.</w:t>
      </w:r>
    </w:p>
  </w:footnote>
  <w:footnote w:id="162">
    <w:p w:rsidR="00BB532B" w:rsidP="0016536A">
      <w:pPr>
        <w:pStyle w:val="FootnoteText"/>
        <w:rPr>
          <w:rtl/>
        </w:rPr>
      </w:pPr>
      <w:r>
        <w:rPr>
          <w:rStyle w:val="FootnoteReference1"/>
        </w:rPr>
        <w:footnoteRef/>
      </w:r>
      <w:r>
        <w:rPr>
          <w:rtl/>
        </w:rPr>
        <w:t xml:space="preserve"> </w:t>
      </w:r>
      <w:r>
        <w:rPr>
          <w:rtl/>
        </w:rPr>
        <w:tab/>
      </w:r>
      <w:r>
        <w:rPr>
          <w:rFonts w:hint="cs"/>
          <w:rtl/>
        </w:rPr>
        <w:t xml:space="preserve">משרד ראש הממשלה, </w:t>
      </w:r>
      <w:r>
        <w:rPr>
          <w:rFonts w:hint="cs"/>
          <w:b/>
          <w:bCs/>
          <w:rtl/>
        </w:rPr>
        <w:t>מדריך התכנון הממשלתי</w:t>
      </w:r>
      <w:r>
        <w:rPr>
          <w:rFonts w:hint="cs"/>
          <w:rtl/>
        </w:rPr>
        <w:t xml:space="preserve"> (2010).</w:t>
      </w:r>
    </w:p>
  </w:footnote>
  <w:footnote w:id="163">
    <w:p w:rsidR="00BB532B" w:rsidRPr="00452CFF" w:rsidP="0016536A">
      <w:pPr>
        <w:pStyle w:val="FootnoteText"/>
        <w:rPr>
          <w:rtl/>
        </w:rPr>
      </w:pPr>
      <w:r>
        <w:rPr>
          <w:rStyle w:val="FootnoteReference1"/>
        </w:rPr>
        <w:footnoteRef/>
      </w:r>
      <w:r>
        <w:rPr>
          <w:rtl/>
        </w:rPr>
        <w:t xml:space="preserve"> </w:t>
      </w:r>
      <w:r>
        <w:rPr>
          <w:rtl/>
        </w:rPr>
        <w:tab/>
      </w:r>
      <w:r>
        <w:rPr>
          <w:rFonts w:hint="cs"/>
          <w:rtl/>
        </w:rPr>
        <w:t xml:space="preserve">משרד ראש הממשלה, </w:t>
      </w:r>
      <w:r>
        <w:rPr>
          <w:rFonts w:hint="cs"/>
          <w:b/>
          <w:bCs/>
          <w:rtl/>
        </w:rPr>
        <w:t>מדריך התכנון הממשלתי</w:t>
      </w:r>
      <w:r>
        <w:rPr>
          <w:rFonts w:hint="cs"/>
          <w:rtl/>
        </w:rPr>
        <w:t xml:space="preserve"> (2010).</w:t>
      </w:r>
    </w:p>
  </w:footnote>
  <w:footnote w:id="164">
    <w:p w:rsidR="00BB532B" w:rsidRPr="003961BD" w:rsidP="0016536A">
      <w:pPr>
        <w:pStyle w:val="FootnoteText"/>
        <w:rPr>
          <w:rtl/>
        </w:rPr>
      </w:pPr>
      <w:r>
        <w:rPr>
          <w:rStyle w:val="FootnoteReference1"/>
        </w:rPr>
        <w:footnoteRef/>
      </w:r>
      <w:r>
        <w:rPr>
          <w:rtl/>
        </w:rPr>
        <w:t xml:space="preserve"> </w:t>
      </w:r>
      <w:r>
        <w:rPr>
          <w:rtl/>
        </w:rPr>
        <w:tab/>
      </w:r>
      <w:r>
        <w:rPr>
          <w:rFonts w:hint="cs"/>
          <w:rtl/>
        </w:rPr>
        <w:t xml:space="preserve">מבקר המדינה, </w:t>
      </w:r>
      <w:r>
        <w:rPr>
          <w:rFonts w:hint="cs"/>
          <w:b/>
          <w:bCs/>
          <w:rtl/>
        </w:rPr>
        <w:t>דוח ביקורת מיוחד</w:t>
      </w:r>
      <w:r>
        <w:rPr>
          <w:rFonts w:hint="cs"/>
          <w:rtl/>
        </w:rPr>
        <w:t xml:space="preserve"> (2016), "חינוך לחיים משותפים ולמניעת גזענות", עמ' 1 - 88.</w:t>
      </w:r>
    </w:p>
  </w:footnote>
  <w:footnote w:id="165">
    <w:p w:rsidR="00BB532B" w:rsidP="0016536A">
      <w:pPr>
        <w:pStyle w:val="FootnoteText"/>
      </w:pPr>
      <w:r>
        <w:rPr>
          <w:rStyle w:val="FootnoteReference1"/>
        </w:rPr>
        <w:footnoteRef/>
      </w:r>
      <w:r>
        <w:rPr>
          <w:rtl/>
        </w:rPr>
        <w:t xml:space="preserve"> </w:t>
      </w:r>
      <w:r>
        <w:rPr>
          <w:rtl/>
        </w:rPr>
        <w:tab/>
      </w:r>
      <w:r>
        <w:rPr>
          <w:rFonts w:hint="cs"/>
          <w:rtl/>
        </w:rPr>
        <w:t>משרד הבריאות, "התכנית הלאומית להיערכות מערכת הבריאות להזדקנות האוכלוסייה" (לא צוין תאריך פרסום); מצגת של משרד הבריאות, "הזדקנות מיטבית: קידום בריאות ומניעת הדרדרות" (לא צוין תאריך פרסום).</w:t>
      </w:r>
    </w:p>
  </w:footnote>
  <w:footnote w:id="166">
    <w:p w:rsidR="00BB532B" w:rsidP="0016536A">
      <w:pPr>
        <w:pStyle w:val="FootnoteText"/>
        <w:rPr>
          <w:rtl/>
        </w:rPr>
      </w:pPr>
      <w:r>
        <w:rPr>
          <w:rStyle w:val="FootnoteReference1"/>
        </w:rPr>
        <w:footnoteRef/>
      </w:r>
      <w:r>
        <w:rPr>
          <w:rtl/>
        </w:rPr>
        <w:t xml:space="preserve"> </w:t>
      </w:r>
      <w:r>
        <w:rPr>
          <w:rtl/>
        </w:rPr>
        <w:tab/>
      </w:r>
      <w:r>
        <w:rPr>
          <w:rFonts w:hint="cs"/>
          <w:rtl/>
        </w:rPr>
        <w:t xml:space="preserve">משרד הרווחה והביטחון החברתי, המוסד לביטוח לאומי ומשרד הבריאות, "המלצות הצוות למניעת הידרדרות תפקודית של אזרחים ותיקים" (2022). </w:t>
      </w:r>
    </w:p>
  </w:footnote>
  <w:footnote w:id="167">
    <w:p w:rsidR="00BB532B" w:rsidP="0016536A">
      <w:pPr>
        <w:pStyle w:val="FootnoteText"/>
        <w:rPr>
          <w:rtl/>
        </w:rPr>
      </w:pPr>
      <w:r>
        <w:rPr>
          <w:rStyle w:val="FootnoteReference1"/>
        </w:rPr>
        <w:footnoteRef/>
      </w:r>
      <w:r>
        <w:rPr>
          <w:rtl/>
        </w:rPr>
        <w:t xml:space="preserve"> </w:t>
      </w:r>
      <w:r>
        <w:rPr>
          <w:rtl/>
        </w:rPr>
        <w:tab/>
      </w:r>
      <w:r>
        <w:rPr>
          <w:rFonts w:hint="cs"/>
          <w:rtl/>
        </w:rPr>
        <w:t>החלטת הממשלה 211, "שיפור השירותים הסיעודיים בדגש על דחיקת תלות ומניעת הידרדרות" (24.2.23).</w:t>
      </w:r>
    </w:p>
  </w:footnote>
  <w:footnote w:id="168">
    <w:p w:rsidR="00BB532B" w:rsidP="0016536A">
      <w:pPr>
        <w:pStyle w:val="FootnoteText"/>
        <w:rPr>
          <w:rtl/>
        </w:rPr>
      </w:pPr>
      <w:r>
        <w:rPr>
          <w:rStyle w:val="FootnoteReference1"/>
        </w:rPr>
        <w:footnoteRef/>
      </w:r>
      <w:r>
        <w:rPr>
          <w:rtl/>
        </w:rPr>
        <w:t xml:space="preserve"> </w:t>
      </w:r>
      <w:r>
        <w:rPr>
          <w:rtl/>
        </w:rPr>
        <w:tab/>
      </w:r>
      <w:r>
        <w:rPr>
          <w:rFonts w:hint="cs"/>
          <w:rtl/>
        </w:rPr>
        <w:t>דחיקת תלות אצל זקנים היא מדיניות ופעולה יזומה של מערכות הבריאות, הרווחה והקהילה, שמטרתה לעכב, לצמצם או למנוע את המעבר של אדם זקן למצב של תלות תפקודית מתמשכת בסיוע של אחרים, בסיעוד או באשפוז, באמצעות שמירה על תפקוד ועצמאות לאורך זמן.</w:t>
      </w:r>
    </w:p>
  </w:footnote>
  <w:footnote w:id="169">
    <w:p w:rsidR="00BB532B" w:rsidP="0016536A">
      <w:pPr>
        <w:pStyle w:val="FootnoteText"/>
      </w:pPr>
      <w:r>
        <w:rPr>
          <w:rStyle w:val="FootnoteReference1"/>
        </w:rPr>
        <w:footnoteRef/>
      </w:r>
      <w:r>
        <w:rPr>
          <w:rtl/>
        </w:rPr>
        <w:t xml:space="preserve"> </w:t>
      </w:r>
      <w:r>
        <w:rPr>
          <w:rtl/>
        </w:rPr>
        <w:tab/>
      </w:r>
      <w:r>
        <w:rPr>
          <w:rFonts w:hint="cs"/>
          <w:rtl/>
        </w:rPr>
        <w:t>המועצה הלאומית לכלכלה, דוח מעקב אחר יישום הערכת המצב האסטרטגית (2018).</w:t>
      </w:r>
    </w:p>
  </w:footnote>
  <w:footnote w:id="170">
    <w:p w:rsidR="00BB532B" w:rsidP="0016536A">
      <w:pPr>
        <w:pStyle w:val="FootnoteText"/>
        <w:rPr>
          <w:rtl/>
        </w:rPr>
      </w:pPr>
      <w:r>
        <w:rPr>
          <w:rStyle w:val="FootnoteReference1"/>
        </w:rPr>
        <w:footnoteRef/>
      </w:r>
      <w:r>
        <w:rPr>
          <w:rtl/>
        </w:rPr>
        <w:t xml:space="preserve"> </w:t>
      </w:r>
      <w:r>
        <w:rPr>
          <w:rtl/>
        </w:rPr>
        <w:tab/>
      </w:r>
      <w:r>
        <w:rPr>
          <w:rFonts w:hint="cs"/>
          <w:rtl/>
        </w:rPr>
        <w:t>ההסתדרות הרפואית בישראל, "התמחות בגריאטריה: תכנית ההתמחות" (2024).</w:t>
      </w:r>
    </w:p>
  </w:footnote>
  <w:footnote w:id="171">
    <w:p w:rsidR="00BB532B" w:rsidP="0016536A">
      <w:pPr>
        <w:pStyle w:val="FootnoteText"/>
      </w:pPr>
      <w:r>
        <w:rPr>
          <w:rStyle w:val="FootnoteReference1"/>
        </w:rPr>
        <w:footnoteRef/>
      </w:r>
      <w:r>
        <w:rPr>
          <w:rtl/>
        </w:rPr>
        <w:t xml:space="preserve"> </w:t>
      </w:r>
      <w:r>
        <w:rPr>
          <w:rtl/>
        </w:rPr>
        <w:tab/>
      </w:r>
      <w:r>
        <w:rPr>
          <w:rFonts w:hint="cs"/>
          <w:rtl/>
        </w:rPr>
        <w:t>תחום</w:t>
      </w:r>
      <w:r w:rsidRPr="00651213">
        <w:rPr>
          <w:rtl/>
        </w:rPr>
        <w:t xml:space="preserve"> </w:t>
      </w:r>
      <w:r>
        <w:rPr>
          <w:rFonts w:hint="cs"/>
          <w:rtl/>
        </w:rPr>
        <w:t xml:space="preserve">העוסק בשימוש בתרופות </w:t>
      </w:r>
      <w:r w:rsidRPr="00651213">
        <w:rPr>
          <w:rtl/>
        </w:rPr>
        <w:t>בצורה בטוחה ויעילה בטיפול רפואי.</w:t>
      </w:r>
    </w:p>
  </w:footnote>
  <w:footnote w:id="172">
    <w:p w:rsidR="00BB532B" w:rsidP="0016536A">
      <w:pPr>
        <w:pStyle w:val="FootnoteText"/>
      </w:pPr>
      <w:r>
        <w:rPr>
          <w:rStyle w:val="FootnoteReference1"/>
        </w:rPr>
        <w:footnoteRef/>
      </w:r>
      <w:r>
        <w:rPr>
          <w:rtl/>
        </w:rPr>
        <w:t xml:space="preserve"> </w:t>
      </w:r>
      <w:r>
        <w:rPr>
          <w:rtl/>
        </w:rPr>
        <w:tab/>
      </w:r>
      <w:r>
        <w:rPr>
          <w:rFonts w:hint="cs"/>
          <w:rtl/>
        </w:rPr>
        <w:t>אתר האיגוד הישראלי לרפואה גריאטרית.</w:t>
      </w:r>
    </w:p>
  </w:footnote>
  <w:footnote w:id="173">
    <w:p w:rsidR="00BB532B" w:rsidP="0016536A">
      <w:pPr>
        <w:pStyle w:val="FootnoteText"/>
        <w:rPr>
          <w:rtl/>
        </w:rPr>
      </w:pPr>
      <w:r>
        <w:rPr>
          <w:rStyle w:val="FootnoteReference1"/>
        </w:rPr>
        <w:footnoteRef/>
      </w:r>
      <w:r>
        <w:rPr>
          <w:rtl/>
        </w:rPr>
        <w:t xml:space="preserve"> </w:t>
      </w:r>
      <w:r>
        <w:rPr>
          <w:rtl/>
        </w:rPr>
        <w:tab/>
      </w:r>
      <w:r>
        <w:rPr>
          <w:rFonts w:hint="cs"/>
          <w:rtl/>
        </w:rPr>
        <w:t>הוועדה לתכנון המערך הגריאטרי הלאומי ל-2010 - 2020 ו-2020 - 2030 בראשות פרופ' יוחנן שטסמן (2011).</w:t>
      </w:r>
    </w:p>
  </w:footnote>
  <w:footnote w:id="174">
    <w:p w:rsidR="00BB532B" w:rsidP="0016536A">
      <w:pPr>
        <w:pStyle w:val="FootnoteText"/>
        <w:rPr>
          <w:rtl/>
        </w:rPr>
      </w:pPr>
      <w:r>
        <w:rPr>
          <w:rStyle w:val="FootnoteReference1"/>
        </w:rPr>
        <w:footnoteRef/>
      </w:r>
      <w:r>
        <w:rPr>
          <w:rtl/>
        </w:rPr>
        <w:t xml:space="preserve"> </w:t>
      </w:r>
      <w:r>
        <w:rPr>
          <w:rtl/>
        </w:rPr>
        <w:tab/>
      </w:r>
      <w:r>
        <w:rPr>
          <w:rFonts w:hint="cs"/>
          <w:rtl/>
        </w:rPr>
        <w:t xml:space="preserve">מבקר המדינה, </w:t>
      </w:r>
      <w:r w:rsidRPr="0095267D">
        <w:rPr>
          <w:rFonts w:hint="eastAsia"/>
          <w:b/>
          <w:bCs/>
          <w:rtl/>
        </w:rPr>
        <w:t>דוח</w:t>
      </w:r>
      <w:r w:rsidRPr="0095267D">
        <w:rPr>
          <w:b/>
          <w:bCs/>
          <w:rtl/>
        </w:rPr>
        <w:t xml:space="preserve"> </w:t>
      </w:r>
      <w:r w:rsidRPr="0095267D">
        <w:rPr>
          <w:rFonts w:hint="eastAsia"/>
          <w:b/>
          <w:bCs/>
          <w:rtl/>
        </w:rPr>
        <w:t>שנתי</w:t>
      </w:r>
      <w:r w:rsidRPr="0095267D">
        <w:rPr>
          <w:b/>
          <w:bCs/>
          <w:rtl/>
        </w:rPr>
        <w:t xml:space="preserve"> </w:t>
      </w:r>
      <w:r w:rsidRPr="0095267D">
        <w:rPr>
          <w:rFonts w:hint="eastAsia"/>
          <w:b/>
          <w:bCs/>
          <w:rtl/>
        </w:rPr>
        <w:t>יולי</w:t>
      </w:r>
      <w:r w:rsidRPr="0095267D">
        <w:rPr>
          <w:b/>
          <w:bCs/>
          <w:rtl/>
        </w:rPr>
        <w:t xml:space="preserve"> 2024</w:t>
      </w:r>
      <w:r>
        <w:rPr>
          <w:rFonts w:hint="cs"/>
          <w:rtl/>
        </w:rPr>
        <w:t>, "</w:t>
      </w:r>
      <w:r w:rsidRPr="00F03270">
        <w:rPr>
          <w:rtl/>
        </w:rPr>
        <w:t>הסדרת ההכשרה הקלינית של רופאים בין מערכת הבריאות ובין האקדמיה - ביקורת מעקב</w:t>
      </w:r>
      <w:r>
        <w:rPr>
          <w:rFonts w:hint="cs"/>
          <w:rtl/>
        </w:rPr>
        <w:t>", עמ' 1 - 50.</w:t>
      </w:r>
    </w:p>
  </w:footnote>
  <w:footnote w:id="175">
    <w:p w:rsidR="00BB532B" w:rsidP="0016536A">
      <w:pPr>
        <w:pStyle w:val="FootnoteText"/>
      </w:pPr>
      <w:r>
        <w:rPr>
          <w:rStyle w:val="FootnoteReference1"/>
        </w:rPr>
        <w:footnoteRef/>
      </w:r>
      <w:r>
        <w:rPr>
          <w:rtl/>
        </w:rPr>
        <w:t xml:space="preserve"> </w:t>
      </w:r>
      <w:r>
        <w:rPr>
          <w:rtl/>
        </w:rPr>
        <w:tab/>
      </w:r>
      <w:r>
        <w:rPr>
          <w:rFonts w:hint="cs"/>
          <w:rtl/>
        </w:rPr>
        <w:t xml:space="preserve">מבקר המדינה, </w:t>
      </w:r>
      <w:r w:rsidRPr="0095267D">
        <w:rPr>
          <w:rFonts w:hint="eastAsia"/>
          <w:b/>
          <w:bCs/>
          <w:rtl/>
        </w:rPr>
        <w:t>דוח</w:t>
      </w:r>
      <w:r w:rsidRPr="0095267D">
        <w:rPr>
          <w:b/>
          <w:bCs/>
          <w:rtl/>
        </w:rPr>
        <w:t xml:space="preserve"> </w:t>
      </w:r>
      <w:r w:rsidRPr="0095267D">
        <w:rPr>
          <w:rFonts w:hint="eastAsia"/>
          <w:b/>
          <w:bCs/>
          <w:rtl/>
        </w:rPr>
        <w:t>שנתי</w:t>
      </w:r>
      <w:r w:rsidRPr="0095267D">
        <w:rPr>
          <w:b/>
          <w:bCs/>
          <w:rtl/>
        </w:rPr>
        <w:t xml:space="preserve"> </w:t>
      </w:r>
      <w:r w:rsidRPr="0095267D">
        <w:rPr>
          <w:rFonts w:hint="eastAsia"/>
          <w:b/>
          <w:bCs/>
          <w:rtl/>
        </w:rPr>
        <w:t>יולי</w:t>
      </w:r>
      <w:r w:rsidRPr="0095267D">
        <w:rPr>
          <w:b/>
          <w:bCs/>
          <w:rtl/>
        </w:rPr>
        <w:t xml:space="preserve"> 2024</w:t>
      </w:r>
      <w:r>
        <w:rPr>
          <w:rFonts w:hint="cs"/>
          <w:rtl/>
        </w:rPr>
        <w:t>, "שבץ מוחי - טיפול ושיקום", עמ' 1 - 51.</w:t>
      </w:r>
    </w:p>
  </w:footnote>
  <w:footnote w:id="176">
    <w:p w:rsidR="00BB532B" w:rsidP="0016536A">
      <w:pPr>
        <w:pStyle w:val="FootnoteText"/>
        <w:rPr>
          <w:rtl/>
        </w:rPr>
      </w:pPr>
      <w:r>
        <w:rPr>
          <w:rStyle w:val="FootnoteReference1"/>
        </w:rPr>
        <w:footnoteRef/>
      </w:r>
      <w:r>
        <w:rPr>
          <w:rtl/>
        </w:rPr>
        <w:t xml:space="preserve"> </w:t>
      </w:r>
      <w:r>
        <w:rPr>
          <w:rtl/>
        </w:rPr>
        <w:tab/>
      </w:r>
      <w:r>
        <w:rPr>
          <w:rFonts w:hint="cs"/>
          <w:rtl/>
        </w:rPr>
        <w:t>משרד הבריאות, "תכנון ארוך טווח של כוח-אדם רפואי בישראל" (2022).</w:t>
      </w:r>
    </w:p>
  </w:footnote>
  <w:footnote w:id="177">
    <w:p w:rsidR="00BB532B" w:rsidP="0016536A">
      <w:pPr>
        <w:pStyle w:val="FootnoteText"/>
        <w:rPr>
          <w:rtl/>
        </w:rPr>
      </w:pPr>
      <w:r>
        <w:rPr>
          <w:rStyle w:val="FootnoteReference1"/>
        </w:rPr>
        <w:footnoteRef/>
      </w:r>
      <w:r>
        <w:rPr>
          <w:rtl/>
        </w:rPr>
        <w:t xml:space="preserve"> </w:t>
      </w:r>
      <w:r>
        <w:rPr>
          <w:rtl/>
        </w:rPr>
        <w:tab/>
      </w:r>
      <w:r>
        <w:rPr>
          <w:rFonts w:hint="cs"/>
          <w:rtl/>
        </w:rPr>
        <w:t>משרד הבריאות, "סיכום ישיבת המוצע הלאומית לגריאטריה" (23.11.21).</w:t>
      </w:r>
    </w:p>
  </w:footnote>
  <w:footnote w:id="178">
    <w:p w:rsidR="00BB532B" w:rsidP="0016536A">
      <w:pPr>
        <w:pStyle w:val="FootnoteText"/>
        <w:rPr>
          <w:rtl/>
        </w:rPr>
      </w:pPr>
      <w:r>
        <w:rPr>
          <w:rStyle w:val="FootnoteReference1"/>
        </w:rPr>
        <w:footnoteRef/>
      </w:r>
      <w:r>
        <w:rPr>
          <w:rtl/>
        </w:rPr>
        <w:t xml:space="preserve"> </w:t>
      </w:r>
      <w:r>
        <w:rPr>
          <w:rtl/>
        </w:rPr>
        <w:tab/>
      </w:r>
      <w:r>
        <w:rPr>
          <w:rFonts w:hint="cs"/>
          <w:rtl/>
        </w:rPr>
        <w:t xml:space="preserve">מבקר המדינה, </w:t>
      </w:r>
      <w:r w:rsidRPr="0095267D">
        <w:rPr>
          <w:rFonts w:hint="eastAsia"/>
          <w:b/>
          <w:bCs/>
          <w:rtl/>
        </w:rPr>
        <w:t>דוח</w:t>
      </w:r>
      <w:r w:rsidRPr="0095267D">
        <w:rPr>
          <w:b/>
          <w:bCs/>
          <w:rtl/>
        </w:rPr>
        <w:t xml:space="preserve"> </w:t>
      </w:r>
      <w:r w:rsidRPr="0095267D">
        <w:rPr>
          <w:rFonts w:hint="eastAsia"/>
          <w:b/>
          <w:bCs/>
          <w:rtl/>
        </w:rPr>
        <w:t>שנתי</w:t>
      </w:r>
      <w:r w:rsidRPr="0095267D">
        <w:rPr>
          <w:b/>
          <w:bCs/>
          <w:rtl/>
        </w:rPr>
        <w:t xml:space="preserve"> </w:t>
      </w:r>
      <w:r w:rsidRPr="0095267D">
        <w:rPr>
          <w:rFonts w:hint="eastAsia"/>
          <w:b/>
          <w:bCs/>
          <w:rtl/>
        </w:rPr>
        <w:t>יולי</w:t>
      </w:r>
      <w:r w:rsidRPr="0095267D">
        <w:rPr>
          <w:b/>
          <w:bCs/>
          <w:rtl/>
        </w:rPr>
        <w:t xml:space="preserve"> 2024</w:t>
      </w:r>
      <w:r>
        <w:rPr>
          <w:rFonts w:hint="cs"/>
          <w:rtl/>
        </w:rPr>
        <w:t>, "שבץ מוחי - טיפול ושיקום", עמ' 1 - 53.</w:t>
      </w:r>
    </w:p>
  </w:footnote>
  <w:footnote w:id="179">
    <w:p w:rsidR="00BB532B" w:rsidP="0016536A">
      <w:pPr>
        <w:pStyle w:val="FootnoteText"/>
        <w:rPr>
          <w:rtl/>
        </w:rPr>
      </w:pPr>
      <w:r>
        <w:rPr>
          <w:rStyle w:val="FootnoteReference1"/>
        </w:rPr>
        <w:footnoteRef/>
      </w:r>
      <w:r>
        <w:rPr>
          <w:rtl/>
        </w:rPr>
        <w:t xml:space="preserve"> </w:t>
      </w:r>
      <w:r>
        <w:rPr>
          <w:rtl/>
        </w:rPr>
        <w:tab/>
      </w:r>
      <w:r>
        <w:rPr>
          <w:rFonts w:hint="cs"/>
          <w:rtl/>
        </w:rPr>
        <w:t>אומדן הזקנים מבוסס על מאיירס, ג'וינט, ברוקדייל, "בני 65 בישראל: שנתון סטטיסטי" (2024); אומדן הרופאים הגריאטרים נערך באמצעות ניתוח רגרסיה ליניארית.</w:t>
      </w:r>
    </w:p>
  </w:footnote>
  <w:footnote w:id="180">
    <w:p w:rsidR="00BB532B" w:rsidRPr="001A3120" w:rsidP="0016536A">
      <w:pPr>
        <w:pStyle w:val="FootnoteText"/>
        <w:rPr>
          <w:rtl/>
        </w:rPr>
      </w:pPr>
      <w:r>
        <w:rPr>
          <w:rStyle w:val="FootnoteReference1"/>
        </w:rPr>
        <w:footnoteRef/>
      </w:r>
      <w:r>
        <w:rPr>
          <w:rtl/>
        </w:rPr>
        <w:t xml:space="preserve"> </w:t>
      </w:r>
      <w:r>
        <w:rPr>
          <w:rtl/>
        </w:rPr>
        <w:tab/>
      </w:r>
      <w:r w:rsidRPr="001A3120">
        <w:rPr>
          <w:rtl/>
        </w:rPr>
        <w:t>האומדן לא הביא בחשבון את השלכות רפורמת יציב, ראו בחלק העוסק בחסמים לעלייה בשיעור הרופאים הגריאטרים והמתמחים.</w:t>
      </w:r>
    </w:p>
  </w:footnote>
  <w:footnote w:id="181">
    <w:p w:rsidR="00BB532B" w:rsidP="0016536A">
      <w:pPr>
        <w:pStyle w:val="FootnoteText"/>
        <w:rPr>
          <w:rtl/>
        </w:rPr>
      </w:pPr>
      <w:r>
        <w:rPr>
          <w:rStyle w:val="FootnoteReference1"/>
        </w:rPr>
        <w:footnoteRef/>
      </w:r>
      <w:r>
        <w:rPr>
          <w:rtl/>
        </w:rPr>
        <w:t xml:space="preserve"> </w:t>
      </w:r>
      <w:r>
        <w:rPr>
          <w:rtl/>
        </w:rPr>
        <w:tab/>
      </w:r>
      <w:r>
        <w:rPr>
          <w:rFonts w:hint="cs"/>
          <w:rtl/>
        </w:rPr>
        <w:t>משרד הבריאות, "מענה למשרד מבקר המדינה בנושא הזדקנות האוכלוסייה" (יולי, 2025).</w:t>
      </w:r>
    </w:p>
  </w:footnote>
  <w:footnote w:id="182">
    <w:p w:rsidR="00BB532B" w:rsidP="0016536A">
      <w:pPr>
        <w:pStyle w:val="FootnoteText"/>
      </w:pPr>
      <w:r>
        <w:rPr>
          <w:rStyle w:val="FootnoteReference1"/>
        </w:rPr>
        <w:footnoteRef/>
      </w:r>
      <w:r>
        <w:rPr>
          <w:rtl/>
        </w:rPr>
        <w:t xml:space="preserve"> </w:t>
      </w:r>
      <w:r>
        <w:rPr>
          <w:rtl/>
        </w:rPr>
        <w:tab/>
      </w:r>
      <w:r>
        <w:rPr>
          <w:rFonts w:hint="cs"/>
          <w:rtl/>
        </w:rPr>
        <w:t>ניתוח האומדנים המוצגים בתרשים זה נעשה באופן הבא: עבור מספר הרופאים נערך אומדן באמצעות משוואת רגרסיה שחושבה על סמך נתוני מספר הרופאים מהשנים שעבורן התקבלו נתונים, ביחס לגודל האוכלוסייה בגילים הרלוונטיים, על פי האומדן שבשנתון הסטטיסטי (ראו ה"ש הבאה).</w:t>
      </w:r>
    </w:p>
  </w:footnote>
  <w:footnote w:id="183">
    <w:p w:rsidR="00BB532B" w:rsidRPr="005255EF" w:rsidP="0016536A">
      <w:pPr>
        <w:pStyle w:val="FootnoteText"/>
        <w:rPr>
          <w:rtl/>
        </w:rPr>
      </w:pPr>
      <w:r>
        <w:rPr>
          <w:rStyle w:val="FootnoteReference1"/>
        </w:rPr>
        <w:footnoteRef/>
      </w:r>
      <w:r>
        <w:rPr>
          <w:rtl/>
        </w:rPr>
        <w:t xml:space="preserve"> </w:t>
      </w:r>
      <w:r>
        <w:rPr>
          <w:rtl/>
        </w:rPr>
        <w:tab/>
      </w:r>
      <w:r>
        <w:rPr>
          <w:rFonts w:hint="cs"/>
          <w:rtl/>
        </w:rPr>
        <w:t xml:space="preserve">אומדן הזקנים מבוסס על מאיירס, ג'וינט, ברוקדייל, בני 65 בישראל: "שנתון סטטיסטי (2024)"; אומדן המתמחים נערך באמצעות ניתוח רגרסיה ליניארית. </w:t>
      </w:r>
      <w:r w:rsidRPr="003058B9">
        <w:rPr>
          <w:rtl/>
        </w:rPr>
        <w:t xml:space="preserve">האומדן לא </w:t>
      </w:r>
      <w:r>
        <w:rPr>
          <w:rFonts w:hint="cs"/>
          <w:rtl/>
        </w:rPr>
        <w:t>הביא</w:t>
      </w:r>
      <w:r w:rsidRPr="003058B9">
        <w:rPr>
          <w:rtl/>
        </w:rPr>
        <w:t xml:space="preserve"> בחשבון את השלכות רפורמת יציב, ראו בחלק העוסק בחסמים לעלייה </w:t>
      </w:r>
      <w:r>
        <w:rPr>
          <w:rFonts w:hint="cs"/>
          <w:rtl/>
        </w:rPr>
        <w:t>בש</w:t>
      </w:r>
      <w:r w:rsidRPr="003058B9">
        <w:rPr>
          <w:rtl/>
        </w:rPr>
        <w:t>יעור הרופאים הגריאטרים והמתמחים</w:t>
      </w:r>
      <w:r>
        <w:rPr>
          <w:rFonts w:hint="cs"/>
          <w:rtl/>
        </w:rPr>
        <w:t>.</w:t>
      </w:r>
      <w:r w:rsidRPr="00A37149">
        <w:rPr>
          <w:highlight w:val="yellow"/>
          <w:rtl/>
        </w:rPr>
        <w:t xml:space="preserve"> </w:t>
      </w:r>
    </w:p>
  </w:footnote>
  <w:footnote w:id="184">
    <w:p w:rsidR="00BB532B" w:rsidP="0016536A">
      <w:pPr>
        <w:pStyle w:val="FootnoteText"/>
        <w:rPr>
          <w:rtl/>
        </w:rPr>
      </w:pPr>
      <w:r>
        <w:rPr>
          <w:rStyle w:val="FootnoteReference1"/>
        </w:rPr>
        <w:footnoteRef/>
      </w:r>
      <w:r>
        <w:rPr>
          <w:rtl/>
        </w:rPr>
        <w:t xml:space="preserve"> </w:t>
      </w:r>
      <w:r>
        <w:rPr>
          <w:rtl/>
        </w:rPr>
        <w:tab/>
      </w:r>
      <w:r>
        <w:rPr>
          <w:rFonts w:hint="cs"/>
          <w:rtl/>
        </w:rPr>
        <w:t xml:space="preserve">לדוגמה, </w:t>
      </w:r>
      <w:r w:rsidRPr="00B54395">
        <w:t>Rachel Yaffa Zisk-Rony</w:t>
      </w:r>
      <w:r>
        <w:t xml:space="preserve"> et al., “Does examining job market awareness among medical students provide insight into the specialty selection process?”,</w:t>
      </w:r>
      <w:r w:rsidRPr="00B54395">
        <w:t xml:space="preserve"> </w:t>
      </w:r>
      <w:r w:rsidRPr="001A3120">
        <w:rPr>
          <w:b/>
          <w:bCs/>
        </w:rPr>
        <w:t>Annals of Medicine</w:t>
      </w:r>
      <w:r>
        <w:t xml:space="preserve"> (2023).</w:t>
      </w:r>
    </w:p>
  </w:footnote>
  <w:footnote w:id="185">
    <w:p w:rsidR="00BB532B" w:rsidP="0016536A">
      <w:pPr>
        <w:pStyle w:val="FootnoteText"/>
        <w:rPr>
          <w:rtl/>
        </w:rPr>
      </w:pPr>
      <w:r>
        <w:rPr>
          <w:rStyle w:val="FootnoteReference1"/>
        </w:rPr>
        <w:footnoteRef/>
      </w:r>
      <w:r>
        <w:rPr>
          <w:rtl/>
        </w:rPr>
        <w:t xml:space="preserve"> </w:t>
      </w:r>
      <w:r>
        <w:rPr>
          <w:rtl/>
        </w:rPr>
        <w:tab/>
      </w:r>
      <w:r>
        <w:rPr>
          <w:rFonts w:ascii="David" w:hAnsi="David"/>
          <w:sz w:val="24"/>
          <w:rtl/>
        </w:rPr>
        <w:t xml:space="preserve">משרד האוצר, </w:t>
      </w:r>
      <w:r>
        <w:rPr>
          <w:rFonts w:ascii="David" w:hAnsi="David" w:hint="cs"/>
          <w:sz w:val="24"/>
          <w:rtl/>
        </w:rPr>
        <w:t>"</w:t>
      </w:r>
      <w:r>
        <w:rPr>
          <w:rFonts w:ascii="David" w:hAnsi="David"/>
          <w:sz w:val="24"/>
          <w:rtl/>
        </w:rPr>
        <w:t>הסכם השכר של הרופאים</w:t>
      </w:r>
      <w:r>
        <w:rPr>
          <w:rFonts w:ascii="David" w:hAnsi="David" w:hint="cs"/>
          <w:sz w:val="24"/>
          <w:rtl/>
        </w:rPr>
        <w:t>"</w:t>
      </w:r>
      <w:r>
        <w:rPr>
          <w:rFonts w:ascii="David" w:hAnsi="David"/>
          <w:sz w:val="24"/>
          <w:rtl/>
        </w:rPr>
        <w:t xml:space="preserve"> </w:t>
      </w:r>
      <w:r>
        <w:rPr>
          <w:rFonts w:ascii="David" w:hAnsi="David" w:hint="cs"/>
          <w:sz w:val="24"/>
          <w:rtl/>
        </w:rPr>
        <w:t>(</w:t>
      </w:r>
      <w:r>
        <w:rPr>
          <w:rFonts w:ascii="David" w:hAnsi="David"/>
          <w:sz w:val="24"/>
          <w:rtl/>
        </w:rPr>
        <w:t>2011</w:t>
      </w:r>
      <w:r>
        <w:rPr>
          <w:rFonts w:ascii="David" w:hAnsi="David" w:hint="cs"/>
          <w:sz w:val="24"/>
          <w:rtl/>
        </w:rPr>
        <w:t>).</w:t>
      </w:r>
    </w:p>
  </w:footnote>
  <w:footnote w:id="186">
    <w:p w:rsidR="00BB532B" w:rsidP="0016536A">
      <w:pPr>
        <w:pStyle w:val="FootnoteText"/>
        <w:rPr>
          <w:rtl/>
        </w:rPr>
      </w:pPr>
      <w:r>
        <w:rPr>
          <w:rStyle w:val="FootnoteReference1"/>
        </w:rPr>
        <w:footnoteRef/>
      </w:r>
      <w:r>
        <w:rPr>
          <w:rtl/>
        </w:rPr>
        <w:t xml:space="preserve"> </w:t>
      </w:r>
      <w:r>
        <w:rPr>
          <w:rtl/>
        </w:rPr>
        <w:tab/>
      </w:r>
      <w:r>
        <w:rPr>
          <w:rFonts w:hint="cs"/>
          <w:rtl/>
        </w:rPr>
        <w:t>בנק ישראל, "התפתחויות בשכר ובתעסוקה של רופאים בישראל בעקבות הסכם שכר 2011" (2025).</w:t>
      </w:r>
    </w:p>
  </w:footnote>
  <w:footnote w:id="187">
    <w:p w:rsidR="00BB532B" w:rsidP="0016536A">
      <w:pPr>
        <w:pStyle w:val="FootnoteText"/>
        <w:rPr>
          <w:rtl/>
        </w:rPr>
      </w:pPr>
      <w:r>
        <w:rPr>
          <w:rStyle w:val="FootnoteReference1"/>
        </w:rPr>
        <w:footnoteRef/>
      </w:r>
      <w:r>
        <w:rPr>
          <w:rtl/>
        </w:rPr>
        <w:t xml:space="preserve"> </w:t>
      </w:r>
      <w:r>
        <w:rPr>
          <w:rtl/>
        </w:rPr>
        <w:tab/>
      </w:r>
      <w:r>
        <w:rPr>
          <w:rFonts w:hint="cs"/>
          <w:rtl/>
        </w:rPr>
        <w:t>לפי מחקר בנק ישראל, השכר החציוני של רופאים גריאטרים ב-2019 עמד על 585,698 ש"ח לעומת 595,800 ש"ח אצל רופאי משפחה.</w:t>
      </w:r>
    </w:p>
  </w:footnote>
  <w:footnote w:id="188">
    <w:p w:rsidR="00BB532B" w:rsidP="0016536A">
      <w:pPr>
        <w:pStyle w:val="FootnoteText"/>
      </w:pPr>
      <w:r>
        <w:rPr>
          <w:rStyle w:val="FootnoteReference1"/>
        </w:rPr>
        <w:footnoteRef/>
      </w:r>
      <w:r>
        <w:rPr>
          <w:rtl/>
        </w:rPr>
        <w:t xml:space="preserve"> </w:t>
      </w:r>
      <w:r>
        <w:rPr>
          <w:rtl/>
        </w:rPr>
        <w:tab/>
      </w:r>
      <w:r w:rsidRPr="00073B07">
        <w:rPr>
          <w:rFonts w:hint="cs"/>
          <w:rtl/>
        </w:rPr>
        <w:t xml:space="preserve">רינת מרקוביץ' ואח', "בחינת האפקטיביות של הסכם הרופאים המתמחים בפריפריה ובמקצועות המצוקה", בתוך: </w:t>
      </w:r>
      <w:r w:rsidRPr="001A3120">
        <w:rPr>
          <w:rFonts w:hint="eastAsia"/>
          <w:b/>
          <w:bCs/>
          <w:rtl/>
        </w:rPr>
        <w:t>משרד</w:t>
      </w:r>
      <w:r w:rsidRPr="001A3120">
        <w:rPr>
          <w:b/>
          <w:bCs/>
          <w:rtl/>
        </w:rPr>
        <w:t xml:space="preserve"> </w:t>
      </w:r>
      <w:r w:rsidRPr="001A3120">
        <w:rPr>
          <w:rFonts w:hint="eastAsia"/>
          <w:b/>
          <w:bCs/>
          <w:rtl/>
        </w:rPr>
        <w:t>האוצר</w:t>
      </w:r>
      <w:r w:rsidRPr="001A3120">
        <w:rPr>
          <w:b/>
          <w:bCs/>
          <w:rtl/>
        </w:rPr>
        <w:t xml:space="preserve">, </w:t>
      </w:r>
      <w:r w:rsidRPr="001A3120">
        <w:rPr>
          <w:rFonts w:hint="eastAsia"/>
          <w:b/>
          <w:bCs/>
          <w:rtl/>
        </w:rPr>
        <w:t>דין</w:t>
      </w:r>
      <w:r w:rsidRPr="001A3120">
        <w:rPr>
          <w:b/>
          <w:bCs/>
          <w:rtl/>
        </w:rPr>
        <w:t xml:space="preserve"> </w:t>
      </w:r>
      <w:r w:rsidRPr="001A3120">
        <w:rPr>
          <w:rFonts w:hint="eastAsia"/>
          <w:b/>
          <w:bCs/>
          <w:rtl/>
        </w:rPr>
        <w:t>וחשבון</w:t>
      </w:r>
      <w:r w:rsidRPr="001A3120">
        <w:rPr>
          <w:b/>
          <w:bCs/>
          <w:rtl/>
        </w:rPr>
        <w:t xml:space="preserve"> </w:t>
      </w:r>
      <w:r w:rsidRPr="001A3120">
        <w:rPr>
          <w:rFonts w:hint="eastAsia"/>
          <w:b/>
          <w:bCs/>
          <w:rtl/>
        </w:rPr>
        <w:t>על</w:t>
      </w:r>
      <w:r w:rsidRPr="001A3120">
        <w:rPr>
          <w:b/>
          <w:bCs/>
          <w:rtl/>
        </w:rPr>
        <w:t xml:space="preserve"> </w:t>
      </w:r>
      <w:r w:rsidRPr="001A3120">
        <w:rPr>
          <w:rFonts w:hint="eastAsia"/>
          <w:b/>
          <w:bCs/>
          <w:rtl/>
        </w:rPr>
        <w:t>הוצאות</w:t>
      </w:r>
      <w:r w:rsidRPr="001A3120">
        <w:rPr>
          <w:b/>
          <w:bCs/>
          <w:rtl/>
        </w:rPr>
        <w:t xml:space="preserve"> </w:t>
      </w:r>
      <w:r w:rsidRPr="001A3120">
        <w:rPr>
          <w:rFonts w:hint="eastAsia"/>
          <w:b/>
          <w:bCs/>
          <w:rtl/>
        </w:rPr>
        <w:t>השכר</w:t>
      </w:r>
      <w:r w:rsidRPr="001A3120">
        <w:rPr>
          <w:b/>
          <w:bCs/>
          <w:rtl/>
        </w:rPr>
        <w:t xml:space="preserve"> </w:t>
      </w:r>
      <w:r w:rsidRPr="001A3120">
        <w:rPr>
          <w:rFonts w:hint="eastAsia"/>
          <w:b/>
          <w:bCs/>
          <w:rtl/>
        </w:rPr>
        <w:t>בשירות</w:t>
      </w:r>
      <w:r w:rsidRPr="001A3120">
        <w:rPr>
          <w:b/>
          <w:bCs/>
          <w:rtl/>
        </w:rPr>
        <w:t xml:space="preserve"> </w:t>
      </w:r>
      <w:r w:rsidRPr="001A3120">
        <w:rPr>
          <w:rFonts w:hint="eastAsia"/>
          <w:b/>
          <w:bCs/>
          <w:rtl/>
        </w:rPr>
        <w:t>המדינה</w:t>
      </w:r>
      <w:r w:rsidRPr="001A3120">
        <w:rPr>
          <w:b/>
          <w:bCs/>
          <w:rtl/>
        </w:rPr>
        <w:t xml:space="preserve"> </w:t>
      </w:r>
      <w:r w:rsidRPr="001A3120">
        <w:rPr>
          <w:rFonts w:hint="eastAsia"/>
          <w:b/>
          <w:bCs/>
          <w:rtl/>
        </w:rPr>
        <w:t>וגופי</w:t>
      </w:r>
      <w:r w:rsidRPr="001A3120">
        <w:rPr>
          <w:b/>
          <w:bCs/>
          <w:rtl/>
        </w:rPr>
        <w:t xml:space="preserve"> </w:t>
      </w:r>
      <w:r w:rsidRPr="001A3120">
        <w:rPr>
          <w:rFonts w:hint="eastAsia"/>
          <w:b/>
          <w:bCs/>
          <w:rtl/>
        </w:rPr>
        <w:t>הביטחון</w:t>
      </w:r>
      <w:r w:rsidRPr="001A3120">
        <w:rPr>
          <w:b/>
          <w:bCs/>
          <w:rtl/>
        </w:rPr>
        <w:t xml:space="preserve"> </w:t>
      </w:r>
      <w:r w:rsidRPr="001A3120">
        <w:rPr>
          <w:rFonts w:hint="eastAsia"/>
          <w:b/>
          <w:bCs/>
          <w:rtl/>
        </w:rPr>
        <w:t>לשנת</w:t>
      </w:r>
      <w:r w:rsidRPr="001A3120">
        <w:rPr>
          <w:b/>
          <w:bCs/>
          <w:rtl/>
        </w:rPr>
        <w:t xml:space="preserve"> 2019</w:t>
      </w:r>
      <w:r w:rsidRPr="00073B07">
        <w:rPr>
          <w:rFonts w:hint="cs"/>
          <w:rtl/>
        </w:rPr>
        <w:t>.</w:t>
      </w:r>
      <w:r>
        <w:rPr>
          <w:rFonts w:hint="cs"/>
          <w:rtl/>
        </w:rPr>
        <w:t xml:space="preserve"> </w:t>
      </w:r>
    </w:p>
  </w:footnote>
  <w:footnote w:id="189">
    <w:p w:rsidR="00BB532B" w:rsidP="0016536A">
      <w:pPr>
        <w:pStyle w:val="FootnoteText"/>
        <w:rPr>
          <w:rtl/>
        </w:rPr>
      </w:pPr>
      <w:r>
        <w:rPr>
          <w:rStyle w:val="FootnoteReference1"/>
        </w:rPr>
        <w:footnoteRef/>
      </w:r>
      <w:r>
        <w:rPr>
          <w:rtl/>
        </w:rPr>
        <w:t xml:space="preserve"> </w:t>
      </w:r>
      <w:r>
        <w:rPr>
          <w:rtl/>
        </w:rPr>
        <w:tab/>
      </w:r>
      <w:r>
        <w:rPr>
          <w:rFonts w:hint="cs"/>
          <w:rtl/>
        </w:rPr>
        <w:t xml:space="preserve">ראו: משרד האוצר, "הסכם השכר הקיבוצי עם הרופאים" (2024). לפי תשובת משרד הבריאות, </w:t>
      </w:r>
      <w:r w:rsidRPr="00291E8D">
        <w:rPr>
          <w:rtl/>
        </w:rPr>
        <w:t xml:space="preserve">תחום הגריאטריה </w:t>
      </w:r>
      <w:r>
        <w:rPr>
          <w:rFonts w:hint="cs"/>
          <w:rtl/>
        </w:rPr>
        <w:t>נ</w:t>
      </w:r>
      <w:r w:rsidRPr="00291E8D">
        <w:rPr>
          <w:rtl/>
        </w:rPr>
        <w:t>כנס להגדר</w:t>
      </w:r>
      <w:r>
        <w:rPr>
          <w:rFonts w:hint="cs"/>
          <w:rtl/>
        </w:rPr>
        <w:t>ה של</w:t>
      </w:r>
      <w:r w:rsidRPr="00291E8D">
        <w:rPr>
          <w:rtl/>
        </w:rPr>
        <w:t xml:space="preserve"> "משימה לאומית"</w:t>
      </w:r>
      <w:r>
        <w:rPr>
          <w:rFonts w:hint="cs"/>
          <w:rtl/>
        </w:rPr>
        <w:t>, כאחד מה</w:t>
      </w:r>
      <w:r w:rsidRPr="00291E8D">
        <w:rPr>
          <w:rtl/>
        </w:rPr>
        <w:t>מקצועות אשר הוגדרו כצורך לאומי</w:t>
      </w:r>
      <w:r>
        <w:rPr>
          <w:rFonts w:hint="cs"/>
          <w:rtl/>
        </w:rPr>
        <w:t>.</w:t>
      </w:r>
    </w:p>
  </w:footnote>
  <w:footnote w:id="190">
    <w:p w:rsidR="00BB532B" w:rsidP="0016536A">
      <w:pPr>
        <w:pStyle w:val="FootnoteText"/>
        <w:rPr>
          <w:rtl/>
        </w:rPr>
      </w:pPr>
      <w:r>
        <w:rPr>
          <w:rStyle w:val="FootnoteReference1"/>
        </w:rPr>
        <w:footnoteRef/>
      </w:r>
      <w:r>
        <w:rPr>
          <w:rtl/>
        </w:rPr>
        <w:t xml:space="preserve"> </w:t>
      </w:r>
      <w:r>
        <w:rPr>
          <w:rtl/>
        </w:rPr>
        <w:tab/>
      </w:r>
      <w:r>
        <w:rPr>
          <w:rFonts w:hint="cs"/>
          <w:rtl/>
        </w:rPr>
        <w:t xml:space="preserve">על רפורמת יציב והשלכותיה, ראו מבקר המדינה, </w:t>
      </w:r>
      <w:r w:rsidRPr="001A3120">
        <w:rPr>
          <w:rFonts w:hint="eastAsia"/>
          <w:b/>
          <w:bCs/>
          <w:rtl/>
        </w:rPr>
        <w:t>דוח</w:t>
      </w:r>
      <w:r w:rsidRPr="001A3120">
        <w:rPr>
          <w:b/>
          <w:bCs/>
          <w:rtl/>
        </w:rPr>
        <w:t xml:space="preserve"> </w:t>
      </w:r>
      <w:r w:rsidRPr="001A3120">
        <w:rPr>
          <w:rFonts w:hint="eastAsia"/>
          <w:b/>
          <w:bCs/>
          <w:rtl/>
        </w:rPr>
        <w:t>שנתי</w:t>
      </w:r>
      <w:r w:rsidRPr="001A3120">
        <w:rPr>
          <w:b/>
          <w:bCs/>
          <w:rtl/>
        </w:rPr>
        <w:t xml:space="preserve"> </w:t>
      </w:r>
      <w:r w:rsidRPr="001A3120">
        <w:rPr>
          <w:rFonts w:hint="eastAsia"/>
          <w:b/>
          <w:bCs/>
          <w:rtl/>
        </w:rPr>
        <w:t>יולי</w:t>
      </w:r>
      <w:r w:rsidRPr="001A3120">
        <w:rPr>
          <w:b/>
          <w:bCs/>
          <w:rtl/>
        </w:rPr>
        <w:t xml:space="preserve"> 2024</w:t>
      </w:r>
      <w:r>
        <w:rPr>
          <w:rFonts w:hint="cs"/>
          <w:rtl/>
        </w:rPr>
        <w:t>, "</w:t>
      </w:r>
      <w:r w:rsidRPr="00F03270">
        <w:rPr>
          <w:rtl/>
        </w:rPr>
        <w:t>הסדרת ההכשרה הקלינית של רופאים בין מערכת הבריאות ובין האקדמיה - ביקורת מעקב</w:t>
      </w:r>
      <w:r>
        <w:rPr>
          <w:rFonts w:hint="cs"/>
          <w:rtl/>
        </w:rPr>
        <w:t>", עמ' 1 - 50.</w:t>
      </w:r>
    </w:p>
  </w:footnote>
  <w:footnote w:id="191">
    <w:p w:rsidR="00BB532B" w:rsidP="0016536A">
      <w:pPr>
        <w:pStyle w:val="FootnoteText"/>
      </w:pPr>
      <w:r>
        <w:rPr>
          <w:rStyle w:val="FootnoteReference1"/>
        </w:rPr>
        <w:footnoteRef/>
      </w:r>
      <w:r>
        <w:rPr>
          <w:rtl/>
        </w:rPr>
        <w:t xml:space="preserve"> </w:t>
      </w:r>
      <w:r>
        <w:rPr>
          <w:rtl/>
        </w:rPr>
        <w:tab/>
      </w:r>
      <w:r>
        <w:rPr>
          <w:rFonts w:hint="cs"/>
          <w:rtl/>
        </w:rPr>
        <w:t>הוועדה לתכנון המערך הגריאטרי הלאומי ל-2010 - 2020 ו-2020 - 2030 בראשות פרופ' יוחנן שטסמן (2011); בסקר רופאי משפחה ציינו 64% מהרופאים כי מטופלים בני 65 ומעלה מהווים מחצית או רוב ממטופליהם.</w:t>
      </w:r>
    </w:p>
  </w:footnote>
  <w:footnote w:id="192">
    <w:p w:rsidR="00BB532B" w:rsidP="0016536A">
      <w:pPr>
        <w:pStyle w:val="FootnoteText"/>
      </w:pPr>
      <w:r>
        <w:rPr>
          <w:rStyle w:val="FootnoteReference1"/>
        </w:rPr>
        <w:footnoteRef/>
      </w:r>
      <w:r>
        <w:rPr>
          <w:rtl/>
        </w:rPr>
        <w:t xml:space="preserve"> </w:t>
      </w:r>
      <w:r>
        <w:rPr>
          <w:rtl/>
        </w:rPr>
        <w:tab/>
      </w:r>
      <w:r>
        <w:rPr>
          <w:rFonts w:hint="cs"/>
          <w:rtl/>
        </w:rPr>
        <w:t>הוועדה לתכנון המערך הגריאטרי הלאומי ל-2010 - 2020 ו-2020 - 2030 בראשות פרופ' יוחנן שטסמן (2011).</w:t>
      </w:r>
    </w:p>
  </w:footnote>
  <w:footnote w:id="193">
    <w:p w:rsidR="00BB532B" w:rsidP="0016536A">
      <w:pPr>
        <w:pStyle w:val="FootnoteText"/>
      </w:pPr>
      <w:r>
        <w:rPr>
          <w:rStyle w:val="FootnoteReference1"/>
        </w:rPr>
        <w:footnoteRef/>
      </w:r>
      <w:r>
        <w:rPr>
          <w:rtl/>
        </w:rPr>
        <w:t xml:space="preserve"> </w:t>
      </w:r>
      <w:r>
        <w:rPr>
          <w:rtl/>
        </w:rPr>
        <w:tab/>
      </w:r>
      <w:r>
        <w:rPr>
          <w:rFonts w:hint="cs"/>
          <w:rtl/>
        </w:rPr>
        <w:t>אורך ההכשרה במועד פרסום דוח ועדת שטסמן - 2012.</w:t>
      </w:r>
    </w:p>
  </w:footnote>
  <w:footnote w:id="194">
    <w:p w:rsidR="00BB532B" w:rsidP="0016536A">
      <w:pPr>
        <w:pStyle w:val="FootnoteText"/>
        <w:rPr>
          <w:rtl/>
        </w:rPr>
      </w:pPr>
      <w:r>
        <w:rPr>
          <w:rStyle w:val="FootnoteReference1"/>
        </w:rPr>
        <w:footnoteRef/>
      </w:r>
      <w:r>
        <w:rPr>
          <w:rtl/>
        </w:rPr>
        <w:t xml:space="preserve"> </w:t>
      </w:r>
      <w:r>
        <w:rPr>
          <w:rtl/>
        </w:rPr>
        <w:tab/>
      </w:r>
      <w:r>
        <w:rPr>
          <w:rFonts w:hint="cs"/>
          <w:rtl/>
        </w:rPr>
        <w:t xml:space="preserve">ההסתדרות הרפואית בישראל, "התמחות ברפואת המשפחה: </w:t>
      </w:r>
      <w:r>
        <w:t>curriculum</w:t>
      </w:r>
      <w:r>
        <w:rPr>
          <w:rFonts w:hint="cs"/>
          <w:rtl/>
        </w:rPr>
        <w:t>" (2023).</w:t>
      </w:r>
    </w:p>
  </w:footnote>
  <w:footnote w:id="195">
    <w:p w:rsidR="00BB532B" w:rsidP="0016536A">
      <w:pPr>
        <w:pStyle w:val="FootnoteText"/>
        <w:rPr>
          <w:rtl/>
        </w:rPr>
      </w:pPr>
      <w:r>
        <w:rPr>
          <w:rStyle w:val="FootnoteReference1"/>
        </w:rPr>
        <w:footnoteRef/>
      </w:r>
      <w:r>
        <w:rPr>
          <w:rtl/>
        </w:rPr>
        <w:t xml:space="preserve"> </w:t>
      </w:r>
      <w:r>
        <w:rPr>
          <w:rtl/>
        </w:rPr>
        <w:tab/>
      </w:r>
      <w:r>
        <w:rPr>
          <w:rFonts w:hint="cs"/>
          <w:rtl/>
        </w:rPr>
        <w:t>קיימים כמה מקצועות שהלומד בהתמחות של רפואת משפחה חייב ללמוד ובהם רפואה פנימית, רפואה דחופה, רפואת ילדים ורפואה פסיכיאטרית. גריאטריה אינה אחת ממקצועות החובה.</w:t>
      </w:r>
    </w:p>
  </w:footnote>
  <w:footnote w:id="196">
    <w:p w:rsidR="00BB532B" w:rsidP="0016536A">
      <w:pPr>
        <w:pStyle w:val="FootnoteText"/>
        <w:rPr>
          <w:rtl/>
        </w:rPr>
      </w:pPr>
      <w:r>
        <w:rPr>
          <w:rStyle w:val="FootnoteReference1"/>
        </w:rPr>
        <w:footnoteRef/>
      </w:r>
      <w:r>
        <w:rPr>
          <w:rtl/>
        </w:rPr>
        <w:t xml:space="preserve"> </w:t>
      </w:r>
      <w:r>
        <w:rPr>
          <w:rtl/>
        </w:rPr>
        <w:tab/>
      </w:r>
      <w:r>
        <w:rPr>
          <w:rFonts w:hint="cs"/>
          <w:rtl/>
        </w:rPr>
        <w:t xml:space="preserve">ההסתדרות הרפואית בישראל, "התמחות ברפואת המשפחה: </w:t>
      </w:r>
      <w:r>
        <w:t>curriculum</w:t>
      </w:r>
      <w:r>
        <w:rPr>
          <w:rFonts w:hint="cs"/>
          <w:rtl/>
        </w:rPr>
        <w:t>" (2023).</w:t>
      </w:r>
    </w:p>
  </w:footnote>
  <w:footnote w:id="197">
    <w:p w:rsidR="00BB532B" w:rsidP="0016536A">
      <w:pPr>
        <w:pStyle w:val="FootnoteText"/>
      </w:pPr>
      <w:r>
        <w:rPr>
          <w:rStyle w:val="FootnoteReference1"/>
        </w:rPr>
        <w:footnoteRef/>
      </w:r>
      <w:r>
        <w:rPr>
          <w:rtl/>
        </w:rPr>
        <w:t xml:space="preserve"> </w:t>
      </w:r>
      <w:r>
        <w:rPr>
          <w:rtl/>
        </w:rPr>
        <w:tab/>
      </w:r>
      <w:r>
        <w:rPr>
          <w:rFonts w:hint="cs"/>
          <w:rtl/>
        </w:rPr>
        <w:t>האחוזים מסתכמים ב-101 בשל עיגולי ספרות.</w:t>
      </w:r>
    </w:p>
  </w:footnote>
  <w:footnote w:id="198">
    <w:p w:rsidR="00BB532B" w:rsidP="0016536A">
      <w:pPr>
        <w:pStyle w:val="FootnoteText"/>
      </w:pPr>
      <w:r>
        <w:rPr>
          <w:rStyle w:val="FootnoteReference1"/>
        </w:rPr>
        <w:footnoteRef/>
      </w:r>
      <w:r>
        <w:rPr>
          <w:rtl/>
        </w:rPr>
        <w:t xml:space="preserve"> </w:t>
      </w:r>
      <w:r>
        <w:rPr>
          <w:rtl/>
        </w:rPr>
        <w:tab/>
      </w:r>
      <w:r w:rsidRPr="003254D0">
        <w:rPr>
          <w:rtl/>
        </w:rPr>
        <w:t>רופאים ראשוניים הם הרופאים הראשונים שאליהם פונים בעת בעיה בריאותית, מחלה או צורך רפואי שגרתי</w:t>
      </w:r>
      <w:r>
        <w:rPr>
          <w:rFonts w:hint="cs"/>
          <w:rtl/>
        </w:rPr>
        <w:t>, כגון רופאי משפחה או רופאי ילדים</w:t>
      </w:r>
      <w:r w:rsidRPr="003254D0">
        <w:rPr>
          <w:rtl/>
        </w:rPr>
        <w:t xml:space="preserve">. הם משמשים כנקודת המגע הראשית במערכת הבריאות </w:t>
      </w:r>
      <w:r>
        <w:rPr>
          <w:rFonts w:hint="cs"/>
          <w:rtl/>
        </w:rPr>
        <w:t>ו</w:t>
      </w:r>
      <w:r w:rsidRPr="003254D0">
        <w:rPr>
          <w:rtl/>
        </w:rPr>
        <w:t>מרכזים את הטיפול הכולל ומפנים לרופאים מומחים בעת הצורך.</w:t>
      </w:r>
    </w:p>
  </w:footnote>
  <w:footnote w:id="199">
    <w:p w:rsidR="00BB532B" w:rsidP="0016536A">
      <w:pPr>
        <w:pStyle w:val="FootnoteText"/>
      </w:pPr>
      <w:r>
        <w:rPr>
          <w:rStyle w:val="FootnoteReference1"/>
        </w:rPr>
        <w:footnoteRef/>
      </w:r>
      <w:r>
        <w:rPr>
          <w:rtl/>
        </w:rPr>
        <w:t xml:space="preserve"> </w:t>
      </w:r>
      <w:r>
        <w:rPr>
          <w:rtl/>
        </w:rPr>
        <w:tab/>
      </w:r>
      <w:r>
        <w:rPr>
          <w:rFonts w:hint="cs"/>
          <w:rtl/>
        </w:rPr>
        <w:t>המועצה הלאומית לכלכלה, "דוח מעקב אחר יישום הערכת המצב האסטרטגית" (2018). נתוני דוח המעקב הציגו שיעור זקנים בשנת 2018, והמבוא לדוח זה מציג שיעור זקנים בשנת 2025, ועל כן יש הבדל בין שני הנתונים.</w:t>
      </w:r>
    </w:p>
  </w:footnote>
  <w:footnote w:id="200">
    <w:p w:rsidR="00BB532B" w:rsidP="0016536A">
      <w:pPr>
        <w:pStyle w:val="FootnoteText"/>
        <w:rPr>
          <w:rtl/>
        </w:rPr>
      </w:pPr>
      <w:r>
        <w:rPr>
          <w:rStyle w:val="FootnoteReference1"/>
        </w:rPr>
        <w:footnoteRef/>
      </w:r>
      <w:r>
        <w:rPr>
          <w:rtl/>
        </w:rPr>
        <w:t xml:space="preserve"> </w:t>
      </w:r>
      <w:r>
        <w:rPr>
          <w:rtl/>
        </w:rPr>
        <w:tab/>
      </w:r>
      <w:r>
        <w:rPr>
          <w:rFonts w:hint="cs"/>
          <w:rtl/>
        </w:rPr>
        <w:t>לדוגמה, במהלך 2010 - 2020, כדי לשמור על יחס מיטות האשפוז לאוכלוסייה הזקנה בבתי החולים הכלליים נדרשה תוספת של כ-44% במספר המיטות לזקנים, ועד 2030 התוספת צריכה לעלות לכ-84% לעומת 2010 (מכ-5,900 מיטות ב-2010 לכ-10,800 ב-2030), ראו בדוח ועדת שטסמן.</w:t>
      </w:r>
    </w:p>
  </w:footnote>
  <w:footnote w:id="201">
    <w:p w:rsidR="00BB532B" w:rsidP="0016536A">
      <w:pPr>
        <w:pStyle w:val="FootnoteText"/>
        <w:rPr>
          <w:rtl/>
        </w:rPr>
      </w:pPr>
      <w:r>
        <w:rPr>
          <w:rStyle w:val="FootnoteReference1"/>
        </w:rPr>
        <w:footnoteRef/>
      </w:r>
      <w:r>
        <w:rPr>
          <w:rtl/>
        </w:rPr>
        <w:t xml:space="preserve"> </w:t>
      </w:r>
      <w:r>
        <w:rPr>
          <w:rtl/>
        </w:rPr>
        <w:tab/>
      </w:r>
      <w:r>
        <w:rPr>
          <w:rFonts w:hint="cs"/>
          <w:rtl/>
        </w:rPr>
        <w:t>שנת הדיווח האחרונה.</w:t>
      </w:r>
    </w:p>
  </w:footnote>
  <w:footnote w:id="202">
    <w:p w:rsidR="00BB532B" w:rsidP="0016536A">
      <w:pPr>
        <w:pStyle w:val="FootnoteText"/>
      </w:pPr>
      <w:r>
        <w:rPr>
          <w:rStyle w:val="FootnoteReference1"/>
        </w:rPr>
        <w:footnoteRef/>
      </w:r>
      <w:r>
        <w:rPr>
          <w:rtl/>
        </w:rPr>
        <w:t xml:space="preserve"> </w:t>
      </w:r>
      <w:r>
        <w:rPr>
          <w:rtl/>
        </w:rPr>
        <w:tab/>
      </w:r>
      <w:r>
        <w:rPr>
          <w:rFonts w:hint="cs"/>
          <w:rtl/>
        </w:rPr>
        <w:t>במחלקות פנימית, נוירולוגיה, טיפול נמרץ וכירורגיה. יש לציין כי חלק מהמיטות הכלולות בנתונים אלה אינן רלוונטיות לטיפול בזקנים. ראו: משרד הבריאות, "מיטות אשפוז ועמדות ברישוי" (2023), עמ' 11.</w:t>
      </w:r>
    </w:p>
  </w:footnote>
  <w:footnote w:id="203">
    <w:p w:rsidR="00BB532B" w:rsidP="0016536A">
      <w:pPr>
        <w:pStyle w:val="FootnoteText"/>
      </w:pPr>
      <w:r>
        <w:rPr>
          <w:rStyle w:val="FootnoteReference1"/>
        </w:rPr>
        <w:footnoteRef/>
      </w:r>
      <w:r>
        <w:rPr>
          <w:rtl/>
        </w:rPr>
        <w:t xml:space="preserve"> </w:t>
      </w:r>
      <w:r>
        <w:rPr>
          <w:rtl/>
        </w:rPr>
        <w:tab/>
      </w:r>
      <w:r>
        <w:rPr>
          <w:rFonts w:hint="cs"/>
          <w:rtl/>
        </w:rPr>
        <w:t>ראו: משרד הבריאות, "מיטות אשפוז ועמדות ברישוי" (2023), עמ' 6.</w:t>
      </w:r>
    </w:p>
  </w:footnote>
  <w:footnote w:id="204">
    <w:p w:rsidR="00BB532B" w:rsidP="0016536A">
      <w:pPr>
        <w:pStyle w:val="FootnoteText"/>
        <w:rPr>
          <w:rtl/>
        </w:rPr>
      </w:pPr>
      <w:r>
        <w:rPr>
          <w:rStyle w:val="FootnoteReference1"/>
        </w:rPr>
        <w:footnoteRef/>
      </w:r>
      <w:r>
        <w:rPr>
          <w:rtl/>
        </w:rPr>
        <w:t xml:space="preserve"> </w:t>
      </w:r>
      <w:r>
        <w:rPr>
          <w:rtl/>
        </w:rPr>
        <w:tab/>
      </w:r>
      <w:r>
        <w:rPr>
          <w:rFonts w:hint="cs"/>
          <w:rtl/>
        </w:rPr>
        <w:t>שנת הדיווח האחרונה.</w:t>
      </w:r>
    </w:p>
  </w:footnote>
  <w:footnote w:id="205">
    <w:p w:rsidR="00BB532B" w:rsidP="0016536A">
      <w:pPr>
        <w:pStyle w:val="FootnoteText"/>
        <w:rPr>
          <w:rtl/>
        </w:rPr>
      </w:pPr>
      <w:r>
        <w:rPr>
          <w:rStyle w:val="FootnoteReference1"/>
        </w:rPr>
        <w:footnoteRef/>
      </w:r>
      <w:r>
        <w:rPr>
          <w:rtl/>
        </w:rPr>
        <w:t xml:space="preserve"> </w:t>
      </w:r>
      <w:r>
        <w:rPr>
          <w:rtl/>
        </w:rPr>
        <w:tab/>
      </w:r>
      <w:r w:rsidRPr="00203AB3">
        <w:rPr>
          <w:rtl/>
        </w:rPr>
        <w:t xml:space="preserve">אומדן הזקנים מבוסס על מאיירס, ג'וינט, ברוקדייל, בני 65 בישראל: </w:t>
      </w:r>
      <w:r>
        <w:rPr>
          <w:rFonts w:hint="cs"/>
          <w:rtl/>
        </w:rPr>
        <w:t>"</w:t>
      </w:r>
      <w:r w:rsidRPr="00203AB3">
        <w:rPr>
          <w:rtl/>
        </w:rPr>
        <w:t>שנתון סטטיסטי (2024)</w:t>
      </w:r>
      <w:r>
        <w:rPr>
          <w:rFonts w:hint="cs"/>
          <w:rtl/>
        </w:rPr>
        <w:t>"</w:t>
      </w:r>
      <w:r w:rsidRPr="00203AB3">
        <w:rPr>
          <w:rtl/>
        </w:rPr>
        <w:t xml:space="preserve">; אומדן </w:t>
      </w:r>
      <w:r>
        <w:rPr>
          <w:rFonts w:hint="cs"/>
          <w:rtl/>
        </w:rPr>
        <w:t xml:space="preserve">מיטות האשפוז </w:t>
      </w:r>
      <w:r w:rsidRPr="00203AB3">
        <w:rPr>
          <w:rtl/>
        </w:rPr>
        <w:t>נערך באמצעות ניתוח רגרסיה ליניארית.</w:t>
      </w:r>
    </w:p>
  </w:footnote>
  <w:footnote w:id="206">
    <w:p w:rsidR="00BB532B" w:rsidRPr="00C2011A" w:rsidP="0016536A">
      <w:pPr>
        <w:pStyle w:val="FootnoteText"/>
        <w:rPr>
          <w:rtl/>
        </w:rPr>
      </w:pPr>
      <w:r>
        <w:rPr>
          <w:rStyle w:val="FootnoteReference1"/>
        </w:rPr>
        <w:footnoteRef/>
      </w:r>
      <w:r>
        <w:rPr>
          <w:rtl/>
        </w:rPr>
        <w:t xml:space="preserve"> </w:t>
      </w:r>
      <w:r>
        <w:rPr>
          <w:rtl/>
        </w:rPr>
        <w:tab/>
      </w:r>
      <w:r>
        <w:rPr>
          <w:rFonts w:hint="cs"/>
          <w:rtl/>
        </w:rPr>
        <w:t>משרד הבריאות, "מיטות אשפוז ועמדות ברישוי" (2023).</w:t>
      </w:r>
    </w:p>
  </w:footnote>
  <w:footnote w:id="207">
    <w:p w:rsidR="00BB532B" w:rsidP="0016536A">
      <w:pPr>
        <w:pStyle w:val="FootnoteText"/>
      </w:pPr>
      <w:r>
        <w:rPr>
          <w:rStyle w:val="FootnoteReference1"/>
        </w:rPr>
        <w:footnoteRef/>
      </w:r>
      <w:r>
        <w:rPr>
          <w:rtl/>
        </w:rPr>
        <w:t xml:space="preserve"> </w:t>
      </w:r>
      <w:r>
        <w:rPr>
          <w:rtl/>
        </w:rPr>
        <w:tab/>
      </w:r>
      <w:r>
        <w:rPr>
          <w:rFonts w:hint="cs"/>
          <w:rtl/>
        </w:rPr>
        <w:t>ניתוח האומדנים המוצגים בתרשים זה נעשה באופן הבא: עבור מספר המיטות נערך אומדן באמצעות משוואת רגרסיה שחושבה על סמך נתוני מספר המיטות מהשנים שעבורן התקבלו נתונים, ביחס לגודל האוכלוסייה בגילים הרלוונטיים, על פי האומדן שבשנתון הסטטיסטי.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532B"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1901190</wp:posOffset>
              </wp:positionH>
              <wp:positionV relativeFrom="paragraph">
                <wp:posOffset>216535</wp:posOffset>
              </wp:positionV>
              <wp:extent cx="4119880"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119880" cy="285750"/>
                      </a:xfrm>
                      <a:prstGeom prst="rect">
                        <a:avLst/>
                      </a:prstGeom>
                      <a:noFill/>
                      <a:ln w="9525">
                        <a:noFill/>
                        <a:miter lim="800000"/>
                        <a:headEnd/>
                        <a:tailEnd/>
                      </a:ln>
                    </wps:spPr>
                    <wps:txbx>
                      <w:txbxContent>
                        <w:p w:rsidR="00BB532B" w:rsidRPr="001E204F" w:rsidP="00354F9A">
                          <w:pPr>
                            <w:rPr>
                              <w:rFonts w:ascii="Calibri" w:hAnsi="Calibri" w:cs="Calibri"/>
                              <w:color w:val="002060"/>
                              <w:szCs w:val="20"/>
                              <w:rtl/>
                            </w:rPr>
                          </w:pPr>
                          <w:r w:rsidRPr="004614AF">
                            <w:rPr>
                              <w:rFonts w:ascii="Calibri" w:hAnsi="Calibri" w:cs="Calibri"/>
                              <w:color w:val="002060"/>
                              <w:szCs w:val="20"/>
                              <w:rtl/>
                            </w:rPr>
                            <w:t>היערכות מערכת הבריאות בישראל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324.4pt;height:22.5pt;margin-top:17.05pt;margin-left:149.7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BB532B" w:rsidRPr="001E204F" w:rsidP="00354F9A">
                    <w:pPr>
                      <w:rPr>
                        <w:rFonts w:ascii="Calibri" w:hAnsi="Calibri" w:cs="Calibri"/>
                        <w:color w:val="002060"/>
                        <w:szCs w:val="20"/>
                        <w:rtl/>
                      </w:rPr>
                    </w:pPr>
                    <w:r w:rsidRPr="004614AF">
                      <w:rPr>
                        <w:rFonts w:ascii="Calibri" w:hAnsi="Calibri" w:cs="Calibri"/>
                        <w:color w:val="002060"/>
                        <w:szCs w:val="20"/>
                        <w:rtl/>
                      </w:rPr>
                      <w:t>היערכות מערכת הבריאות בישראל להזדקנות האוכלוסייה</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1678940</wp:posOffset>
              </wp:positionH>
              <wp:positionV relativeFrom="paragraph">
                <wp:posOffset>-100965</wp:posOffset>
              </wp:positionV>
              <wp:extent cx="4340860"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340860" cy="285750"/>
                      </a:xfrm>
                      <a:prstGeom prst="rect">
                        <a:avLst/>
                      </a:prstGeom>
                      <a:noFill/>
                      <a:ln w="9525">
                        <a:noFill/>
                        <a:miter lim="800000"/>
                        <a:headEnd/>
                        <a:tailEnd/>
                      </a:ln>
                    </wps:spPr>
                    <wps:txbx>
                      <w:txbxContent>
                        <w:p w:rsidR="00BB532B"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0" type="#_x0000_t202" style="width:341.8pt;height:22.5pt;margin-top:-7.95pt;margin-left:132.2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BB532B"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1"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BB532B"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BB532B"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532B">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1079500</wp:posOffset>
              </wp:positionH>
              <wp:positionV relativeFrom="paragraph">
                <wp:posOffset>-459740</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50165" y="0"/>
                        <a:chExt cx="2959100" cy="10690225"/>
                      </a:xfrm>
                    </wpg:grpSpPr>
                    <wpg:grpSp>
                      <wpg:cNvPr id="53" name="קבוצה 53"/>
                      <wpg:cNvGrpSpPr/>
                      <wpg:grpSpPr>
                        <a:xfrm>
                          <a:off x="-50165" y="0"/>
                          <a:ext cx="2959100" cy="3009900"/>
                          <a:chOff x="-50165"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50165" y="2575560"/>
                            <a:ext cx="2959100" cy="273050"/>
                          </a:xfrm>
                          <a:prstGeom prst="rect">
                            <a:avLst/>
                          </a:prstGeom>
                          <a:noFill/>
                          <a:ln w="6350">
                            <a:noFill/>
                          </a:ln>
                        </wps:spPr>
                        <wps:txbx>
                          <w:txbxContent>
                            <w:p w:rsidR="00BB532B"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BB532B"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2pt;margin-left:85pt;mso-position-horizontal-relative:margin;position:absolute;z-index:251659264" coordorigin="-501,0" coordsize="29591,106902">
              <v:group id="קבוצה 53" o:spid="_x0000_s2054" style="width:29590;height:30099;left:-501;position:absolute" coordorigin="-501,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1;left:-501;mso-wrap-style:square;position:absolute;top:25755;visibility:visible;v-text-anchor:top" filled="f" stroked="f" strokeweight="0.5pt">
                  <v:textbox>
                    <w:txbxContent>
                      <w:p w:rsidR="00BB532B"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BB532B"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532B" w:rsidRPr="0016536A" w:rsidP="00EF4539">
    <w:pPr>
      <w:pStyle w:val="Header"/>
      <w:tabs>
        <w:tab w:val="clear" w:pos="8306"/>
        <w:tab w:val="right" w:pos="8504"/>
      </w:tabs>
      <w:ind w:right="-709"/>
      <w:jc w:val="right"/>
      <w:rPr>
        <w:rFonts w:ascii="Calibri" w:hAnsi="Calibri" w:cs="Calibri"/>
        <w:color w:val="002060"/>
        <w:szCs w:val="20"/>
      </w:rPr>
    </w:pPr>
    <w:r w:rsidRPr="0016536A">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1296670</wp:posOffset>
              </wp:positionH>
              <wp:positionV relativeFrom="paragraph">
                <wp:posOffset>-100965</wp:posOffset>
              </wp:positionV>
              <wp:extent cx="472249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722495" cy="285750"/>
                      </a:xfrm>
                      <a:prstGeom prst="rect">
                        <a:avLst/>
                      </a:prstGeom>
                      <a:noFill/>
                      <a:ln w="9525">
                        <a:noFill/>
                        <a:miter lim="800000"/>
                        <a:headEnd/>
                        <a:tailEnd/>
                      </a:ln>
                    </wps:spPr>
                    <wps:txbx>
                      <w:txbxContent>
                        <w:p w:rsidR="00BB532B"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4" type="#_x0000_t202" style="width:371.85pt;height:22.5pt;margin-top:-7.95pt;margin-left:102.1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16536A"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 היערכות מדינת ישראל להזדקנות האוכלוסייה</w:t>
                    </w:r>
                  </w:p>
                </w:txbxContent>
              </v:textbox>
              <w10:wrap type="square"/>
            </v:shape>
          </w:pict>
        </mc:Fallback>
      </mc:AlternateContent>
    </w:r>
    <w:r w:rsidRPr="0016536A">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5"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16536A">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BB532B"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16536A">
                            <w:rPr>
                              <w:rFonts w:ascii="Calibri" w:hAnsi="Calibri" w:cs="Calibri"/>
                              <w:color w:val="002060"/>
                              <w:spacing w:val="20"/>
                              <w:sz w:val="22"/>
                              <w:szCs w:val="22"/>
                            </w:rPr>
                            <w:t xml:space="preserve"> </w:t>
                          </w:r>
                          <w:r w:rsidRPr="0016536A">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16536A"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16536A">
                      <w:rPr>
                        <w:rFonts w:ascii="Calibri" w:hAnsi="Calibri" w:cs="Calibri"/>
                        <w:color w:val="002060"/>
                        <w:spacing w:val="20"/>
                        <w:sz w:val="22"/>
                        <w:szCs w:val="22"/>
                      </w:rPr>
                      <w:t xml:space="preserve"> </w:t>
                    </w:r>
                    <w:r w:rsidRPr="0016536A">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16536A">
      <w:rPr>
        <w:rFonts w:ascii="Calibri" w:hAnsi="Calibri" w:cs="Calibri"/>
        <w:color w:val="002060"/>
        <w:szCs w:val="20"/>
        <w:rtl/>
      </w:rPr>
      <w:fldChar w:fldCharType="begin"/>
    </w:r>
    <w:r w:rsidRPr="0016536A">
      <w:rPr>
        <w:rFonts w:ascii="Calibri" w:hAnsi="Calibri" w:cs="Calibri"/>
        <w:color w:val="002060"/>
        <w:szCs w:val="20"/>
        <w:rtl/>
      </w:rPr>
      <w:instrText xml:space="preserve"> </w:instrText>
    </w:r>
    <w:r w:rsidRPr="0016536A">
      <w:rPr>
        <w:rFonts w:ascii="Calibri" w:hAnsi="Calibri" w:cs="Calibri"/>
        <w:color w:val="002060"/>
        <w:szCs w:val="20"/>
      </w:rPr>
      <w:instrText>PAGE</w:instrText>
    </w:r>
    <w:r w:rsidRPr="0016536A">
      <w:rPr>
        <w:rFonts w:ascii="Calibri" w:hAnsi="Calibri" w:cs="Calibri"/>
        <w:color w:val="002060"/>
        <w:szCs w:val="20"/>
        <w:rtl/>
      </w:rPr>
      <w:instrText xml:space="preserve">  \* </w:instrText>
    </w:r>
    <w:r w:rsidRPr="0016536A">
      <w:rPr>
        <w:rFonts w:ascii="Calibri" w:hAnsi="Calibri" w:cs="Calibri"/>
        <w:color w:val="002060"/>
        <w:szCs w:val="20"/>
      </w:rPr>
      <w:instrText>MERGEFORMAT</w:instrText>
    </w:r>
    <w:r w:rsidRPr="0016536A">
      <w:rPr>
        <w:rFonts w:ascii="Calibri" w:hAnsi="Calibri" w:cs="Calibri"/>
        <w:color w:val="002060"/>
        <w:szCs w:val="20"/>
        <w:rtl/>
      </w:rPr>
      <w:instrText xml:space="preserve"> </w:instrText>
    </w:r>
    <w:r w:rsidRPr="0016536A">
      <w:rPr>
        <w:rFonts w:ascii="Calibri" w:hAnsi="Calibri" w:cs="Calibri"/>
        <w:color w:val="002060"/>
        <w:szCs w:val="20"/>
        <w:rtl/>
      </w:rPr>
      <w:fldChar w:fldCharType="separate"/>
    </w:r>
    <w:r w:rsidRPr="0016536A">
      <w:rPr>
        <w:rFonts w:ascii="Calibri" w:hAnsi="Calibri" w:cs="Calibri"/>
        <w:color w:val="002060"/>
        <w:szCs w:val="20"/>
        <w:rtl/>
      </w:rPr>
      <w:t>3</w:t>
    </w:r>
    <w:r w:rsidRPr="0016536A">
      <w:rPr>
        <w:rFonts w:ascii="Calibri" w:hAnsi="Calibri" w:cs="Calibri"/>
        <w:color w:val="002060"/>
        <w:szCs w:val="20"/>
        <w:rtl/>
      </w:rPr>
      <w:fldChar w:fldCharType="end"/>
    </w:r>
    <w:r w:rsidRPr="0016536A">
      <w:rPr>
        <w:rFonts w:ascii="Calibri" w:hAnsi="Calibri" w:cs="Calibri"/>
        <w:color w:val="002060"/>
        <w:szCs w:val="20"/>
        <w:rtl/>
      </w:rPr>
      <w:t xml:space="preserve"> </w:t>
    </w:r>
  </w:p>
  <w:p w:rsidR="00BB532B"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39F0A7D"/>
    <w:multiLevelType w:val="hybridMultilevel"/>
    <w:tmpl w:val="1CCE768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4" w15:restartNumberingAfterBreak="0">
    <w:nsid w:val="0CB70954"/>
    <w:multiLevelType w:val="hybridMultilevel"/>
    <w:tmpl w:val="6E289354"/>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0D547C92"/>
    <w:multiLevelType w:val="hybridMultilevel"/>
    <w:tmpl w:val="845647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E2F412E"/>
    <w:multiLevelType w:val="multilevel"/>
    <w:tmpl w:val="2DC64B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15340D1"/>
    <w:multiLevelType w:val="multilevel"/>
    <w:tmpl w:val="4F2CD6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5480D32"/>
    <w:multiLevelType w:val="hybridMultilevel"/>
    <w:tmpl w:val="A8C8AA8A"/>
    <w:lvl w:ilvl="0">
      <w:start w:val="0"/>
      <w:numFmt w:val="bullet"/>
      <w:lvlText w:val="•"/>
      <w:lvlJc w:val="left"/>
      <w:pPr>
        <w:ind w:left="397" w:hanging="284"/>
      </w:pPr>
      <w:rPr>
        <w:rFonts w:ascii="David" w:hAnsi="David" w:eastAsiaTheme="minorHAnsi" w:hint="default"/>
        <w:sz w:val="24"/>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15:restartNumberingAfterBreak="0">
    <w:nsid w:val="1C0820ED"/>
    <w:multiLevelType w:val="multilevel"/>
    <w:tmpl w:val="FB744476"/>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23A05D70"/>
    <w:multiLevelType w:val="multilevel"/>
    <w:tmpl w:val="2DC64B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85E4B6E"/>
    <w:multiLevelType w:val="hybridMultilevel"/>
    <w:tmpl w:val="B41069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9AE20C3"/>
    <w:multiLevelType w:val="hybridMultilevel"/>
    <w:tmpl w:val="9A7648D4"/>
    <w:lvl w:ilvl="0">
      <w:start w:val="0"/>
      <w:numFmt w:val="bullet"/>
      <w:lvlText w:val="•"/>
      <w:lvlJc w:val="left"/>
      <w:pPr>
        <w:ind w:left="397" w:hanging="284"/>
      </w:pPr>
      <w:rPr>
        <w:rFonts w:ascii="David" w:hAnsi="David" w:eastAsiaTheme="minorHAnsi"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4"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5"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6" w15:restartNumberingAfterBreak="0">
    <w:nsid w:val="343F20E8"/>
    <w:multiLevelType w:val="multilevel"/>
    <w:tmpl w:val="4F2CD6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352B6218"/>
    <w:multiLevelType w:val="multilevel"/>
    <w:tmpl w:val="2DC64B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9" w15:restartNumberingAfterBreak="0">
    <w:nsid w:val="3DFF302A"/>
    <w:multiLevelType w:val="hybridMultilevel"/>
    <w:tmpl w:val="6134A7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1" w15:restartNumberingAfterBreak="0">
    <w:nsid w:val="422B34E3"/>
    <w:multiLevelType w:val="hybridMultilevel"/>
    <w:tmpl w:val="4078AB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3" w15:restartNumberingAfterBreak="0">
    <w:nsid w:val="44D44A5E"/>
    <w:multiLevelType w:val="multilevel"/>
    <w:tmpl w:val="4F2CD6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46B41888"/>
    <w:multiLevelType w:val="multilevel"/>
    <w:tmpl w:val="08482B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6" w15:restartNumberingAfterBreak="0">
    <w:nsid w:val="52E02B0F"/>
    <w:multiLevelType w:val="multilevel"/>
    <w:tmpl w:val="25C8B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542C72FE"/>
    <w:multiLevelType w:val="hybridMultilevel"/>
    <w:tmpl w:val="3F3C2B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5A390AE2"/>
    <w:multiLevelType w:val="hybridMultilevel"/>
    <w:tmpl w:val="C444E8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BB33129"/>
    <w:multiLevelType w:val="hybridMultilevel"/>
    <w:tmpl w:val="E54AF2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FA20830"/>
    <w:multiLevelType w:val="multilevel"/>
    <w:tmpl w:val="85767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15:restartNumberingAfterBreak="0">
    <w:nsid w:val="64667BAF"/>
    <w:multiLevelType w:val="hybridMultilevel"/>
    <w:tmpl w:val="D1C4CE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4"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15:restartNumberingAfterBreak="0">
    <w:nsid w:val="670B6FBD"/>
    <w:multiLevelType w:val="hybridMultilevel"/>
    <w:tmpl w:val="443AB78E"/>
    <w:lvl w:ilvl="0">
      <w:start w:val="200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680B3AD1"/>
    <w:multiLevelType w:val="hybridMultilevel"/>
    <w:tmpl w:val="328233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697578ED"/>
    <w:multiLevelType w:val="multilevel"/>
    <w:tmpl w:val="5B58964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15:restartNumberingAfterBreak="0">
    <w:nsid w:val="6EEB000C"/>
    <w:multiLevelType w:val="hybridMultilevel"/>
    <w:tmpl w:val="0DDE6E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15:restartNumberingAfterBreak="0">
    <w:nsid w:val="712B5AB7"/>
    <w:multiLevelType w:val="hybridMultilevel"/>
    <w:tmpl w:val="D110DF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74F64F3E"/>
    <w:multiLevelType w:val="hybridMultilevel"/>
    <w:tmpl w:val="B72CA0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79AA3F48"/>
    <w:multiLevelType w:val="hybridMultilevel"/>
    <w:tmpl w:val="DBE09F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3"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2"/>
  </w:num>
  <w:num w:numId="2">
    <w:abstractNumId w:val="25"/>
  </w:num>
  <w:num w:numId="3">
    <w:abstractNumId w:val="20"/>
  </w:num>
  <w:num w:numId="4">
    <w:abstractNumId w:val="3"/>
  </w:num>
  <w:num w:numId="5">
    <w:abstractNumId w:val="22"/>
  </w:num>
  <w:num w:numId="6">
    <w:abstractNumId w:val="33"/>
  </w:num>
  <w:num w:numId="7">
    <w:abstractNumId w:val="18"/>
  </w:num>
  <w:num w:numId="8">
    <w:abstractNumId w:val="14"/>
  </w:num>
  <w:num w:numId="9">
    <w:abstractNumId w:val="13"/>
  </w:num>
  <w:num w:numId="10">
    <w:abstractNumId w:val="15"/>
  </w:num>
  <w:num w:numId="11">
    <w:abstractNumId w:val="43"/>
  </w:num>
  <w:num w:numId="12">
    <w:abstractNumId w:val="1"/>
  </w:num>
  <w:num w:numId="13">
    <w:abstractNumId w:val="2"/>
  </w:num>
  <w:num w:numId="14">
    <w:abstractNumId w:val="12"/>
  </w:num>
  <w:num w:numId="15">
    <w:abstractNumId w:val="8"/>
  </w:num>
  <w:num w:numId="16">
    <w:abstractNumId w:val="36"/>
  </w:num>
  <w:num w:numId="17">
    <w:abstractNumId w:val="19"/>
  </w:num>
  <w:num w:numId="18">
    <w:abstractNumId w:val="5"/>
  </w:num>
  <w:num w:numId="19">
    <w:abstractNumId w:val="38"/>
  </w:num>
  <w:num w:numId="20">
    <w:abstractNumId w:val="30"/>
  </w:num>
  <w:num w:numId="21">
    <w:abstractNumId w:val="37"/>
  </w:num>
  <w:num w:numId="22">
    <w:abstractNumId w:val="23"/>
  </w:num>
  <w:num w:numId="23">
    <w:abstractNumId w:val="7"/>
  </w:num>
  <w:num w:numId="24">
    <w:abstractNumId w:val="24"/>
  </w:num>
  <w:num w:numId="25">
    <w:abstractNumId w:val="26"/>
  </w:num>
  <w:num w:numId="26">
    <w:abstractNumId w:val="21"/>
  </w:num>
  <w:num w:numId="27">
    <w:abstractNumId w:val="35"/>
  </w:num>
  <w:num w:numId="28">
    <w:abstractNumId w:val="6"/>
  </w:num>
  <w:num w:numId="29">
    <w:abstractNumId w:val="10"/>
  </w:num>
  <w:num w:numId="30">
    <w:abstractNumId w:val="17"/>
  </w:num>
  <w:num w:numId="31">
    <w:abstractNumId w:val="11"/>
  </w:num>
  <w:num w:numId="32">
    <w:abstractNumId w:val="16"/>
  </w:num>
  <w:num w:numId="33">
    <w:abstractNumId w:val="9"/>
  </w:num>
  <w:num w:numId="34">
    <w:abstractNumId w:val="39"/>
  </w:num>
  <w:num w:numId="35">
    <w:abstractNumId w:val="40"/>
  </w:num>
  <w:num w:numId="36">
    <w:abstractNumId w:val="0"/>
  </w:num>
  <w:num w:numId="37">
    <w:abstractNumId w:val="41"/>
  </w:num>
  <w:num w:numId="38">
    <w:abstractNumId w:val="32"/>
  </w:num>
  <w:num w:numId="39">
    <w:abstractNumId w:val="4"/>
  </w:num>
  <w:num w:numId="40">
    <w:abstractNumId w:val="34"/>
  </w:num>
  <w:num w:numId="41">
    <w:abstractNumId w:val="31"/>
  </w:num>
  <w:num w:numId="42">
    <w:abstractNumId w:val="29"/>
  </w:num>
  <w:num w:numId="43">
    <w:abstractNumId w:val="28"/>
  </w:num>
  <w:num w:numId="44">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3880"/>
    <w:rsid w:val="0001735B"/>
    <w:rsid w:val="00042837"/>
    <w:rsid w:val="000501A4"/>
    <w:rsid w:val="000532AA"/>
    <w:rsid w:val="00073B07"/>
    <w:rsid w:val="00096723"/>
    <w:rsid w:val="000B1102"/>
    <w:rsid w:val="000C7459"/>
    <w:rsid w:val="000D3A3F"/>
    <w:rsid w:val="000E013E"/>
    <w:rsid w:val="000F5DFE"/>
    <w:rsid w:val="000F7725"/>
    <w:rsid w:val="00101D0F"/>
    <w:rsid w:val="00113E28"/>
    <w:rsid w:val="00114325"/>
    <w:rsid w:val="0012673C"/>
    <w:rsid w:val="00127512"/>
    <w:rsid w:val="0013088B"/>
    <w:rsid w:val="0016536A"/>
    <w:rsid w:val="00166477"/>
    <w:rsid w:val="001730B0"/>
    <w:rsid w:val="001960B4"/>
    <w:rsid w:val="001A0277"/>
    <w:rsid w:val="001A3120"/>
    <w:rsid w:val="001A613C"/>
    <w:rsid w:val="001B2821"/>
    <w:rsid w:val="001B7364"/>
    <w:rsid w:val="001C057E"/>
    <w:rsid w:val="001C6185"/>
    <w:rsid w:val="001E204F"/>
    <w:rsid w:val="001F4412"/>
    <w:rsid w:val="001F6C53"/>
    <w:rsid w:val="00203604"/>
    <w:rsid w:val="00203AB3"/>
    <w:rsid w:val="002064F7"/>
    <w:rsid w:val="00216EC2"/>
    <w:rsid w:val="002372E0"/>
    <w:rsid w:val="00240887"/>
    <w:rsid w:val="00243ABE"/>
    <w:rsid w:val="00263521"/>
    <w:rsid w:val="0026570E"/>
    <w:rsid w:val="0027791F"/>
    <w:rsid w:val="00291E8D"/>
    <w:rsid w:val="002A7D21"/>
    <w:rsid w:val="002C0FD0"/>
    <w:rsid w:val="002C1EE0"/>
    <w:rsid w:val="002C4139"/>
    <w:rsid w:val="002D72E4"/>
    <w:rsid w:val="00301153"/>
    <w:rsid w:val="003058B9"/>
    <w:rsid w:val="003079D5"/>
    <w:rsid w:val="00315B1D"/>
    <w:rsid w:val="00323027"/>
    <w:rsid w:val="00324C7F"/>
    <w:rsid w:val="003254D0"/>
    <w:rsid w:val="003513A3"/>
    <w:rsid w:val="00354F9A"/>
    <w:rsid w:val="0037370B"/>
    <w:rsid w:val="0037752E"/>
    <w:rsid w:val="00380052"/>
    <w:rsid w:val="00392FBE"/>
    <w:rsid w:val="0039415D"/>
    <w:rsid w:val="003961BD"/>
    <w:rsid w:val="003A0726"/>
    <w:rsid w:val="003C2052"/>
    <w:rsid w:val="003D18F4"/>
    <w:rsid w:val="003D4322"/>
    <w:rsid w:val="003D61C6"/>
    <w:rsid w:val="003E58C2"/>
    <w:rsid w:val="0040350B"/>
    <w:rsid w:val="00452CFF"/>
    <w:rsid w:val="00455830"/>
    <w:rsid w:val="004614AF"/>
    <w:rsid w:val="004779AA"/>
    <w:rsid w:val="00477F74"/>
    <w:rsid w:val="004813DF"/>
    <w:rsid w:val="0048396F"/>
    <w:rsid w:val="004940E3"/>
    <w:rsid w:val="00496F3E"/>
    <w:rsid w:val="004A0385"/>
    <w:rsid w:val="004A2D92"/>
    <w:rsid w:val="004C540D"/>
    <w:rsid w:val="004C7D9F"/>
    <w:rsid w:val="005006C5"/>
    <w:rsid w:val="005255EF"/>
    <w:rsid w:val="005337C0"/>
    <w:rsid w:val="00551B42"/>
    <w:rsid w:val="00551FF7"/>
    <w:rsid w:val="00552C5A"/>
    <w:rsid w:val="00574579"/>
    <w:rsid w:val="00580C5C"/>
    <w:rsid w:val="005A021D"/>
    <w:rsid w:val="005C27A7"/>
    <w:rsid w:val="005E5727"/>
    <w:rsid w:val="0062451B"/>
    <w:rsid w:val="00634DAD"/>
    <w:rsid w:val="00640B60"/>
    <w:rsid w:val="006457EB"/>
    <w:rsid w:val="00651213"/>
    <w:rsid w:val="006531CB"/>
    <w:rsid w:val="00676A1E"/>
    <w:rsid w:val="006A15D7"/>
    <w:rsid w:val="006C2C6D"/>
    <w:rsid w:val="006D4161"/>
    <w:rsid w:val="006D786C"/>
    <w:rsid w:val="006E1414"/>
    <w:rsid w:val="006F285F"/>
    <w:rsid w:val="007010D4"/>
    <w:rsid w:val="00705E89"/>
    <w:rsid w:val="00706CBC"/>
    <w:rsid w:val="0072219B"/>
    <w:rsid w:val="007302B4"/>
    <w:rsid w:val="007474F0"/>
    <w:rsid w:val="0074769C"/>
    <w:rsid w:val="0075144E"/>
    <w:rsid w:val="00753ADE"/>
    <w:rsid w:val="0076784B"/>
    <w:rsid w:val="00767B9D"/>
    <w:rsid w:val="007727E9"/>
    <w:rsid w:val="00773F61"/>
    <w:rsid w:val="007854ED"/>
    <w:rsid w:val="007929B3"/>
    <w:rsid w:val="007A18D8"/>
    <w:rsid w:val="007A4EBD"/>
    <w:rsid w:val="007B106F"/>
    <w:rsid w:val="007B112B"/>
    <w:rsid w:val="007B5B26"/>
    <w:rsid w:val="007B691A"/>
    <w:rsid w:val="007C1FF6"/>
    <w:rsid w:val="007D61B8"/>
    <w:rsid w:val="007E02D1"/>
    <w:rsid w:val="007E6B85"/>
    <w:rsid w:val="007E7716"/>
    <w:rsid w:val="007F01F7"/>
    <w:rsid w:val="007F7FF2"/>
    <w:rsid w:val="00805B42"/>
    <w:rsid w:val="008102AD"/>
    <w:rsid w:val="008131AD"/>
    <w:rsid w:val="00837997"/>
    <w:rsid w:val="008561AA"/>
    <w:rsid w:val="00867FC5"/>
    <w:rsid w:val="00892F80"/>
    <w:rsid w:val="008B28EE"/>
    <w:rsid w:val="008B4F41"/>
    <w:rsid w:val="008C6F75"/>
    <w:rsid w:val="008E3C1B"/>
    <w:rsid w:val="008E3D8A"/>
    <w:rsid w:val="009015B2"/>
    <w:rsid w:val="00906E90"/>
    <w:rsid w:val="00906FB1"/>
    <w:rsid w:val="0091051D"/>
    <w:rsid w:val="00933E1C"/>
    <w:rsid w:val="00936F84"/>
    <w:rsid w:val="00940851"/>
    <w:rsid w:val="0095267D"/>
    <w:rsid w:val="009679D9"/>
    <w:rsid w:val="00992FBD"/>
    <w:rsid w:val="009A2E33"/>
    <w:rsid w:val="009B757F"/>
    <w:rsid w:val="009C6066"/>
    <w:rsid w:val="009D73F5"/>
    <w:rsid w:val="009E1A3F"/>
    <w:rsid w:val="009E53CF"/>
    <w:rsid w:val="009F0BD3"/>
    <w:rsid w:val="00A222E2"/>
    <w:rsid w:val="00A270C0"/>
    <w:rsid w:val="00A37149"/>
    <w:rsid w:val="00A5183B"/>
    <w:rsid w:val="00A616E5"/>
    <w:rsid w:val="00A61AD5"/>
    <w:rsid w:val="00A73038"/>
    <w:rsid w:val="00A76C99"/>
    <w:rsid w:val="00A81EBE"/>
    <w:rsid w:val="00AB37FA"/>
    <w:rsid w:val="00AC5C9F"/>
    <w:rsid w:val="00AC6B95"/>
    <w:rsid w:val="00AE1617"/>
    <w:rsid w:val="00AE3729"/>
    <w:rsid w:val="00AF088B"/>
    <w:rsid w:val="00B00D69"/>
    <w:rsid w:val="00B00E5C"/>
    <w:rsid w:val="00B30709"/>
    <w:rsid w:val="00B4321D"/>
    <w:rsid w:val="00B474FB"/>
    <w:rsid w:val="00B51648"/>
    <w:rsid w:val="00B54395"/>
    <w:rsid w:val="00B666B9"/>
    <w:rsid w:val="00B72C73"/>
    <w:rsid w:val="00B76DC1"/>
    <w:rsid w:val="00B862C0"/>
    <w:rsid w:val="00B96674"/>
    <w:rsid w:val="00BB532B"/>
    <w:rsid w:val="00BC1CF5"/>
    <w:rsid w:val="00BC7C48"/>
    <w:rsid w:val="00BD5062"/>
    <w:rsid w:val="00BE059E"/>
    <w:rsid w:val="00BE2DD8"/>
    <w:rsid w:val="00C1227E"/>
    <w:rsid w:val="00C2011A"/>
    <w:rsid w:val="00C2305A"/>
    <w:rsid w:val="00C23CC9"/>
    <w:rsid w:val="00C30B3D"/>
    <w:rsid w:val="00C33AE2"/>
    <w:rsid w:val="00C35DC5"/>
    <w:rsid w:val="00C528C8"/>
    <w:rsid w:val="00C77AC7"/>
    <w:rsid w:val="00C8096C"/>
    <w:rsid w:val="00C8100B"/>
    <w:rsid w:val="00C85B62"/>
    <w:rsid w:val="00CA41D2"/>
    <w:rsid w:val="00CA4F20"/>
    <w:rsid w:val="00CB0CCE"/>
    <w:rsid w:val="00CC218C"/>
    <w:rsid w:val="00CC712C"/>
    <w:rsid w:val="00CD28D9"/>
    <w:rsid w:val="00CF78E8"/>
    <w:rsid w:val="00D02B12"/>
    <w:rsid w:val="00D05C85"/>
    <w:rsid w:val="00D22748"/>
    <w:rsid w:val="00D2451F"/>
    <w:rsid w:val="00D26918"/>
    <w:rsid w:val="00D37121"/>
    <w:rsid w:val="00D779F7"/>
    <w:rsid w:val="00D87542"/>
    <w:rsid w:val="00D95C20"/>
    <w:rsid w:val="00D96F94"/>
    <w:rsid w:val="00D97C16"/>
    <w:rsid w:val="00DD3B82"/>
    <w:rsid w:val="00DE1DAB"/>
    <w:rsid w:val="00DE20A2"/>
    <w:rsid w:val="00DF0B89"/>
    <w:rsid w:val="00E0338A"/>
    <w:rsid w:val="00E0452F"/>
    <w:rsid w:val="00E122EE"/>
    <w:rsid w:val="00E35682"/>
    <w:rsid w:val="00E414B8"/>
    <w:rsid w:val="00E46EA3"/>
    <w:rsid w:val="00E47A43"/>
    <w:rsid w:val="00E47F9D"/>
    <w:rsid w:val="00E51C1B"/>
    <w:rsid w:val="00E53DA7"/>
    <w:rsid w:val="00EC4F60"/>
    <w:rsid w:val="00EC6B44"/>
    <w:rsid w:val="00EE37A3"/>
    <w:rsid w:val="00EE57E1"/>
    <w:rsid w:val="00EF4539"/>
    <w:rsid w:val="00F03270"/>
    <w:rsid w:val="00F36CB4"/>
    <w:rsid w:val="00F404EF"/>
    <w:rsid w:val="00F4385E"/>
    <w:rsid w:val="00F627EB"/>
    <w:rsid w:val="00F75A10"/>
    <w:rsid w:val="00F76E62"/>
    <w:rsid w:val="00F77276"/>
    <w:rsid w:val="00F954E4"/>
    <w:rsid w:val="00F95853"/>
    <w:rsid w:val="00F97CC8"/>
    <w:rsid w:val="00FA0385"/>
    <w:rsid w:val="00FB3F26"/>
    <w:rsid w:val="00FC3213"/>
    <w:rsid w:val="00FC3FF0"/>
    <w:rsid w:val="00FC48C6"/>
    <w:rsid w:val="00FE6D69"/>
    <w:rsid w:val="00FF5E54"/>
    <w:rsid w:val="00FF7213"/>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mord">
    <w:name w:val="mord"/>
    <w:basedOn w:val="DefaultParagraphFont"/>
    <w:rsid w:val="0016536A"/>
  </w:style>
  <w:style w:type="character" w:customStyle="1" w:styleId="mopen">
    <w:name w:val="mopen"/>
    <w:basedOn w:val="DefaultParagraphFont"/>
    <w:rsid w:val="0016536A"/>
  </w:style>
  <w:style w:type="character" w:customStyle="1" w:styleId="mclose">
    <w:name w:val="mclose"/>
    <w:basedOn w:val="DefaultParagraphFont"/>
    <w:rsid w:val="0016536A"/>
  </w:style>
  <w:style w:type="character" w:customStyle="1" w:styleId="mspace">
    <w:name w:val="mspace"/>
    <w:basedOn w:val="DefaultParagraphFont"/>
    <w:rsid w:val="0016536A"/>
  </w:style>
  <w:style w:type="character" w:customStyle="1" w:styleId="mrel">
    <w:name w:val="mrel"/>
    <w:basedOn w:val="DefaultParagraphFont"/>
    <w:rsid w:val="0016536A"/>
  </w:style>
  <w:style w:type="character" w:customStyle="1" w:styleId="mpunct">
    <w:name w:val="mpunct"/>
    <w:basedOn w:val="DefaultParagraphFont"/>
    <w:rsid w:val="0016536A"/>
  </w:style>
  <w:style w:type="character" w:customStyle="1" w:styleId="relative">
    <w:name w:val="relative"/>
    <w:basedOn w:val="DefaultParagraphFont"/>
    <w:rsid w:val="0016536A"/>
  </w:style>
  <w:style w:type="character" w:styleId="Strong">
    <w:name w:val="Strong"/>
    <w:basedOn w:val="DefaultParagraphFont"/>
    <w:uiPriority w:val="22"/>
    <w:qFormat/>
    <w:rsid w:val="0016536A"/>
    <w:rPr>
      <w:b/>
      <w:bCs/>
    </w:rPr>
  </w:style>
  <w:style w:type="character" w:customStyle="1" w:styleId="ms-1">
    <w:name w:val="ms-1"/>
    <w:basedOn w:val="DefaultParagraphFont"/>
    <w:rsid w:val="0016536A"/>
  </w:style>
  <w:style w:type="character" w:customStyle="1" w:styleId="max-w-full">
    <w:name w:val="max-w-full"/>
    <w:basedOn w:val="DefaultParagraphFont"/>
    <w:rsid w:val="0016536A"/>
  </w:style>
  <w:style w:type="character" w:customStyle="1" w:styleId="-me-1">
    <w:name w:val="-me-1"/>
    <w:basedOn w:val="DefaultParagraphFont"/>
    <w:rsid w:val="0016536A"/>
  </w:style>
  <w:style w:type="character" w:customStyle="1" w:styleId="katex-mathml">
    <w:name w:val="katex-mathml"/>
    <w:basedOn w:val="DefaultParagraphFont"/>
    <w:rsid w:val="00165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cid:2696ED15-ED6F-4479-B6DB-F8768974F594" TargetMode="Externa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55" Type="http://schemas.openxmlformats.org/officeDocument/2006/relationships/customXml" Target="../customXml/item4.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customXml" Target="../customXml/item2.xml"/><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styles" Target="styles.xml"/><Relationship Id="rId14" Type="http://schemas.openxmlformats.org/officeDocument/2006/relationships/image" Target="media/image9.jpeg"/><Relationship Id="rId22" Type="http://schemas.openxmlformats.org/officeDocument/2006/relationships/image" Target="cid:8361F971-5E36-4EA8-B631-0EC6064BEF1A"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 Type="http://schemas.openxmlformats.org/officeDocument/2006/relationships/fontTable" Target="fontTable.xml"/><Relationship Id="rId43" Type="http://schemas.openxmlformats.org/officeDocument/2006/relationships/image" Target="media/image35.jpeg"/><Relationship Id="rId48" Type="http://schemas.openxmlformats.org/officeDocument/2006/relationships/image" Target="media/image40.jpeg"/><Relationship Id="rId9" Type="http://schemas.openxmlformats.org/officeDocument/2006/relationships/image" Target="media/image4.jpeg"/><Relationship Id="rId51" Type="http://schemas.openxmlformats.org/officeDocument/2006/relationships/numbering" Target="numbering.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cid:492CB1CC-0052-4299-9B96-007B28E4A03E" TargetMode="External"/><Relationship Id="rId41" Type="http://schemas.openxmlformats.org/officeDocument/2006/relationships/image" Target="media/image33.jpeg"/><Relationship Id="rId54" Type="http://schemas.openxmlformats.org/officeDocument/2006/relationships/customXml" Target="../customXml/item3.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3.xml"/></Relationships>
</file>

<file path=word/_rels/footnotes.xml.rels><?xml version="1.0" encoding="utf-8" standalone="yes"?><Relationships xmlns="http://schemas.openxmlformats.org/package/2006/relationships"><Relationship Id="rId1" Type="http://schemas.openxmlformats.org/officeDocument/2006/relationships/hyperlink" Target="https://www.england.nhs.uk/ourwork/clinical-policy/older-people/frailty/efi/"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9975C1-8FF1-4076-B18A-CAB8E20F2B73}">
  <ds:schemaRefs>
    <ds:schemaRef ds:uri="http://schemas.openxmlformats.org/officeDocument/2006/bibliography"/>
  </ds:schemaRefs>
</ds:datastoreItem>
</file>

<file path=customXml/itemProps2.xml><?xml version="1.0" encoding="utf-8"?>
<ds:datastoreItem xmlns:ds="http://schemas.openxmlformats.org/officeDocument/2006/customXml" ds:itemID="{FD007F9D-12C2-4B70-B2D5-7CDEB2831F8B}"/>
</file>

<file path=customXml/itemProps3.xml><?xml version="1.0" encoding="utf-8"?>
<ds:datastoreItem xmlns:ds="http://schemas.openxmlformats.org/officeDocument/2006/customXml" ds:itemID="{B9B254C5-A9EA-4D2A-80EA-4D647CA465A8}"/>
</file>

<file path=customXml/itemProps4.xml><?xml version="1.0" encoding="utf-8"?>
<ds:datastoreItem xmlns:ds="http://schemas.openxmlformats.org/officeDocument/2006/customXml" ds:itemID="{10918DF4-724F-4444-9651-F8287BA2E4F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