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8849E2" w:rsidRPr="008849E2" w:rsidP="009E2768">
      <w:pPr>
        <w:spacing w:line="269" w:lineRule="auto"/>
        <w:rPr>
          <w:rFonts w:ascii="Calibri" w:hAnsi="Calibri" w:cs="Calibri" w:hint="cs"/>
          <w:b/>
          <w:bCs/>
          <w:color w:val="002060"/>
          <w:sz w:val="2"/>
          <w:szCs w:val="2"/>
          <w:rtl/>
        </w:rPr>
      </w:pPr>
    </w:p>
    <w:tbl>
      <w:tblPr>
        <w:tblStyle w:val="26"/>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3"/>
      </w:tblGrid>
      <w:tr w:rsidTr="003A5532">
        <w:tblPrEx>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636"/>
        </w:trPr>
        <w:tc>
          <w:tcPr>
            <w:tcW w:w="9783" w:type="dxa"/>
          </w:tcPr>
          <w:p w:rsidR="008849E2" w:rsidRPr="008849E2" w:rsidP="008849E2">
            <w:pPr>
              <w:spacing w:after="120" w:line="240" w:lineRule="auto"/>
              <w:rPr>
                <w:rFonts w:ascii="Tahoma" w:eastAsia="Calibri" w:hAnsi="Tahoma" w:cs="Tahoma"/>
                <w:b/>
                <w:bCs/>
                <w:sz w:val="40"/>
                <w:szCs w:val="40"/>
                <w:rtl/>
              </w:rPr>
            </w:pPr>
            <w:bookmarkStart w:id="0" w:name="_Hlk233634321"/>
            <w:r w:rsidRPr="008849E2">
              <w:rPr>
                <w:rFonts w:ascii="Tahoma" w:eastAsia="Calibri" w:hAnsi="Tahoma" w:cs="Tahoma"/>
                <w:b/>
                <w:bCs/>
                <w:sz w:val="40"/>
                <w:szCs w:val="40"/>
                <w:rtl/>
              </w:rPr>
              <w:t>תופעות הזנות והסחר בבני אדם למטרות זנות - היבטים באכיפה ובהגנה על הקורבנות</w:t>
            </w:r>
          </w:p>
          <w:bookmarkEnd w:id="0"/>
          <w:p w:rsidR="008849E2" w:rsidRPr="008849E2" w:rsidP="008849E2">
            <w:pPr>
              <w:spacing w:line="288" w:lineRule="auto"/>
              <w:rPr>
                <w:rFonts w:ascii="Tahoma" w:eastAsia="Calibri" w:hAnsi="Tahoma" w:cs="Tahoma"/>
                <w:szCs w:val="24"/>
                <w:rtl/>
              </w:rPr>
            </w:pPr>
            <w:r w:rsidRPr="008849E2">
              <w:rPr>
                <w:rFonts w:ascii="Tahoma" w:eastAsia="Calibri" w:hAnsi="Tahoma" w:cs="Tahoma"/>
                <w:sz w:val="36"/>
                <w:szCs w:val="36"/>
                <w:rtl/>
              </w:rPr>
              <w:t>תקציר</w:t>
            </w:r>
          </w:p>
          <w:p w:rsidR="008849E2" w:rsidRPr="008849E2" w:rsidP="008849E2">
            <w:pPr>
              <w:spacing w:line="288" w:lineRule="auto"/>
              <w:ind w:left="-851"/>
              <w:rPr>
                <w:rFonts w:ascii="Tahoma" w:eastAsia="Calibri" w:hAnsi="Tahoma" w:cs="Tahoma"/>
                <w:szCs w:val="24"/>
                <w:rtl/>
              </w:rPr>
            </w:pPr>
          </w:p>
        </w:tc>
      </w:tr>
    </w:tbl>
    <w:p w:rsidR="008849E2" w:rsidRPr="008849E2" w:rsidP="008849E2">
      <w:pPr>
        <w:spacing w:line="288" w:lineRule="auto"/>
        <w:ind w:left="-851"/>
        <w:rPr>
          <w:rFonts w:ascii="Tahoma" w:eastAsia="Calibri" w:hAnsi="Tahoma" w:cs="Tahoma"/>
          <w:rtl/>
        </w:rPr>
      </w:pPr>
      <w:r w:rsidRPr="008849E2">
        <w:rPr>
          <w:rFonts w:ascii="Tahoma" w:eastAsia="Calibri" w:hAnsi="Tahoma" w:cs="Tahoma"/>
          <w:noProof/>
          <w:rtl/>
        </w:rPr>
        <w:drawing>
          <wp:inline distT="0" distB="0" distL="0" distR="0">
            <wp:extent cx="1638300" cy="411480"/>
            <wp:effectExtent l="0" t="0" r="0" b="762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תקציר-05.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8849E2" w:rsidRPr="008849E2" w:rsidP="008849E2">
      <w:pPr>
        <w:spacing w:after="120" w:line="288" w:lineRule="auto"/>
        <w:ind w:left="-709" w:right="-567"/>
        <w:rPr>
          <w:rFonts w:ascii="Tahoma" w:eastAsia="Calibri" w:hAnsi="Tahoma" w:cs="Tahoma"/>
          <w:sz w:val="19"/>
          <w:szCs w:val="19"/>
        </w:rPr>
      </w:pPr>
      <w:r w:rsidRPr="008849E2">
        <w:rPr>
          <w:rFonts w:ascii="Tahoma" w:eastAsia="Calibri" w:hAnsi="Tahoma" w:cs="Tahoma"/>
          <w:sz w:val="19"/>
          <w:szCs w:val="19"/>
          <w:rtl/>
        </w:rPr>
        <w:t>על מדינת ישראל מוטלת החובה להגן על כבוד האדם, על חירותו ועל שלמות גופו. מחויבות זו היא אבן יסוד במאבק בסחר בבני אדם ובצריכת זנות, והיא מנחה את עיצוב המדיניות בתחומי החקיקה, האכיפה והטיפול החברתי.</w:t>
      </w:r>
    </w:p>
    <w:p w:rsidR="008849E2" w:rsidRPr="008849E2" w:rsidP="008849E2">
      <w:pPr>
        <w:spacing w:after="120" w:line="288" w:lineRule="auto"/>
        <w:ind w:left="-709" w:right="-567"/>
        <w:rPr>
          <w:rFonts w:ascii="Tahoma" w:eastAsia="Calibri" w:hAnsi="Tahoma" w:cs="Tahoma"/>
          <w:sz w:val="19"/>
          <w:szCs w:val="19"/>
          <w:rtl/>
        </w:rPr>
      </w:pPr>
      <w:r w:rsidRPr="008849E2">
        <w:rPr>
          <w:rFonts w:ascii="Tahoma" w:eastAsia="Calibri" w:hAnsi="Tahoma" w:cs="Tahoma"/>
          <w:sz w:val="19"/>
          <w:szCs w:val="19"/>
          <w:rtl/>
        </w:rPr>
        <w:t>במשך השנים חוק העונשין אסר לבצע פעילויות נלוות לזנות ובהן סרסרות, החזקת מקום לשם זנות, הבאת אדם לידי מעשה או עיסוק בזנות וניצול קטינים לזנות. עם זאת, עצם צריכת שירותי זנות מבגירים לא נאסרה</w:t>
      </w:r>
      <w:r w:rsidRPr="008849E2">
        <w:rPr>
          <w:rFonts w:ascii="Tahoma" w:eastAsia="Calibri" w:hAnsi="Tahoma" w:cs="Tahoma"/>
          <w:sz w:val="19"/>
          <w:szCs w:val="19"/>
        </w:rPr>
        <w:t>.</w:t>
      </w:r>
      <w:r w:rsidRPr="008849E2">
        <w:rPr>
          <w:rFonts w:ascii="Tahoma" w:eastAsia="Calibri" w:hAnsi="Tahoma" w:cs="Tahoma"/>
          <w:sz w:val="19"/>
          <w:szCs w:val="19"/>
          <w:rtl/>
        </w:rPr>
        <w:t xml:space="preserve"> בשנת 2019 פורסם חוק איסור צריכת זנות (הוראת שעה ותיקון חקיקה), התשע"ט-2019 (חוק איסור צריכת זנות או החוק), שציין נקודת מפנה במדיניות מדינת ישראל כלפי התופעה. החוק נכנס לתוקף ביולי 2020 כהוראת שעה לתקופה של חמש שנים. יישום החוק לווה במחקר הערכה שנועד לבחון את מידת יעילותו של החוק ואת הצורך בביצוע שינויים עתידיים או בעיגונו כהסדר קבע. ביוני 2025 החליטה הכנסת להותיר את החוק כהוראת שעה למשך חמש שנים נוספות.</w:t>
      </w:r>
    </w:p>
    <w:p w:rsidR="008849E2" w:rsidRPr="008849E2" w:rsidP="008849E2">
      <w:pPr>
        <w:spacing w:after="120" w:line="288" w:lineRule="auto"/>
        <w:ind w:left="-709" w:right="-567"/>
        <w:rPr>
          <w:rFonts w:ascii="Tahoma" w:eastAsia="Calibri" w:hAnsi="Tahoma" w:cs="Tahoma"/>
          <w:sz w:val="19"/>
          <w:szCs w:val="19"/>
          <w:rtl/>
        </w:rPr>
      </w:pPr>
      <w:r w:rsidRPr="008849E2">
        <w:rPr>
          <w:rFonts w:ascii="Tahoma" w:eastAsia="Calibri" w:hAnsi="Tahoma" w:cs="Tahoma"/>
          <w:sz w:val="19"/>
          <w:szCs w:val="19"/>
          <w:rtl/>
        </w:rPr>
        <w:t>החל מאמצע שנות התשעים של המאה העשרים נחשפה בישראל גם תופעה של סחר בנשים לצורכי מין. החוק האמריקאי להגנה על קורבנות סחר בבני אדם (</w:t>
      </w:r>
      <w:r w:rsidRPr="008849E2">
        <w:rPr>
          <w:rFonts w:ascii="Tahoma" w:eastAsia="Calibri" w:hAnsi="Tahoma" w:cs="Tahoma"/>
          <w:sz w:val="19"/>
          <w:szCs w:val="19"/>
        </w:rPr>
        <w:t>Trafficking Victims Protection Act - TVPA</w:t>
      </w:r>
      <w:r w:rsidRPr="008849E2">
        <w:rPr>
          <w:rFonts w:ascii="Tahoma" w:eastAsia="Calibri" w:hAnsi="Tahoma" w:cs="Tahoma"/>
          <w:sz w:val="19"/>
          <w:szCs w:val="19"/>
          <w:rtl/>
        </w:rPr>
        <w:t>) משנת 2000 הסדיר מנגנון דיווח שנתי של מדינות העולם על כלל הפעולות בהיבטי הגנה, אכיפה ומניעה בקשר לסחר בבני אדם (</w:t>
      </w:r>
      <w:r w:rsidRPr="008849E2">
        <w:rPr>
          <w:rFonts w:ascii="Tahoma" w:eastAsia="Calibri" w:hAnsi="Tahoma" w:cs="Tahoma"/>
          <w:sz w:val="19"/>
          <w:szCs w:val="19"/>
        </w:rPr>
        <w:t>TIP report</w:t>
      </w:r>
      <w:r w:rsidRPr="008849E2">
        <w:rPr>
          <w:rFonts w:ascii="Tahoma" w:eastAsia="Calibri" w:hAnsi="Tahoma" w:cs="Tahoma"/>
          <w:sz w:val="19"/>
          <w:szCs w:val="19"/>
          <w:rtl/>
        </w:rPr>
        <w:t>)</w:t>
      </w:r>
      <w:r>
        <w:rPr>
          <w:rFonts w:ascii="Tahoma" w:eastAsia="Calibri" w:hAnsi="Tahoma" w:cs="Tahoma"/>
          <w:sz w:val="19"/>
          <w:szCs w:val="19"/>
          <w:vertAlign w:val="superscript"/>
          <w:rtl/>
        </w:rPr>
        <w:footnoteReference w:id="2"/>
      </w:r>
      <w:r w:rsidRPr="008849E2">
        <w:rPr>
          <w:rFonts w:ascii="Tahoma" w:eastAsia="Calibri" w:hAnsi="Tahoma" w:cs="Tahoma"/>
          <w:sz w:val="19"/>
          <w:szCs w:val="19"/>
          <w:rtl/>
        </w:rPr>
        <w:t>. בדוח הראשון משנת 2001 דורגה ישראל במקום הנמוך ביותר, והדבר היה עלול לערער את יחסיה</w:t>
      </w:r>
      <w:r w:rsidRPr="008849E2">
        <w:rPr>
          <w:rFonts w:ascii="Tahoma" w:eastAsia="Calibri" w:hAnsi="Tahoma" w:cs="Tahoma"/>
          <w:sz w:val="19"/>
          <w:szCs w:val="19"/>
        </w:rPr>
        <w:t xml:space="preserve"> </w:t>
      </w:r>
      <w:r w:rsidRPr="008849E2">
        <w:rPr>
          <w:rFonts w:ascii="Tahoma" w:eastAsia="Calibri" w:hAnsi="Tahoma" w:cs="Tahoma"/>
          <w:sz w:val="19"/>
          <w:szCs w:val="19"/>
          <w:rtl/>
        </w:rPr>
        <w:t xml:space="preserve">הכלכליים והמדיניים עם ארצות הברית. בעקבות כך נקטה ישראל צעדים חקיקתיים ומוסדיים נרחבים, לרבות חתימה על אמנות בין-לאומיות; הסדרה של הליך מתן אשרות לקורבנות סחר בבני אדם; ביצוע תיקוני חקיקה שבמסגרתם הורחבה ההגדרה החוקית של סחר בבני אדם, הוחמרה הענישה בתחום ונוספו לחוק סעיפים ייחודיים שנועדו להגן על הקורבנות; וכן הקמה של יחידת התיאום למאבק בסחר בבני אדם במשרד המשפטים (יחידת התיאום או היחידה). </w:t>
      </w:r>
    </w:p>
    <w:p w:rsidR="008849E2" w:rsidRPr="008849E2" w:rsidP="008849E2">
      <w:pPr>
        <w:spacing w:after="120" w:line="288" w:lineRule="auto"/>
        <w:ind w:left="-709" w:right="-567"/>
        <w:rPr>
          <w:rFonts w:ascii="Tahoma" w:eastAsia="Calibri" w:hAnsi="Tahoma" w:cs="Tahoma"/>
          <w:sz w:val="19"/>
          <w:szCs w:val="19"/>
          <w:rtl/>
        </w:rPr>
      </w:pPr>
      <w:r w:rsidRPr="008849E2">
        <w:rPr>
          <w:rFonts w:ascii="Tahoma" w:eastAsia="Calibri" w:hAnsi="Tahoma" w:cs="Tahoma"/>
          <w:sz w:val="19"/>
          <w:szCs w:val="19"/>
          <w:rtl/>
        </w:rPr>
        <w:t>בעקבות הצעדים שננקטו, החל משנת 2012 עלתה ישראל לדירוג העליון</w:t>
      </w:r>
      <w:r w:rsidRPr="008849E2">
        <w:rPr>
          <w:rFonts w:ascii="Tahoma" w:eastAsia="Calibri" w:hAnsi="Tahoma" w:cs="Tahoma"/>
          <w:sz w:val="19"/>
          <w:szCs w:val="19"/>
        </w:rPr>
        <w:t xml:space="preserve"> </w:t>
      </w:r>
      <w:r w:rsidRPr="008849E2">
        <w:rPr>
          <w:rFonts w:ascii="Tahoma" w:eastAsia="Calibri" w:hAnsi="Tahoma" w:cs="Tahoma"/>
          <w:sz w:val="19"/>
          <w:szCs w:val="19"/>
          <w:rtl/>
        </w:rPr>
        <w:t>בדוחות מחלקת המדינה האמריקאית, אולם בשנת 2020 ירדה לדירוג הביניים, המציב אותה בסיכון לירידה לדירוג התחתון המלווה בסנקציות נרחבות. ההורדה נומקה בדוח, בין היתר, בהפחתה של מספר החקירות, כתבי האישום וההרשעות בתחום הסחר בבני אדם</w:t>
      </w:r>
      <w:r>
        <w:rPr>
          <w:rFonts w:ascii="Tahoma" w:eastAsia="Calibri" w:hAnsi="Tahoma" w:cs="Tahoma"/>
          <w:sz w:val="19"/>
          <w:szCs w:val="19"/>
          <w:vertAlign w:val="superscript"/>
          <w:rtl/>
        </w:rPr>
        <w:footnoteReference w:id="3"/>
      </w:r>
      <w:r w:rsidRPr="008849E2">
        <w:rPr>
          <w:rFonts w:ascii="Tahoma" w:eastAsia="Calibri" w:hAnsi="Tahoma" w:cs="Tahoma"/>
          <w:sz w:val="19"/>
          <w:szCs w:val="19"/>
          <w:rtl/>
        </w:rPr>
        <w:t>; בעיכובים ממושכים בזיהוי קורבנות ולעיתים אף בפגיעה חוזרת בהם; בהיחלשות פעילות חוליית הסחר בבני אדם במשטרה; ובמדיניות לקויה כלפי עובדים זרים, שגרמה להגברת פגיעותם לניצול ולסחר.</w:t>
      </w:r>
    </w:p>
    <w:p w:rsidR="008849E2" w:rsidRPr="008849E2" w:rsidP="008849E2">
      <w:pPr>
        <w:spacing w:after="60" w:line="288" w:lineRule="auto"/>
        <w:ind w:left="-709" w:right="-567"/>
        <w:rPr>
          <w:rFonts w:ascii="Tahoma" w:eastAsia="Calibri" w:hAnsi="Tahoma" w:cs="Tahoma"/>
          <w:rtl/>
        </w:rPr>
      </w:pPr>
      <w:r w:rsidRPr="008849E2">
        <w:rPr>
          <w:rFonts w:ascii="Tahoma" w:eastAsia="Calibri" w:hAnsi="Tahoma" w:cs="Tahoma"/>
          <w:sz w:val="19"/>
          <w:szCs w:val="19"/>
          <w:rtl/>
        </w:rPr>
        <w:t>הירידה בדירוג הובילה לקבלתה של החלטת הממשלה 1862 בשנת 2022, הכוללת תוכנית יישום לאומית רב-שנתית למאבק בסחר בבני אדם.</w:t>
      </w:r>
      <w:r w:rsidRPr="008849E2">
        <w:rPr>
          <w:rFonts w:ascii="Tahoma" w:eastAsia="Calibri" w:hAnsi="Tahoma" w:cs="Tahoma"/>
          <w:rtl/>
        </w:rPr>
        <w:t xml:space="preserve"> </w:t>
      </w:r>
      <w:bookmarkStart w:id="1" w:name="_Hlk209945732"/>
    </w:p>
    <w:bookmarkEnd w:id="1"/>
    <w:p w:rsidR="008849E2" w:rsidRPr="008849E2" w:rsidP="008849E2">
      <w:pPr>
        <w:bidi w:val="0"/>
        <w:spacing w:after="160" w:line="259" w:lineRule="auto"/>
        <w:jc w:val="left"/>
        <w:rPr>
          <w:rFonts w:ascii="Tahoma" w:eastAsia="Calibri" w:hAnsi="Tahoma" w:cs="Tahoma"/>
          <w:b/>
          <w:bCs/>
          <w:sz w:val="19"/>
          <w:szCs w:val="19"/>
          <w:rtl/>
        </w:rPr>
      </w:pPr>
      <w:r w:rsidRPr="008849E2">
        <w:rPr>
          <w:rFonts w:ascii="Tahoma" w:eastAsia="Calibri" w:hAnsi="Tahoma" w:cs="Tahoma"/>
          <w:b/>
          <w:bCs/>
          <w:sz w:val="19"/>
          <w:szCs w:val="19"/>
          <w:rtl/>
        </w:rPr>
        <w:br w:type="page"/>
      </w:r>
    </w:p>
    <w:p w:rsidR="008849E2" w:rsidRPr="008849E2" w:rsidP="008849E2">
      <w:pPr>
        <w:spacing w:line="288" w:lineRule="auto"/>
        <w:ind w:left="-851"/>
        <w:rPr>
          <w:rFonts w:ascii="Tahoma" w:eastAsia="Calibri" w:hAnsi="Tahoma" w:cs="Tahoma"/>
          <w:rtl/>
        </w:rPr>
      </w:pPr>
      <w:bookmarkStart w:id="2" w:name="tempMark"/>
      <w:bookmarkEnd w:id="2"/>
      <w:r w:rsidRPr="008849E2">
        <w:rPr>
          <w:rFonts w:ascii="Tahoma" w:eastAsia="Calibri" w:hAnsi="Tahoma" w:cs="Tahoma"/>
          <w:noProof/>
          <w:rtl/>
        </w:rPr>
        <w:drawing>
          <wp:inline distT="0" distB="0" distL="0" distR="0">
            <wp:extent cx="1674111" cy="381000"/>
            <wp:effectExtent l="0" t="0" r="2540" b="0"/>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קציר-04.pn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rsidR="008849E2" w:rsidRPr="008849E2" w:rsidP="008849E2">
      <w:pPr>
        <w:spacing w:line="288" w:lineRule="auto"/>
        <w:ind w:left="-710"/>
        <w:rPr>
          <w:rFonts w:ascii="Tahoma" w:eastAsia="Calibri" w:hAnsi="Tahoma" w:cs="Tahoma"/>
          <w:sz w:val="2"/>
          <w:szCs w:val="4"/>
          <w:rtl/>
        </w:rPr>
      </w:pPr>
    </w:p>
    <w:tbl>
      <w:tblPr>
        <w:tblStyle w:val="26"/>
        <w:tblpPr w:leftFromText="180" w:rightFromText="180" w:vertAnchor="text" w:tblpXSpec="right" w:tblpY="1"/>
        <w:tblOverlap w:val="never"/>
        <w:bidiVisual/>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10"/>
        <w:gridCol w:w="284"/>
        <w:gridCol w:w="2553"/>
        <w:gridCol w:w="279"/>
        <w:gridCol w:w="2554"/>
      </w:tblGrid>
      <w:tr w:rsidTr="00D871D5">
        <w:tblPrEx>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trPr>
        <w:tc>
          <w:tcPr>
            <w:tcW w:w="2410" w:type="dxa"/>
            <w:tcBorders>
              <w:bottom w:val="single" w:sz="12" w:space="0" w:color="auto"/>
            </w:tcBorders>
            <w:shd w:val="clear" w:color="auto" w:fill="auto"/>
            <w:vAlign w:val="bottom"/>
          </w:tcPr>
          <w:p w:rsidR="008849E2" w:rsidRPr="008849E2" w:rsidP="00D871D5">
            <w:pPr>
              <w:spacing w:after="60" w:line="240" w:lineRule="auto"/>
              <w:rPr>
                <w:rFonts w:ascii="Tahoma" w:eastAsia="Calibri" w:hAnsi="Tahoma" w:cs="Tahoma"/>
                <w:spacing w:val="-10"/>
                <w:sz w:val="36"/>
                <w:szCs w:val="36"/>
                <w:rtl/>
              </w:rPr>
            </w:pPr>
            <w:r w:rsidRPr="008849E2">
              <w:rPr>
                <w:rFonts w:ascii="Tahoma" w:eastAsia="Calibri" w:hAnsi="Tahoma" w:cs="Tahoma"/>
                <w:spacing w:val="-10"/>
                <w:sz w:val="26"/>
                <w:szCs w:val="26"/>
                <w:rtl/>
              </w:rPr>
              <w:t>כ-</w:t>
            </w:r>
            <w:r w:rsidRPr="008849E2">
              <w:rPr>
                <w:rFonts w:ascii="Tahoma" w:eastAsia="Calibri" w:hAnsi="Tahoma" w:cs="Tahoma"/>
                <w:spacing w:val="-10"/>
                <w:sz w:val="36"/>
                <w:szCs w:val="36"/>
                <w:rtl/>
              </w:rPr>
              <w:t xml:space="preserve">12,000 </w:t>
            </w:r>
          </w:p>
        </w:tc>
        <w:tc>
          <w:tcPr>
            <w:tcW w:w="284" w:type="dxa"/>
          </w:tcPr>
          <w:p w:rsidR="008849E2" w:rsidRPr="008849E2" w:rsidP="008849E2">
            <w:pPr>
              <w:spacing w:line="240" w:lineRule="auto"/>
              <w:rPr>
                <w:rFonts w:ascii="Tahoma" w:eastAsia="Calibri" w:hAnsi="Tahoma" w:cs="Tahoma"/>
                <w:spacing w:val="-10"/>
              </w:rPr>
            </w:pPr>
          </w:p>
        </w:tc>
        <w:tc>
          <w:tcPr>
            <w:tcW w:w="2553" w:type="dxa"/>
            <w:tcBorders>
              <w:bottom w:val="single" w:sz="12" w:space="0" w:color="auto"/>
            </w:tcBorders>
            <w:vAlign w:val="bottom"/>
          </w:tcPr>
          <w:p w:rsidR="008849E2" w:rsidRPr="008849E2" w:rsidP="008849E2">
            <w:pPr>
              <w:spacing w:after="60" w:line="240" w:lineRule="auto"/>
              <w:rPr>
                <w:rFonts w:ascii="Tahoma" w:eastAsia="Calibri" w:hAnsi="Tahoma" w:cs="Tahoma"/>
                <w:spacing w:val="-16"/>
                <w:sz w:val="36"/>
                <w:szCs w:val="36"/>
                <w:rtl/>
              </w:rPr>
            </w:pPr>
            <w:r w:rsidRPr="008849E2">
              <w:rPr>
                <w:rFonts w:ascii="Tahoma" w:eastAsia="Calibri" w:hAnsi="Tahoma" w:cs="Tahoma"/>
                <w:spacing w:val="-16"/>
                <w:sz w:val="34"/>
                <w:szCs w:val="34"/>
                <w:rtl/>
              </w:rPr>
              <w:t>3,000 - 5,000</w:t>
            </w:r>
          </w:p>
        </w:tc>
        <w:tc>
          <w:tcPr>
            <w:tcW w:w="279" w:type="dxa"/>
          </w:tcPr>
          <w:p w:rsidR="008849E2" w:rsidRPr="008849E2" w:rsidP="008849E2">
            <w:pPr>
              <w:spacing w:line="240" w:lineRule="auto"/>
              <w:rPr>
                <w:rFonts w:ascii="Tahoma" w:eastAsia="Calibri" w:hAnsi="Tahoma" w:cs="Tahoma"/>
                <w:spacing w:val="-10"/>
              </w:rPr>
            </w:pPr>
          </w:p>
        </w:tc>
        <w:tc>
          <w:tcPr>
            <w:tcW w:w="2554" w:type="dxa"/>
            <w:tcBorders>
              <w:bottom w:val="single" w:sz="12" w:space="0" w:color="auto"/>
            </w:tcBorders>
          </w:tcPr>
          <w:p w:rsidR="008849E2" w:rsidRPr="008849E2" w:rsidP="008849E2">
            <w:pPr>
              <w:spacing w:line="240" w:lineRule="auto"/>
              <w:rPr>
                <w:rFonts w:ascii="Tahoma" w:eastAsia="Calibri" w:hAnsi="Tahoma" w:cs="Tahoma"/>
                <w:spacing w:val="-10"/>
                <w:sz w:val="36"/>
                <w:szCs w:val="36"/>
              </w:rPr>
            </w:pPr>
            <w:r w:rsidRPr="008849E2">
              <w:rPr>
                <w:rFonts w:ascii="Tahoma" w:eastAsia="Calibri" w:hAnsi="Tahoma" w:cs="Tahoma"/>
                <w:spacing w:val="-10"/>
                <w:sz w:val="26"/>
                <w:szCs w:val="26"/>
                <w:rtl/>
              </w:rPr>
              <w:t>רק</w:t>
            </w:r>
            <w:r w:rsidRPr="008849E2">
              <w:rPr>
                <w:rFonts w:ascii="Tahoma" w:eastAsia="Calibri" w:hAnsi="Tahoma" w:cs="Tahoma"/>
                <w:spacing w:val="-10"/>
                <w:sz w:val="36"/>
                <w:szCs w:val="36"/>
                <w:rtl/>
              </w:rPr>
              <w:t xml:space="preserve"> 3 </w:t>
            </w:r>
          </w:p>
        </w:tc>
      </w:tr>
      <w:tr w:rsidTr="00D871D5">
        <w:tblPrEx>
          <w:tblW w:w="8080" w:type="dxa"/>
          <w:tblLook w:val="04A0"/>
        </w:tblPrEx>
        <w:trPr>
          <w:trHeight w:val="1155"/>
        </w:trPr>
        <w:tc>
          <w:tcPr>
            <w:tcW w:w="2410" w:type="dxa"/>
          </w:tcPr>
          <w:p w:rsidR="008849E2" w:rsidRPr="008849E2" w:rsidP="008849E2">
            <w:pPr>
              <w:spacing w:line="240" w:lineRule="auto"/>
              <w:ind w:right="23"/>
              <w:rPr>
                <w:rFonts w:ascii="Tahoma" w:eastAsia="Calibri" w:hAnsi="Tahoma" w:cs="Tahoma"/>
                <w:sz w:val="19"/>
                <w:szCs w:val="19"/>
                <w:rtl/>
              </w:rPr>
            </w:pPr>
            <w:r w:rsidRPr="008849E2">
              <w:rPr>
                <w:rFonts w:ascii="Tahoma" w:eastAsia="Calibri" w:hAnsi="Tahoma" w:cs="Tahoma"/>
                <w:sz w:val="19"/>
                <w:szCs w:val="19"/>
                <w:rtl/>
              </w:rPr>
              <w:t xml:space="preserve">מספר הנשים והגברים שלפי הערכות משנת 2014 נמצאים במעגל הזנות </w:t>
            </w:r>
          </w:p>
        </w:tc>
        <w:tc>
          <w:tcPr>
            <w:tcW w:w="284" w:type="dxa"/>
          </w:tcPr>
          <w:p w:rsidR="008849E2" w:rsidRPr="008849E2" w:rsidP="008849E2">
            <w:pPr>
              <w:spacing w:line="240" w:lineRule="auto"/>
              <w:rPr>
                <w:rFonts w:ascii="Tahoma" w:eastAsia="Calibri" w:hAnsi="Tahoma" w:cs="Tahoma"/>
                <w:szCs w:val="24"/>
                <w:rtl/>
              </w:rPr>
            </w:pPr>
          </w:p>
        </w:tc>
        <w:tc>
          <w:tcPr>
            <w:tcW w:w="2553" w:type="dxa"/>
          </w:tcPr>
          <w:p w:rsidR="008849E2" w:rsidRPr="008849E2" w:rsidP="008849E2">
            <w:pPr>
              <w:spacing w:line="240" w:lineRule="auto"/>
              <w:ind w:right="23"/>
              <w:rPr>
                <w:rFonts w:ascii="Tahoma" w:eastAsia="Calibri" w:hAnsi="Tahoma" w:cs="Tahoma"/>
                <w:sz w:val="19"/>
                <w:szCs w:val="19"/>
                <w:rtl/>
              </w:rPr>
            </w:pPr>
            <w:r w:rsidRPr="008849E2">
              <w:rPr>
                <w:rFonts w:ascii="Tahoma" w:eastAsia="Calibri" w:hAnsi="Tahoma" w:cs="Tahoma"/>
                <w:sz w:val="19"/>
                <w:szCs w:val="19"/>
                <w:rtl/>
              </w:rPr>
              <w:t xml:space="preserve">קטינים וקטינות מצויים במעגל הזנות לפי הערכות משנת 2025 </w:t>
            </w:r>
          </w:p>
        </w:tc>
        <w:tc>
          <w:tcPr>
            <w:tcW w:w="279" w:type="dxa"/>
          </w:tcPr>
          <w:p w:rsidR="008849E2" w:rsidRPr="008849E2" w:rsidP="008849E2">
            <w:pPr>
              <w:spacing w:line="240" w:lineRule="auto"/>
              <w:rPr>
                <w:rFonts w:ascii="Tahoma" w:eastAsia="Calibri" w:hAnsi="Tahoma" w:cs="Tahoma"/>
                <w:sz w:val="19"/>
                <w:szCs w:val="19"/>
                <w:rtl/>
              </w:rPr>
            </w:pPr>
          </w:p>
        </w:tc>
        <w:tc>
          <w:tcPr>
            <w:tcW w:w="2554" w:type="dxa"/>
          </w:tcPr>
          <w:p w:rsidR="008849E2" w:rsidRPr="008849E2" w:rsidP="008849E2">
            <w:pPr>
              <w:spacing w:line="240" w:lineRule="auto"/>
              <w:ind w:right="23"/>
              <w:rPr>
                <w:rFonts w:ascii="Tahoma" w:eastAsia="Calibri" w:hAnsi="Tahoma" w:cs="Tahoma"/>
                <w:sz w:val="19"/>
                <w:szCs w:val="19"/>
                <w:rtl/>
              </w:rPr>
            </w:pPr>
            <w:r w:rsidRPr="008849E2">
              <w:rPr>
                <w:rFonts w:ascii="Tahoma" w:eastAsia="Calibri" w:hAnsi="Tahoma" w:cs="Tahoma"/>
                <w:sz w:val="19"/>
                <w:szCs w:val="19"/>
                <w:rtl/>
              </w:rPr>
              <w:t>תחנות משטרה, מתוך מאות תחנות, הטילו את מרביתם המוחלט של הקנסות בגין צריכת שירותי זנות בשנים 2021 - 2025</w:t>
            </w:r>
          </w:p>
          <w:p w:rsidR="008849E2" w:rsidRPr="008849E2" w:rsidP="008849E2">
            <w:pPr>
              <w:spacing w:line="240" w:lineRule="auto"/>
              <w:ind w:right="23"/>
              <w:rPr>
                <w:rFonts w:ascii="Tahoma" w:eastAsia="Calibri" w:hAnsi="Tahoma" w:cs="Tahoma"/>
                <w:sz w:val="19"/>
                <w:szCs w:val="19"/>
                <w:rtl/>
              </w:rPr>
            </w:pPr>
          </w:p>
        </w:tc>
      </w:tr>
      <w:tr w:rsidTr="00D871D5">
        <w:tblPrEx>
          <w:tblW w:w="8080" w:type="dxa"/>
          <w:tblLook w:val="04A0"/>
        </w:tblPrEx>
        <w:trPr>
          <w:trHeight w:val="227"/>
        </w:trPr>
        <w:tc>
          <w:tcPr>
            <w:tcW w:w="2410" w:type="dxa"/>
            <w:tcBorders>
              <w:bottom w:val="single" w:sz="12" w:space="0" w:color="auto"/>
            </w:tcBorders>
            <w:vAlign w:val="center"/>
          </w:tcPr>
          <w:p w:rsidR="008849E2" w:rsidRPr="008849E2" w:rsidP="008849E2">
            <w:pPr>
              <w:spacing w:after="60" w:line="240" w:lineRule="auto"/>
              <w:rPr>
                <w:rFonts w:ascii="Tahoma" w:eastAsia="Calibri" w:hAnsi="Tahoma" w:cs="Tahoma"/>
                <w:spacing w:val="-10"/>
                <w:sz w:val="36"/>
                <w:szCs w:val="36"/>
              </w:rPr>
            </w:pPr>
            <w:r w:rsidRPr="008849E2">
              <w:rPr>
                <w:rFonts w:ascii="Tahoma" w:eastAsia="Calibri" w:hAnsi="Tahoma" w:cs="Tahoma"/>
                <w:spacing w:val="-10"/>
                <w:sz w:val="36"/>
                <w:szCs w:val="36"/>
                <w:rtl/>
              </w:rPr>
              <w:t>0</w:t>
            </w:r>
          </w:p>
        </w:tc>
        <w:tc>
          <w:tcPr>
            <w:tcW w:w="284" w:type="dxa"/>
          </w:tcPr>
          <w:p w:rsidR="008849E2" w:rsidRPr="008849E2" w:rsidP="008849E2">
            <w:pPr>
              <w:spacing w:line="240" w:lineRule="auto"/>
              <w:rPr>
                <w:rFonts w:ascii="Tahoma" w:eastAsia="Calibri" w:hAnsi="Tahoma" w:cs="Tahoma"/>
                <w:spacing w:val="-10"/>
              </w:rPr>
            </w:pPr>
          </w:p>
        </w:tc>
        <w:tc>
          <w:tcPr>
            <w:tcW w:w="2553" w:type="dxa"/>
            <w:tcBorders>
              <w:bottom w:val="single" w:sz="12" w:space="0" w:color="auto"/>
            </w:tcBorders>
            <w:vAlign w:val="center"/>
          </w:tcPr>
          <w:p w:rsidR="008849E2" w:rsidRPr="008849E2" w:rsidP="008849E2">
            <w:pPr>
              <w:spacing w:after="60" w:line="240" w:lineRule="auto"/>
              <w:rPr>
                <w:rFonts w:ascii="Tahoma" w:eastAsia="Calibri" w:hAnsi="Tahoma" w:cs="Tahoma"/>
                <w:spacing w:val="-10"/>
                <w:sz w:val="36"/>
                <w:szCs w:val="36"/>
              </w:rPr>
            </w:pPr>
            <w:r w:rsidRPr="008849E2">
              <w:rPr>
                <w:rFonts w:ascii="Tahoma" w:eastAsia="Calibri" w:hAnsi="Tahoma" w:cs="Tahoma"/>
                <w:spacing w:val="-10"/>
                <w:sz w:val="36"/>
                <w:szCs w:val="36"/>
                <w:rtl/>
              </w:rPr>
              <w:t xml:space="preserve">2% </w:t>
            </w:r>
            <w:r w:rsidRPr="008849E2">
              <w:rPr>
                <w:rFonts w:ascii="Tahoma" w:eastAsia="Calibri" w:hAnsi="Tahoma" w:cs="Tahoma"/>
                <w:spacing w:val="-10"/>
                <w:sz w:val="26"/>
                <w:szCs w:val="26"/>
                <w:rtl/>
              </w:rPr>
              <w:t>(111)</w:t>
            </w:r>
          </w:p>
        </w:tc>
        <w:tc>
          <w:tcPr>
            <w:tcW w:w="279" w:type="dxa"/>
          </w:tcPr>
          <w:p w:rsidR="008849E2" w:rsidRPr="008849E2" w:rsidP="008849E2">
            <w:pPr>
              <w:spacing w:line="240" w:lineRule="auto"/>
              <w:rPr>
                <w:rFonts w:ascii="Tahoma" w:eastAsia="Calibri" w:hAnsi="Tahoma" w:cs="Tahoma"/>
                <w:spacing w:val="-10"/>
              </w:rPr>
            </w:pPr>
          </w:p>
        </w:tc>
        <w:tc>
          <w:tcPr>
            <w:tcW w:w="2554" w:type="dxa"/>
            <w:tcBorders>
              <w:bottom w:val="single" w:sz="12" w:space="0" w:color="auto"/>
            </w:tcBorders>
          </w:tcPr>
          <w:p w:rsidR="008849E2" w:rsidRPr="008849E2" w:rsidP="008849E2">
            <w:pPr>
              <w:spacing w:after="60" w:line="240" w:lineRule="auto"/>
              <w:rPr>
                <w:rFonts w:ascii="Tahoma" w:eastAsia="Calibri" w:hAnsi="Tahoma" w:cs="Tahoma"/>
                <w:spacing w:val="-10"/>
                <w:sz w:val="36"/>
                <w:szCs w:val="36"/>
              </w:rPr>
            </w:pPr>
            <w:r w:rsidRPr="008849E2">
              <w:rPr>
                <w:rFonts w:ascii="Tahoma" w:eastAsia="Calibri" w:hAnsi="Tahoma" w:cs="Tahoma"/>
                <w:spacing w:val="-10"/>
                <w:sz w:val="26"/>
                <w:szCs w:val="26"/>
                <w:rtl/>
              </w:rPr>
              <w:t>למעלה מ-</w:t>
            </w:r>
            <w:r w:rsidRPr="008849E2">
              <w:rPr>
                <w:rFonts w:ascii="Tahoma" w:eastAsia="Calibri" w:hAnsi="Tahoma" w:cs="Tahoma"/>
                <w:spacing w:val="-10"/>
                <w:sz w:val="36"/>
                <w:szCs w:val="36"/>
                <w:rtl/>
              </w:rPr>
              <w:t>1,300</w:t>
            </w:r>
            <w:r w:rsidRPr="008849E2">
              <w:rPr>
                <w:rFonts w:ascii="Tahoma" w:eastAsia="Calibri" w:hAnsi="Tahoma" w:cs="Tahoma"/>
                <w:spacing w:val="-10"/>
                <w:sz w:val="36"/>
                <w:szCs w:val="36"/>
                <w:rtl/>
              </w:rPr>
              <w:t xml:space="preserve"> </w:t>
            </w:r>
          </w:p>
        </w:tc>
      </w:tr>
      <w:tr w:rsidTr="00D871D5">
        <w:tblPrEx>
          <w:tblW w:w="8080" w:type="dxa"/>
          <w:tblLook w:val="04A0"/>
        </w:tblPrEx>
        <w:trPr>
          <w:trHeight w:val="1153"/>
        </w:trPr>
        <w:tc>
          <w:tcPr>
            <w:tcW w:w="2410" w:type="dxa"/>
          </w:tcPr>
          <w:p w:rsidR="008849E2" w:rsidP="008849E2">
            <w:pPr>
              <w:spacing w:line="240" w:lineRule="auto"/>
              <w:rPr>
                <w:rFonts w:ascii="Tahoma" w:eastAsia="Calibri" w:hAnsi="Tahoma" w:cs="Tahoma"/>
                <w:sz w:val="19"/>
                <w:szCs w:val="19"/>
                <w:rtl/>
              </w:rPr>
            </w:pPr>
            <w:r w:rsidRPr="008849E2">
              <w:rPr>
                <w:rFonts w:ascii="Tahoma" w:eastAsia="Calibri" w:hAnsi="Tahoma" w:cs="Tahoma"/>
                <w:sz w:val="19"/>
                <w:szCs w:val="19"/>
                <w:rtl/>
              </w:rPr>
              <w:t xml:space="preserve">מספר הקנסות שהוטלו בשנת 2024 בגין צריכת זנות במחוזות דרום, צפון וירושלים, אף שבידי המשטרה מצוי מידע על כתובות החשודות כזירות זנות בתחום שיפוטם </w:t>
            </w:r>
          </w:p>
          <w:p w:rsidR="002C13AA" w:rsidRPr="008849E2" w:rsidP="008849E2">
            <w:pPr>
              <w:spacing w:line="240" w:lineRule="auto"/>
              <w:rPr>
                <w:rFonts w:ascii="Tahoma" w:eastAsia="Calibri" w:hAnsi="Tahoma" w:cs="Tahoma"/>
                <w:sz w:val="19"/>
                <w:szCs w:val="19"/>
              </w:rPr>
            </w:pPr>
          </w:p>
        </w:tc>
        <w:tc>
          <w:tcPr>
            <w:tcW w:w="284" w:type="dxa"/>
          </w:tcPr>
          <w:p w:rsidR="008849E2" w:rsidRPr="008849E2" w:rsidP="008849E2">
            <w:pPr>
              <w:spacing w:line="240" w:lineRule="auto"/>
              <w:rPr>
                <w:rFonts w:ascii="Tahoma" w:eastAsia="Calibri" w:hAnsi="Tahoma" w:cs="Tahoma"/>
                <w:sz w:val="19"/>
                <w:szCs w:val="19"/>
                <w:rtl/>
              </w:rPr>
            </w:pPr>
          </w:p>
        </w:tc>
        <w:tc>
          <w:tcPr>
            <w:tcW w:w="2553" w:type="dxa"/>
          </w:tcPr>
          <w:p w:rsidR="008849E2" w:rsidP="008849E2">
            <w:pPr>
              <w:spacing w:line="240" w:lineRule="auto"/>
              <w:rPr>
                <w:rFonts w:ascii="Tahoma" w:eastAsia="Calibri" w:hAnsi="Tahoma" w:cs="Tahoma"/>
                <w:sz w:val="19"/>
                <w:szCs w:val="19"/>
                <w:rtl/>
              </w:rPr>
            </w:pPr>
            <w:r w:rsidRPr="008849E2">
              <w:rPr>
                <w:rFonts w:ascii="Tahoma" w:eastAsia="Calibri" w:hAnsi="Tahoma" w:cs="Tahoma"/>
                <w:sz w:val="19"/>
                <w:szCs w:val="19"/>
                <w:rtl/>
              </w:rPr>
              <w:t>שיעור הנקנסים מכוח חוק איסור צריכת זנות אשר השלימו את השתתפותם בהליך השיקומי-חינוכי החלופי לקנס בשנים 2022 - 2025</w:t>
            </w:r>
          </w:p>
          <w:p w:rsidR="00D871D5" w:rsidRPr="008849E2" w:rsidP="008849E2">
            <w:pPr>
              <w:spacing w:line="240" w:lineRule="auto"/>
              <w:rPr>
                <w:rFonts w:ascii="Tahoma" w:eastAsia="Calibri" w:hAnsi="Tahoma" w:cs="Tahoma"/>
                <w:sz w:val="19"/>
                <w:szCs w:val="19"/>
                <w:rtl/>
              </w:rPr>
            </w:pPr>
          </w:p>
        </w:tc>
        <w:tc>
          <w:tcPr>
            <w:tcW w:w="279" w:type="dxa"/>
          </w:tcPr>
          <w:p w:rsidR="008849E2" w:rsidRPr="008849E2" w:rsidP="008849E2">
            <w:pPr>
              <w:spacing w:line="240" w:lineRule="auto"/>
              <w:rPr>
                <w:rFonts w:ascii="Tahoma" w:eastAsia="Calibri" w:hAnsi="Tahoma" w:cs="Tahoma"/>
                <w:sz w:val="19"/>
                <w:szCs w:val="19"/>
                <w:rtl/>
              </w:rPr>
            </w:pPr>
          </w:p>
        </w:tc>
        <w:tc>
          <w:tcPr>
            <w:tcW w:w="2554" w:type="dxa"/>
          </w:tcPr>
          <w:p w:rsidR="008849E2" w:rsidRPr="008849E2" w:rsidP="008849E2">
            <w:pPr>
              <w:spacing w:line="240" w:lineRule="auto"/>
              <w:ind w:right="23"/>
              <w:rPr>
                <w:rFonts w:ascii="Tahoma" w:eastAsia="Calibri" w:hAnsi="Tahoma" w:cs="Tahoma"/>
                <w:sz w:val="19"/>
                <w:szCs w:val="19"/>
                <w:rtl/>
              </w:rPr>
            </w:pPr>
            <w:r w:rsidRPr="008849E2">
              <w:rPr>
                <w:rFonts w:ascii="Tahoma" w:eastAsia="Calibri" w:hAnsi="Tahoma" w:cs="Tahoma"/>
                <w:sz w:val="19"/>
                <w:szCs w:val="19"/>
                <w:rtl/>
              </w:rPr>
              <w:t>כתובות היו חשודות כזירות זנות בשנת 2024, מתוכן מאות ברמת מהימנות גבוהה או בינונית</w:t>
            </w:r>
            <w:r w:rsidRPr="008849E2">
              <w:rPr>
                <w:rFonts w:ascii="Tahoma" w:eastAsia="Calibri" w:hAnsi="Tahoma" w:cs="Tahoma"/>
                <w:sz w:val="19"/>
                <w:szCs w:val="19"/>
                <w:rtl/>
              </w:rPr>
              <w:t xml:space="preserve"> </w:t>
            </w:r>
          </w:p>
        </w:tc>
      </w:tr>
      <w:tr w:rsidTr="00D871D5">
        <w:tblPrEx>
          <w:tblW w:w="8080" w:type="dxa"/>
          <w:tblLook w:val="04A0"/>
        </w:tblPrEx>
        <w:trPr>
          <w:trHeight w:val="227"/>
        </w:trPr>
        <w:tc>
          <w:tcPr>
            <w:tcW w:w="2410" w:type="dxa"/>
            <w:tcBorders>
              <w:bottom w:val="single" w:sz="12" w:space="0" w:color="auto"/>
            </w:tcBorders>
            <w:vAlign w:val="center"/>
          </w:tcPr>
          <w:p w:rsidR="008849E2" w:rsidRPr="008849E2" w:rsidP="008849E2">
            <w:pPr>
              <w:spacing w:after="60" w:line="240" w:lineRule="auto"/>
              <w:rPr>
                <w:rFonts w:ascii="Tahoma" w:eastAsia="Calibri" w:hAnsi="Tahoma" w:cs="Tahoma"/>
                <w:spacing w:val="-10"/>
                <w:sz w:val="36"/>
                <w:szCs w:val="36"/>
              </w:rPr>
            </w:pPr>
            <w:r w:rsidRPr="008849E2">
              <w:rPr>
                <w:rFonts w:ascii="Tahoma" w:eastAsia="Calibri" w:hAnsi="Tahoma" w:cs="Tahoma"/>
                <w:spacing w:val="-10"/>
                <w:sz w:val="26"/>
                <w:szCs w:val="26"/>
                <w:rtl/>
              </w:rPr>
              <w:t>כ-</w:t>
            </w:r>
            <w:r w:rsidRPr="008849E2">
              <w:rPr>
                <w:rFonts w:ascii="Tahoma" w:eastAsia="Calibri" w:hAnsi="Tahoma" w:cs="Tahoma"/>
                <w:spacing w:val="-10"/>
                <w:sz w:val="36"/>
                <w:szCs w:val="36"/>
                <w:rtl/>
              </w:rPr>
              <w:t>40%</w:t>
            </w:r>
          </w:p>
        </w:tc>
        <w:tc>
          <w:tcPr>
            <w:tcW w:w="284" w:type="dxa"/>
          </w:tcPr>
          <w:p w:rsidR="008849E2" w:rsidRPr="008849E2" w:rsidP="008849E2">
            <w:pPr>
              <w:spacing w:line="240" w:lineRule="auto"/>
              <w:rPr>
                <w:rFonts w:ascii="Tahoma" w:eastAsia="Calibri" w:hAnsi="Tahoma" w:cs="Tahoma"/>
                <w:spacing w:val="-10"/>
              </w:rPr>
            </w:pPr>
          </w:p>
        </w:tc>
        <w:tc>
          <w:tcPr>
            <w:tcW w:w="2553" w:type="dxa"/>
            <w:tcBorders>
              <w:bottom w:val="single" w:sz="12" w:space="0" w:color="auto"/>
            </w:tcBorders>
            <w:vAlign w:val="center"/>
          </w:tcPr>
          <w:p w:rsidR="008849E2" w:rsidRPr="008849E2" w:rsidP="008849E2">
            <w:pPr>
              <w:spacing w:after="60" w:line="240" w:lineRule="auto"/>
              <w:rPr>
                <w:rFonts w:ascii="Tahoma" w:eastAsia="Calibri" w:hAnsi="Tahoma" w:cs="Tahoma"/>
                <w:spacing w:val="-10"/>
                <w:sz w:val="36"/>
                <w:szCs w:val="36"/>
              </w:rPr>
            </w:pPr>
            <w:r w:rsidRPr="008849E2">
              <w:rPr>
                <w:rFonts w:ascii="Tahoma" w:eastAsia="Calibri" w:hAnsi="Tahoma" w:cs="Tahoma"/>
                <w:spacing w:val="-10"/>
                <w:sz w:val="26"/>
                <w:szCs w:val="26"/>
                <w:rtl/>
              </w:rPr>
              <w:t>רק</w:t>
            </w:r>
            <w:r w:rsidRPr="008849E2">
              <w:rPr>
                <w:rFonts w:ascii="Tahoma" w:eastAsia="Calibri" w:hAnsi="Tahoma" w:cs="Tahoma"/>
                <w:spacing w:val="-10"/>
                <w:sz w:val="36"/>
                <w:szCs w:val="36"/>
                <w:rtl/>
              </w:rPr>
              <w:t xml:space="preserve"> 13 </w:t>
            </w:r>
          </w:p>
        </w:tc>
        <w:tc>
          <w:tcPr>
            <w:tcW w:w="279" w:type="dxa"/>
          </w:tcPr>
          <w:p w:rsidR="008849E2" w:rsidRPr="008849E2" w:rsidP="008849E2">
            <w:pPr>
              <w:spacing w:line="240" w:lineRule="auto"/>
              <w:rPr>
                <w:rFonts w:ascii="Tahoma" w:eastAsia="Calibri" w:hAnsi="Tahoma" w:cs="Tahoma"/>
                <w:spacing w:val="-10"/>
              </w:rPr>
            </w:pPr>
          </w:p>
        </w:tc>
        <w:tc>
          <w:tcPr>
            <w:tcW w:w="2554" w:type="dxa"/>
            <w:tcBorders>
              <w:bottom w:val="single" w:sz="12" w:space="0" w:color="auto"/>
            </w:tcBorders>
          </w:tcPr>
          <w:p w:rsidR="008849E2" w:rsidRPr="008849E2" w:rsidP="00D871D5">
            <w:pPr>
              <w:spacing w:after="60" w:line="240" w:lineRule="auto"/>
              <w:rPr>
                <w:rFonts w:ascii="Tahoma" w:eastAsia="Calibri" w:hAnsi="Tahoma" w:cs="Tahoma"/>
                <w:spacing w:val="-10"/>
                <w:sz w:val="36"/>
                <w:szCs w:val="36"/>
              </w:rPr>
            </w:pPr>
            <w:r w:rsidRPr="008849E2">
              <w:rPr>
                <w:rFonts w:ascii="Tahoma" w:eastAsia="Calibri" w:hAnsi="Tahoma" w:cs="Tahoma"/>
                <w:spacing w:val="-10"/>
                <w:sz w:val="36"/>
                <w:szCs w:val="36"/>
                <w:rtl/>
              </w:rPr>
              <w:t xml:space="preserve">95 </w:t>
            </w:r>
            <w:r w:rsidRPr="008849E2">
              <w:rPr>
                <w:rFonts w:ascii="Tahoma" w:eastAsia="Calibri" w:hAnsi="Tahoma" w:cs="Tahoma"/>
                <w:spacing w:val="-10"/>
                <w:sz w:val="26"/>
                <w:szCs w:val="26"/>
                <w:rtl/>
              </w:rPr>
              <w:t>בלבד</w:t>
            </w:r>
          </w:p>
        </w:tc>
      </w:tr>
      <w:tr w:rsidTr="00D871D5">
        <w:tblPrEx>
          <w:tblW w:w="8080" w:type="dxa"/>
          <w:tblLook w:val="04A0"/>
        </w:tblPrEx>
        <w:trPr>
          <w:trHeight w:val="1153"/>
        </w:trPr>
        <w:tc>
          <w:tcPr>
            <w:tcW w:w="2410" w:type="dxa"/>
          </w:tcPr>
          <w:p w:rsidR="008849E2" w:rsidRPr="008849E2" w:rsidP="008849E2">
            <w:pPr>
              <w:spacing w:line="240" w:lineRule="auto"/>
              <w:rPr>
                <w:rFonts w:ascii="Tahoma" w:eastAsia="Calibri" w:hAnsi="Tahoma" w:cs="Tahoma"/>
                <w:sz w:val="19"/>
                <w:szCs w:val="19"/>
              </w:rPr>
            </w:pPr>
            <w:r w:rsidRPr="008849E2">
              <w:rPr>
                <w:rFonts w:ascii="Tahoma" w:eastAsia="Calibri" w:hAnsi="Tahoma" w:cs="Tahoma"/>
                <w:sz w:val="19"/>
                <w:szCs w:val="19"/>
                <w:rtl/>
              </w:rPr>
              <w:t>מהכתובות החשודות כזירות זנות בשנת 2024 היו במחוז תל אביב</w:t>
            </w:r>
          </w:p>
        </w:tc>
        <w:tc>
          <w:tcPr>
            <w:tcW w:w="284" w:type="dxa"/>
          </w:tcPr>
          <w:p w:rsidR="008849E2" w:rsidRPr="008849E2" w:rsidP="008849E2">
            <w:pPr>
              <w:spacing w:line="240" w:lineRule="auto"/>
              <w:rPr>
                <w:rFonts w:ascii="Tahoma" w:eastAsia="Calibri" w:hAnsi="Tahoma" w:cs="Tahoma"/>
                <w:sz w:val="19"/>
                <w:szCs w:val="19"/>
                <w:rtl/>
              </w:rPr>
            </w:pPr>
          </w:p>
        </w:tc>
        <w:tc>
          <w:tcPr>
            <w:tcW w:w="2553" w:type="dxa"/>
          </w:tcPr>
          <w:p w:rsidR="008849E2" w:rsidRPr="008849E2" w:rsidP="008849E2">
            <w:pPr>
              <w:spacing w:line="240" w:lineRule="auto"/>
              <w:rPr>
                <w:rFonts w:ascii="Tahoma" w:eastAsia="Calibri" w:hAnsi="Tahoma" w:cs="Tahoma"/>
                <w:sz w:val="19"/>
                <w:szCs w:val="19"/>
                <w:rtl/>
              </w:rPr>
            </w:pPr>
            <w:r w:rsidRPr="008849E2">
              <w:rPr>
                <w:rFonts w:ascii="Tahoma" w:eastAsia="Calibri" w:hAnsi="Tahoma" w:cs="Tahoma"/>
                <w:sz w:val="19"/>
                <w:szCs w:val="19"/>
                <w:rtl/>
              </w:rPr>
              <w:t>בתי בושת נסגרו בשנת 2024 אף שבידי המשטרה מידע על מאות כתובות החשודות כזירות זנות; בסך הכול נסגרו 60 בתי בושת בארבע שנים (2022 - 2025)</w:t>
            </w:r>
          </w:p>
        </w:tc>
        <w:tc>
          <w:tcPr>
            <w:tcW w:w="279" w:type="dxa"/>
          </w:tcPr>
          <w:p w:rsidR="008849E2" w:rsidRPr="008849E2" w:rsidP="008849E2">
            <w:pPr>
              <w:spacing w:line="240" w:lineRule="auto"/>
              <w:rPr>
                <w:rFonts w:ascii="Tahoma" w:eastAsia="Calibri" w:hAnsi="Tahoma" w:cs="Tahoma"/>
                <w:sz w:val="19"/>
                <w:szCs w:val="19"/>
                <w:rtl/>
              </w:rPr>
            </w:pPr>
          </w:p>
        </w:tc>
        <w:tc>
          <w:tcPr>
            <w:tcW w:w="2554" w:type="dxa"/>
          </w:tcPr>
          <w:p w:rsidR="008849E2" w:rsidRPr="008849E2" w:rsidP="008849E2">
            <w:pPr>
              <w:spacing w:line="240" w:lineRule="auto"/>
              <w:ind w:right="23"/>
              <w:rPr>
                <w:rFonts w:ascii="Tahoma" w:eastAsia="Calibri" w:hAnsi="Tahoma" w:cs="Tahoma"/>
                <w:sz w:val="19"/>
                <w:szCs w:val="19"/>
                <w:rtl/>
              </w:rPr>
            </w:pPr>
            <w:r w:rsidRPr="008849E2">
              <w:rPr>
                <w:rFonts w:ascii="Tahoma" w:eastAsia="Calibri" w:hAnsi="Tahoma" w:cs="Tahoma"/>
                <w:sz w:val="19"/>
                <w:szCs w:val="19"/>
                <w:rtl/>
              </w:rPr>
              <w:t xml:space="preserve">מספר צווי הסגירה של אתרי אינטרנט שהוצאו מאז חקיקת החוק למניעת עבירות באמצעות אתר אינטרנט בשנת 2017 </w:t>
            </w:r>
          </w:p>
          <w:p w:rsidR="008849E2" w:rsidRPr="008849E2" w:rsidP="008849E2">
            <w:pPr>
              <w:spacing w:line="240" w:lineRule="auto"/>
              <w:ind w:right="23"/>
              <w:rPr>
                <w:rFonts w:ascii="Tahoma" w:eastAsia="Calibri" w:hAnsi="Tahoma" w:cs="Tahoma"/>
                <w:sz w:val="19"/>
                <w:szCs w:val="19"/>
                <w:rtl/>
              </w:rPr>
            </w:pPr>
          </w:p>
        </w:tc>
      </w:tr>
    </w:tbl>
    <w:p w:rsidR="008849E2" w:rsidRPr="008849E2" w:rsidP="008849E2">
      <w:pPr>
        <w:spacing w:line="288" w:lineRule="auto"/>
        <w:rPr>
          <w:rFonts w:ascii="Tahoma" w:eastAsia="Calibri" w:hAnsi="Tahoma" w:cs="Tahoma"/>
          <w:sz w:val="19"/>
          <w:szCs w:val="19"/>
          <w:rtl/>
        </w:rPr>
      </w:pPr>
    </w:p>
    <w:p w:rsidR="008849E2" w:rsidRPr="008849E2" w:rsidP="008849E2">
      <w:pPr>
        <w:bidi w:val="0"/>
        <w:spacing w:after="160" w:line="259" w:lineRule="auto"/>
        <w:jc w:val="left"/>
        <w:rPr>
          <w:rFonts w:ascii="Tahoma" w:eastAsia="Calibri" w:hAnsi="Tahoma" w:cs="Tahoma"/>
          <w:sz w:val="2"/>
          <w:szCs w:val="2"/>
        </w:rPr>
      </w:pPr>
    </w:p>
    <w:tbl>
      <w:tblPr>
        <w:tblStyle w:val="26"/>
        <w:tblpPr w:leftFromText="180" w:rightFromText="180" w:vertAnchor="text" w:tblpXSpec="center" w:tblpY="1"/>
        <w:tblOverlap w:val="never"/>
        <w:bidiVisual/>
        <w:tblW w:w="9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4"/>
        <w:gridCol w:w="8642"/>
        <w:gridCol w:w="12"/>
      </w:tblGrid>
      <w:tr w:rsidTr="008849E2">
        <w:tblPrEx>
          <w:tblW w:w="9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5"/>
        </w:trPr>
        <w:tc>
          <w:tcPr>
            <w:tcW w:w="9618" w:type="dxa"/>
            <w:gridSpan w:val="3"/>
            <w:vAlign w:val="center"/>
          </w:tcPr>
          <w:p w:rsidR="008849E2" w:rsidRPr="008849E2" w:rsidP="008849E2">
            <w:pPr>
              <w:spacing w:line="288" w:lineRule="auto"/>
              <w:rPr>
                <w:rFonts w:ascii="Tahoma" w:eastAsia="Calibri" w:hAnsi="Tahoma" w:cs="Tahoma"/>
                <w:sz w:val="17"/>
                <w:szCs w:val="17"/>
                <w:rtl/>
              </w:rPr>
            </w:pPr>
            <w:r w:rsidRPr="008849E2">
              <w:rPr>
                <w:rFonts w:ascii="Tahoma" w:eastAsia="Calibri" w:hAnsi="Tahoma" w:cs="Tahoma"/>
                <w:noProof/>
              </w:rPr>
              <w:drawing>
                <wp:inline distT="0" distB="0" distL="0" distR="0">
                  <wp:extent cx="5969635" cy="498472"/>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קציר תמונה 3.3.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3954" cy="502173"/>
                          </a:xfrm>
                          <a:prstGeom prst="rect">
                            <a:avLst/>
                          </a:prstGeom>
                        </pic:spPr>
                      </pic:pic>
                    </a:graphicData>
                  </a:graphic>
                </wp:inline>
              </w:drawing>
            </w:r>
          </w:p>
        </w:tc>
      </w:tr>
      <w:tr w:rsidTr="008849E2">
        <w:tblPrEx>
          <w:tblW w:w="9618" w:type="dxa"/>
          <w:tblLook w:val="04A0"/>
        </w:tblPrEx>
        <w:trPr>
          <w:gridAfter w:val="1"/>
          <w:wAfter w:w="12" w:type="dxa"/>
          <w:trHeight w:val="1019"/>
        </w:trPr>
        <w:tc>
          <w:tcPr>
            <w:tcW w:w="964" w:type="dxa"/>
          </w:tcPr>
          <w:p w:rsidR="008849E2" w:rsidRPr="008849E2" w:rsidP="008849E2">
            <w:pPr>
              <w:spacing w:line="288" w:lineRule="auto"/>
              <w:jc w:val="center"/>
              <w:rPr>
                <w:rFonts w:ascii="Tahoma" w:eastAsia="Calibri" w:hAnsi="Tahoma" w:cs="Tahoma"/>
                <w:sz w:val="17"/>
                <w:szCs w:val="17"/>
                <w:rtl/>
              </w:rPr>
            </w:pPr>
            <w:r w:rsidRPr="008849E2">
              <w:rPr>
                <w:rFonts w:ascii="Tahoma" w:eastAsia="Calibri" w:hAnsi="Tahoma" w:cs="Tahoma"/>
                <w:noProof/>
              </w:rPr>
              <w:drawing>
                <wp:anchor distT="0" distB="0" distL="114300" distR="114300" simplePos="0" relativeHeight="251659264" behindDoc="1" locked="0" layoutInCell="1" allowOverlap="1">
                  <wp:simplePos x="0" y="0"/>
                  <wp:positionH relativeFrom="rightMargin">
                    <wp:posOffset>-464982</wp:posOffset>
                  </wp:positionH>
                  <wp:positionV relativeFrom="paragraph">
                    <wp:posOffset>63500</wp:posOffset>
                  </wp:positionV>
                  <wp:extent cx="445135" cy="445135"/>
                  <wp:effectExtent l="0" t="0" r="0" b="0"/>
                  <wp:wrapSquare wrapText="bothSides"/>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6"/>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49E2">
              <w:rPr>
                <w:rFonts w:ascii="Tahoma" w:eastAsia="Calibri" w:hAnsi="Tahoma" w:cs="Tahoma"/>
                <w:noProof/>
              </w:rPr>
              <w:drawing>
                <wp:anchor distT="0" distB="0" distL="114300" distR="114300" simplePos="0" relativeHeight="251658240"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6"/>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642" w:type="dxa"/>
            <w:vAlign w:val="center"/>
          </w:tcPr>
          <w:p w:rsidR="008849E2" w:rsidRPr="008849E2" w:rsidP="008849E2">
            <w:pPr>
              <w:spacing w:after="120" w:line="288" w:lineRule="auto"/>
              <w:jc w:val="both"/>
              <w:rPr>
                <w:rFonts w:ascii="Tahoma" w:eastAsia="Calibri" w:hAnsi="Tahoma" w:cs="Tahoma"/>
                <w:sz w:val="19"/>
                <w:szCs w:val="19"/>
                <w:rtl/>
              </w:rPr>
            </w:pPr>
            <w:r w:rsidRPr="008849E2">
              <w:rPr>
                <w:rFonts w:ascii="Tahoma" w:eastAsia="Calibri" w:hAnsi="Tahoma" w:cs="Tahoma"/>
                <w:sz w:val="19"/>
                <w:szCs w:val="19"/>
                <w:rtl/>
              </w:rPr>
              <w:t>בחודשים דצמבר 2024 עד יולי 2025 בדק משרד מבקר המדינה היבטים בתחום המאבק בתופעת הסחר בבני אדם לצורכי מין ובתופעת הזנות. בביקורת נבחנו</w:t>
            </w:r>
            <w:r w:rsidRPr="008849E2">
              <w:rPr>
                <w:rFonts w:ascii="Tahoma" w:eastAsia="Calibri" w:hAnsi="Tahoma" w:cs="Tahoma"/>
                <w:szCs w:val="24"/>
                <w:rtl/>
              </w:rPr>
              <w:t xml:space="preserve"> </w:t>
            </w:r>
            <w:r w:rsidRPr="008849E2">
              <w:rPr>
                <w:rFonts w:ascii="Tahoma" w:eastAsia="Calibri" w:hAnsi="Tahoma" w:cs="Tahoma"/>
                <w:sz w:val="19"/>
                <w:szCs w:val="19"/>
                <w:rtl/>
              </w:rPr>
              <w:t>פעולות מערכת אכיפת החוק לצמצום תופעת הזנות</w:t>
            </w:r>
            <w:r>
              <w:rPr>
                <w:rFonts w:ascii="Tahoma" w:eastAsia="Calibri" w:hAnsi="Tahoma" w:cs="Tahoma"/>
                <w:sz w:val="19"/>
                <w:szCs w:val="19"/>
                <w:vertAlign w:val="superscript"/>
                <w:rtl/>
              </w:rPr>
              <w:footnoteReference w:id="4"/>
            </w:r>
            <w:r w:rsidRPr="008849E2">
              <w:rPr>
                <w:rFonts w:ascii="Tahoma" w:eastAsia="Calibri" w:hAnsi="Tahoma" w:cs="Tahoma"/>
                <w:sz w:val="19"/>
                <w:szCs w:val="19"/>
                <w:rtl/>
              </w:rPr>
              <w:t xml:space="preserve"> ולטיפול בעבירות סחר בבני אדם למטרות זנות; תהליך קבלת ההחלטות בנוגע לאשרות השהייה בישראל הניתנות לקורבנות סחר בבני אדם למטרות זנות על ידי רשות האוכלוסין וההגירה במשרד הפנים (רשות האוכלוסין) ושיתוף הפעולה והתיאום בין הגורמים הממשלתיים הרלוונטיים. כל זאת על רקע המגמות המשתנות הנוגעות לתופעת הזנות והסחר בבני אדם. בכך נועדה הביקורת לסייע בגיבוש צעדים מערכתיים שיבטיחו הגנה אפקטיבית על כבוד האדם ועל זכויות האדם של כלל הנפגעות והנפגעים מתופעת הסחר בבני אדם והזנות.</w:t>
            </w:r>
          </w:p>
          <w:p w:rsidR="008849E2" w:rsidRPr="008849E2" w:rsidP="008849E2">
            <w:pPr>
              <w:spacing w:line="288" w:lineRule="auto"/>
              <w:jc w:val="both"/>
              <w:rPr>
                <w:rFonts w:ascii="Tahoma" w:eastAsia="Calibri" w:hAnsi="Tahoma" w:cs="Tahoma"/>
                <w:sz w:val="19"/>
                <w:szCs w:val="19"/>
                <w:rtl/>
              </w:rPr>
            </w:pPr>
            <w:r w:rsidRPr="008849E2">
              <w:rPr>
                <w:rFonts w:ascii="Tahoma" w:eastAsia="Calibri" w:hAnsi="Tahoma" w:cs="Tahoma"/>
                <w:sz w:val="19"/>
                <w:szCs w:val="19"/>
                <w:rtl/>
              </w:rPr>
              <w:t>הביקורת בוצעה במשרד המשפטים, במשטרה וברשות האוכלוסין. בדיקות השלמה נעשו במשרד הרווחה ובמשרד הבריאות. התקיים ביקור במקלט לקורבנות סחר בבני אדם, במרפאת לוינסקי של משרד הבריאות ובנמל התעופה בן גוריון; התקיימו שיחות עם נשים שורדות זנות ועם קורבן סחר בבני אדם והתקיימו פגישות עם חוקרים במכון ברוקדייל ועם נציגים מארגוני המגזר השלישי העוסקים בתחומים אלה.</w:t>
            </w:r>
            <w:r w:rsidRPr="008849E2">
              <w:rPr>
                <w:rFonts w:ascii="Tahoma" w:eastAsia="Calibri" w:hAnsi="Tahoma" w:cs="Tahoma"/>
                <w:szCs w:val="24"/>
                <w:rtl/>
              </w:rPr>
              <w:t xml:space="preserve"> </w:t>
            </w:r>
            <w:r w:rsidRPr="008849E2">
              <w:rPr>
                <w:rFonts w:ascii="Tahoma" w:eastAsia="Calibri" w:hAnsi="Tahoma" w:cs="Tahoma"/>
                <w:sz w:val="19"/>
                <w:szCs w:val="19"/>
                <w:rtl/>
              </w:rPr>
              <w:t xml:space="preserve">לצד ביקורת זו מבצע משרד מבקר המדינה ביקורת נוספת הבוחנת היבטים אחרים הנוגעים להתמודדות הרשויות המקומיות וגופי שלטון מרכזי נוספים כמו משרד הרווחה ומשרד הבריאות עם תופעת הזנות. </w:t>
            </w:r>
          </w:p>
        </w:tc>
      </w:tr>
    </w:tbl>
    <w:p w:rsidR="008849E2" w:rsidRPr="008849E2" w:rsidP="00EF1F6D">
      <w:pPr>
        <w:spacing w:after="200" w:line="288" w:lineRule="auto"/>
        <w:ind w:left="-709" w:right="423"/>
        <w:jc w:val="center"/>
        <w:rPr>
          <w:rFonts w:ascii="Tahoma" w:eastAsia="Calibri" w:hAnsi="Tahoma" w:cs="Tahoma"/>
          <w:noProof/>
        </w:rPr>
      </w:pPr>
      <w:r w:rsidRPr="008849E2">
        <w:rPr>
          <w:rFonts w:ascii="Tahoma" w:eastAsia="Calibri" w:hAnsi="Tahoma" w:cs="Tahoma"/>
          <w:noProof/>
        </w:rPr>
        <w:drawing>
          <wp:inline distT="0" distB="0" distL="0" distR="0">
            <wp:extent cx="6047507" cy="438108"/>
            <wp:effectExtent l="0" t="0" r="0" b="635"/>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6486658" cy="469922"/>
                    </a:xfrm>
                    <a:prstGeom prst="rect">
                      <a:avLst/>
                    </a:prstGeom>
                  </pic:spPr>
                </pic:pic>
              </a:graphicData>
            </a:graphic>
          </wp:inline>
        </w:drawing>
      </w:r>
    </w:p>
    <w:p w:rsidR="008849E2" w:rsidRPr="008849E2" w:rsidP="008849E2">
      <w:pPr>
        <w:spacing w:line="288" w:lineRule="auto"/>
        <w:ind w:left="-710" w:right="-567"/>
        <w:rPr>
          <w:rFonts w:ascii="Tahoma" w:eastAsia="Calibri" w:hAnsi="Tahoma" w:cs="Tahoma"/>
          <w:noProof/>
          <w:rtl/>
        </w:rPr>
      </w:pPr>
      <w:r w:rsidRPr="008849E2">
        <w:rPr>
          <w:rFonts w:ascii="Tahoma" w:eastAsia="Calibri" w:hAnsi="Tahoma" w:cs="Tahoma"/>
          <w:sz w:val="19"/>
          <w:szCs w:val="19"/>
          <w:rtl/>
        </w:rPr>
        <w:t xml:space="preserve">בהתאם לממצאי הסקר הלאומי היחיד בנושא, שבוצע בישראל בשנת 2016, נכון לשנת 2014 היו כ-12,000 נשים וגברים במעגל הזנות (95% מהם נשים), מתוכם כ-1,300 קטינות וקטינים, וגיל הכניסה הממוצע למעגל זה היה </w:t>
      </w:r>
      <w:r w:rsidR="00401656">
        <w:rPr>
          <w:rFonts w:ascii="Tahoma" w:eastAsia="Calibri" w:hAnsi="Tahoma" w:cs="Tahoma"/>
          <w:sz w:val="19"/>
          <w:szCs w:val="19"/>
          <w:rtl/>
        </w:rPr>
        <w:br/>
      </w:r>
      <w:r w:rsidRPr="008849E2">
        <w:rPr>
          <w:rFonts w:ascii="Tahoma" w:eastAsia="Calibri" w:hAnsi="Tahoma" w:cs="Tahoma"/>
          <w:sz w:val="19"/>
          <w:szCs w:val="19"/>
          <w:rtl/>
        </w:rPr>
        <w:t>13 - 14. ההנחה של גורמים העוסקים בתחום היא כי מספרם של הקטינים שבמעגל הזנות היה גדול בהרבה כבר אז, ונכון לשנת 2025 הוא מוערך בכ-3,000 - 5,000. האומדן המצטבר של התשלומים עבור צריכת זנות בשנת 2014 היה כ-1.3 מיליארד ש"ח.</w:t>
      </w:r>
      <w:r w:rsidRPr="008849E2">
        <w:rPr>
          <w:rFonts w:ascii="Tahoma" w:eastAsia="Calibri" w:hAnsi="Tahoma" w:cs="Tahoma"/>
          <w:noProof/>
          <w:rtl/>
        </w:rPr>
        <w:t xml:space="preserve"> </w:t>
      </w:r>
      <w:r w:rsidRPr="008849E2">
        <w:rPr>
          <w:rFonts w:ascii="Tahoma" w:eastAsia="Calibri" w:hAnsi="Tahoma" w:cs="Tahoma"/>
          <w:sz w:val="19"/>
          <w:szCs w:val="19"/>
          <w:rtl/>
        </w:rPr>
        <w:t>בשנת 2020 נכנס לתוקפו חוק איסור צריכת זנות כהוראת שעה לתקופה של חמש שנים, ובשנת 2025 הוארך תוקפה של הוראת השעה בחמש שנים.</w:t>
      </w:r>
      <w:r w:rsidRPr="008849E2">
        <w:rPr>
          <w:rFonts w:ascii="Tahoma" w:eastAsia="Calibri" w:hAnsi="Tahoma" w:cs="Tahoma"/>
          <w:noProof/>
          <w:rtl/>
        </w:rPr>
        <w:t xml:space="preserve"> </w:t>
      </w:r>
      <w:r w:rsidRPr="008849E2">
        <w:rPr>
          <w:rFonts w:ascii="Tahoma" w:eastAsia="Calibri" w:hAnsi="Tahoma" w:cs="Tahoma"/>
          <w:sz w:val="19"/>
          <w:szCs w:val="19"/>
          <w:rtl/>
        </w:rPr>
        <w:t>ככלל, פעולות האכיפה מכוח החוק באות לידי ביטוי בהטלת קנסות על צרכני הזנות. החוק האמריקאי להגנה על קורבנות סחר בבני אדם משנת 2000 הסדיר מנגנון דיווח שנתי של מדינות העולם על כלל הפעולות בהיבטי הגנה, אכיפה ומניעה בקשר לסחר בבני אדם.</w:t>
      </w:r>
      <w:r w:rsidRPr="008849E2">
        <w:rPr>
          <w:rFonts w:ascii="Tahoma" w:eastAsia="Calibri" w:hAnsi="Tahoma" w:cs="Tahoma"/>
          <w:noProof/>
          <w:rtl/>
        </w:rPr>
        <w:t xml:space="preserve"> </w:t>
      </w:r>
      <w:r w:rsidRPr="008849E2">
        <w:rPr>
          <w:rFonts w:ascii="Tahoma" w:eastAsia="Calibri" w:hAnsi="Tahoma" w:cs="Tahoma"/>
          <w:sz w:val="19"/>
          <w:szCs w:val="19"/>
          <w:rtl/>
        </w:rPr>
        <w:t>החל משנת 2020 ועד היום ישראל מדורגת בדוחות מחלקת המדינה האמריקאית בדירוג הביניים, והדבר מציב אותה בסיכון לירידה לתחתית הדירוג, המלווה בסנקציות נרחבות.</w:t>
      </w:r>
    </w:p>
    <w:p w:rsidR="008849E2" w:rsidRPr="008849E2" w:rsidP="00D871D5">
      <w:pPr>
        <w:spacing w:before="240" w:after="160" w:line="288" w:lineRule="auto"/>
        <w:ind w:left="-709" w:right="-567"/>
        <w:rPr>
          <w:rFonts w:ascii="Tahoma" w:eastAsia="Calibri" w:hAnsi="Tahoma" w:cs="Tahoma"/>
          <w:rtl/>
        </w:rPr>
      </w:pPr>
      <w:r w:rsidRPr="008849E2">
        <w:rPr>
          <w:rFonts w:ascii="Tahoma" w:eastAsia="Calibri" w:hAnsi="Tahoma" w:cs="Tahoma"/>
          <w:noProof/>
          <w:rtl/>
        </w:rPr>
        <w:drawing>
          <wp:inline distT="0" distB="0" distL="0" distR="0">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11" name="DISLIK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8849E2" w:rsidRPr="008849E2" w:rsidP="008849E2">
      <w:pPr>
        <w:numPr>
          <w:ilvl w:val="0"/>
          <w:numId w:val="12"/>
        </w:numPr>
        <w:spacing w:after="240" w:line="288" w:lineRule="auto"/>
        <w:ind w:left="-143" w:right="-567" w:hanging="595"/>
        <w:rPr>
          <w:rFonts w:ascii="Tahoma" w:eastAsia="Calibri" w:hAnsi="Tahoma" w:cs="Tahoma"/>
          <w:sz w:val="19"/>
          <w:szCs w:val="19"/>
          <w:rtl/>
        </w:rPr>
      </w:pPr>
      <w:r w:rsidRPr="008849E2">
        <w:rPr>
          <w:rFonts w:ascii="Tahoma" w:eastAsia="Calibri" w:hAnsi="Tahoma" w:cs="Tahoma"/>
          <w:b/>
          <w:bCs/>
          <w:sz w:val="19"/>
          <w:szCs w:val="19"/>
          <w:rtl/>
        </w:rPr>
        <w:t xml:space="preserve">אכיפת חוק איסור צריכת זנות </w:t>
      </w:r>
      <w:r w:rsidRPr="008849E2">
        <w:rPr>
          <w:rFonts w:ascii="Tahoma" w:eastAsia="Calibri" w:hAnsi="Tahoma" w:cs="Tahoma"/>
          <w:sz w:val="19"/>
          <w:szCs w:val="19"/>
          <w:rtl/>
        </w:rPr>
        <w:t>- בשנים 2022 עד 2023 חלה ירידה חדה בשיעור של כ-70% במספר הקנסות שהטילה המשטרה בגין צריכת זנות (מ-3,004 ל-902). מגמת הירידה במספר הקנסות נמשכה, ובשנים 2023 עד 2024 חלה במספרם ירידה נוספת בשיעור של כ-58% (מ-902 ל-378). אומנם בשנת 2025 חל גידול ניכר במספר הקנסות והוא הסתכם ב-1,061, אך מספר זה עדיין קטן בהרבה ממספר הקנסות שהוטלו בשנת 2022, כשנה לאחר חקיקת החוק (ירידה של כ-65%). לא זו אף זו, בשנים 2021 - 2025 פעילות האכיפה המינהלית של ארבעה מתוך שבעה מחוזות במשטרה הייתה אפסית ולכל היותר דלה מאוד (מספר הקנסות שהוטלו בהם היה מזערי), ובפועל כ-99% מכלל הקנסות שהטילה המשטרה בשנים אלה הוטלו על ידי שלושה מחוזות בלבד:</w:t>
      </w:r>
      <w:r w:rsidRPr="008849E2">
        <w:rPr>
          <w:rFonts w:ascii="Tahoma" w:eastAsia="Calibri" w:hAnsi="Tahoma" w:cs="Tahoma"/>
          <w:sz w:val="19"/>
          <w:szCs w:val="19"/>
        </w:rPr>
        <w:t xml:space="preserve"> </w:t>
      </w:r>
      <w:r w:rsidRPr="008849E2">
        <w:rPr>
          <w:rFonts w:ascii="Tahoma" w:eastAsia="Calibri" w:hAnsi="Tahoma" w:cs="Tahoma"/>
          <w:sz w:val="19"/>
          <w:szCs w:val="19"/>
          <w:rtl/>
        </w:rPr>
        <w:t>מחוזות תל אביב, מרכז וחוף. יתירה מזאת, האכיפה בוצעה באופן כמעט בלעדי על ידי שלוש תחנות משטרה בלבד (זבולון, ראשון לציון ושרת) מתוך מאות תחנות. נתונים אלו מעידים על היעדר עיסוק או עיסוק אפסי של רוב תחנות המשטרה בנושא. זאת אף שנוהל האכיפה המשטרתי הייעודי בנושא מיועד ליישום אחיד שאינו תלוי ביוזמה של תחנה בודדת. בנסיבות אלה עלולה אף לעלות טענה לאכיפה בררנית. יצוין כי בשנים 2022 - 2024 סכום הקנסות שהוטל הסתכם ב-8.05 מיליון ש"ח, מתוכו נגבו 4.4 מיליון ש"ח (55%).</w:t>
      </w:r>
    </w:p>
    <w:p w:rsidR="008849E2" w:rsidRPr="008849E2" w:rsidP="008849E2">
      <w:pPr>
        <w:numPr>
          <w:ilvl w:val="0"/>
          <w:numId w:val="12"/>
        </w:numPr>
        <w:spacing w:after="240" w:line="288" w:lineRule="auto"/>
        <w:ind w:left="-143" w:right="-567" w:hanging="595"/>
        <w:rPr>
          <w:rFonts w:ascii="Tahoma" w:eastAsia="Calibri" w:hAnsi="Tahoma" w:cs="Tahoma"/>
          <w:sz w:val="19"/>
          <w:szCs w:val="19"/>
        </w:rPr>
      </w:pPr>
      <w:r w:rsidRPr="008849E2">
        <w:rPr>
          <w:rFonts w:ascii="Tahoma" w:eastAsia="Calibri" w:hAnsi="Tahoma" w:cs="Tahoma"/>
          <w:b/>
          <w:bCs/>
          <w:sz w:val="19"/>
          <w:szCs w:val="19"/>
          <w:rtl/>
        </w:rPr>
        <w:t>הליך שיקומי-חינוכי כחלופה לקנס</w:t>
      </w:r>
      <w:r w:rsidRPr="008849E2">
        <w:rPr>
          <w:rFonts w:ascii="Tahoma" w:eastAsia="Calibri" w:hAnsi="Tahoma" w:cs="Tahoma"/>
          <w:sz w:val="19"/>
          <w:szCs w:val="19"/>
          <w:rtl/>
        </w:rPr>
        <w:t xml:space="preserve"> - שיעור הנקנסים על פי חוק איסור צריכת זנות אשר השלימו את השתתפותם בהליך השיקומי-חינוכי החלופי לקנס בשנים 2022 - 2025 הסתכם ב-111 אנשים - 2% בלבד מכלל הנקנסים (5,345 קנסות)</w:t>
      </w:r>
      <w:r>
        <w:rPr>
          <w:rFonts w:ascii="Tahoma" w:eastAsia="Calibri" w:hAnsi="Tahoma" w:cs="Tahoma"/>
          <w:sz w:val="19"/>
          <w:szCs w:val="19"/>
          <w:vertAlign w:val="superscript"/>
          <w:rtl/>
        </w:rPr>
        <w:footnoteReference w:id="5"/>
      </w:r>
      <w:r w:rsidRPr="008849E2">
        <w:rPr>
          <w:rFonts w:ascii="Tahoma" w:eastAsia="Calibri" w:hAnsi="Tahoma" w:cs="Tahoma"/>
          <w:sz w:val="19"/>
          <w:szCs w:val="19"/>
          <w:rtl/>
        </w:rPr>
        <w:t>. תכליתה המרכזית של חלופה זו היא להקנות ידע ולהגביר את המודעות לנזקים הנגרמים לאוכלוסיות בזנות, ובכך למנוע את הישנות ביצוע העבירה בעתיד.</w:t>
      </w:r>
      <w:r w:rsidRPr="008849E2">
        <w:rPr>
          <w:rFonts w:ascii="Tahoma" w:eastAsia="Calibri" w:hAnsi="Tahoma" w:cs="Tahoma"/>
          <w:rtl/>
        </w:rPr>
        <w:t xml:space="preserve"> </w:t>
      </w:r>
      <w:r w:rsidRPr="008849E2">
        <w:rPr>
          <w:rFonts w:ascii="Tahoma" w:eastAsia="Calibri" w:hAnsi="Tahoma" w:cs="Tahoma"/>
          <w:sz w:val="19"/>
          <w:szCs w:val="19"/>
          <w:rtl/>
        </w:rPr>
        <w:t xml:space="preserve">ואכן עלה כי המשתתפים בסדנה במסגרת ההליך החלופי גילו רצון רב יותר להפסיק את צריכת הזנות. מכאן ששיעור נמוך של השתתפות בהליך השיקומי-חינוכי פוגע בהשגת תכלית החוק. </w:t>
      </w:r>
    </w:p>
    <w:p w:rsidR="008849E2" w:rsidRPr="008849E2" w:rsidP="006827DD">
      <w:pPr>
        <w:numPr>
          <w:ilvl w:val="0"/>
          <w:numId w:val="12"/>
        </w:numPr>
        <w:spacing w:after="120" w:line="288" w:lineRule="auto"/>
        <w:ind w:left="-142" w:right="-567" w:hanging="595"/>
        <w:rPr>
          <w:rFonts w:ascii="Tahoma" w:eastAsia="Calibri" w:hAnsi="Tahoma" w:cs="Tahoma"/>
          <w:sz w:val="19"/>
          <w:szCs w:val="19"/>
        </w:rPr>
      </w:pPr>
      <w:r w:rsidRPr="008849E2">
        <w:rPr>
          <w:rFonts w:ascii="Tahoma" w:eastAsia="Calibri" w:hAnsi="Tahoma" w:cs="Tahoma"/>
          <w:b/>
          <w:bCs/>
          <w:sz w:val="19"/>
          <w:szCs w:val="19"/>
          <w:rtl/>
        </w:rPr>
        <w:t>שימוש במידע משטרתי ומידע ממקורות חיצוניים למשטרה לצורך שיפור האכיפה</w:t>
      </w:r>
      <w:r w:rsidRPr="008849E2">
        <w:rPr>
          <w:rFonts w:ascii="Tahoma" w:eastAsia="Calibri" w:hAnsi="Tahoma" w:cs="Tahoma"/>
          <w:sz w:val="19"/>
          <w:szCs w:val="19"/>
          <w:rtl/>
        </w:rPr>
        <w:t xml:space="preserve"> </w:t>
      </w:r>
    </w:p>
    <w:p w:rsidR="008849E2" w:rsidRPr="008849E2" w:rsidP="008849E2">
      <w:pPr>
        <w:numPr>
          <w:ilvl w:val="0"/>
          <w:numId w:val="16"/>
        </w:numPr>
        <w:spacing w:after="120" w:line="288" w:lineRule="auto"/>
        <w:ind w:right="-567"/>
        <w:rPr>
          <w:rFonts w:ascii="Tahoma" w:eastAsia="Calibri" w:hAnsi="Tahoma" w:cs="Tahoma"/>
          <w:sz w:val="19"/>
          <w:szCs w:val="19"/>
          <w:rtl/>
        </w:rPr>
      </w:pPr>
      <w:r w:rsidRPr="00EF1F6D">
        <w:rPr>
          <w:rFonts w:ascii="Tahoma" w:eastAsia="Calibri" w:hAnsi="Tahoma" w:cs="Tahoma"/>
          <w:b/>
          <w:bCs/>
          <w:sz w:val="19"/>
          <w:szCs w:val="19"/>
          <w:rtl/>
        </w:rPr>
        <w:t>שימוש במידע ודיווחים למוקד 100 לצורך אכיפת חוק איסור צריכת זנות</w:t>
      </w:r>
      <w:r w:rsidRPr="008849E2">
        <w:rPr>
          <w:rFonts w:ascii="Tahoma" w:eastAsia="Calibri" w:hAnsi="Tahoma" w:cs="Tahoma"/>
          <w:sz w:val="19"/>
          <w:szCs w:val="19"/>
          <w:rtl/>
        </w:rPr>
        <w:t xml:space="preserve"> - על אף הצטברותו של מידע על מאות כתובות החשודות כזירות זנות במחוזות דרום, ירושלים וצפון - מספר הקנסות שהוטלו בהם היה אפס. כמו כן, ממצאי המיפוי המשטרתי של זירות זנות לא הוטמעו בקרב הגורמים שאמורים לעסוק באכיפה בשטח. במבחן התוצאה מיפוי זה של למעלה מ-1,300 זירות זנות ברחבי המדינה, שמאות מתוכן ברמת מהימנות גבוהה ובינונית, אינו מתורגם ברובו להטלת קנסות מכוח חוק איסור צריכת זנות. ממצאים אלה מעידים על פער בין התפיסה המשטרתית, ולפיה האכיפה צריכה להיות מבוססת על </w:t>
      </w:r>
      <w:r w:rsidRPr="008849E2">
        <w:rPr>
          <w:rFonts w:ascii="Tahoma" w:eastAsia="Calibri" w:hAnsi="Tahoma" w:cs="Tahoma"/>
          <w:sz w:val="19"/>
          <w:szCs w:val="19"/>
          <w:rtl/>
        </w:rPr>
        <w:t>מידע שמתקבל במשטרה מאפיקים שונים, ובין האופן שבו תפיסה זו ממומשת בפועל לצורך אכיפת החוק.</w:t>
      </w:r>
    </w:p>
    <w:p w:rsidR="008849E2" w:rsidRPr="008849E2" w:rsidP="008849E2">
      <w:pPr>
        <w:numPr>
          <w:ilvl w:val="0"/>
          <w:numId w:val="16"/>
        </w:numPr>
        <w:spacing w:after="120" w:line="288" w:lineRule="auto"/>
        <w:ind w:right="-567"/>
        <w:rPr>
          <w:rFonts w:ascii="Tahoma" w:eastAsia="Calibri" w:hAnsi="Tahoma" w:cs="Tahoma"/>
          <w:sz w:val="19"/>
          <w:szCs w:val="19"/>
        </w:rPr>
      </w:pPr>
      <w:r w:rsidRPr="00EF1F6D">
        <w:rPr>
          <w:rFonts w:ascii="Tahoma" w:eastAsia="Calibri" w:hAnsi="Tahoma" w:cs="Tahoma"/>
          <w:b/>
          <w:bCs/>
          <w:sz w:val="19"/>
          <w:szCs w:val="19"/>
          <w:rtl/>
        </w:rPr>
        <w:t>שיתוף מידע (באופן אנונימי) בין משרד הבריאות לבין המשטרה</w:t>
      </w:r>
      <w:r w:rsidRPr="008849E2">
        <w:rPr>
          <w:rFonts w:ascii="Tahoma" w:eastAsia="Calibri" w:hAnsi="Tahoma" w:cs="Tahoma"/>
          <w:sz w:val="19"/>
          <w:szCs w:val="19"/>
          <w:rtl/>
        </w:rPr>
        <w:t xml:space="preserve"> - שיתוף המידע בנוגע למוקדי הזנות שמאתרות מרפאות לוינסקי - אשר בשנים 2023 ו-2024 טיפלו ב-3,453 איש - יכול לסייע למשטרה בפעולתה לאכיפת חוק איסור צריכת זנות, אך הוא נעשה באופן חלקי וראשוני בלבד במחוזות תל אביב וירושלים ואינו מיושם בכלל מחוזות המשטרה שבהם פועלות מרפאות לוינסקי. </w:t>
      </w:r>
    </w:p>
    <w:p w:rsidR="008849E2" w:rsidRPr="008849E2" w:rsidP="006827DD">
      <w:pPr>
        <w:numPr>
          <w:ilvl w:val="0"/>
          <w:numId w:val="16"/>
        </w:numPr>
        <w:spacing w:after="120" w:line="288" w:lineRule="auto"/>
        <w:ind w:right="-567"/>
        <w:rPr>
          <w:rFonts w:ascii="Tahoma" w:eastAsia="Calibri" w:hAnsi="Tahoma" w:cs="Tahoma"/>
          <w:sz w:val="19"/>
          <w:szCs w:val="19"/>
        </w:rPr>
      </w:pPr>
      <w:r w:rsidRPr="00EF1F6D">
        <w:rPr>
          <w:rFonts w:ascii="Tahoma" w:eastAsia="Calibri" w:hAnsi="Tahoma" w:cs="Tahoma"/>
          <w:b/>
          <w:bCs/>
          <w:sz w:val="19"/>
          <w:szCs w:val="19"/>
          <w:rtl/>
        </w:rPr>
        <w:t>מיצוי מידע מודיעיני לצורך אכיפה בתחום הסחר בבני אדם</w:t>
      </w:r>
      <w:r w:rsidRPr="008849E2">
        <w:rPr>
          <w:rFonts w:ascii="Tahoma" w:eastAsia="Calibri" w:hAnsi="Tahoma" w:cs="Tahoma"/>
          <w:sz w:val="19"/>
          <w:szCs w:val="19"/>
          <w:rtl/>
        </w:rPr>
        <w:t xml:space="preserve"> - על פי הערכת המשטרה, תמונת המודיעין שבידיה בנושא תופעת הסחר בבני אדם מצומצמת יחסית להיקפה בפועל. בשנת 2024 המשטרה תרגמה לפעילות מעשית</w:t>
      </w:r>
      <w:r w:rsidRPr="008849E2">
        <w:rPr>
          <w:rFonts w:ascii="Tahoma" w:eastAsia="Calibri" w:hAnsi="Tahoma" w:cs="Tahoma"/>
          <w:sz w:val="19"/>
          <w:szCs w:val="19"/>
          <w:rtl/>
        </w:rPr>
        <w:t xml:space="preserve"> </w:t>
      </w:r>
      <w:r w:rsidRPr="008849E2">
        <w:rPr>
          <w:rFonts w:ascii="Tahoma" w:eastAsia="Calibri" w:hAnsi="Tahoma" w:cs="Tahoma"/>
          <w:sz w:val="19"/>
          <w:szCs w:val="19"/>
          <w:rtl/>
        </w:rPr>
        <w:t>רק 44% מהמידע המודיעיני שבידיה, אשר ממילא היה מצומצם כאמור, לצורך אכיפה יזומה ומעשית בתחום הסחר בבני אדם. מכאן עולה כי חלק ניכר מהמידע המודיעיני שבידיה (56%) לא מוצה.</w:t>
      </w:r>
    </w:p>
    <w:p w:rsidR="008849E2" w:rsidRPr="008849E2" w:rsidP="006827DD">
      <w:pPr>
        <w:numPr>
          <w:ilvl w:val="0"/>
          <w:numId w:val="12"/>
        </w:numPr>
        <w:spacing w:after="120" w:line="288" w:lineRule="auto"/>
        <w:ind w:left="-142" w:right="-567" w:hanging="595"/>
        <w:rPr>
          <w:rFonts w:ascii="Tahoma" w:eastAsia="Calibri" w:hAnsi="Tahoma" w:cs="Tahoma"/>
          <w:sz w:val="19"/>
          <w:szCs w:val="19"/>
        </w:rPr>
      </w:pPr>
      <w:r w:rsidRPr="008849E2">
        <w:rPr>
          <w:rFonts w:ascii="Tahoma" w:eastAsia="Calibri" w:hAnsi="Tahoma" w:cs="Tahoma"/>
          <w:b/>
          <w:bCs/>
          <w:sz w:val="19"/>
          <w:szCs w:val="19"/>
          <w:rtl/>
        </w:rPr>
        <w:t>קביעת יעדים להטלת קנסות ופיצוח פרשיות סחר בבני אדם ועמידה בהם</w:t>
      </w:r>
      <w:r w:rsidRPr="008849E2">
        <w:rPr>
          <w:rFonts w:ascii="Tahoma" w:eastAsia="Calibri" w:hAnsi="Tahoma" w:cs="Tahoma"/>
          <w:sz w:val="19"/>
          <w:szCs w:val="19"/>
          <w:rtl/>
        </w:rPr>
        <w:t xml:space="preserve"> </w:t>
      </w:r>
    </w:p>
    <w:p w:rsidR="008849E2" w:rsidRPr="008849E2" w:rsidP="003A6E37">
      <w:pPr>
        <w:numPr>
          <w:ilvl w:val="0"/>
          <w:numId w:val="16"/>
        </w:numPr>
        <w:spacing w:after="120" w:line="288" w:lineRule="auto"/>
        <w:ind w:right="-567"/>
        <w:rPr>
          <w:rFonts w:ascii="Tahoma" w:eastAsia="Calibri" w:hAnsi="Tahoma" w:cs="Tahoma"/>
          <w:sz w:val="19"/>
          <w:szCs w:val="19"/>
          <w:rtl/>
        </w:rPr>
      </w:pPr>
      <w:r w:rsidRPr="00EF1F6D">
        <w:rPr>
          <w:rFonts w:ascii="Tahoma" w:eastAsia="Calibri" w:hAnsi="Tahoma" w:cs="Tahoma"/>
          <w:b/>
          <w:bCs/>
          <w:sz w:val="19"/>
          <w:szCs w:val="19"/>
          <w:rtl/>
        </w:rPr>
        <w:t>יעדים להטלת קנסות לפי חוק איסור צריכת זנות</w:t>
      </w:r>
      <w:r w:rsidRPr="008849E2">
        <w:rPr>
          <w:rFonts w:ascii="Tahoma" w:eastAsia="Calibri" w:hAnsi="Tahoma" w:cs="Tahoma"/>
          <w:sz w:val="19"/>
          <w:szCs w:val="19"/>
          <w:rtl/>
        </w:rPr>
        <w:t xml:space="preserve"> - אף שהוראת השעה לעניין חוק איסור צריכת זנות נכנסה לתוקפה ביולי 2020, הביקורת העלתה כי עד שנת 2025 המשטרה לא קבעה יעדים (יעדי אח"ם ארציים) בנוגע למספר הקנסות שיוטלו בגין צריכת זנות בהתאם לחוק. בשנת 2024 היה במשטרה מידע על כתובות החשודות כזירות זנות בתחום שיפוטן של 26 תחנות, אולם רק ל-18 מהתחנות נקבעו בשנת 2024 יעדי אח"ם לגבי מספר הקנסות שיוטלו על צרכני זנות מכוח חוק איסור צריכת זנות בשנת 2025. לעומת זאת, ל-8 תחנות שהיה מידע על כתובות בתחום שיפוטן - לא נקבעו יעדים כלל. זאת אף שהמיפוי המשטרתי של כתובות החשודות כזירות זנות שימש בסיס לקביעת יעדי אח"ם. </w:t>
      </w:r>
    </w:p>
    <w:p w:rsidR="008849E2" w:rsidRPr="008849E2" w:rsidP="008849E2">
      <w:pPr>
        <w:spacing w:after="240" w:line="288" w:lineRule="auto"/>
        <w:ind w:left="-143" w:right="-567"/>
        <w:contextualSpacing/>
        <w:rPr>
          <w:rFonts w:ascii="Tahoma" w:eastAsia="Calibri" w:hAnsi="Tahoma" w:cs="Tahoma"/>
          <w:sz w:val="8"/>
          <w:szCs w:val="8"/>
        </w:rPr>
      </w:pPr>
    </w:p>
    <w:p w:rsidR="008849E2" w:rsidRPr="008849E2" w:rsidP="006827DD">
      <w:pPr>
        <w:numPr>
          <w:ilvl w:val="0"/>
          <w:numId w:val="16"/>
        </w:numPr>
        <w:spacing w:after="120" w:line="288" w:lineRule="auto"/>
        <w:ind w:right="-567"/>
        <w:rPr>
          <w:rFonts w:ascii="Tahoma" w:eastAsia="Calibri" w:hAnsi="Tahoma" w:cs="Tahoma"/>
          <w:sz w:val="19"/>
          <w:szCs w:val="19"/>
        </w:rPr>
      </w:pPr>
      <w:r w:rsidRPr="00EF1F6D">
        <w:rPr>
          <w:rFonts w:ascii="Tahoma" w:eastAsia="Calibri" w:hAnsi="Tahoma" w:cs="Tahoma"/>
          <w:b/>
          <w:bCs/>
          <w:sz w:val="19"/>
          <w:szCs w:val="19"/>
          <w:rtl/>
        </w:rPr>
        <w:t>יעדים לפיצוח פרשיות של עבירות סחר בבני אדם</w:t>
      </w:r>
      <w:r w:rsidRPr="008849E2">
        <w:rPr>
          <w:rFonts w:ascii="Tahoma" w:eastAsia="Calibri" w:hAnsi="Tahoma" w:cs="Tahoma"/>
          <w:sz w:val="19"/>
          <w:szCs w:val="19"/>
          <w:rtl/>
        </w:rPr>
        <w:t xml:space="preserve"> - בשנים 2022 - 2024 המשטרה לא עמדה ביעדים שהיא עצמה הציבה: בשנת 2022 היא פיצחה 25% ממספר הפרשיות שנקבעו ביעד שהציבה (פיצוח שתי פרשיות לעומת יעד של שמונה פרשיות), והביצוע משקף פעילות של מחוז אחד בלבד (תל אביב) מתוך שבעת המחוזות שהוצבו להם יעדים. מחוזות חוף, מרכז וש"י לא פיצחו שום פרשייה במשך כמה שנים רצופות (2022 - 2024), אף שהיעד שנקבע להם בתקופה זו היה שמונה פרשיות (במצטבר).</w:t>
      </w:r>
    </w:p>
    <w:p w:rsidR="008849E2" w:rsidRPr="008849E2" w:rsidP="008849E2">
      <w:pPr>
        <w:numPr>
          <w:ilvl w:val="0"/>
          <w:numId w:val="12"/>
        </w:numPr>
        <w:spacing w:after="240" w:line="288" w:lineRule="auto"/>
        <w:ind w:left="-143" w:right="-567" w:hanging="595"/>
        <w:rPr>
          <w:rFonts w:ascii="Tahoma" w:eastAsia="Calibri" w:hAnsi="Tahoma" w:cs="Tahoma"/>
          <w:sz w:val="19"/>
          <w:szCs w:val="19"/>
        </w:rPr>
      </w:pPr>
      <w:r w:rsidRPr="008849E2">
        <w:rPr>
          <w:rFonts w:ascii="Tahoma" w:eastAsia="Calibri" w:hAnsi="Tahoma" w:cs="Tahoma"/>
          <w:b/>
          <w:bCs/>
          <w:sz w:val="19"/>
          <w:szCs w:val="19"/>
          <w:rtl/>
        </w:rPr>
        <w:t>הסדרת חלוקת האחריות במשטרה בנושא אכיפת חוק איסור צריכת זנות</w:t>
      </w:r>
      <w:r w:rsidRPr="008849E2">
        <w:rPr>
          <w:rFonts w:ascii="Tahoma" w:eastAsia="Calibri" w:hAnsi="Tahoma" w:cs="Tahoma"/>
          <w:sz w:val="19"/>
          <w:szCs w:val="19"/>
          <w:rtl/>
        </w:rPr>
        <w:t xml:space="preserve"> - בנוהל המשטרה בנושא אכיפת חוק איסור צריכת זנות נקבעה חלוקת אחריות מפורטת בין גורמי המטה, המחוז והתחנה. עם זאת, גורמים במשטרה מעידים שהנוהל אינו מיושם, וכי בפועל אין התאמה בין הגורמים המוגדרים כאחראים לאכיפה על פי הנוהל (כוחות הבילוש) ובין הגורמים המבצעים את האכיפה הלכה למעשה (כוחות הסיור), ולפיכך הם אינם רואים את עצמם אחראים לקידום האכיפה, להיקפה ולטיבה. הדבר עולה גם מפנייתה של </w:t>
      </w:r>
      <w:r w:rsidRPr="008849E2">
        <w:rPr>
          <w:rFonts w:ascii="Tahoma" w:eastAsia="Calibri" w:hAnsi="Tahoma" w:cs="Tahoma"/>
          <w:sz w:val="19"/>
          <w:szCs w:val="19"/>
          <w:rtl/>
        </w:rPr>
        <w:t>רח"ט</w:t>
      </w:r>
      <w:r w:rsidRPr="008849E2">
        <w:rPr>
          <w:rFonts w:ascii="Tahoma" w:eastAsia="Calibri" w:hAnsi="Tahoma" w:cs="Tahoma"/>
          <w:sz w:val="19"/>
          <w:szCs w:val="19"/>
          <w:rtl/>
        </w:rPr>
        <w:t xml:space="preserve"> חקירות במשטרה לראש אח"ם, ולפיה מצב זה מוביל לטשטוש גבולות האחריות ולפגיעה ביכולת לבצע אכיפה עקבית ומקצועית. </w:t>
      </w:r>
    </w:p>
    <w:p w:rsidR="008849E2" w:rsidP="008849E2">
      <w:pPr>
        <w:numPr>
          <w:ilvl w:val="0"/>
          <w:numId w:val="12"/>
        </w:numPr>
        <w:spacing w:after="240" w:line="288" w:lineRule="auto"/>
        <w:ind w:left="-143" w:right="-567" w:hanging="595"/>
        <w:rPr>
          <w:rFonts w:ascii="Tahoma" w:eastAsia="Calibri" w:hAnsi="Tahoma" w:cs="Tahoma"/>
          <w:sz w:val="19"/>
          <w:szCs w:val="19"/>
        </w:rPr>
      </w:pPr>
      <w:r w:rsidRPr="008849E2">
        <w:rPr>
          <w:rFonts w:ascii="Tahoma" w:eastAsia="Calibri" w:hAnsi="Tahoma" w:cs="Tahoma"/>
          <w:b/>
          <w:bCs/>
          <w:sz w:val="19"/>
          <w:szCs w:val="19"/>
          <w:rtl/>
        </w:rPr>
        <w:t>טיפול בעבירות במרחב המקוון</w:t>
      </w:r>
      <w:r w:rsidRPr="008849E2">
        <w:rPr>
          <w:rFonts w:ascii="Tahoma" w:eastAsia="Calibri" w:hAnsi="Tahoma" w:cs="Tahoma"/>
          <w:sz w:val="19"/>
          <w:szCs w:val="19"/>
          <w:rtl/>
        </w:rPr>
        <w:t xml:space="preserve"> - השימוש במרחב המקוון כפלטפורמה לשידול לזנות, לסרסרות, לניצול ולצריכת זנות הלך והתרחב בשנים האחרונות. נמצא כי משנת 2018 רשויות האכיפה ערות לאתגר הניכר הכרוך בחשיפה של עבירות במרחב המקוון ובאכיפת החוק בעניינן ועמדו על הפערים ביכולות בתחום זה, לרבות </w:t>
      </w:r>
      <w:r w:rsidR="00A34A69">
        <w:rPr>
          <w:rFonts w:ascii="Tahoma" w:eastAsia="Calibri" w:hAnsi="Tahoma" w:cs="Tahoma"/>
          <w:sz w:val="19"/>
          <w:szCs w:val="19"/>
          <w:rtl/>
        </w:rPr>
        <w:br/>
      </w:r>
      <w:r w:rsidRPr="008849E2">
        <w:rPr>
          <w:rFonts w:ascii="Tahoma" w:eastAsia="Calibri" w:hAnsi="Tahoma" w:cs="Tahoma"/>
          <w:sz w:val="19"/>
          <w:szCs w:val="19"/>
          <w:rtl/>
        </w:rPr>
        <w:t>אי-איסוף מודיעין והיעדר שימוש בטכנולוגיות מתקדמות. אף על פי כן, לא ננקטו צעדים להרחבה ממשית של היקף הפעילות במרחב זה, והיא אינה מספקת מענה אפקטיבי לתופעה כה מקיפה ומעמיקה. בסך הכול, מאז חקיקת חוק</w:t>
      </w:r>
      <w:r w:rsidRPr="008849E2">
        <w:rPr>
          <w:rFonts w:ascii="Tahoma" w:eastAsia="Calibri" w:hAnsi="Tahoma" w:cs="Tahoma"/>
          <w:rtl/>
        </w:rPr>
        <w:t xml:space="preserve"> </w:t>
      </w:r>
      <w:r w:rsidRPr="008849E2">
        <w:rPr>
          <w:rFonts w:ascii="Tahoma" w:eastAsia="Calibri" w:hAnsi="Tahoma" w:cs="Tahoma"/>
          <w:sz w:val="19"/>
          <w:szCs w:val="19"/>
          <w:rtl/>
        </w:rPr>
        <w:t xml:space="preserve">סמכויות לשם מניעת ביצוע עבירות באמצעות אתר אינטרנט, התשע"ז-2017, </w:t>
      </w:r>
      <w:bookmarkStart w:id="3" w:name="_Hlk222822814"/>
      <w:r w:rsidRPr="008849E2">
        <w:rPr>
          <w:rFonts w:ascii="Tahoma" w:eastAsia="Calibri" w:hAnsi="Tahoma" w:cs="Tahoma"/>
          <w:sz w:val="19"/>
          <w:szCs w:val="19"/>
          <w:rtl/>
        </w:rPr>
        <w:t>הוצאו 95 צווים בלבד לסגירת אתרי אינטרנט שבהם בוצעו עבירות הכוללות הדחה לזנות, פרסום ושיווק של זנות</w:t>
      </w:r>
      <w:bookmarkEnd w:id="3"/>
      <w:r w:rsidRPr="008849E2">
        <w:rPr>
          <w:rFonts w:ascii="Tahoma" w:eastAsia="Calibri" w:hAnsi="Tahoma" w:cs="Tahoma"/>
          <w:sz w:val="19"/>
          <w:szCs w:val="19"/>
          <w:rtl/>
        </w:rPr>
        <w:t>.</w:t>
      </w:r>
    </w:p>
    <w:p w:rsidR="00B74B90" w:rsidRPr="008849E2" w:rsidP="00B74B90">
      <w:pPr>
        <w:spacing w:after="240" w:line="288" w:lineRule="auto"/>
        <w:ind w:left="-143" w:right="-567"/>
        <w:rPr>
          <w:rFonts w:ascii="Tahoma" w:eastAsia="Calibri" w:hAnsi="Tahoma" w:cs="Tahoma"/>
          <w:sz w:val="19"/>
          <w:szCs w:val="19"/>
        </w:rPr>
      </w:pPr>
    </w:p>
    <w:p w:rsidR="008849E2" w:rsidRPr="008849E2" w:rsidP="008849E2">
      <w:pPr>
        <w:numPr>
          <w:ilvl w:val="0"/>
          <w:numId w:val="12"/>
        </w:numPr>
        <w:spacing w:after="240" w:line="288" w:lineRule="auto"/>
        <w:ind w:left="-143" w:right="-567" w:hanging="595"/>
        <w:rPr>
          <w:rFonts w:ascii="Tahoma" w:eastAsia="Calibri" w:hAnsi="Tahoma" w:cs="Tahoma"/>
          <w:sz w:val="19"/>
          <w:szCs w:val="19"/>
          <w:rtl/>
        </w:rPr>
      </w:pPr>
      <w:r w:rsidRPr="008849E2">
        <w:rPr>
          <w:rFonts w:ascii="Tahoma" w:eastAsia="Calibri" w:hAnsi="Tahoma" w:cs="Tahoma"/>
          <w:b/>
          <w:bCs/>
          <w:sz w:val="19"/>
          <w:szCs w:val="19"/>
          <w:rtl/>
        </w:rPr>
        <w:t xml:space="preserve">סגירת בתי בושת </w:t>
      </w:r>
      <w:r w:rsidRPr="008849E2">
        <w:rPr>
          <w:rFonts w:ascii="Tahoma" w:eastAsia="Calibri" w:hAnsi="Tahoma" w:cs="Tahoma"/>
          <w:sz w:val="19"/>
          <w:szCs w:val="19"/>
          <w:rtl/>
        </w:rPr>
        <w:t xml:space="preserve">- אף שבשנת 2024 היה בידי המשטרה מידע על למעלה מ-1,300 כתובות החשודות כזירות זנות, מתוכן מאות ברמת מהימנות גבוהה ובינונית, בפועל נסגרו בשנה זו 13 בתי בושת בלבד. אומנם בשנת 2025 חל גידול במספר בתי הבושת שנסגרו (29 בתי בושת), עם זאת, מספרם הכולל של בתי הבושת שנסגרו בשנים 2022 - 2025 הסתכם ב-60 בלבד. מנתונים אלה אפשר ללמוד על אי-שימוש ממצה באפיק הקיים של סגירת בתי בושת כאמצעי משלים להתמודדות עם תופעות הזנות והסחר בבני אדם לצורכי זנות. </w:t>
      </w:r>
    </w:p>
    <w:p w:rsidR="008849E2" w:rsidRPr="008849E2" w:rsidP="008849E2">
      <w:pPr>
        <w:numPr>
          <w:ilvl w:val="0"/>
          <w:numId w:val="12"/>
        </w:numPr>
        <w:spacing w:after="240" w:line="288" w:lineRule="auto"/>
        <w:ind w:left="-143" w:right="-567" w:hanging="595"/>
        <w:rPr>
          <w:rFonts w:ascii="Tahoma" w:eastAsia="Calibri" w:hAnsi="Tahoma" w:cs="Tahoma"/>
          <w:sz w:val="19"/>
          <w:szCs w:val="19"/>
        </w:rPr>
      </w:pPr>
      <w:r w:rsidRPr="008849E2">
        <w:rPr>
          <w:rFonts w:ascii="Tahoma" w:eastAsia="Calibri" w:hAnsi="Tahoma" w:cs="Tahoma"/>
          <w:b/>
          <w:bCs/>
          <w:sz w:val="19"/>
          <w:szCs w:val="19"/>
          <w:rtl/>
        </w:rPr>
        <w:t>חוליית הסחר בבני אדם במטה הארצי</w:t>
      </w:r>
      <w:r w:rsidRPr="008849E2">
        <w:rPr>
          <w:rFonts w:ascii="Tahoma" w:eastAsia="Calibri" w:hAnsi="Tahoma" w:cs="Tahoma"/>
          <w:sz w:val="19"/>
          <w:szCs w:val="19"/>
          <w:rtl/>
        </w:rPr>
        <w:t xml:space="preserve"> </w:t>
      </w:r>
      <w:r w:rsidRPr="008849E2">
        <w:rPr>
          <w:rFonts w:ascii="Tahoma" w:eastAsia="Calibri" w:hAnsi="Tahoma" w:cs="Tahoma"/>
          <w:b/>
          <w:bCs/>
          <w:sz w:val="19"/>
          <w:szCs w:val="19"/>
          <w:rtl/>
        </w:rPr>
        <w:t>ומחלקי מוסר במחוזות</w:t>
      </w:r>
      <w:r w:rsidRPr="008849E2">
        <w:rPr>
          <w:rFonts w:ascii="Tahoma" w:eastAsia="Calibri" w:hAnsi="Tahoma" w:cs="Tahoma"/>
          <w:sz w:val="19"/>
          <w:szCs w:val="19"/>
          <w:rtl/>
        </w:rPr>
        <w:t xml:space="preserve"> </w:t>
      </w:r>
      <w:r w:rsidRPr="008849E2">
        <w:rPr>
          <w:rFonts w:ascii="Tahoma" w:eastAsia="Calibri" w:hAnsi="Tahoma" w:cs="Tahoma"/>
          <w:b/>
          <w:bCs/>
          <w:sz w:val="19"/>
          <w:szCs w:val="19"/>
          <w:rtl/>
        </w:rPr>
        <w:t>המשטרה</w:t>
      </w:r>
      <w:r w:rsidRPr="008849E2">
        <w:rPr>
          <w:rFonts w:ascii="Tahoma" w:eastAsia="Calibri" w:hAnsi="Tahoma" w:cs="Tahoma"/>
          <w:sz w:val="19"/>
          <w:szCs w:val="19"/>
          <w:rtl/>
        </w:rPr>
        <w:t xml:space="preserve"> - אף שחוליית הסחר בבני אדם במשטרה אמונה על תפקידים ומשימות רבים במסגרת המאבק בעבירות הסחר בבני אדם, נכון למועד סיום הביקורת ביולי 2025 היה בה מחסור ניכר בכוח אדם והועסקה בה קצינה אחת בלבד. זאת, אף שכבר בשנת 2020 הועלה הצורך להגדיל את היקף התקנים הן על ידי המשטרה, הן על ידי המשרד לביטחון לאומי והן על ידי מחלקת המדינה האמריקאית בדוח השנתי בנושא. רק בשנת 2025 אושרה הוספת משרות נוספות לתקני החוליה, ונכון למועד סיום הביקורת משרות אלו לא אוישו. לעניין מחלקי המוסר, מחוז תל אביב הוא המחוז היחיד שיש בו מחלק ייעודי לטיפול בעבירות סחר בבני אדם ובעבירות הנלוות להן. בספטמבר 2023 החליטה המשטרה כי בשנת 2024 יוקמו במחוזות מרכז וחוף שני מחלקי מוסר חדשים אשר יהיו אמונים על אכיפה ייעודית בתחום הסחר בבני אדם. בפועל רק במהלך הביקורת, בפברואר 2025, ניתנה "פקודת ההקמה" לשני מחלקי המוסר. נכון לאוגוסט 2025, ועל אף החשיבות שביסוד פעולתם, טרם הושלמה הקמת מחלקי המוסר במחוזות.</w:t>
      </w:r>
    </w:p>
    <w:p w:rsidR="008849E2" w:rsidRPr="008849E2" w:rsidP="008849E2">
      <w:pPr>
        <w:numPr>
          <w:ilvl w:val="0"/>
          <w:numId w:val="12"/>
        </w:numPr>
        <w:spacing w:after="240" w:line="288" w:lineRule="auto"/>
        <w:ind w:left="-143" w:right="-567" w:hanging="595"/>
        <w:rPr>
          <w:rFonts w:ascii="Tahoma" w:eastAsia="Calibri" w:hAnsi="Tahoma" w:cs="Tahoma"/>
          <w:sz w:val="19"/>
          <w:szCs w:val="19"/>
        </w:rPr>
      </w:pPr>
      <w:r w:rsidRPr="008849E2">
        <w:rPr>
          <w:rFonts w:ascii="Tahoma" w:eastAsia="Calibri" w:hAnsi="Tahoma" w:cs="Tahoma"/>
          <w:b/>
          <w:bCs/>
          <w:sz w:val="19"/>
          <w:szCs w:val="19"/>
          <w:rtl/>
        </w:rPr>
        <w:t>טיפול רשות האוכלוסין וההגירה במשרד הפנים במתן אשרות</w:t>
      </w:r>
      <w:r w:rsidRPr="008849E2">
        <w:rPr>
          <w:rFonts w:ascii="Tahoma" w:eastAsia="Calibri" w:hAnsi="Tahoma" w:cs="Tahoma"/>
          <w:sz w:val="19"/>
          <w:szCs w:val="19"/>
          <w:rtl/>
        </w:rPr>
        <w:t xml:space="preserve"> </w:t>
      </w:r>
    </w:p>
    <w:p w:rsidR="008849E2" w:rsidRPr="008849E2" w:rsidP="00EF1F6D">
      <w:pPr>
        <w:numPr>
          <w:ilvl w:val="0"/>
          <w:numId w:val="16"/>
        </w:numPr>
        <w:spacing w:after="120" w:line="288" w:lineRule="auto"/>
        <w:ind w:right="-567"/>
        <w:rPr>
          <w:rFonts w:ascii="Tahoma" w:eastAsia="Calibri" w:hAnsi="Tahoma" w:cs="Tahoma"/>
          <w:sz w:val="19"/>
          <w:szCs w:val="19"/>
          <w:rtl/>
        </w:rPr>
      </w:pPr>
      <w:r w:rsidRPr="008849E2">
        <w:rPr>
          <w:rFonts w:ascii="Tahoma" w:eastAsia="Calibri" w:hAnsi="Tahoma" w:cs="Tahoma"/>
          <w:sz w:val="19"/>
          <w:szCs w:val="19"/>
          <w:rtl/>
        </w:rPr>
        <w:t xml:space="preserve">בביקורת הועלו ליקויים באופן שבו החילה רשות האוכלוסין את סמכותה למתן אשרת שהייה למי שהוכרו כקורבנות סחר בבני אדם לצורכי זנות. נמצא כי לעיתים הליך קבלת ההחלטות למתן אשרה התבצע שלא בהתאם לנוהלי רשות האוכלוסין ותוך חריגה מסמכות: התניית אישור חזרה לארץ של קורבן סחר בבני אדם לצורך השלמת שנת השיקום שלה היא זכאית בהפקדת ערבות חריגה; מתן אשרת שהייה מוגבלת לנשים שהוכרו כקורבנות סחר שאינה תואמת את נוהל הרשות לעניין אשרות לקורבנות סחר המבקשות להעיד, דבר אשר עלול להוביל לעזיבת הקורבנות, למרות החלטת המשטרה כי הישארותן בישראל לצורך מתן עדות היא הכרחית; דרישה לבדיקה מחודשת של מעמד קורבן הסחר לאחר סגירת תיק החקירה המשטרתי; שליחת פקחים לברר אם קורבנות סחר בבני אדם שבו לעסוק בזנות, </w:t>
      </w:r>
      <w:bookmarkStart w:id="4" w:name="_Hlk222819323"/>
      <w:r w:rsidRPr="008849E2">
        <w:rPr>
          <w:rFonts w:ascii="Tahoma" w:eastAsia="Calibri" w:hAnsi="Tahoma" w:cs="Tahoma"/>
          <w:sz w:val="19"/>
          <w:szCs w:val="19"/>
          <w:rtl/>
        </w:rPr>
        <w:t>אף שפעולה זו אינה נכללת בתחומי הפעילות המוגדרים של הפקחים</w:t>
      </w:r>
      <w:bookmarkEnd w:id="4"/>
      <w:r w:rsidRPr="008849E2">
        <w:rPr>
          <w:rFonts w:ascii="Tahoma" w:eastAsia="Calibri" w:hAnsi="Tahoma" w:cs="Tahoma"/>
          <w:sz w:val="19"/>
          <w:szCs w:val="19"/>
          <w:rtl/>
        </w:rPr>
        <w:t xml:space="preserve">. </w:t>
      </w:r>
    </w:p>
    <w:p w:rsidR="008849E2" w:rsidRPr="008849E2" w:rsidP="00EF1F6D">
      <w:pPr>
        <w:numPr>
          <w:ilvl w:val="0"/>
          <w:numId w:val="16"/>
        </w:numPr>
        <w:spacing w:after="120" w:line="288" w:lineRule="auto"/>
        <w:ind w:right="-567"/>
        <w:rPr>
          <w:rFonts w:ascii="Tahoma" w:eastAsia="Calibri" w:hAnsi="Tahoma" w:cs="Tahoma"/>
          <w:sz w:val="19"/>
          <w:szCs w:val="19"/>
        </w:rPr>
      </w:pPr>
      <w:r w:rsidRPr="008849E2">
        <w:rPr>
          <w:rFonts w:ascii="Tahoma" w:eastAsia="Calibri" w:hAnsi="Tahoma" w:cs="Tahoma"/>
          <w:sz w:val="19"/>
          <w:szCs w:val="19"/>
          <w:rtl/>
        </w:rPr>
        <w:t xml:space="preserve">בביקורת עלה כי בשנתיים האחרונות התגלעו מחלוקות מהותיות בין רשות האוכלוסין ובין אגף הסיוע המשפטי במשרד המשפטים בנוגע לקבלת אשרות שהייה לקורבנות הסחר בבני אדם. מחלוקות אלו פגעו בשיתוף הפעולה בין הגופים וביחסי העבודה ביניהם. עקב כך נוקט אגף הסיוע המשפטי כלים משפטיים, לרבות הגשת עררים ותביעות נזיקיות, שתכליתם להניע את הרשות לאישור אשרות שהייה בהתאם לדין. האגף ציין לפני צוות הביקורת כי מדובר בהליכי סרק שהיו יכולים להימנע לו היה מתקיים שיתוף פעולה בין שני הגופים, וכי נקיטתם גורמת לבזבוז משאבי ציבור ואינה מביאה לטיפול בשורש הבעיה. </w:t>
      </w:r>
    </w:p>
    <w:p w:rsidR="008849E2" w:rsidRPr="008849E2" w:rsidP="00EF1F6D">
      <w:pPr>
        <w:numPr>
          <w:ilvl w:val="0"/>
          <w:numId w:val="16"/>
        </w:numPr>
        <w:spacing w:after="120" w:line="288" w:lineRule="auto"/>
        <w:ind w:right="-567"/>
        <w:rPr>
          <w:rFonts w:ascii="Tahoma" w:eastAsia="Calibri" w:hAnsi="Tahoma" w:cs="Tahoma"/>
          <w:sz w:val="19"/>
          <w:szCs w:val="19"/>
        </w:rPr>
      </w:pPr>
      <w:r w:rsidRPr="008849E2">
        <w:rPr>
          <w:rFonts w:ascii="Tahoma" w:eastAsia="Calibri" w:hAnsi="Tahoma" w:cs="Tahoma"/>
          <w:sz w:val="19"/>
          <w:szCs w:val="19"/>
          <w:rtl/>
        </w:rPr>
        <w:t>לפי עמדת המתאמת ביחידת התיאום הממשלתית למאבק בסחר בבני אדם במשרד המשפטים - היחידה האחראית להגברת שיתוף הפעולה בין גורמי האכיפה הפליליים והאזרחיים - התנהלותה של הרשות, ובכלל זה מניעה שיטתית של אשרות עבודה מקורבנות הסחר, אינה סבירה. לטענת המתאמת ההתנהלות עומדת בניגוד להחלטות הממשלה ואף לנוהלי הרשות עצמה, פוגעת קשות בקורבנות הסחר ואף מובילה לדחיקתם חזרה למעגל הזנות ולפגיעה חמורה בניהול תיקים פליליים שמושקע בהם מאמץ רב. לשיטתה התנהלות זו אף עלולה לגרום לירידה של ישראל בדירוג האמריקאי, להטלת סנקציות על המדינה ולפגיעה באינטרסים הלאומיים שלה.</w:t>
      </w:r>
    </w:p>
    <w:p w:rsidR="00B74B90" w:rsidRPr="00B74B90" w:rsidP="00B74B90">
      <w:pPr>
        <w:spacing w:after="240" w:line="288" w:lineRule="auto"/>
        <w:ind w:left="-143" w:right="-567"/>
        <w:rPr>
          <w:rFonts w:ascii="Tahoma" w:eastAsia="Calibri" w:hAnsi="Tahoma" w:cs="Tahoma"/>
          <w:sz w:val="19"/>
          <w:szCs w:val="19"/>
        </w:rPr>
      </w:pPr>
    </w:p>
    <w:p w:rsidR="008849E2" w:rsidRPr="008849E2" w:rsidP="00B74B90">
      <w:pPr>
        <w:numPr>
          <w:ilvl w:val="0"/>
          <w:numId w:val="12"/>
        </w:numPr>
        <w:spacing w:after="120" w:line="288" w:lineRule="auto"/>
        <w:ind w:left="-142" w:right="-567" w:hanging="595"/>
        <w:rPr>
          <w:rFonts w:ascii="Tahoma" w:eastAsia="Calibri" w:hAnsi="Tahoma" w:cs="Tahoma"/>
          <w:sz w:val="19"/>
          <w:szCs w:val="19"/>
        </w:rPr>
      </w:pPr>
      <w:r w:rsidRPr="008849E2">
        <w:rPr>
          <w:rFonts w:ascii="Tahoma" w:eastAsia="Calibri" w:hAnsi="Tahoma" w:cs="Tahoma"/>
          <w:b/>
          <w:bCs/>
          <w:sz w:val="19"/>
          <w:szCs w:val="19"/>
          <w:rtl/>
        </w:rPr>
        <w:t>פעולות יחידת התיאום למאבק בסחר בבני אדם במשרד המשפטים</w:t>
      </w:r>
    </w:p>
    <w:p w:rsidR="008849E2" w:rsidRPr="008849E2" w:rsidP="008849E2">
      <w:pPr>
        <w:spacing w:after="120" w:line="288" w:lineRule="auto"/>
        <w:ind w:left="-142" w:right="-567"/>
        <w:contextualSpacing/>
        <w:rPr>
          <w:rFonts w:ascii="Tahoma" w:eastAsia="Calibri" w:hAnsi="Tahoma" w:cs="Tahoma"/>
          <w:sz w:val="19"/>
          <w:szCs w:val="19"/>
          <w:rtl/>
        </w:rPr>
      </w:pPr>
      <w:r w:rsidRPr="008849E2">
        <w:rPr>
          <w:rFonts w:ascii="Tahoma" w:eastAsia="Calibri" w:hAnsi="Tahoma" w:cs="Tahoma"/>
          <w:sz w:val="19"/>
          <w:szCs w:val="19"/>
          <w:rtl/>
        </w:rPr>
        <w:t>התוכנית הלאומית הרב-שנתית למאבק בסחר בבני אדם, כפי שנקבעה בהחלטה הממשלה 1862, היא תוכנית חומש משנת 2022 אשר מסתיימת בחודשים הקרובים - בסוף שנת 2026. במסגרת התוכנית, ומכוח ההחלטה, הוטלו משימות רבות על גופים שונים, לרבות על יחידת התיאום. היחידה פעלה לקדם אותן באופן מדורג, בפריסה על פני שנות ביצועה של התוכנית, ונכון למאי 2026 קידמה חלק ניכר מהמשימות שהוטלו עליה. עבודתה של היחידה כוללת, בין היתר, פעולות לקידום מדיניות ממשלתית במאבק בסחר בבני אדם; סיוע לפעילותם של גופים ממשלתיים ולא ממשלתיים בתחום ומעקב בנושא; הטמעה וביסוס של מנגנון הכרה חדש בקורבנות סחר בבני אדם ועוד.</w:t>
      </w:r>
    </w:p>
    <w:p w:rsidR="008849E2" w:rsidRPr="008849E2" w:rsidP="008849E2">
      <w:pPr>
        <w:spacing w:after="240" w:line="288" w:lineRule="auto"/>
        <w:ind w:left="-143" w:right="-567"/>
        <w:contextualSpacing/>
        <w:rPr>
          <w:rFonts w:ascii="Tahoma" w:eastAsia="Calibri" w:hAnsi="Tahoma" w:cs="Tahoma"/>
          <w:sz w:val="8"/>
          <w:szCs w:val="8"/>
          <w:rtl/>
        </w:rPr>
      </w:pPr>
    </w:p>
    <w:p w:rsidR="008849E2" w:rsidRPr="008849E2" w:rsidP="00EF1F6D">
      <w:pPr>
        <w:spacing w:after="120" w:line="288" w:lineRule="auto"/>
        <w:ind w:left="-143" w:right="-567"/>
        <w:rPr>
          <w:rFonts w:ascii="Tahoma" w:eastAsia="Calibri" w:hAnsi="Tahoma" w:cs="Tahoma"/>
          <w:sz w:val="19"/>
          <w:szCs w:val="19"/>
        </w:rPr>
      </w:pPr>
      <w:r w:rsidRPr="008849E2">
        <w:rPr>
          <w:rFonts w:ascii="Tahoma" w:eastAsia="Calibri" w:hAnsi="Tahoma" w:cs="Tahoma"/>
          <w:sz w:val="19"/>
          <w:szCs w:val="19"/>
          <w:rtl/>
        </w:rPr>
        <w:t>משרד מבקר המדינה בחן את המשימות שנותרו לביצוע על ידי יחידת התיאום, וזאת על רקע היותה הגוף הפועל לתיאום המערכת הממשלתית, לשיתוף הפעולה בין כלל הרשויות ובין הגופים הפועלים בתחום ולקידום מדיניות ממשלתית אפקטיבית במישורי האכיפה, המניעה וההגנה על הקורבנות בתחומי המאבק בתופעת הסחר בבני אדם ובתופעת הזנות. להלן יפורטו המשימות שטרם בוצעו על ידי יחידת התיאום, בשים לב לפרק הזמן של מספר חודשים שנותר להשלמתן בהתאם להחלטת הממשלה - סוף שנת 2026.</w:t>
      </w:r>
    </w:p>
    <w:p w:rsidR="008849E2" w:rsidRPr="008849E2" w:rsidP="00EF1F6D">
      <w:pPr>
        <w:numPr>
          <w:ilvl w:val="0"/>
          <w:numId w:val="16"/>
        </w:numPr>
        <w:spacing w:after="60" w:line="288" w:lineRule="auto"/>
        <w:ind w:right="-567"/>
        <w:rPr>
          <w:rFonts w:ascii="Tahoma" w:eastAsia="Calibri" w:hAnsi="Tahoma" w:cs="Tahoma"/>
          <w:sz w:val="19"/>
          <w:szCs w:val="19"/>
        </w:rPr>
      </w:pPr>
      <w:r w:rsidRPr="008849E2">
        <w:rPr>
          <w:rFonts w:ascii="Tahoma" w:eastAsia="Calibri" w:hAnsi="Tahoma" w:cs="Tahoma"/>
          <w:b/>
          <w:bCs/>
          <w:sz w:val="19"/>
          <w:szCs w:val="19"/>
          <w:rtl/>
        </w:rPr>
        <w:t xml:space="preserve">הסדרה של שיתוף הפעולה בין מינהל אכיפה וזרים ברשות האוכלוסין לבין המשטרה </w:t>
      </w:r>
      <w:r w:rsidRPr="008849E2">
        <w:rPr>
          <w:rFonts w:ascii="Tahoma" w:eastAsia="Calibri" w:hAnsi="Tahoma" w:cs="Tahoma"/>
          <w:sz w:val="19"/>
          <w:szCs w:val="19"/>
          <w:rtl/>
        </w:rPr>
        <w:t>-</w:t>
      </w:r>
      <w:r w:rsidRPr="008849E2">
        <w:rPr>
          <w:rFonts w:ascii="Tahoma" w:eastAsia="Calibri" w:hAnsi="Tahoma" w:cs="Tahoma"/>
          <w:rtl/>
        </w:rPr>
        <w:t xml:space="preserve"> </w:t>
      </w:r>
      <w:r w:rsidRPr="008849E2">
        <w:rPr>
          <w:rFonts w:ascii="Tahoma" w:eastAsia="Calibri" w:hAnsi="Tahoma" w:cs="Tahoma"/>
          <w:sz w:val="19"/>
          <w:szCs w:val="19"/>
          <w:rtl/>
        </w:rPr>
        <w:t xml:space="preserve">בביקורת הועלו קשיים בשיתוף הפעולה בין המשטרה ובין מינהל אכיפה וזרים ברשות האוכלוסין אף שהוא עשוי לתרום למאבק בסחר בבני אדם למטרות זנות. הגופים, הפועלים כל אחד בתחומו, אינם משתפים זה את זה במידע ובנתונים רלוונטיים היכולים לסייע לאכיפה ולמאבק בסחר בבני אדם למטרות זנות, פעולותיהם אינן מתואמות ויחסי העבודה ביניהם אינם מוסדרים בשום נוהל. אף שבהתאם להחלטת הממשלה 1862 על יחידת התיאום להגביר את שיתוף הפעולה בין גורמי האכיפה, שיתוף הפעולה בין מינהל אכיפה וזרים ברשות לבין המשטרה טרם הוסדר. </w:t>
      </w:r>
    </w:p>
    <w:p w:rsidR="008849E2" w:rsidRPr="008849E2" w:rsidP="00EF1F6D">
      <w:pPr>
        <w:numPr>
          <w:ilvl w:val="0"/>
          <w:numId w:val="16"/>
        </w:numPr>
        <w:spacing w:after="60" w:line="288" w:lineRule="auto"/>
        <w:ind w:right="-567"/>
        <w:rPr>
          <w:rFonts w:ascii="Tahoma" w:eastAsia="Calibri" w:hAnsi="Tahoma" w:cs="Tahoma"/>
          <w:sz w:val="19"/>
          <w:szCs w:val="19"/>
        </w:rPr>
      </w:pPr>
      <w:r w:rsidRPr="008849E2">
        <w:rPr>
          <w:rFonts w:ascii="Tahoma" w:eastAsia="Calibri" w:hAnsi="Tahoma" w:cs="Tahoma"/>
          <w:b/>
          <w:bCs/>
          <w:sz w:val="19"/>
          <w:szCs w:val="19"/>
          <w:rtl/>
        </w:rPr>
        <w:t xml:space="preserve">מוקד פניות הציבור הייעודי לנושא הסחר בבני אדם </w:t>
      </w:r>
      <w:r w:rsidRPr="008849E2">
        <w:rPr>
          <w:rFonts w:ascii="Tahoma" w:eastAsia="Calibri" w:hAnsi="Tahoma" w:cs="Tahoma"/>
          <w:sz w:val="19"/>
          <w:szCs w:val="19"/>
          <w:rtl/>
        </w:rPr>
        <w:t xml:space="preserve">- שנתיים לאחר שהתקבלה החלטת הממשלה 1862 שבמסגרתה הוטל על יחידת התיאום לפעול להגדלת מספר הפונים למוקד, עדיין לא ניכר כי חל גידול של ממש בשיעור הפניות ובהיקף השימוש במוקד. מספר הפניות למוקד המקוון ביחידת התיאום הסתכם ב-47 בלבד בשלוש שנים (2022 - 2024) - ממוצע של 15.6 פניות בשנה. </w:t>
      </w:r>
    </w:p>
    <w:p w:rsidR="008849E2" w:rsidRPr="008849E2" w:rsidP="00EF1F6D">
      <w:pPr>
        <w:numPr>
          <w:ilvl w:val="0"/>
          <w:numId w:val="16"/>
        </w:numPr>
        <w:spacing w:after="80" w:line="288" w:lineRule="auto"/>
        <w:ind w:right="-567"/>
        <w:rPr>
          <w:rFonts w:ascii="Tahoma" w:eastAsia="Calibri" w:hAnsi="Tahoma" w:cs="Tahoma"/>
          <w:sz w:val="19"/>
          <w:szCs w:val="19"/>
        </w:rPr>
      </w:pPr>
      <w:r w:rsidRPr="008849E2">
        <w:rPr>
          <w:rFonts w:ascii="Tahoma" w:eastAsia="Calibri" w:hAnsi="Tahoma" w:cs="Tahoma"/>
          <w:b/>
          <w:bCs/>
          <w:sz w:val="19"/>
          <w:szCs w:val="19"/>
          <w:rtl/>
        </w:rPr>
        <w:t>פיתוח תוכנית הכשרה בין-משרדית שנתית</w:t>
      </w:r>
      <w:r w:rsidRPr="008849E2">
        <w:rPr>
          <w:rFonts w:ascii="Tahoma" w:eastAsia="Calibri" w:hAnsi="Tahoma" w:cs="Tahoma"/>
          <w:sz w:val="19"/>
          <w:szCs w:val="19"/>
          <w:rtl/>
        </w:rPr>
        <w:t xml:space="preserve"> - נכון למאי 2026, כחצי שנה לפני תום התקופה שהוגדרה להשלמת המשימות הקבועות בהחלטת ממשלה 1862, יחידת התיאום עדיין לא גיבשה תוכנית הכשרה שנתית מקצועית, סדורה ובין-משרדית עבור המשרדים והגופים הציבוריים השותפים במאבק בזנות ובסחר בבני אדם. זאת, שלא בהלימה להחלטת ועדת המנכ"לים שביקשה לתת קדימות לטיוב מערך ההכשרות ועל אף שיחידת התיאום הגדירה משימה זו בתוכנית העבודה שלה לשנת 2025.</w:t>
      </w:r>
    </w:p>
    <w:p w:rsidR="008849E2" w:rsidRPr="008849E2" w:rsidP="00EF1F6D">
      <w:pPr>
        <w:numPr>
          <w:ilvl w:val="0"/>
          <w:numId w:val="16"/>
        </w:numPr>
        <w:spacing w:after="120" w:line="288" w:lineRule="auto"/>
        <w:ind w:right="-567"/>
        <w:rPr>
          <w:rFonts w:ascii="Tahoma" w:eastAsia="Calibri" w:hAnsi="Tahoma" w:cs="Tahoma"/>
          <w:sz w:val="19"/>
          <w:szCs w:val="19"/>
        </w:rPr>
      </w:pPr>
      <w:r w:rsidRPr="008849E2">
        <w:rPr>
          <w:rFonts w:ascii="Tahoma" w:eastAsia="Calibri" w:hAnsi="Tahoma" w:cs="Tahoma"/>
          <w:b/>
          <w:bCs/>
          <w:sz w:val="19"/>
          <w:szCs w:val="19"/>
          <w:rtl/>
        </w:rPr>
        <w:t>הסעות למקלטים</w:t>
      </w:r>
      <w:r w:rsidRPr="008849E2">
        <w:rPr>
          <w:rFonts w:ascii="Tahoma" w:eastAsia="Calibri" w:hAnsi="Tahoma" w:cs="Tahoma"/>
          <w:sz w:val="19"/>
          <w:szCs w:val="19"/>
          <w:rtl/>
        </w:rPr>
        <w:t xml:space="preserve"> - יחידת התיאום טרם השלימה את ההסדרה בכל הנוגע למימון הסעת קורבנות סחר בבני אדם למקלטים הייעודיים. בפועל, בשנת 2025 מימן משרד הרווחה את ההסעות למקלטים, אך נותרו מחלוקות שטרם יושבו בין הגופים בנוגע לגורם האחראי להסעות ולמימונן.</w:t>
      </w:r>
    </w:p>
    <w:p w:rsidR="008849E2" w:rsidRPr="008849E2" w:rsidP="008849E2">
      <w:pPr>
        <w:numPr>
          <w:ilvl w:val="0"/>
          <w:numId w:val="12"/>
        </w:numPr>
        <w:spacing w:after="240" w:line="288" w:lineRule="auto"/>
        <w:ind w:left="-143" w:right="-567" w:hanging="595"/>
        <w:rPr>
          <w:rFonts w:ascii="Tahoma" w:eastAsia="Calibri" w:hAnsi="Tahoma" w:cs="Tahoma"/>
          <w:sz w:val="19"/>
          <w:szCs w:val="19"/>
        </w:rPr>
      </w:pPr>
      <w:r w:rsidRPr="008849E2">
        <w:rPr>
          <w:rFonts w:ascii="Tahoma" w:eastAsia="Calibri" w:hAnsi="Tahoma" w:cs="Tahoma"/>
          <w:b/>
          <w:bCs/>
          <w:sz w:val="19"/>
          <w:szCs w:val="19"/>
          <w:rtl/>
        </w:rPr>
        <w:t>קרן חילוט ייעודית לתמיכה במאבק בסחר בבני אדם ובהחזקה בתנאי עבדות</w:t>
      </w:r>
      <w:r w:rsidRPr="008849E2">
        <w:rPr>
          <w:rFonts w:ascii="Tahoma" w:eastAsia="Calibri" w:hAnsi="Tahoma" w:cs="Tahoma"/>
          <w:sz w:val="19"/>
          <w:szCs w:val="19"/>
          <w:rtl/>
        </w:rPr>
        <w:t xml:space="preserve"> - אף שכבר בהחלטת הממשלה 1862 משנת 2022 הוטל על משרד המשפטים לקדם את הרחבת טווח העבירות שבגינן יהיה אפשר לחלט כספים למען הקרן שהוקמה לצורך תמיכה במאבק בסחר בבני אדם ובהחזקה בתנאי עבדות, הרחבת טווח העבירות טרם הושלמה.</w:t>
      </w:r>
    </w:p>
    <w:p w:rsidR="008849E2" w:rsidRPr="008849E2" w:rsidP="008849E2">
      <w:pPr>
        <w:spacing w:before="240" w:after="160" w:line="288" w:lineRule="auto"/>
        <w:ind w:left="-283" w:right="-567" w:hanging="454"/>
        <w:rPr>
          <w:rFonts w:ascii="Tahoma" w:eastAsia="Calibri" w:hAnsi="Tahoma" w:cs="Tahoma"/>
          <w:sz w:val="19"/>
          <w:szCs w:val="19"/>
          <w:rtl/>
        </w:rPr>
      </w:pPr>
      <w:r w:rsidRPr="008849E2">
        <w:rPr>
          <w:rFonts w:ascii="Tahoma" w:eastAsia="Calibri" w:hAnsi="Tahoma" w:cs="Tahoma"/>
          <w:noProof/>
          <w:sz w:val="19"/>
          <w:szCs w:val="19"/>
          <w:rtl/>
        </w:rPr>
        <w:drawing>
          <wp:inline distT="0" distB="0" distL="0" distR="0">
            <wp:extent cx="2710450" cy="207831"/>
            <wp:effectExtent l="0" t="0" r="0" b="1905"/>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ik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rsidR="008849E2" w:rsidRPr="008849E2" w:rsidP="008849E2">
      <w:pPr>
        <w:spacing w:after="240" w:line="288" w:lineRule="auto"/>
        <w:ind w:left="-150" w:right="-567"/>
        <w:rPr>
          <w:rFonts w:ascii="Tahoma" w:eastAsia="Calibri" w:hAnsi="Tahoma" w:cs="Tahoma"/>
          <w:sz w:val="19"/>
          <w:szCs w:val="19"/>
          <w:rtl/>
        </w:rPr>
      </w:pPr>
      <w:r w:rsidRPr="008849E2">
        <w:rPr>
          <w:rFonts w:ascii="Tahoma" w:eastAsia="Calibri" w:hAnsi="Tahoma" w:cs="Tahoma"/>
          <w:b/>
          <w:bCs/>
          <w:sz w:val="19"/>
          <w:szCs w:val="19"/>
          <w:rtl/>
        </w:rPr>
        <w:t>פעילות מחלק המוסר במחוז תל אביב</w:t>
      </w:r>
      <w:r w:rsidRPr="008849E2">
        <w:rPr>
          <w:rFonts w:ascii="Tahoma" w:eastAsia="Calibri" w:hAnsi="Tahoma" w:cs="Tahoma"/>
          <w:sz w:val="19"/>
          <w:szCs w:val="19"/>
          <w:rtl/>
        </w:rPr>
        <w:t xml:space="preserve"> - משרד מבקר המדינה מציין לחיוב את התמקדותו של מחלק מוסר במחוז תל אביב בטיפול בעבירות סחר בבני אדם, אשר מובילה לכך שבפועל אכיפת החוק בעניין זה עבירות סחר בבני אדם במחוז זה בולטת לטובה יחסית לשאר המחוזות במשך שנים. בשנים 2022 - 2024 נפתחו במחוז 13 תיקים רחבי היקף ומשמעותיים, הכוללים חקירות מורכבות, כתבי אישום והליכים שהסתיימו בהרשעות. </w:t>
      </w:r>
    </w:p>
    <w:tbl>
      <w:tblPr>
        <w:tblStyle w:val="26"/>
        <w:tblpPr w:leftFromText="180" w:rightFromText="180" w:vertAnchor="text" w:tblpXSpec="center" w:tblpY="1"/>
        <w:tblOverlap w:val="never"/>
        <w:bidiVisual/>
        <w:tblW w:w="9783" w:type="dxa"/>
        <w:tblLayout w:type="fixed"/>
        <w:tblLook w:val="04A0"/>
      </w:tblPr>
      <w:tblGrid>
        <w:gridCol w:w="9783"/>
      </w:tblGrid>
      <w:tr w:rsidTr="003A5532">
        <w:tblPrEx>
          <w:tblW w:w="9783" w:type="dxa"/>
          <w:tblLayout w:type="fixed"/>
          <w:tblLook w:val="04A0"/>
        </w:tblPrEx>
        <w:trPr>
          <w:trHeight w:val="851"/>
        </w:trPr>
        <w:tc>
          <w:tcPr>
            <w:tcW w:w="9783" w:type="dxa"/>
            <w:tcBorders>
              <w:top w:val="nil"/>
              <w:left w:val="nil"/>
              <w:bottom w:val="nil"/>
              <w:right w:val="nil"/>
            </w:tcBorders>
          </w:tcPr>
          <w:p w:rsidR="008849E2" w:rsidRPr="008849E2" w:rsidP="008849E2">
            <w:pPr>
              <w:spacing w:line="288" w:lineRule="auto"/>
              <w:rPr>
                <w:rFonts w:ascii="Tahoma" w:eastAsia="Calibri" w:hAnsi="Tahoma" w:cs="Tahoma"/>
                <w:szCs w:val="24"/>
                <w:rtl/>
              </w:rPr>
            </w:pPr>
            <w:r w:rsidRPr="008849E2">
              <w:rPr>
                <w:rFonts w:ascii="Tahoma" w:eastAsia="Calibri" w:hAnsi="Tahoma" w:cs="Tahoma"/>
                <w:noProof/>
                <w:rtl/>
              </w:rPr>
              <w:drawing>
                <wp:inline distT="0" distB="0" distL="0" distR="0">
                  <wp:extent cx="6091555" cy="439381"/>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תקציר תמונה 3.4.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rsidTr="003A5532">
        <w:tblPrEx>
          <w:tblW w:w="9783" w:type="dxa"/>
          <w:tblLayout w:type="fixed"/>
          <w:tblLook w:val="04A0"/>
        </w:tblPrEx>
        <w:trPr>
          <w:trHeight w:val="709"/>
        </w:trPr>
        <w:tc>
          <w:tcPr>
            <w:tcW w:w="9783" w:type="dxa"/>
            <w:tcBorders>
              <w:top w:val="nil"/>
              <w:left w:val="nil"/>
              <w:bottom w:val="nil"/>
              <w:right w:val="nil"/>
            </w:tcBorders>
            <w:shd w:val="clear" w:color="auto" w:fill="F1F5F9"/>
          </w:tcPr>
          <w:p w:rsidR="008849E2" w:rsidRPr="008849E2" w:rsidP="008849E2">
            <w:pPr>
              <w:spacing w:line="288" w:lineRule="auto"/>
              <w:ind w:left="598" w:right="173" w:hanging="598"/>
              <w:contextualSpacing/>
              <w:rPr>
                <w:rFonts w:ascii="Tahoma" w:eastAsia="Calibri" w:hAnsi="Tahoma" w:cs="Tahoma"/>
                <w:sz w:val="13"/>
                <w:szCs w:val="13"/>
              </w:rPr>
            </w:pPr>
          </w:p>
          <w:p w:rsidR="008849E2" w:rsidRPr="008849E2" w:rsidP="002C13AA">
            <w:pPr>
              <w:numPr>
                <w:ilvl w:val="0"/>
                <w:numId w:val="13"/>
              </w:numPr>
              <w:spacing w:before="60" w:after="200" w:line="288" w:lineRule="auto"/>
              <w:ind w:left="503" w:right="228" w:hanging="470"/>
              <w:jc w:val="both"/>
              <w:rPr>
                <w:rFonts w:ascii="Tahoma" w:eastAsia="Calibri" w:hAnsi="Tahoma" w:cs="Tahoma"/>
                <w:sz w:val="19"/>
                <w:szCs w:val="19"/>
              </w:rPr>
            </w:pPr>
            <w:r w:rsidRPr="008849E2">
              <w:rPr>
                <w:rFonts w:ascii="Tahoma" w:eastAsia="Calibri" w:hAnsi="Tahoma" w:cs="Tahoma"/>
                <w:sz w:val="19"/>
                <w:szCs w:val="19"/>
                <w:rtl/>
              </w:rPr>
              <w:t>על המשטרה לנקוט פעולות להגברת אכיפה יעילה ועקבית, כדי לחזק את ההרתעה ולסייע בהשגת תכליות החוק לאיסור צריכת זנות. מומלץ כי המשטרה תגביר את השימוש במידע העומד לרשותה, לרבות מדיווחי הציבור למוקד 100 בנוגע ל"מטרדי זנות"</w:t>
            </w:r>
            <w:r>
              <w:rPr>
                <w:rFonts w:ascii="Tahoma" w:eastAsia="Calibri" w:hAnsi="Tahoma" w:cs="Tahoma"/>
                <w:sz w:val="19"/>
                <w:szCs w:val="19"/>
                <w:vertAlign w:val="superscript"/>
                <w:rtl/>
              </w:rPr>
              <w:footnoteReference w:id="6"/>
            </w:r>
            <w:r w:rsidRPr="008849E2">
              <w:rPr>
                <w:rFonts w:ascii="Tahoma" w:eastAsia="Calibri" w:hAnsi="Tahoma" w:cs="Tahoma"/>
                <w:sz w:val="19"/>
                <w:szCs w:val="19"/>
                <w:rtl/>
              </w:rPr>
              <w:t xml:space="preserve">, לצורך ניתוח והכוונה של פעולות האכיפה. עוד מומלץ כי המשטרה ומשרד הבריאות יבחנו את האפשרות לשיתוף מידע ביניהם לשם איתור זירות זנות ולשם אכיפת החוק, ובכלל זה לשיתוף המידע המצטבר במרפאות לוינסקי, תוך הגנה על פרטיות המידע של המטופלים והמטופלות. כמו כן, מומלץ כי המשטרה תפעל למיצוי המידע שברשותה לגבי תופעת הסחר בבני אדם לצורכי זנות ולהרחבת המודיעין בתחום זה לצורך בחינה שיטתית של היקף התופעה, זיהוי מגמות מרכזיות וסיוע במיקוד הצעדים האופרטיביים לאכיפה בתחום. </w:t>
            </w:r>
          </w:p>
          <w:p w:rsidR="008849E2" w:rsidRPr="008849E2" w:rsidP="002C13AA">
            <w:pPr>
              <w:numPr>
                <w:ilvl w:val="0"/>
                <w:numId w:val="13"/>
              </w:numPr>
              <w:spacing w:before="60" w:after="200" w:line="288" w:lineRule="auto"/>
              <w:ind w:left="503" w:right="228" w:hanging="470"/>
              <w:jc w:val="both"/>
              <w:rPr>
                <w:rFonts w:ascii="Tahoma" w:eastAsia="Calibri" w:hAnsi="Tahoma" w:cs="Tahoma"/>
                <w:sz w:val="19"/>
                <w:szCs w:val="19"/>
              </w:rPr>
            </w:pPr>
            <w:r w:rsidRPr="008849E2">
              <w:rPr>
                <w:rFonts w:ascii="Tahoma" w:eastAsia="Calibri" w:hAnsi="Tahoma" w:cs="Tahoma"/>
                <w:sz w:val="19"/>
                <w:szCs w:val="19"/>
                <w:rtl/>
              </w:rPr>
              <w:t xml:space="preserve">מוצע כי המשטרה תבחן את ההתאמה בין משימותיה הרבות של חוליית סחר בבני אדם ובין המשאבים המוקצים לה ותתאים את דרכי פעולתה לנסיבות הקיימות. כמו כן מומלץ כי המשטרה תפעל להשלמה של הקמת מחלקי המוסר באופן מלא, תוך איוש מלא של התקנים בכל אחד מהמחלקים, ותוודא כי כל אחד מבעלי התפקידים הנדרשים מקבל את ההכשרה הנדרשת למילוי תפקידו. </w:t>
            </w:r>
          </w:p>
          <w:p w:rsidR="008849E2" w:rsidRPr="008849E2" w:rsidP="002C13AA">
            <w:pPr>
              <w:numPr>
                <w:ilvl w:val="0"/>
                <w:numId w:val="13"/>
              </w:numPr>
              <w:spacing w:before="60" w:after="200" w:line="288" w:lineRule="auto"/>
              <w:ind w:left="503" w:right="228" w:hanging="470"/>
              <w:jc w:val="both"/>
              <w:rPr>
                <w:rFonts w:ascii="Tahoma" w:eastAsia="Calibri" w:hAnsi="Tahoma" w:cs="Tahoma"/>
                <w:sz w:val="19"/>
                <w:szCs w:val="19"/>
              </w:rPr>
            </w:pPr>
            <w:r w:rsidRPr="008849E2">
              <w:rPr>
                <w:rFonts w:ascii="Tahoma" w:eastAsia="Calibri" w:hAnsi="Tahoma" w:cs="Tahoma"/>
                <w:sz w:val="19"/>
                <w:szCs w:val="19"/>
                <w:rtl/>
              </w:rPr>
              <w:t>מומלץ כי לנוכח התרחבותה המתמשכת של תופעת הזנות במרחב המקוון, יגבשו המשטרה והפרקליטות, בשיתוף הגורמים הרלוונטיים ובכלל זה המשרד לביטחון לאומי ומשרד המשפטים, תוכנית ייעודית להתמודדות עם התופעה בזירה המקוונת ויפעלו לאכיפת מוגברת במרחב המקוון. במסגרת זו,</w:t>
            </w:r>
            <w:r w:rsidRPr="008849E2">
              <w:rPr>
                <w:rFonts w:ascii="Tahoma" w:eastAsia="Calibri" w:hAnsi="Tahoma" w:cs="Tahoma"/>
                <w:szCs w:val="24"/>
                <w:rtl/>
              </w:rPr>
              <w:t xml:space="preserve"> </w:t>
            </w:r>
            <w:r w:rsidRPr="008849E2">
              <w:rPr>
                <w:rFonts w:ascii="Tahoma" w:eastAsia="Calibri" w:hAnsi="Tahoma" w:cs="Tahoma"/>
                <w:sz w:val="19"/>
                <w:szCs w:val="19"/>
                <w:rtl/>
              </w:rPr>
              <w:t>לצד היעדים לשנת 2026 שקבעה המשטרה לראשונה לעניין סגירת אתרי אינטרנט, נדרש כי</w:t>
            </w:r>
            <w:r w:rsidRPr="008849E2">
              <w:rPr>
                <w:rFonts w:ascii="Tahoma" w:eastAsia="Calibri" w:hAnsi="Tahoma" w:cs="Tahoma"/>
                <w:szCs w:val="24"/>
                <w:rtl/>
              </w:rPr>
              <w:t xml:space="preserve"> </w:t>
            </w:r>
            <w:r w:rsidRPr="008849E2">
              <w:rPr>
                <w:rFonts w:ascii="Tahoma" w:eastAsia="Calibri" w:hAnsi="Tahoma" w:cs="Tahoma"/>
                <w:sz w:val="19"/>
                <w:szCs w:val="19"/>
                <w:rtl/>
              </w:rPr>
              <w:t>כלל הגורמים האמורים יבחנו את הצורך בשיפור יכולות האיסוף המודיעיני והאכיפה היזומה באינטרנט, בפיתוח ובהטמעה של כלים טכנולוגיים מתקדמים ובשיפור מנגנוני הבקרה ושיתוף הפעולה בין כלל גורמי האכיפה.</w:t>
            </w:r>
          </w:p>
          <w:p w:rsidR="008849E2" w:rsidRPr="008849E2" w:rsidP="002C13AA">
            <w:pPr>
              <w:numPr>
                <w:ilvl w:val="0"/>
                <w:numId w:val="13"/>
              </w:numPr>
              <w:spacing w:after="200" w:line="288" w:lineRule="auto"/>
              <w:ind w:left="503" w:right="228" w:hanging="470"/>
              <w:jc w:val="both"/>
              <w:rPr>
                <w:rFonts w:ascii="Tahoma" w:eastAsia="Calibri" w:hAnsi="Tahoma" w:cs="Tahoma"/>
                <w:sz w:val="19"/>
                <w:szCs w:val="19"/>
              </w:rPr>
            </w:pPr>
            <w:r w:rsidRPr="008849E2">
              <w:rPr>
                <w:rFonts w:ascii="Tahoma" w:eastAsia="Calibri" w:hAnsi="Tahoma" w:cs="Tahoma"/>
                <w:sz w:val="19"/>
                <w:szCs w:val="19"/>
                <w:rtl/>
              </w:rPr>
              <w:t>מומלץ למשטרה לוודא כי יש הלימה בין הגדרת תחומי האחריות על פי הנוהל</w:t>
            </w:r>
            <w:r w:rsidRPr="008849E2">
              <w:rPr>
                <w:rFonts w:ascii="Tahoma" w:eastAsia="Calibri" w:hAnsi="Tahoma" w:cs="Tahoma"/>
                <w:szCs w:val="24"/>
                <w:rtl/>
              </w:rPr>
              <w:t xml:space="preserve"> </w:t>
            </w:r>
            <w:r w:rsidRPr="008849E2">
              <w:rPr>
                <w:rFonts w:ascii="Tahoma" w:eastAsia="Calibri" w:hAnsi="Tahoma" w:cs="Tahoma"/>
                <w:sz w:val="19"/>
                <w:szCs w:val="19"/>
                <w:rtl/>
              </w:rPr>
              <w:t xml:space="preserve">בנושא אכיפת חוק איסור צריכת זנות ובין פעילות הגורמים בשטח. אם יהיה צורך בכך, תגבש המשטרה מודל הפעלה חלופי, תתאים את שיטת האכיפה למודל זה ותעדכן את הנוהל בהתאם לכך, ובכלל זה תמנה גורם האחראי למעקב אחר יישומו. </w:t>
            </w:r>
          </w:p>
          <w:p w:rsidR="008849E2" w:rsidRPr="008849E2" w:rsidP="002C13AA">
            <w:pPr>
              <w:numPr>
                <w:ilvl w:val="0"/>
                <w:numId w:val="13"/>
              </w:numPr>
              <w:spacing w:after="200" w:line="288" w:lineRule="auto"/>
              <w:ind w:left="503" w:right="228" w:hanging="470"/>
              <w:jc w:val="both"/>
              <w:rPr>
                <w:rFonts w:ascii="Tahoma" w:eastAsia="Calibri" w:hAnsi="Tahoma" w:cs="Tahoma"/>
                <w:sz w:val="19"/>
                <w:szCs w:val="19"/>
              </w:rPr>
            </w:pPr>
            <w:r w:rsidRPr="008849E2">
              <w:rPr>
                <w:rFonts w:ascii="Tahoma" w:eastAsia="Calibri" w:hAnsi="Tahoma" w:cs="Tahoma"/>
                <w:sz w:val="19"/>
                <w:szCs w:val="19"/>
                <w:rtl/>
              </w:rPr>
              <w:t>על המשטרה בשיתוף עם יחידת התיאום</w:t>
            </w:r>
            <w:r w:rsidRPr="008849E2">
              <w:rPr>
                <w:rFonts w:ascii="Tahoma" w:eastAsia="Calibri" w:hAnsi="Tahoma" w:cs="Tahoma"/>
                <w:szCs w:val="24"/>
                <w:rtl/>
              </w:rPr>
              <w:t xml:space="preserve"> </w:t>
            </w:r>
            <w:r w:rsidRPr="008849E2">
              <w:rPr>
                <w:rFonts w:ascii="Tahoma" w:eastAsia="Calibri" w:hAnsi="Tahoma" w:cs="Tahoma"/>
                <w:sz w:val="19"/>
                <w:szCs w:val="19"/>
                <w:rtl/>
              </w:rPr>
              <w:t xml:space="preserve">הממשלתית למאבק בסחר בבני אדם במשרד המשפטים ומשרד הרווחה להשלים עד לסוף 2026 את גיבוש הנוהל הרוחבי להערכת דרגת האיום והמסוכנות הנשקפים לקורבנות הסחר בבני אדם במדינות המוצא, כנדרש בהחלטת הממשלה 1862. מומלץ כי הנוהל יכלול מנגנונים לאיסוף המידע הרלוונטי ממקורות מודיעיניים ובין-לאומיים, לבחינת נסיבותיו האישיות של קורבן הסחר בבני אדם ולהצלבת נתונים עם גורמי רווחה, רשות האוכלוסין ומשרד החוץ בארץ ובחו"ל. </w:t>
            </w:r>
          </w:p>
          <w:p w:rsidR="008849E2" w:rsidRPr="008849E2" w:rsidP="002C13AA">
            <w:pPr>
              <w:numPr>
                <w:ilvl w:val="0"/>
                <w:numId w:val="13"/>
              </w:numPr>
              <w:spacing w:after="240" w:line="288" w:lineRule="auto"/>
              <w:ind w:left="503" w:right="228" w:hanging="470"/>
              <w:jc w:val="both"/>
              <w:rPr>
                <w:rFonts w:ascii="Tahoma" w:eastAsia="Calibri" w:hAnsi="Tahoma" w:cs="Tahoma"/>
                <w:sz w:val="19"/>
                <w:szCs w:val="19"/>
              </w:rPr>
            </w:pPr>
            <w:r w:rsidRPr="008849E2">
              <w:rPr>
                <w:rFonts w:ascii="Tahoma" w:eastAsia="Calibri" w:hAnsi="Tahoma" w:cs="Tahoma"/>
                <w:sz w:val="19"/>
                <w:szCs w:val="19"/>
                <w:rtl/>
              </w:rPr>
              <w:t>על רשות האוכלוסין להקפיד על מתן אשרה לכל קורבן סחר בבני אדם בהתאם לסמכות המוקנית לה בנהליה, ובאופן שיאפשר להבטיח את מימוש זכויותיהם של מי שהוכרו כקורבנות סחר בבני אדם ויעודד אותם לשתף פעולה בהליכים פליליים שמבצעת המדינה בעניינן של עבירות הסחר בבני אדם.</w:t>
            </w:r>
            <w:r w:rsidRPr="008849E2">
              <w:rPr>
                <w:rFonts w:ascii="Tahoma" w:eastAsia="Calibri" w:hAnsi="Tahoma" w:cs="Tahoma"/>
                <w:szCs w:val="24"/>
                <w:rtl/>
              </w:rPr>
              <w:t xml:space="preserve"> </w:t>
            </w:r>
            <w:r w:rsidRPr="008849E2">
              <w:rPr>
                <w:rFonts w:ascii="Tahoma" w:eastAsia="Calibri" w:hAnsi="Tahoma" w:cs="Tahoma"/>
                <w:sz w:val="19"/>
                <w:szCs w:val="19"/>
                <w:rtl/>
              </w:rPr>
              <w:t>כמו כן, מומלץ שאגף הסיוע משפטי ורשות האוכלוסין יקיימו שיח משותף באשר למחלוקות ביניהם, בין היתר על בסיס מקרים פרטניים, זאת לצורך טיוב הפעולה בעתיד.</w:t>
            </w:r>
          </w:p>
          <w:p w:rsidR="008849E2" w:rsidRPr="008849E2" w:rsidP="002C13AA">
            <w:pPr>
              <w:numPr>
                <w:ilvl w:val="0"/>
                <w:numId w:val="13"/>
              </w:numPr>
              <w:spacing w:after="240" w:line="288" w:lineRule="auto"/>
              <w:ind w:left="503" w:right="228" w:hanging="470"/>
              <w:jc w:val="both"/>
              <w:rPr>
                <w:rFonts w:ascii="Tahoma" w:eastAsia="Calibri" w:hAnsi="Tahoma" w:cs="Tahoma"/>
                <w:sz w:val="19"/>
                <w:szCs w:val="19"/>
              </w:rPr>
            </w:pPr>
            <w:r w:rsidRPr="008849E2">
              <w:rPr>
                <w:rFonts w:ascii="Tahoma" w:eastAsia="Calibri" w:hAnsi="Tahoma" w:cs="Tahoma"/>
                <w:sz w:val="19"/>
                <w:szCs w:val="19"/>
                <w:rtl/>
              </w:rPr>
              <w:t>מוצע כי המשטרה תפעל בשיתוף משרד הרווחה, לפי הצורך, לשיפור הנגשת האמצעי החלופי לקנס (הליך שיקומי-חינוכי) לצרכני זנות בדרכים שונות. למשל, הנחיית השוטרים כי בעת הטלת הקנס הם יסבו את תשומת ליבם של הצרכנים הנקנסים לאפשרות להשתתף בהליך חלופי; הבלטת המידע על האפשרות לבחור באמצעי החלופי בטופס הקנס; ונקיטת פעולות הסברה נרחבות בקרב קהל היעד הפוטנציאלי.</w:t>
            </w:r>
          </w:p>
          <w:p w:rsidR="00E01370" w:rsidRPr="00E01370" w:rsidP="002C13AA">
            <w:pPr>
              <w:spacing w:before="60" w:after="240" w:line="288" w:lineRule="auto"/>
              <w:ind w:left="503" w:right="228" w:hanging="470"/>
              <w:jc w:val="both"/>
              <w:rPr>
                <w:rFonts w:ascii="Tahoma" w:eastAsia="Calibri" w:hAnsi="Tahoma" w:cs="Tahoma"/>
                <w:sz w:val="2"/>
                <w:szCs w:val="2"/>
              </w:rPr>
            </w:pPr>
          </w:p>
          <w:p w:rsidR="008849E2" w:rsidRPr="008849E2" w:rsidP="002C13AA">
            <w:pPr>
              <w:numPr>
                <w:ilvl w:val="0"/>
                <w:numId w:val="13"/>
              </w:numPr>
              <w:spacing w:before="60" w:after="240" w:line="288" w:lineRule="auto"/>
              <w:ind w:left="503" w:right="228" w:hanging="470"/>
              <w:jc w:val="both"/>
              <w:rPr>
                <w:rFonts w:ascii="Tahoma" w:eastAsia="Calibri" w:hAnsi="Tahoma" w:cs="Tahoma"/>
                <w:sz w:val="19"/>
                <w:szCs w:val="19"/>
              </w:rPr>
            </w:pPr>
            <w:r w:rsidRPr="008849E2">
              <w:rPr>
                <w:rFonts w:ascii="Tahoma" w:eastAsia="Calibri" w:hAnsi="Tahoma" w:cs="Tahoma"/>
                <w:sz w:val="19"/>
                <w:szCs w:val="19"/>
                <w:rtl/>
              </w:rPr>
              <w:t>על יחידת הת</w:t>
            </w:r>
            <w:r w:rsidR="002C13AA">
              <w:rPr>
                <w:rFonts w:ascii="Tahoma" w:eastAsia="Calibri" w:hAnsi="Tahoma" w:cs="Tahoma" w:hint="cs"/>
                <w:sz w:val="19"/>
                <w:szCs w:val="19"/>
                <w:rtl/>
              </w:rPr>
              <w:t>י</w:t>
            </w:r>
            <w:r w:rsidRPr="008849E2">
              <w:rPr>
                <w:rFonts w:ascii="Tahoma" w:eastAsia="Calibri" w:hAnsi="Tahoma" w:cs="Tahoma"/>
                <w:sz w:val="19"/>
                <w:szCs w:val="19"/>
                <w:rtl/>
              </w:rPr>
              <w:t>אום לקדם את יישום החלטת הממשלה 1862 להגדלת מספר הפונים למוקד המקוון באמצעות הקמת צוות עבודה בין-מגזרי ייעודי, וכן עליה ליזום, לתכנן ולבצע קמפיין ציבורי להגברת המודעות למוקד בקרב כלל האוכלוסיות הרלוונטיות לא יאוחר מסוף שנת 2026, כנדרש בהחלטת הממשלה. נוסף על כך, על יחידת התיאום לפתח ולהטמיע תוכנית הכשרות מקצועית ובין-משרדית סדורה אשר תכלול יעדים ברורים ומדידים. עוד מומלץ להקים תקים מנגנון מעקב שוטף אחר יישום ההכשרות, לבחון את מידת היעילות וההשפעה שלהן, לבצע בהכשרות התאמות שוטפות לצרכים המקצועיים המשתנים ולדאוג לכך שההכשרות יתקיימו באופן שיטתי ומתמשך. על יחידת התיאום להשלים את הסדרת ההסעות של קורבנות הסחר בבני אדם למקלטים הייעודיים, לתאם אותן ולפקח עליהן, כפי שנקבע בהחלטת הממשלה, כדי להבטיח מענה מהיר, בטוח ודיסקרטי על צורכי הקורבן, תוך שיתוף פעולה עם משרד הרווחה, רשות האוכלוסין והמשטרה.</w:t>
            </w:r>
          </w:p>
          <w:p w:rsidR="008849E2" w:rsidRPr="008849E2" w:rsidP="002C13AA">
            <w:pPr>
              <w:numPr>
                <w:ilvl w:val="0"/>
                <w:numId w:val="13"/>
              </w:numPr>
              <w:spacing w:after="240" w:line="288" w:lineRule="auto"/>
              <w:ind w:left="503" w:right="228" w:hanging="470"/>
              <w:jc w:val="both"/>
              <w:rPr>
                <w:rFonts w:ascii="Tahoma" w:eastAsia="Calibri" w:hAnsi="Tahoma" w:cs="Tahoma"/>
                <w:sz w:val="19"/>
                <w:szCs w:val="19"/>
                <w:rtl/>
              </w:rPr>
            </w:pPr>
            <w:r w:rsidRPr="008849E2">
              <w:rPr>
                <w:rFonts w:ascii="Tahoma" w:eastAsia="Calibri" w:hAnsi="Tahoma" w:cs="Tahoma"/>
                <w:sz w:val="19"/>
                <w:szCs w:val="19"/>
                <w:rtl/>
              </w:rPr>
              <w:t xml:space="preserve">מומלץ כי במסגרת ההרחבה של טווח העבירות שבגינן יהיה אפשר לחלט כספים למען קרן החילוט, ישקול משרד המשפטים את הרחבת מקורות הקרן בזיקה לעבירה על פי חוק איסור צריכת זנות ועבירות נלוות לתופעת הזנות, כפי שנקבע בסימן י' לחוק העונשין, באופן שכספיה ישמשו גם שורדות זנות. הרחבת מקורותיה של הקרן בד בבד עם הרחבת מטרותיה לסיוע לשורדות זנות נוסף על הסיוע לקורבנות סחר בבני אדם יאפשרו לה לנצל את משאביה למתן סיוע לנפגעות, לשיקומן ולתמיכה בהן, תוך יצירת מחויבות מוסרית וחברתית כלפי אוכלוסיות אלו. </w:t>
            </w:r>
          </w:p>
        </w:tc>
      </w:tr>
    </w:tbl>
    <w:p w:rsidR="008849E2" w:rsidRPr="008849E2" w:rsidP="008849E2">
      <w:pPr>
        <w:spacing w:before="200" w:line="288" w:lineRule="auto"/>
        <w:ind w:left="-851"/>
        <w:rPr>
          <w:rFonts w:ascii="Tahoma" w:eastAsia="Calibri" w:hAnsi="Tahoma" w:cs="Tahoma"/>
          <w:sz w:val="19"/>
          <w:szCs w:val="19"/>
          <w:rtl/>
        </w:rPr>
      </w:pPr>
    </w:p>
    <w:p w:rsidR="008849E2" w:rsidRPr="008849E2" w:rsidP="00EF1F6D">
      <w:pPr>
        <w:spacing w:before="200" w:line="288" w:lineRule="auto"/>
        <w:ind w:left="-823"/>
        <w:jc w:val="left"/>
        <w:rPr>
          <w:rFonts w:ascii="Tahoma" w:eastAsia="Calibri" w:hAnsi="Tahoma" w:cs="Tahoma"/>
          <w:b/>
          <w:bCs/>
          <w:noProof/>
          <w:color w:val="FFFFFF"/>
          <w:sz w:val="22"/>
          <w:szCs w:val="22"/>
          <w:rtl/>
        </w:rPr>
      </w:pPr>
      <w:r w:rsidRPr="008849E2">
        <w:rPr>
          <w:rFonts w:ascii="Tahoma" w:eastAsia="Calibri" w:hAnsi="Tahoma" w:cs="Tahoma"/>
          <w:b/>
          <w:bCs/>
          <w:noProof/>
          <w:color w:val="FFFFFF"/>
          <w:sz w:val="22"/>
          <w:szCs w:val="22"/>
          <w:rtl/>
        </w:rPr>
        <w:drawing>
          <wp:anchor distT="0" distB="0" distL="114300" distR="114300" simplePos="0" relativeHeight="251660288" behindDoc="1" locked="0" layoutInCell="1" allowOverlap="1">
            <wp:simplePos x="0" y="0"/>
            <wp:positionH relativeFrom="column">
              <wp:posOffset>3150870</wp:posOffset>
            </wp:positionH>
            <wp:positionV relativeFrom="paragraph">
              <wp:posOffset>58910</wp:posOffset>
            </wp:positionV>
            <wp:extent cx="2724150" cy="489585"/>
            <wp:effectExtent l="0" t="0" r="0" b="5715"/>
            <wp:wrapNone/>
            <wp:docPr id="13" name="תמונה 13"/>
            <wp:cNvGraphicFramePr/>
            <a:graphic xmlns:a="http://schemas.openxmlformats.org/drawingml/2006/main">
              <a:graphicData uri="http://schemas.openxmlformats.org/drawingml/2006/picture">
                <pic:pic xmlns:pic="http://schemas.openxmlformats.org/drawingml/2006/picture">
                  <pic:nvPicPr>
                    <pic:cNvPr id="13" name="תקציר-03.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24150" cy="489585"/>
                    </a:xfrm>
                    <a:prstGeom prst="rect">
                      <a:avLst/>
                    </a:prstGeom>
                  </pic:spPr>
                </pic:pic>
              </a:graphicData>
            </a:graphic>
            <wp14:sizeRelH relativeFrom="page">
              <wp14:pctWidth>0</wp14:pctWidth>
            </wp14:sizeRelH>
            <wp14:sizeRelV relativeFrom="page">
              <wp14:pctHeight>0</wp14:pctHeight>
            </wp14:sizeRelV>
          </wp:anchor>
        </w:drawing>
      </w:r>
      <w:r w:rsidRPr="008849E2">
        <w:rPr>
          <w:rFonts w:ascii="Tahoma" w:eastAsia="Calibri" w:hAnsi="Tahoma" w:cs="Tahoma"/>
          <w:b/>
          <w:bCs/>
          <w:noProof/>
          <w:color w:val="FFFFFF"/>
          <w:sz w:val="22"/>
          <w:szCs w:val="22"/>
          <w:rtl/>
        </w:rPr>
        <w:t>תמונת מצב האכיפה, 2022 - 2024</w:t>
      </w:r>
    </w:p>
    <w:p w:rsidR="008849E2" w:rsidRPr="008849E2" w:rsidP="008849E2">
      <w:pPr>
        <w:spacing w:line="288" w:lineRule="auto"/>
        <w:rPr>
          <w:rFonts w:ascii="Tahoma" w:eastAsia="Calibri" w:hAnsi="Tahoma" w:cs="Tahoma"/>
          <w:sz w:val="18"/>
          <w:szCs w:val="18"/>
          <w:rtl/>
        </w:rPr>
      </w:pPr>
    </w:p>
    <w:p w:rsidR="008849E2" w:rsidRPr="008849E2" w:rsidP="008849E2">
      <w:pPr>
        <w:spacing w:line="288" w:lineRule="auto"/>
        <w:ind w:left="-851"/>
        <w:jc w:val="center"/>
        <w:rPr>
          <w:rFonts w:ascii="Tahoma" w:eastAsia="Calibri" w:hAnsi="Tahoma" w:cs="Tahoma"/>
          <w:sz w:val="16"/>
          <w:szCs w:val="16"/>
          <w:rtl/>
        </w:rPr>
      </w:pPr>
      <w:bookmarkStart w:id="5" w:name="_GoBack"/>
      <w:r w:rsidRPr="008849E2">
        <w:rPr>
          <w:rFonts w:ascii="Tahoma" w:eastAsia="Calibri" w:hAnsi="Tahoma" w:cs="Tahoma"/>
          <w:noProof/>
        </w:rPr>
        <w:drawing>
          <wp:inline distT="0" distB="0" distL="0" distR="0">
            <wp:extent cx="5220970" cy="3453130"/>
            <wp:effectExtent l="0" t="0" r="0" b="0"/>
            <wp:docPr id="4" name="תמונה 4" descr="התרשים מציג נתונים באמצעות שישה עיגולים:&#10;&#10;בעיגול אחד מצוין כי למעלה מ-1,300 כתובות החשודות כזירות זנות; מתוכן מאות ברמת מהימנות גבוהה או בינונית.&#10;&#10;בעיגול שני מצוין הפחתה של 87% במספר הקנסות שהוטלו בגין צריכת זנות (4,284 קנסות).&#10;&#10;בעיגול שלישי מצוין 8.05 מיליון ש&quot;ח סכום הקנסות; מתוכו נגבו כ-4.4 מיליון ש&quot;ח (55%)***.&#10;&#10;בעיגול רביעי  מצוין 286 תיקי חקירה*; 426 חשודים**.&#10;&#10;בעיגול חמישי מצוין 36 כתבי אישום****.&#10;&#10;בעיגול שישי מצוין 30 הרשע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5"/>
                    <a:stretch>
                      <a:fillRect/>
                    </a:stretch>
                  </pic:blipFill>
                  <pic:spPr>
                    <a:xfrm>
                      <a:off x="0" y="0"/>
                      <a:ext cx="5220970" cy="3453130"/>
                    </a:xfrm>
                    <a:prstGeom prst="rect">
                      <a:avLst/>
                    </a:prstGeom>
                  </pic:spPr>
                </pic:pic>
              </a:graphicData>
            </a:graphic>
          </wp:inline>
        </w:drawing>
      </w:r>
      <w:bookmarkEnd w:id="5"/>
    </w:p>
    <w:p w:rsidR="008849E2" w:rsidRPr="008849E2" w:rsidP="008849E2">
      <w:pPr>
        <w:spacing w:line="288" w:lineRule="auto"/>
        <w:ind w:left="-850"/>
        <w:rPr>
          <w:rFonts w:ascii="Tahoma" w:eastAsia="Calibri" w:hAnsi="Tahoma" w:cs="Tahoma"/>
          <w:sz w:val="16"/>
          <w:szCs w:val="16"/>
        </w:rPr>
      </w:pPr>
      <w:r w:rsidRPr="008849E2">
        <w:rPr>
          <w:rFonts w:ascii="Tahoma" w:eastAsia="Calibri" w:hAnsi="Tahoma" w:cs="Tahoma"/>
          <w:sz w:val="16"/>
          <w:szCs w:val="16"/>
          <w:rtl/>
        </w:rPr>
        <w:t>על פי קובצי נתוני המשטרה בעיבוד משרד מבקר המדינה.</w:t>
      </w:r>
    </w:p>
    <w:p w:rsidR="008849E2" w:rsidRPr="008849E2" w:rsidP="008849E2">
      <w:pPr>
        <w:spacing w:line="288" w:lineRule="auto"/>
        <w:ind w:left="-850"/>
        <w:rPr>
          <w:rFonts w:ascii="Tahoma" w:eastAsia="Calibri" w:hAnsi="Tahoma" w:cs="Tahoma"/>
          <w:sz w:val="16"/>
          <w:szCs w:val="16"/>
          <w:rtl/>
        </w:rPr>
      </w:pPr>
      <w:r w:rsidRPr="008849E2">
        <w:rPr>
          <w:rFonts w:ascii="Tahoma" w:eastAsia="Calibri" w:hAnsi="Tahoma" w:cs="Tahoma" w:hint="cs"/>
          <w:sz w:val="16"/>
          <w:szCs w:val="16"/>
          <w:vertAlign w:val="superscript"/>
          <w:rtl/>
        </w:rPr>
        <w:t xml:space="preserve">(1) </w:t>
      </w:r>
      <w:r w:rsidRPr="008849E2">
        <w:rPr>
          <w:rFonts w:ascii="Tahoma" w:eastAsia="Calibri" w:hAnsi="Tahoma" w:cs="Tahoma"/>
          <w:sz w:val="16"/>
          <w:szCs w:val="16"/>
          <w:rtl/>
        </w:rPr>
        <w:t xml:space="preserve">תיקי חקירה שנפתחו לפי סימן י' בחוק העונשין בנושא זנות ותועבה ובעבירות סחר בבני אדם. </w:t>
      </w:r>
    </w:p>
    <w:p w:rsidR="008849E2" w:rsidRPr="008849E2" w:rsidP="008849E2">
      <w:pPr>
        <w:spacing w:line="288" w:lineRule="auto"/>
        <w:ind w:left="-850"/>
        <w:rPr>
          <w:rFonts w:ascii="Tahoma" w:eastAsia="Calibri" w:hAnsi="Tahoma" w:cs="Tahoma"/>
          <w:sz w:val="16"/>
          <w:szCs w:val="16"/>
          <w:rtl/>
        </w:rPr>
      </w:pPr>
      <w:r w:rsidRPr="008849E2">
        <w:rPr>
          <w:rFonts w:ascii="Tahoma" w:eastAsia="Calibri" w:hAnsi="Tahoma" w:cs="Tahoma" w:hint="cs"/>
          <w:sz w:val="16"/>
          <w:szCs w:val="16"/>
          <w:vertAlign w:val="superscript"/>
          <w:rtl/>
        </w:rPr>
        <w:t>(2)</w:t>
      </w:r>
      <w:r w:rsidRPr="008849E2">
        <w:rPr>
          <w:rFonts w:ascii="Tahoma" w:eastAsia="Calibri" w:hAnsi="Tahoma" w:cs="Tahoma" w:hint="cs"/>
          <w:sz w:val="16"/>
          <w:szCs w:val="16"/>
          <w:rtl/>
        </w:rPr>
        <w:t xml:space="preserve"> </w:t>
      </w:r>
      <w:r w:rsidRPr="008849E2">
        <w:rPr>
          <w:rFonts w:ascii="Tahoma" w:eastAsia="Calibri" w:hAnsi="Tahoma" w:cs="Tahoma"/>
          <w:sz w:val="16"/>
          <w:szCs w:val="16"/>
          <w:rtl/>
        </w:rPr>
        <w:t xml:space="preserve">בפועל מדובר ב-347 אנשים שחלקם חשודים ביותר מתיק חקירה אחד. </w:t>
      </w:r>
    </w:p>
    <w:p w:rsidR="008849E2" w:rsidRPr="008849E2" w:rsidP="008849E2">
      <w:pPr>
        <w:spacing w:line="288" w:lineRule="auto"/>
        <w:ind w:left="-850"/>
        <w:rPr>
          <w:rFonts w:ascii="Tahoma" w:eastAsia="Calibri" w:hAnsi="Tahoma" w:cs="Tahoma"/>
          <w:sz w:val="16"/>
          <w:szCs w:val="16"/>
          <w:rtl/>
        </w:rPr>
      </w:pPr>
      <w:r w:rsidRPr="008849E2">
        <w:rPr>
          <w:rFonts w:ascii="Tahoma" w:eastAsia="Calibri" w:hAnsi="Tahoma" w:cs="Tahoma" w:hint="cs"/>
          <w:sz w:val="16"/>
          <w:szCs w:val="16"/>
          <w:vertAlign w:val="superscript"/>
          <w:rtl/>
        </w:rPr>
        <w:t>(3)</w:t>
      </w:r>
      <w:r w:rsidRPr="008849E2">
        <w:rPr>
          <w:rFonts w:ascii="Tahoma" w:eastAsia="Calibri" w:hAnsi="Tahoma" w:cs="Tahoma"/>
          <w:sz w:val="16"/>
          <w:szCs w:val="16"/>
          <w:rtl/>
        </w:rPr>
        <w:t xml:space="preserve"> קנסות מכוח חוק איסור צריכת זנות; בתוספת פיגורים, יתרת החוב הסתכמה בכ-6.53 מיליון ש"ח - 81% מהסכום המקורי.</w:t>
      </w:r>
    </w:p>
    <w:p w:rsidR="008849E2" w:rsidP="008849E2">
      <w:pPr>
        <w:spacing w:line="288" w:lineRule="auto"/>
        <w:ind w:left="-850"/>
        <w:rPr>
          <w:rFonts w:ascii="Tahoma" w:eastAsia="Calibri" w:hAnsi="Tahoma" w:cs="Tahoma"/>
          <w:sz w:val="16"/>
          <w:szCs w:val="16"/>
          <w:rtl/>
        </w:rPr>
      </w:pPr>
      <w:r w:rsidRPr="008849E2">
        <w:rPr>
          <w:rFonts w:ascii="Tahoma" w:eastAsia="Calibri" w:hAnsi="Tahoma" w:cs="Tahoma" w:hint="cs"/>
          <w:sz w:val="16"/>
          <w:szCs w:val="16"/>
          <w:vertAlign w:val="superscript"/>
          <w:rtl/>
        </w:rPr>
        <w:t>(4)</w:t>
      </w:r>
      <w:r w:rsidRPr="008849E2">
        <w:rPr>
          <w:rFonts w:ascii="Tahoma" w:eastAsia="Calibri" w:hAnsi="Tahoma" w:cs="Tahoma"/>
          <w:sz w:val="16"/>
          <w:szCs w:val="16"/>
          <w:vertAlign w:val="superscript"/>
          <w:rtl/>
        </w:rPr>
        <w:t xml:space="preserve"> </w:t>
      </w:r>
      <w:r w:rsidRPr="008849E2">
        <w:rPr>
          <w:rFonts w:ascii="Tahoma" w:eastAsia="Calibri" w:hAnsi="Tahoma" w:cs="Tahoma"/>
          <w:sz w:val="16"/>
          <w:szCs w:val="16"/>
          <w:rtl/>
        </w:rPr>
        <w:t>תיקים שהוגשו בהם כתבי אישום (66 נאשמים).</w:t>
      </w:r>
    </w:p>
    <w:p w:rsidR="00077C3D" w:rsidRPr="008849E2" w:rsidP="008849E2">
      <w:pPr>
        <w:spacing w:line="288" w:lineRule="auto"/>
        <w:ind w:left="-850"/>
        <w:rPr>
          <w:rFonts w:ascii="Tahoma" w:eastAsia="Calibri" w:hAnsi="Tahoma" w:cs="Tahoma"/>
          <w:sz w:val="16"/>
          <w:szCs w:val="16"/>
          <w:rtl/>
        </w:rPr>
      </w:pPr>
    </w:p>
    <w:p w:rsidR="008849E2" w:rsidRPr="008849E2" w:rsidP="002C13AA">
      <w:pPr>
        <w:spacing w:line="480" w:lineRule="auto"/>
        <w:ind w:left="-851"/>
        <w:rPr>
          <w:rFonts w:ascii="Tahoma" w:eastAsia="Calibri" w:hAnsi="Tahoma" w:cs="Tahoma"/>
          <w:sz w:val="19"/>
          <w:szCs w:val="19"/>
          <w:rtl/>
        </w:rPr>
      </w:pPr>
      <w:r w:rsidRPr="008849E2">
        <w:rPr>
          <w:rFonts w:ascii="Tahoma" w:eastAsia="Calibri" w:hAnsi="Tahoma" w:cs="Tahoma"/>
          <w:noProof/>
        </w:rPr>
        <w:drawing>
          <wp:inline distT="0" distB="0" distL="0" distR="0">
            <wp:extent cx="6128084" cy="304165"/>
            <wp:effectExtent l="0" t="0" r="6350" b="635"/>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4"/>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42716" cy="304891"/>
                    </a:xfrm>
                    <a:prstGeom prst="rect">
                      <a:avLst/>
                    </a:prstGeom>
                    <a:noFill/>
                    <a:ln>
                      <a:noFill/>
                    </a:ln>
                  </pic:spPr>
                </pic:pic>
              </a:graphicData>
            </a:graphic>
          </wp:inline>
        </w:drawing>
      </w:r>
    </w:p>
    <w:p w:rsidR="008849E2" w:rsidRPr="008849E2" w:rsidP="008849E2">
      <w:pPr>
        <w:spacing w:line="288" w:lineRule="auto"/>
        <w:ind w:left="-851"/>
        <w:rPr>
          <w:rFonts w:ascii="Tahoma" w:eastAsia="Calibri" w:hAnsi="Tahoma" w:cs="Tahoma"/>
          <w:sz w:val="13"/>
          <w:szCs w:val="13"/>
          <w:rtl/>
        </w:rPr>
      </w:pPr>
    </w:p>
    <w:p w:rsidR="008849E2" w:rsidRPr="008849E2" w:rsidP="00077C3D">
      <w:pPr>
        <w:spacing w:after="120" w:line="288" w:lineRule="auto"/>
        <w:ind w:left="-851" w:right="-567"/>
        <w:rPr>
          <w:rFonts w:ascii="Tahoma" w:eastAsia="Calibri" w:hAnsi="Tahoma" w:cs="Tahoma"/>
          <w:b/>
          <w:sz w:val="19"/>
          <w:szCs w:val="19"/>
          <w:rtl/>
        </w:rPr>
      </w:pPr>
      <w:bookmarkStart w:id="6" w:name="_Hlk232342354"/>
      <w:r w:rsidRPr="008849E2">
        <w:rPr>
          <w:rFonts w:ascii="Tahoma" w:eastAsia="Calibri" w:hAnsi="Tahoma" w:cs="Tahoma"/>
          <w:b/>
          <w:sz w:val="19"/>
          <w:szCs w:val="19"/>
          <w:rtl/>
        </w:rPr>
        <w:t xml:space="preserve">החובה </w:t>
      </w:r>
      <w:r w:rsidRPr="008849E2">
        <w:rPr>
          <w:rFonts w:ascii="Tahoma" w:eastAsia="Calibri" w:hAnsi="Tahoma" w:cs="Tahoma" w:hint="cs"/>
          <w:b/>
          <w:sz w:val="19"/>
          <w:szCs w:val="19"/>
          <w:rtl/>
        </w:rPr>
        <w:t xml:space="preserve">החוקתית </w:t>
      </w:r>
      <w:r w:rsidRPr="008849E2">
        <w:rPr>
          <w:rFonts w:ascii="Tahoma" w:eastAsia="Calibri" w:hAnsi="Tahoma" w:cs="Tahoma"/>
          <w:b/>
          <w:sz w:val="19"/>
          <w:szCs w:val="19"/>
          <w:rtl/>
        </w:rPr>
        <w:t>להגן על כבוד האדם, חירותו ושלמות גופו מצוי</w:t>
      </w:r>
      <w:r w:rsidRPr="008849E2">
        <w:rPr>
          <w:rFonts w:ascii="Tahoma" w:eastAsia="Calibri" w:hAnsi="Tahoma" w:cs="Tahoma" w:hint="cs"/>
          <w:b/>
          <w:sz w:val="19"/>
          <w:szCs w:val="19"/>
          <w:rtl/>
        </w:rPr>
        <w:t>ה</w:t>
      </w:r>
      <w:r w:rsidRPr="008849E2">
        <w:rPr>
          <w:rFonts w:ascii="Tahoma" w:eastAsia="Calibri" w:hAnsi="Tahoma" w:cs="Tahoma"/>
          <w:b/>
          <w:sz w:val="19"/>
          <w:szCs w:val="19"/>
          <w:rtl/>
        </w:rPr>
        <w:t xml:space="preserve"> בליבת חובותיה של המדינה</w:t>
      </w:r>
      <w:r w:rsidRPr="008849E2">
        <w:rPr>
          <w:rFonts w:ascii="Tahoma" w:eastAsia="Calibri" w:hAnsi="Tahoma" w:cs="Tahoma" w:hint="cs"/>
          <w:b/>
          <w:sz w:val="19"/>
          <w:szCs w:val="19"/>
          <w:rtl/>
        </w:rPr>
        <w:t xml:space="preserve">. </w:t>
      </w:r>
      <w:r w:rsidRPr="008849E2">
        <w:rPr>
          <w:rFonts w:ascii="Tahoma" w:eastAsia="Calibri" w:hAnsi="Tahoma" w:cs="Tahoma"/>
          <w:b/>
          <w:sz w:val="19"/>
          <w:szCs w:val="19"/>
          <w:rtl/>
        </w:rPr>
        <w:t>תופע</w:t>
      </w:r>
      <w:r w:rsidRPr="008849E2">
        <w:rPr>
          <w:rFonts w:ascii="Tahoma" w:eastAsia="Calibri" w:hAnsi="Tahoma" w:cs="Tahoma" w:hint="cs"/>
          <w:b/>
          <w:sz w:val="19"/>
          <w:szCs w:val="19"/>
          <w:rtl/>
        </w:rPr>
        <w:t>ו</w:t>
      </w:r>
      <w:r w:rsidRPr="008849E2">
        <w:rPr>
          <w:rFonts w:ascii="Tahoma" w:eastAsia="Calibri" w:hAnsi="Tahoma" w:cs="Tahoma"/>
          <w:b/>
          <w:sz w:val="19"/>
          <w:szCs w:val="19"/>
          <w:rtl/>
        </w:rPr>
        <w:t>ת הזנות ו</w:t>
      </w:r>
      <w:r w:rsidRPr="008849E2">
        <w:rPr>
          <w:rFonts w:ascii="Tahoma" w:eastAsia="Calibri" w:hAnsi="Tahoma" w:cs="Tahoma" w:hint="cs"/>
          <w:b/>
          <w:sz w:val="19"/>
          <w:szCs w:val="19"/>
          <w:rtl/>
        </w:rPr>
        <w:t>ה</w:t>
      </w:r>
      <w:r w:rsidRPr="008849E2">
        <w:rPr>
          <w:rFonts w:ascii="Tahoma" w:eastAsia="Calibri" w:hAnsi="Tahoma" w:cs="Tahoma"/>
          <w:b/>
          <w:sz w:val="19"/>
          <w:szCs w:val="19"/>
          <w:rtl/>
        </w:rPr>
        <w:t>סחר בבני אדם</w:t>
      </w:r>
      <w:r w:rsidRPr="008849E2">
        <w:rPr>
          <w:rFonts w:ascii="Tahoma" w:eastAsia="Calibri" w:hAnsi="Tahoma" w:cs="Tahoma" w:hint="cs"/>
          <w:b/>
          <w:sz w:val="19"/>
          <w:szCs w:val="19"/>
          <w:rtl/>
        </w:rPr>
        <w:t xml:space="preserve"> למטרות זנות גורמות ל</w:t>
      </w:r>
      <w:r w:rsidRPr="008849E2">
        <w:rPr>
          <w:rFonts w:ascii="Tahoma" w:eastAsia="Calibri" w:hAnsi="Tahoma" w:cs="Tahoma"/>
          <w:b/>
          <w:sz w:val="19"/>
          <w:szCs w:val="19"/>
          <w:rtl/>
        </w:rPr>
        <w:t xml:space="preserve">פגיעות חמורות בזכויות אדם בסיסיות </w:t>
      </w:r>
      <w:r w:rsidRPr="008849E2">
        <w:rPr>
          <w:rFonts w:ascii="Tahoma" w:eastAsia="Calibri" w:hAnsi="Tahoma" w:cs="Tahoma" w:hint="cs"/>
          <w:b/>
          <w:sz w:val="19"/>
          <w:szCs w:val="19"/>
          <w:rtl/>
        </w:rPr>
        <w:t xml:space="preserve">ומשקפות </w:t>
      </w:r>
      <w:r w:rsidRPr="008849E2">
        <w:rPr>
          <w:rFonts w:ascii="Tahoma" w:eastAsia="Calibri" w:hAnsi="Tahoma" w:cs="Tahoma"/>
          <w:b/>
          <w:sz w:val="19"/>
          <w:szCs w:val="19"/>
          <w:rtl/>
        </w:rPr>
        <w:t>פגיעוּת חברתית עמוקה</w:t>
      </w:r>
      <w:r w:rsidRPr="008849E2">
        <w:rPr>
          <w:rFonts w:ascii="Tahoma" w:eastAsia="Calibri" w:hAnsi="Tahoma" w:cs="Tahoma" w:hint="cs"/>
          <w:b/>
          <w:sz w:val="19"/>
          <w:szCs w:val="19"/>
          <w:rtl/>
        </w:rPr>
        <w:t>, אי-שוויון כלכלי, ולרוב גם מגדרי,</w:t>
      </w:r>
      <w:r w:rsidRPr="008849E2">
        <w:rPr>
          <w:rFonts w:ascii="Tahoma" w:eastAsia="Calibri" w:hAnsi="Tahoma" w:cs="Tahoma"/>
          <w:b/>
          <w:sz w:val="19"/>
          <w:szCs w:val="19"/>
          <w:rtl/>
        </w:rPr>
        <w:t xml:space="preserve"> </w:t>
      </w:r>
      <w:r w:rsidRPr="008849E2">
        <w:rPr>
          <w:rFonts w:ascii="Tahoma" w:eastAsia="Calibri" w:hAnsi="Tahoma" w:cs="Tahoma" w:hint="cs"/>
          <w:b/>
          <w:sz w:val="19"/>
          <w:szCs w:val="19"/>
          <w:rtl/>
        </w:rPr>
        <w:t xml:space="preserve">וכן </w:t>
      </w:r>
      <w:r w:rsidRPr="008849E2">
        <w:rPr>
          <w:rFonts w:ascii="Tahoma" w:eastAsia="Calibri" w:hAnsi="Tahoma" w:cs="Tahoma"/>
          <w:b/>
          <w:sz w:val="19"/>
          <w:szCs w:val="19"/>
          <w:rtl/>
        </w:rPr>
        <w:t>פעילות עבריינית</w:t>
      </w:r>
      <w:r w:rsidRPr="008849E2">
        <w:rPr>
          <w:rFonts w:ascii="Tahoma" w:eastAsia="Calibri" w:hAnsi="Tahoma" w:cs="Tahoma" w:hint="cs"/>
          <w:b/>
          <w:sz w:val="19"/>
          <w:szCs w:val="19"/>
          <w:rtl/>
        </w:rPr>
        <w:t>,</w:t>
      </w:r>
      <w:r w:rsidRPr="008849E2">
        <w:rPr>
          <w:rFonts w:ascii="Tahoma" w:eastAsia="Calibri" w:hAnsi="Tahoma" w:cs="Tahoma"/>
          <w:b/>
          <w:sz w:val="19"/>
          <w:szCs w:val="19"/>
          <w:rtl/>
        </w:rPr>
        <w:t xml:space="preserve"> </w:t>
      </w:r>
      <w:r w:rsidRPr="008849E2">
        <w:rPr>
          <w:rFonts w:ascii="Tahoma" w:eastAsia="Calibri" w:hAnsi="Tahoma" w:cs="Tahoma" w:hint="cs"/>
          <w:b/>
          <w:sz w:val="19"/>
          <w:szCs w:val="19"/>
          <w:rtl/>
        </w:rPr>
        <w:t xml:space="preserve">לעיתים </w:t>
      </w:r>
      <w:r w:rsidRPr="008849E2">
        <w:rPr>
          <w:rFonts w:ascii="Tahoma" w:eastAsia="Calibri" w:hAnsi="Tahoma" w:cs="Tahoma"/>
          <w:b/>
          <w:sz w:val="19"/>
          <w:szCs w:val="19"/>
          <w:rtl/>
        </w:rPr>
        <w:t xml:space="preserve">מאורגנת </w:t>
      </w:r>
      <w:r w:rsidRPr="008849E2">
        <w:rPr>
          <w:rFonts w:ascii="Tahoma" w:eastAsia="Calibri" w:hAnsi="Tahoma" w:cs="Tahoma" w:hint="cs"/>
          <w:b/>
          <w:sz w:val="19"/>
          <w:szCs w:val="19"/>
          <w:rtl/>
        </w:rPr>
        <w:t>ו</w:t>
      </w:r>
      <w:r w:rsidRPr="008849E2">
        <w:rPr>
          <w:rFonts w:ascii="Tahoma" w:eastAsia="Calibri" w:hAnsi="Tahoma" w:cs="Tahoma"/>
          <w:b/>
          <w:sz w:val="19"/>
          <w:szCs w:val="19"/>
          <w:rtl/>
        </w:rPr>
        <w:t>חוצת גבולות. לפיכך, אופן התמודדותן של רשויות המדינה עם תופע</w:t>
      </w:r>
      <w:r w:rsidRPr="008849E2">
        <w:rPr>
          <w:rFonts w:ascii="Tahoma" w:eastAsia="Calibri" w:hAnsi="Tahoma" w:cs="Tahoma" w:hint="cs"/>
          <w:b/>
          <w:sz w:val="19"/>
          <w:szCs w:val="19"/>
          <w:rtl/>
        </w:rPr>
        <w:t>ות אלו</w:t>
      </w:r>
      <w:r w:rsidRPr="008849E2">
        <w:rPr>
          <w:rFonts w:ascii="Tahoma" w:eastAsia="Calibri" w:hAnsi="Tahoma" w:cs="Tahoma"/>
          <w:b/>
          <w:sz w:val="19"/>
          <w:szCs w:val="19"/>
          <w:rtl/>
        </w:rPr>
        <w:t xml:space="preserve"> </w:t>
      </w:r>
      <w:r w:rsidRPr="008849E2">
        <w:rPr>
          <w:rFonts w:ascii="Tahoma" w:eastAsia="Calibri" w:hAnsi="Tahoma" w:cs="Tahoma" w:hint="cs"/>
          <w:b/>
          <w:sz w:val="19"/>
          <w:szCs w:val="19"/>
          <w:rtl/>
        </w:rPr>
        <w:t>הוא</w:t>
      </w:r>
      <w:r w:rsidRPr="008849E2">
        <w:rPr>
          <w:rFonts w:ascii="Tahoma" w:eastAsia="Calibri" w:hAnsi="Tahoma" w:cs="Tahoma"/>
          <w:b/>
          <w:sz w:val="19"/>
          <w:szCs w:val="19"/>
          <w:rtl/>
        </w:rPr>
        <w:t xml:space="preserve"> מדד מרכזי למחויבותה של המדינה לערכיה המוצהרים, לשלטון החוק וליישום אפקטיבי של חקיקה שנועדה להגן על אוכלוסיות מוחלשות. </w:t>
      </w:r>
      <w:r w:rsidRPr="008849E2">
        <w:rPr>
          <w:rFonts w:ascii="Tahoma" w:eastAsia="Calibri" w:hAnsi="Tahoma" w:cs="Tahoma" w:hint="cs"/>
          <w:b/>
          <w:sz w:val="19"/>
          <w:szCs w:val="19"/>
          <w:rtl/>
        </w:rPr>
        <w:t xml:space="preserve">לפעולות האכיפה בתחום זה יש </w:t>
      </w:r>
      <w:r w:rsidRPr="008849E2">
        <w:rPr>
          <w:rFonts w:ascii="Tahoma" w:eastAsia="Calibri" w:hAnsi="Tahoma" w:cs="Tahoma"/>
          <w:b/>
          <w:sz w:val="19"/>
          <w:szCs w:val="19"/>
          <w:rtl/>
        </w:rPr>
        <w:t xml:space="preserve">ערך מוסרי וחברתי ראשון במעלה, </w:t>
      </w:r>
      <w:r w:rsidRPr="008849E2">
        <w:rPr>
          <w:rFonts w:ascii="Tahoma" w:eastAsia="Calibri" w:hAnsi="Tahoma" w:cs="Tahoma" w:hint="cs"/>
          <w:b/>
          <w:sz w:val="19"/>
          <w:szCs w:val="19"/>
          <w:rtl/>
        </w:rPr>
        <w:t>ו</w:t>
      </w:r>
      <w:r w:rsidRPr="008849E2">
        <w:rPr>
          <w:rFonts w:ascii="Tahoma" w:eastAsia="Calibri" w:hAnsi="Tahoma" w:cs="Tahoma"/>
          <w:b/>
          <w:sz w:val="19"/>
          <w:szCs w:val="19"/>
          <w:rtl/>
        </w:rPr>
        <w:t xml:space="preserve">הדבר אף </w:t>
      </w:r>
      <w:r w:rsidRPr="008849E2">
        <w:rPr>
          <w:rFonts w:ascii="Tahoma" w:eastAsia="Calibri" w:hAnsi="Tahoma" w:cs="Tahoma" w:hint="cs"/>
          <w:b/>
          <w:sz w:val="19"/>
          <w:szCs w:val="19"/>
          <w:rtl/>
        </w:rPr>
        <w:t>עולה</w:t>
      </w:r>
      <w:r w:rsidRPr="008849E2">
        <w:rPr>
          <w:rFonts w:ascii="Tahoma" w:eastAsia="Calibri" w:hAnsi="Tahoma" w:cs="Tahoma"/>
          <w:b/>
          <w:sz w:val="19"/>
          <w:szCs w:val="19"/>
          <w:rtl/>
        </w:rPr>
        <w:t xml:space="preserve"> מחובותיה של המדינה בהיבטי אכיפה, הגנה ומניעה </w:t>
      </w:r>
      <w:r w:rsidRPr="008849E2">
        <w:rPr>
          <w:rFonts w:ascii="Tahoma" w:eastAsia="Calibri" w:hAnsi="Tahoma" w:cs="Tahoma" w:hint="cs"/>
          <w:b/>
          <w:sz w:val="19"/>
          <w:szCs w:val="19"/>
          <w:rtl/>
        </w:rPr>
        <w:t>בכל הנוגע ל</w:t>
      </w:r>
      <w:r w:rsidRPr="008849E2">
        <w:rPr>
          <w:rFonts w:ascii="Tahoma" w:eastAsia="Calibri" w:hAnsi="Tahoma" w:cs="Tahoma"/>
          <w:b/>
          <w:sz w:val="19"/>
          <w:szCs w:val="19"/>
          <w:rtl/>
        </w:rPr>
        <w:t xml:space="preserve">סחר בבני אדם מכוח אמנות </w:t>
      </w:r>
      <w:r w:rsidR="00A34A69">
        <w:rPr>
          <w:rFonts w:ascii="Tahoma" w:eastAsia="Calibri" w:hAnsi="Tahoma" w:cs="Tahoma"/>
          <w:b/>
          <w:sz w:val="19"/>
          <w:szCs w:val="19"/>
          <w:rtl/>
        </w:rPr>
        <w:br/>
      </w:r>
      <w:r w:rsidRPr="008849E2">
        <w:rPr>
          <w:rFonts w:ascii="Tahoma" w:eastAsia="Calibri" w:hAnsi="Tahoma" w:cs="Tahoma"/>
          <w:b/>
          <w:sz w:val="19"/>
          <w:szCs w:val="19"/>
          <w:rtl/>
        </w:rPr>
        <w:t>בין-לאומיות שהיא צד להן.</w:t>
      </w:r>
    </w:p>
    <w:p w:rsidR="008849E2" w:rsidRPr="008849E2" w:rsidP="00077C3D">
      <w:pPr>
        <w:spacing w:after="120" w:line="288" w:lineRule="auto"/>
        <w:ind w:left="-851" w:right="-567"/>
        <w:rPr>
          <w:rFonts w:ascii="Tahoma" w:eastAsia="Calibri" w:hAnsi="Tahoma" w:cs="Tahoma"/>
          <w:b/>
          <w:sz w:val="19"/>
          <w:szCs w:val="19"/>
          <w:rtl/>
        </w:rPr>
      </w:pPr>
      <w:r w:rsidRPr="008849E2">
        <w:rPr>
          <w:rFonts w:ascii="Tahoma" w:eastAsia="Calibri" w:hAnsi="Tahoma" w:cs="Tahoma"/>
          <w:b/>
          <w:sz w:val="19"/>
          <w:szCs w:val="19"/>
          <w:rtl/>
        </w:rPr>
        <w:t xml:space="preserve">נכון לשנת 2014 </w:t>
      </w:r>
      <w:r w:rsidRPr="008849E2">
        <w:rPr>
          <w:rFonts w:ascii="Tahoma" w:eastAsia="Calibri" w:hAnsi="Tahoma" w:cs="Tahoma" w:hint="cs"/>
          <w:b/>
          <w:sz w:val="19"/>
          <w:szCs w:val="19"/>
          <w:rtl/>
        </w:rPr>
        <w:t xml:space="preserve">היו </w:t>
      </w:r>
      <w:r w:rsidRPr="008849E2">
        <w:rPr>
          <w:rFonts w:ascii="Tahoma" w:eastAsia="Calibri" w:hAnsi="Tahoma" w:cs="Tahoma" w:hint="eastAsia"/>
          <w:b/>
          <w:sz w:val="19"/>
          <w:szCs w:val="19"/>
          <w:rtl/>
        </w:rPr>
        <w:t>כ</w:t>
      </w:r>
      <w:r w:rsidRPr="008849E2">
        <w:rPr>
          <w:rFonts w:ascii="Tahoma" w:eastAsia="Calibri" w:hAnsi="Tahoma" w:cs="Tahoma"/>
          <w:b/>
          <w:sz w:val="19"/>
          <w:szCs w:val="19"/>
          <w:rtl/>
        </w:rPr>
        <w:t xml:space="preserve">-12,000 </w:t>
      </w:r>
      <w:r w:rsidRPr="008849E2">
        <w:rPr>
          <w:rFonts w:ascii="Tahoma" w:eastAsia="Calibri" w:hAnsi="Tahoma" w:cs="Tahoma" w:hint="eastAsia"/>
          <w:b/>
          <w:sz w:val="19"/>
          <w:szCs w:val="19"/>
          <w:rtl/>
        </w:rPr>
        <w:t>נשים</w:t>
      </w:r>
      <w:r w:rsidRPr="008849E2">
        <w:rPr>
          <w:rFonts w:ascii="Tahoma" w:eastAsia="Calibri" w:hAnsi="Tahoma" w:cs="Tahoma"/>
          <w:b/>
          <w:sz w:val="19"/>
          <w:szCs w:val="19"/>
          <w:rtl/>
        </w:rPr>
        <w:t xml:space="preserve"> </w:t>
      </w:r>
      <w:r w:rsidRPr="008849E2">
        <w:rPr>
          <w:rFonts w:ascii="Tahoma" w:eastAsia="Calibri" w:hAnsi="Tahoma" w:cs="Tahoma" w:hint="eastAsia"/>
          <w:b/>
          <w:sz w:val="19"/>
          <w:szCs w:val="19"/>
          <w:rtl/>
        </w:rPr>
        <w:t>וגברים</w:t>
      </w:r>
      <w:r w:rsidRPr="008849E2">
        <w:rPr>
          <w:rFonts w:ascii="Tahoma" w:eastAsia="Calibri" w:hAnsi="Tahoma" w:cs="Tahoma"/>
          <w:b/>
          <w:sz w:val="19"/>
          <w:szCs w:val="19"/>
          <w:rtl/>
        </w:rPr>
        <w:t xml:space="preserve"> במעגל הזנות (95% </w:t>
      </w:r>
      <w:r w:rsidRPr="008849E2">
        <w:rPr>
          <w:rFonts w:ascii="Tahoma" w:eastAsia="Calibri" w:hAnsi="Tahoma" w:cs="Tahoma" w:hint="eastAsia"/>
          <w:b/>
          <w:sz w:val="19"/>
          <w:szCs w:val="19"/>
          <w:rtl/>
        </w:rPr>
        <w:t>מהם</w:t>
      </w:r>
      <w:r w:rsidRPr="008849E2">
        <w:rPr>
          <w:rFonts w:ascii="Tahoma" w:eastAsia="Calibri" w:hAnsi="Tahoma" w:cs="Tahoma"/>
          <w:b/>
          <w:sz w:val="19"/>
          <w:szCs w:val="19"/>
          <w:rtl/>
        </w:rPr>
        <w:t xml:space="preserve"> </w:t>
      </w:r>
      <w:r w:rsidRPr="008849E2">
        <w:rPr>
          <w:rFonts w:ascii="Tahoma" w:eastAsia="Calibri" w:hAnsi="Tahoma" w:cs="Tahoma" w:hint="eastAsia"/>
          <w:b/>
          <w:sz w:val="19"/>
          <w:szCs w:val="19"/>
          <w:rtl/>
        </w:rPr>
        <w:t>נשים</w:t>
      </w:r>
      <w:r w:rsidRPr="008849E2">
        <w:rPr>
          <w:rFonts w:ascii="Tahoma" w:eastAsia="Calibri" w:hAnsi="Tahoma" w:cs="Tahoma"/>
          <w:b/>
          <w:sz w:val="19"/>
          <w:szCs w:val="19"/>
          <w:rtl/>
        </w:rPr>
        <w:t>)</w:t>
      </w:r>
      <w:r w:rsidRPr="008849E2">
        <w:rPr>
          <w:rFonts w:ascii="Tahoma" w:eastAsia="Calibri" w:hAnsi="Tahoma" w:cs="Tahoma" w:hint="cs"/>
          <w:b/>
          <w:sz w:val="19"/>
          <w:szCs w:val="19"/>
          <w:rtl/>
        </w:rPr>
        <w:t xml:space="preserve">, מתוכם </w:t>
      </w:r>
      <w:r w:rsidRPr="008849E2">
        <w:rPr>
          <w:rFonts w:ascii="Tahoma" w:eastAsia="Calibri" w:hAnsi="Tahoma" w:cs="Tahoma"/>
          <w:b/>
          <w:sz w:val="19"/>
          <w:szCs w:val="19"/>
          <w:rtl/>
        </w:rPr>
        <w:t>כ-1,300 קטינ</w:t>
      </w:r>
      <w:r w:rsidRPr="008849E2">
        <w:rPr>
          <w:rFonts w:ascii="Tahoma" w:eastAsia="Calibri" w:hAnsi="Tahoma" w:cs="Tahoma" w:hint="cs"/>
          <w:b/>
          <w:sz w:val="19"/>
          <w:szCs w:val="19"/>
          <w:rtl/>
        </w:rPr>
        <w:t>ות</w:t>
      </w:r>
      <w:r w:rsidRPr="008849E2">
        <w:rPr>
          <w:rFonts w:ascii="Tahoma" w:eastAsia="Calibri" w:hAnsi="Tahoma" w:cs="Tahoma"/>
          <w:b/>
          <w:sz w:val="19"/>
          <w:szCs w:val="19"/>
          <w:rtl/>
        </w:rPr>
        <w:t xml:space="preserve"> וקטינ</w:t>
      </w:r>
      <w:r w:rsidRPr="008849E2">
        <w:rPr>
          <w:rFonts w:ascii="Tahoma" w:eastAsia="Calibri" w:hAnsi="Tahoma" w:cs="Tahoma" w:hint="cs"/>
          <w:b/>
          <w:sz w:val="19"/>
          <w:szCs w:val="19"/>
          <w:rtl/>
        </w:rPr>
        <w:t>ים,</w:t>
      </w:r>
      <w:r w:rsidRPr="008849E2">
        <w:rPr>
          <w:rFonts w:ascii="Tahoma" w:eastAsia="Calibri" w:hAnsi="Tahoma" w:cs="Tahoma"/>
          <w:b/>
          <w:sz w:val="19"/>
          <w:szCs w:val="19"/>
          <w:rtl/>
        </w:rPr>
        <w:t xml:space="preserve"> גיל הכניסה הממוצע </w:t>
      </w:r>
      <w:r w:rsidRPr="008849E2">
        <w:rPr>
          <w:rFonts w:ascii="Tahoma" w:eastAsia="Calibri" w:hAnsi="Tahoma" w:cs="Tahoma" w:hint="cs"/>
          <w:b/>
          <w:sz w:val="19"/>
          <w:szCs w:val="19"/>
          <w:rtl/>
        </w:rPr>
        <w:t>למעגל זה היה 13 - 14,</w:t>
      </w:r>
      <w:r w:rsidRPr="008849E2">
        <w:rPr>
          <w:rFonts w:ascii="Tahoma" w:eastAsia="Calibri" w:hAnsi="Tahoma" w:cs="Tahoma"/>
          <w:b/>
          <w:sz w:val="19"/>
          <w:szCs w:val="19"/>
          <w:rtl/>
        </w:rPr>
        <w:t xml:space="preserve"> והאומדן המצטבר של התשלומים עבור צריכת זנות היה כ-1.3 מיליארד </w:t>
      </w:r>
      <w:r w:rsidRPr="008849E2">
        <w:rPr>
          <w:rFonts w:ascii="Tahoma" w:eastAsia="Calibri" w:hAnsi="Tahoma" w:cs="Tahoma" w:hint="cs"/>
          <w:b/>
          <w:sz w:val="19"/>
          <w:szCs w:val="19"/>
          <w:rtl/>
        </w:rPr>
        <w:t xml:space="preserve">ש"ח. ההנחה של גורמים העוסקים בתחום היא כי מספרם של הקטינים שבמעגל הזנות נכון לשנת 2025 היה 3,000 - 5,000. </w:t>
      </w:r>
    </w:p>
    <w:p w:rsidR="008849E2" w:rsidRPr="008849E2" w:rsidP="00077C3D">
      <w:pPr>
        <w:spacing w:after="120" w:line="288" w:lineRule="auto"/>
        <w:ind w:left="-851" w:right="-567"/>
        <w:rPr>
          <w:rFonts w:ascii="Tahoma" w:eastAsia="Calibri" w:hAnsi="Tahoma" w:cs="Tahoma"/>
          <w:b/>
          <w:sz w:val="19"/>
          <w:szCs w:val="19"/>
          <w:rtl/>
        </w:rPr>
      </w:pPr>
      <w:r w:rsidRPr="008849E2">
        <w:rPr>
          <w:rFonts w:ascii="Tahoma" w:eastAsia="Calibri" w:hAnsi="Tahoma" w:cs="Tahoma"/>
          <w:b/>
          <w:sz w:val="19"/>
          <w:szCs w:val="19"/>
          <w:rtl/>
        </w:rPr>
        <w:t>חוק איסור צריכת זנות</w:t>
      </w:r>
      <w:r w:rsidRPr="008849E2">
        <w:rPr>
          <w:rFonts w:ascii="Tahoma" w:eastAsia="Calibri" w:hAnsi="Tahoma" w:cs="Tahoma" w:hint="cs"/>
          <w:b/>
          <w:sz w:val="19"/>
          <w:szCs w:val="19"/>
          <w:rtl/>
        </w:rPr>
        <w:t xml:space="preserve"> נועד לשמש </w:t>
      </w:r>
      <w:r w:rsidRPr="008849E2">
        <w:rPr>
          <w:rFonts w:ascii="Tahoma" w:eastAsia="Calibri" w:hAnsi="Tahoma" w:cs="Tahoma"/>
          <w:b/>
          <w:sz w:val="19"/>
          <w:szCs w:val="19"/>
          <w:rtl/>
        </w:rPr>
        <w:t>כלי מרכזי לשינוי נורמות חברתיות ולהפחתת הביקוש לזנות. יישום החוק ח</w:t>
      </w:r>
      <w:r w:rsidRPr="008849E2">
        <w:rPr>
          <w:rFonts w:ascii="Tahoma" w:eastAsia="Calibri" w:hAnsi="Tahoma" w:cs="Tahoma" w:hint="cs"/>
          <w:b/>
          <w:sz w:val="19"/>
          <w:szCs w:val="19"/>
          <w:rtl/>
        </w:rPr>
        <w:t>ִ</w:t>
      </w:r>
      <w:r w:rsidRPr="008849E2">
        <w:rPr>
          <w:rFonts w:ascii="Tahoma" w:eastAsia="Calibri" w:hAnsi="Tahoma" w:cs="Tahoma"/>
          <w:b/>
          <w:sz w:val="19"/>
          <w:szCs w:val="19"/>
          <w:rtl/>
        </w:rPr>
        <w:t xml:space="preserve">ייב פעולה משולבת, עקבית ומתמשכת של </w:t>
      </w:r>
      <w:r w:rsidRPr="008849E2">
        <w:rPr>
          <w:rFonts w:ascii="Tahoma" w:eastAsia="Calibri" w:hAnsi="Tahoma" w:cs="Tahoma" w:hint="cs"/>
          <w:b/>
          <w:sz w:val="19"/>
          <w:szCs w:val="19"/>
          <w:rtl/>
        </w:rPr>
        <w:t>המשטרה</w:t>
      </w:r>
      <w:r w:rsidRPr="008849E2">
        <w:rPr>
          <w:rFonts w:ascii="Tahoma" w:eastAsia="Calibri" w:hAnsi="Tahoma" w:cs="Tahoma"/>
          <w:b/>
          <w:sz w:val="19"/>
          <w:szCs w:val="19"/>
          <w:rtl/>
        </w:rPr>
        <w:t xml:space="preserve">, לצד פיתוח מנגנוני אכיפה מותאמים, הכשרה מקצועית והקצאת משאבים ייעודיים. </w:t>
      </w:r>
      <w:r w:rsidRPr="008849E2">
        <w:rPr>
          <w:rFonts w:ascii="Tahoma" w:eastAsia="Calibri" w:hAnsi="Tahoma" w:cs="Tahoma" w:hint="cs"/>
          <w:b/>
          <w:sz w:val="19"/>
          <w:szCs w:val="19"/>
          <w:rtl/>
        </w:rPr>
        <w:t>בד בבד</w:t>
      </w:r>
      <w:r w:rsidRPr="008849E2">
        <w:rPr>
          <w:rFonts w:ascii="Tahoma" w:eastAsia="Calibri" w:hAnsi="Tahoma" w:cs="Tahoma"/>
          <w:b/>
          <w:sz w:val="19"/>
          <w:szCs w:val="19"/>
          <w:rtl/>
        </w:rPr>
        <w:t xml:space="preserve">, </w:t>
      </w:r>
      <w:r w:rsidRPr="008849E2">
        <w:rPr>
          <w:rFonts w:ascii="Tahoma" w:eastAsia="Calibri" w:hAnsi="Tahoma" w:cs="Tahoma" w:hint="cs"/>
          <w:b/>
          <w:sz w:val="19"/>
          <w:szCs w:val="19"/>
          <w:rtl/>
        </w:rPr>
        <w:t>אכיפת החוק בעניין</w:t>
      </w:r>
      <w:r w:rsidRPr="008849E2">
        <w:rPr>
          <w:rFonts w:ascii="Tahoma" w:eastAsia="Calibri" w:hAnsi="Tahoma" w:cs="Tahoma"/>
          <w:b/>
          <w:sz w:val="19"/>
          <w:szCs w:val="19"/>
          <w:rtl/>
        </w:rPr>
        <w:t xml:space="preserve"> עבירות סחר בבני אדם</w:t>
      </w:r>
      <w:r w:rsidRPr="008849E2">
        <w:rPr>
          <w:rFonts w:ascii="Tahoma" w:eastAsia="Calibri" w:hAnsi="Tahoma" w:cs="Tahoma" w:hint="cs"/>
          <w:b/>
          <w:sz w:val="19"/>
          <w:szCs w:val="19"/>
          <w:rtl/>
        </w:rPr>
        <w:t xml:space="preserve"> מחייבת הוספת עוד נדבך -</w:t>
      </w:r>
      <w:r w:rsidRPr="008849E2">
        <w:rPr>
          <w:rFonts w:ascii="Tahoma" w:eastAsia="Calibri" w:hAnsi="Tahoma" w:cs="Tahoma"/>
          <w:b/>
          <w:sz w:val="19"/>
          <w:szCs w:val="19"/>
          <w:rtl/>
        </w:rPr>
        <w:t xml:space="preserve"> זיהוי הקורבנות וה</w:t>
      </w:r>
      <w:r w:rsidRPr="008849E2">
        <w:rPr>
          <w:rFonts w:ascii="Tahoma" w:eastAsia="Calibri" w:hAnsi="Tahoma" w:cs="Tahoma" w:hint="cs"/>
          <w:b/>
          <w:sz w:val="19"/>
          <w:szCs w:val="19"/>
          <w:rtl/>
        </w:rPr>
        <w:t>טיפול בהם על ידי מתן</w:t>
      </w:r>
      <w:r w:rsidRPr="008849E2">
        <w:rPr>
          <w:rFonts w:ascii="Tahoma" w:eastAsia="Calibri" w:hAnsi="Tahoma" w:cs="Tahoma"/>
          <w:b/>
          <w:sz w:val="19"/>
          <w:szCs w:val="19"/>
          <w:rtl/>
        </w:rPr>
        <w:t xml:space="preserve"> אשרות </w:t>
      </w:r>
      <w:r w:rsidRPr="008849E2">
        <w:rPr>
          <w:rFonts w:ascii="Tahoma" w:eastAsia="Calibri" w:hAnsi="Tahoma" w:cs="Tahoma" w:hint="cs"/>
          <w:b/>
          <w:sz w:val="19"/>
          <w:szCs w:val="19"/>
          <w:rtl/>
        </w:rPr>
        <w:t xml:space="preserve">שהייה </w:t>
      </w:r>
      <w:r w:rsidRPr="008849E2">
        <w:rPr>
          <w:rFonts w:ascii="Tahoma" w:eastAsia="Calibri" w:hAnsi="Tahoma" w:cs="Tahoma"/>
          <w:b/>
          <w:sz w:val="19"/>
          <w:szCs w:val="19"/>
          <w:rtl/>
        </w:rPr>
        <w:t>והגנות נלוות</w:t>
      </w:r>
      <w:r w:rsidRPr="008849E2">
        <w:rPr>
          <w:rFonts w:ascii="Tahoma" w:eastAsia="Calibri" w:hAnsi="Tahoma" w:cs="Tahoma" w:hint="cs"/>
          <w:b/>
          <w:sz w:val="19"/>
          <w:szCs w:val="19"/>
          <w:rtl/>
        </w:rPr>
        <w:t xml:space="preserve">. הוספת נדבך זה היא </w:t>
      </w:r>
      <w:r w:rsidRPr="008849E2">
        <w:rPr>
          <w:rFonts w:ascii="Tahoma" w:eastAsia="Calibri" w:hAnsi="Tahoma" w:cs="Tahoma"/>
          <w:b/>
          <w:sz w:val="19"/>
          <w:szCs w:val="19"/>
          <w:rtl/>
        </w:rPr>
        <w:t xml:space="preserve">תנאי יסוד </w:t>
      </w:r>
      <w:r w:rsidRPr="008849E2">
        <w:rPr>
          <w:rFonts w:ascii="Tahoma" w:eastAsia="Calibri" w:hAnsi="Tahoma" w:cs="Tahoma" w:hint="cs"/>
          <w:b/>
          <w:sz w:val="19"/>
          <w:szCs w:val="19"/>
          <w:rtl/>
        </w:rPr>
        <w:t>להבטחת</w:t>
      </w:r>
      <w:r w:rsidRPr="008849E2">
        <w:rPr>
          <w:rFonts w:ascii="Tahoma" w:eastAsia="Calibri" w:hAnsi="Tahoma" w:cs="Tahoma"/>
          <w:b/>
          <w:sz w:val="19"/>
          <w:szCs w:val="19"/>
          <w:rtl/>
        </w:rPr>
        <w:t xml:space="preserve"> אמון הקורבנות במוסדות המדינה ול</w:t>
      </w:r>
      <w:r w:rsidRPr="008849E2">
        <w:rPr>
          <w:rFonts w:ascii="Tahoma" w:eastAsia="Calibri" w:hAnsi="Tahoma" w:cs="Tahoma" w:hint="cs"/>
          <w:b/>
          <w:sz w:val="19"/>
          <w:szCs w:val="19"/>
          <w:rtl/>
        </w:rPr>
        <w:t>יכולתה ל</w:t>
      </w:r>
      <w:r w:rsidRPr="008849E2">
        <w:rPr>
          <w:rFonts w:ascii="Tahoma" w:eastAsia="Calibri" w:hAnsi="Tahoma" w:cs="Tahoma"/>
          <w:b/>
          <w:sz w:val="19"/>
          <w:szCs w:val="19"/>
          <w:rtl/>
        </w:rPr>
        <w:t>נהל הליכים פליליים אפקטיביים נגד מבצעי העבירות.</w:t>
      </w:r>
      <w:r w:rsidRPr="008849E2">
        <w:rPr>
          <w:rFonts w:ascii="Tahoma" w:eastAsia="Calibri" w:hAnsi="Tahoma" w:cs="Tahoma" w:hint="cs"/>
          <w:b/>
          <w:sz w:val="19"/>
          <w:szCs w:val="19"/>
          <w:rtl/>
        </w:rPr>
        <w:t xml:space="preserve"> </w:t>
      </w:r>
    </w:p>
    <w:p w:rsidR="008849E2" w:rsidRPr="008849E2" w:rsidP="00077C3D">
      <w:pPr>
        <w:spacing w:after="120" w:line="288" w:lineRule="auto"/>
        <w:ind w:left="-851" w:right="-567"/>
        <w:rPr>
          <w:rFonts w:ascii="Tahoma" w:eastAsia="Calibri" w:hAnsi="Tahoma" w:cs="Tahoma"/>
          <w:b/>
          <w:sz w:val="19"/>
          <w:szCs w:val="19"/>
          <w:rtl/>
        </w:rPr>
      </w:pPr>
      <w:r w:rsidRPr="008849E2">
        <w:rPr>
          <w:rFonts w:ascii="Tahoma" w:eastAsia="Calibri" w:hAnsi="Tahoma" w:cs="Tahoma" w:hint="cs"/>
          <w:b/>
          <w:sz w:val="19"/>
          <w:szCs w:val="19"/>
          <w:rtl/>
        </w:rPr>
        <w:t>הביקורת העלתה כמה ליקויים בפעולת הגופים המרכזיים האמונים על ה</w:t>
      </w:r>
      <w:r w:rsidRPr="008849E2">
        <w:rPr>
          <w:rFonts w:ascii="Tahoma" w:eastAsia="Calibri" w:hAnsi="Tahoma" w:cs="Tahoma"/>
          <w:b/>
          <w:sz w:val="19"/>
          <w:szCs w:val="19"/>
          <w:rtl/>
        </w:rPr>
        <w:t>טיפול בתופע</w:t>
      </w:r>
      <w:r w:rsidRPr="008849E2">
        <w:rPr>
          <w:rFonts w:ascii="Tahoma" w:eastAsia="Calibri" w:hAnsi="Tahoma" w:cs="Tahoma" w:hint="cs"/>
          <w:b/>
          <w:sz w:val="19"/>
          <w:szCs w:val="19"/>
          <w:rtl/>
        </w:rPr>
        <w:t>ו</w:t>
      </w:r>
      <w:r w:rsidRPr="008849E2">
        <w:rPr>
          <w:rFonts w:ascii="Tahoma" w:eastAsia="Calibri" w:hAnsi="Tahoma" w:cs="Tahoma"/>
          <w:b/>
          <w:sz w:val="19"/>
          <w:szCs w:val="19"/>
          <w:rtl/>
        </w:rPr>
        <w:t>ת הזנות ו</w:t>
      </w:r>
      <w:r w:rsidRPr="008849E2">
        <w:rPr>
          <w:rFonts w:ascii="Tahoma" w:eastAsia="Calibri" w:hAnsi="Tahoma" w:cs="Tahoma" w:hint="cs"/>
          <w:b/>
          <w:sz w:val="19"/>
          <w:szCs w:val="19"/>
          <w:rtl/>
        </w:rPr>
        <w:t>ה</w:t>
      </w:r>
      <w:r w:rsidRPr="008849E2">
        <w:rPr>
          <w:rFonts w:ascii="Tahoma" w:eastAsia="Calibri" w:hAnsi="Tahoma" w:cs="Tahoma"/>
          <w:b/>
          <w:sz w:val="19"/>
          <w:szCs w:val="19"/>
          <w:rtl/>
        </w:rPr>
        <w:t>סחר בבני אדם</w:t>
      </w:r>
      <w:r w:rsidRPr="008849E2">
        <w:rPr>
          <w:rFonts w:ascii="Tahoma" w:eastAsia="Calibri" w:hAnsi="Tahoma" w:cs="Tahoma" w:hint="cs"/>
          <w:b/>
          <w:sz w:val="19"/>
          <w:szCs w:val="19"/>
          <w:rtl/>
        </w:rPr>
        <w:t xml:space="preserve"> למטרות זנות. המסקנה העולה מממצאי הדוח היא כי בחלוף</w:t>
      </w:r>
      <w:r w:rsidRPr="008849E2">
        <w:rPr>
          <w:rFonts w:ascii="Tahoma" w:eastAsia="Calibri" w:hAnsi="Tahoma" w:cs="Tahoma"/>
          <w:b/>
          <w:sz w:val="19"/>
          <w:szCs w:val="19"/>
          <w:rtl/>
        </w:rPr>
        <w:t xml:space="preserve"> </w:t>
      </w:r>
      <w:r w:rsidRPr="008849E2">
        <w:rPr>
          <w:rFonts w:ascii="Tahoma" w:eastAsia="Calibri" w:hAnsi="Tahoma" w:cs="Tahoma" w:hint="cs"/>
          <w:b/>
          <w:sz w:val="19"/>
          <w:szCs w:val="19"/>
          <w:rtl/>
        </w:rPr>
        <w:t>שש</w:t>
      </w:r>
      <w:r w:rsidRPr="008849E2">
        <w:rPr>
          <w:rFonts w:ascii="Tahoma" w:eastAsia="Calibri" w:hAnsi="Tahoma" w:cs="Tahoma"/>
          <w:b/>
          <w:sz w:val="19"/>
          <w:szCs w:val="19"/>
          <w:rtl/>
        </w:rPr>
        <w:t xml:space="preserve"> שנים </w:t>
      </w:r>
      <w:r w:rsidRPr="008849E2">
        <w:rPr>
          <w:rFonts w:ascii="Tahoma" w:eastAsia="Calibri" w:hAnsi="Tahoma" w:cs="Tahoma" w:hint="cs"/>
          <w:b/>
          <w:sz w:val="19"/>
          <w:szCs w:val="19"/>
          <w:rtl/>
        </w:rPr>
        <w:t xml:space="preserve">ממועד כניסתו לתוקף של החוק לאיסור צריכת זנות בשנת 2020, </w:t>
      </w:r>
      <w:r w:rsidRPr="008849E2">
        <w:rPr>
          <w:rFonts w:ascii="Tahoma" w:eastAsia="Calibri" w:hAnsi="Tahoma" w:cs="Tahoma"/>
          <w:b/>
          <w:sz w:val="19"/>
          <w:szCs w:val="19"/>
          <w:rtl/>
        </w:rPr>
        <w:t xml:space="preserve">אין </w:t>
      </w:r>
      <w:r w:rsidRPr="008849E2">
        <w:rPr>
          <w:rFonts w:ascii="Tahoma" w:eastAsia="Calibri" w:hAnsi="Tahoma" w:cs="Tahoma" w:hint="cs"/>
          <w:b/>
          <w:sz w:val="19"/>
          <w:szCs w:val="19"/>
          <w:rtl/>
        </w:rPr>
        <w:t xml:space="preserve">די </w:t>
      </w:r>
      <w:r w:rsidRPr="008849E2">
        <w:rPr>
          <w:rFonts w:ascii="Tahoma" w:eastAsia="Calibri" w:hAnsi="Tahoma" w:cs="Tahoma"/>
          <w:b/>
          <w:sz w:val="19"/>
          <w:szCs w:val="19"/>
          <w:rtl/>
        </w:rPr>
        <w:t xml:space="preserve">בפעולות האכיפה שנעשו כדי </w:t>
      </w:r>
      <w:r w:rsidRPr="008849E2">
        <w:rPr>
          <w:rFonts w:ascii="Tahoma" w:eastAsia="Calibri" w:hAnsi="Tahoma" w:cs="Tahoma" w:hint="cs"/>
          <w:b/>
          <w:sz w:val="19"/>
          <w:szCs w:val="19"/>
          <w:rtl/>
        </w:rPr>
        <w:t>להפחית במידה ניכרת את היקף</w:t>
      </w:r>
      <w:r w:rsidRPr="008849E2">
        <w:rPr>
          <w:rFonts w:ascii="Tahoma" w:eastAsia="Calibri" w:hAnsi="Tahoma" w:cs="Tahoma"/>
          <w:b/>
          <w:sz w:val="19"/>
          <w:szCs w:val="19"/>
          <w:rtl/>
        </w:rPr>
        <w:t xml:space="preserve"> התופעה</w:t>
      </w:r>
      <w:r w:rsidRPr="008849E2">
        <w:rPr>
          <w:rFonts w:ascii="Tahoma" w:eastAsia="Calibri" w:hAnsi="Tahoma" w:cs="Tahoma" w:hint="cs"/>
          <w:b/>
          <w:sz w:val="19"/>
          <w:szCs w:val="19"/>
          <w:rtl/>
        </w:rPr>
        <w:t>. גם</w:t>
      </w:r>
      <w:r w:rsidRPr="008849E2">
        <w:rPr>
          <w:rFonts w:ascii="Tahoma" w:eastAsia="Calibri" w:hAnsi="Tahoma" w:cs="Tahoma"/>
          <w:b/>
          <w:sz w:val="19"/>
          <w:szCs w:val="19"/>
          <w:rtl/>
        </w:rPr>
        <w:t xml:space="preserve"> יישום הפעולות ל</w:t>
      </w:r>
      <w:r w:rsidRPr="008849E2">
        <w:rPr>
          <w:rFonts w:ascii="Tahoma" w:eastAsia="Calibri" w:hAnsi="Tahoma" w:cs="Tahoma" w:hint="cs"/>
          <w:b/>
          <w:sz w:val="19"/>
          <w:szCs w:val="19"/>
          <w:rtl/>
        </w:rPr>
        <w:t>מאבק בסחר בבני אדם, ל</w:t>
      </w:r>
      <w:r w:rsidRPr="008849E2">
        <w:rPr>
          <w:rFonts w:ascii="Tahoma" w:eastAsia="Calibri" w:hAnsi="Tahoma" w:cs="Tahoma"/>
          <w:b/>
          <w:sz w:val="19"/>
          <w:szCs w:val="19"/>
          <w:rtl/>
        </w:rPr>
        <w:t xml:space="preserve">הגנה </w:t>
      </w:r>
      <w:r w:rsidRPr="008849E2">
        <w:rPr>
          <w:rFonts w:ascii="Tahoma" w:eastAsia="Calibri" w:hAnsi="Tahoma" w:cs="Tahoma" w:hint="cs"/>
          <w:b/>
          <w:sz w:val="19"/>
          <w:szCs w:val="19"/>
          <w:rtl/>
        </w:rPr>
        <w:t>על ה</w:t>
      </w:r>
      <w:r w:rsidRPr="008849E2">
        <w:rPr>
          <w:rFonts w:ascii="Tahoma" w:eastAsia="Calibri" w:hAnsi="Tahoma" w:cs="Tahoma"/>
          <w:b/>
          <w:sz w:val="19"/>
          <w:szCs w:val="19"/>
          <w:rtl/>
        </w:rPr>
        <w:t>קורבנות ולטיפול</w:t>
      </w:r>
      <w:r w:rsidRPr="008849E2">
        <w:rPr>
          <w:rFonts w:ascii="Tahoma" w:eastAsia="Calibri" w:hAnsi="Tahoma" w:cs="Tahoma" w:hint="cs"/>
          <w:b/>
          <w:sz w:val="19"/>
          <w:szCs w:val="19"/>
          <w:rtl/>
        </w:rPr>
        <w:t xml:space="preserve"> בהם הוא לקוי וחסר. להלן יוצגו הליקויים העיקריים:</w:t>
      </w:r>
    </w:p>
    <w:p w:rsidR="002C13AA" w:rsidP="00077C3D">
      <w:pPr>
        <w:spacing w:after="120" w:line="288" w:lineRule="auto"/>
        <w:ind w:left="-851" w:right="-567"/>
        <w:rPr>
          <w:rFonts w:ascii="Tahoma" w:eastAsia="Calibri" w:hAnsi="Tahoma" w:cs="Tahoma"/>
          <w:b/>
          <w:sz w:val="19"/>
          <w:szCs w:val="19"/>
          <w:rtl/>
        </w:rPr>
      </w:pPr>
      <w:bookmarkStart w:id="7" w:name="_Hlk232342431"/>
      <w:bookmarkEnd w:id="6"/>
      <w:r w:rsidRPr="008849E2">
        <w:rPr>
          <w:rFonts w:ascii="Tahoma" w:eastAsia="Calibri" w:hAnsi="Tahoma" w:cs="Tahoma" w:hint="eastAsia"/>
          <w:b/>
          <w:bCs/>
          <w:sz w:val="19"/>
          <w:szCs w:val="19"/>
          <w:rtl/>
        </w:rPr>
        <w:t>תת</w:t>
      </w:r>
      <w:r w:rsidRPr="008849E2">
        <w:rPr>
          <w:rFonts w:ascii="Tahoma" w:eastAsia="Calibri" w:hAnsi="Tahoma" w:cs="Tahoma"/>
          <w:b/>
          <w:bCs/>
          <w:sz w:val="19"/>
          <w:szCs w:val="19"/>
          <w:rtl/>
        </w:rPr>
        <w:t>-</w:t>
      </w:r>
      <w:r w:rsidRPr="008849E2">
        <w:rPr>
          <w:rFonts w:ascii="Tahoma" w:eastAsia="Calibri" w:hAnsi="Tahoma" w:cs="Tahoma" w:hint="eastAsia"/>
          <w:b/>
          <w:bCs/>
          <w:sz w:val="19"/>
          <w:szCs w:val="19"/>
          <w:rtl/>
        </w:rPr>
        <w:t>אכיפה</w:t>
      </w:r>
      <w:r w:rsidRPr="008849E2">
        <w:rPr>
          <w:rFonts w:ascii="Tahoma" w:eastAsia="Calibri" w:hAnsi="Tahoma" w:cs="Tahoma"/>
          <w:b/>
          <w:bCs/>
          <w:sz w:val="19"/>
          <w:szCs w:val="19"/>
          <w:rtl/>
        </w:rPr>
        <w:t xml:space="preserve"> של הוראות החוק לאיסור צריכת זנות</w:t>
      </w:r>
      <w:r w:rsidRPr="008849E2">
        <w:rPr>
          <w:rFonts w:ascii="Tahoma" w:eastAsia="Calibri" w:hAnsi="Tahoma" w:cs="Tahoma"/>
          <w:b/>
          <w:sz w:val="19"/>
          <w:szCs w:val="19"/>
          <w:rtl/>
        </w:rPr>
        <w:t>:</w:t>
      </w:r>
      <w:r w:rsidRPr="008849E2">
        <w:rPr>
          <w:rFonts w:ascii="Tahoma" w:eastAsia="Calibri" w:hAnsi="Tahoma" w:cs="Tahoma" w:hint="cs"/>
          <w:b/>
          <w:sz w:val="19"/>
          <w:szCs w:val="19"/>
          <w:rtl/>
        </w:rPr>
        <w:t xml:space="preserve"> הליקויים שהועלו בביקורת </w:t>
      </w:r>
      <w:r w:rsidRPr="008849E2">
        <w:rPr>
          <w:rFonts w:ascii="Tahoma" w:eastAsia="Calibri" w:hAnsi="Tahoma" w:cs="Tahoma"/>
          <w:b/>
          <w:sz w:val="19"/>
          <w:szCs w:val="19"/>
          <w:rtl/>
        </w:rPr>
        <w:t xml:space="preserve">מעלים </w:t>
      </w:r>
      <w:r w:rsidRPr="008849E2">
        <w:rPr>
          <w:rFonts w:ascii="Tahoma" w:eastAsia="Calibri" w:hAnsi="Tahoma" w:cs="Tahoma" w:hint="cs"/>
          <w:b/>
          <w:sz w:val="19"/>
          <w:szCs w:val="19"/>
          <w:rtl/>
        </w:rPr>
        <w:t>פערים עמוקים ביישומו</w:t>
      </w:r>
      <w:r w:rsidRPr="008849E2">
        <w:rPr>
          <w:rFonts w:ascii="Tahoma" w:eastAsia="Calibri" w:hAnsi="Tahoma" w:cs="Tahoma"/>
          <w:b/>
          <w:sz w:val="19"/>
          <w:szCs w:val="19"/>
          <w:rtl/>
        </w:rPr>
        <w:t xml:space="preserve"> </w:t>
      </w:r>
      <w:r w:rsidRPr="008849E2">
        <w:rPr>
          <w:rFonts w:ascii="Tahoma" w:eastAsia="Calibri" w:hAnsi="Tahoma" w:cs="Tahoma" w:hint="cs"/>
          <w:b/>
          <w:sz w:val="19"/>
          <w:szCs w:val="19"/>
          <w:rtl/>
        </w:rPr>
        <w:t>של החוק ו</w:t>
      </w:r>
      <w:r w:rsidRPr="008849E2">
        <w:rPr>
          <w:rFonts w:ascii="Tahoma" w:eastAsia="Calibri" w:hAnsi="Tahoma" w:cs="Tahoma"/>
          <w:b/>
          <w:sz w:val="19"/>
          <w:szCs w:val="19"/>
          <w:rtl/>
        </w:rPr>
        <w:t>חשש לתת</w:t>
      </w:r>
      <w:r w:rsidRPr="008849E2">
        <w:rPr>
          <w:rFonts w:ascii="Tahoma" w:eastAsia="Calibri" w:hAnsi="Tahoma" w:cs="Tahoma" w:hint="cs"/>
          <w:b/>
          <w:sz w:val="19"/>
          <w:szCs w:val="19"/>
          <w:rtl/>
        </w:rPr>
        <w:t>-</w:t>
      </w:r>
      <w:r w:rsidRPr="008849E2">
        <w:rPr>
          <w:rFonts w:ascii="Tahoma" w:eastAsia="Calibri" w:hAnsi="Tahoma" w:cs="Tahoma"/>
          <w:b/>
          <w:sz w:val="19"/>
          <w:szCs w:val="19"/>
          <w:rtl/>
        </w:rPr>
        <w:t xml:space="preserve">אכיפה </w:t>
      </w:r>
      <w:r w:rsidRPr="008849E2">
        <w:rPr>
          <w:rFonts w:ascii="Tahoma" w:eastAsia="Calibri" w:hAnsi="Tahoma" w:cs="Tahoma" w:hint="cs"/>
          <w:b/>
          <w:sz w:val="19"/>
          <w:szCs w:val="19"/>
          <w:rtl/>
        </w:rPr>
        <w:t xml:space="preserve">בולטת </w:t>
      </w:r>
      <w:r w:rsidRPr="008849E2">
        <w:rPr>
          <w:rFonts w:ascii="Tahoma" w:eastAsia="Calibri" w:hAnsi="Tahoma" w:cs="Tahoma"/>
          <w:b/>
          <w:sz w:val="19"/>
          <w:szCs w:val="19"/>
          <w:rtl/>
        </w:rPr>
        <w:t xml:space="preserve">של עבירות </w:t>
      </w:r>
      <w:r w:rsidRPr="008849E2">
        <w:rPr>
          <w:rFonts w:ascii="Tahoma" w:eastAsia="Calibri" w:hAnsi="Tahoma" w:cs="Tahoma" w:hint="cs"/>
          <w:b/>
          <w:sz w:val="19"/>
          <w:szCs w:val="19"/>
          <w:rtl/>
        </w:rPr>
        <w:t>הקשורות ב</w:t>
      </w:r>
      <w:r w:rsidRPr="008849E2">
        <w:rPr>
          <w:rFonts w:ascii="Tahoma" w:eastAsia="Calibri" w:hAnsi="Tahoma" w:cs="Tahoma"/>
          <w:b/>
          <w:sz w:val="19"/>
          <w:szCs w:val="19"/>
          <w:rtl/>
        </w:rPr>
        <w:t xml:space="preserve">זנות </w:t>
      </w:r>
      <w:r w:rsidRPr="008849E2">
        <w:rPr>
          <w:rFonts w:ascii="Tahoma" w:eastAsia="Calibri" w:hAnsi="Tahoma" w:cs="Tahoma" w:hint="cs"/>
          <w:b/>
          <w:sz w:val="19"/>
          <w:szCs w:val="19"/>
          <w:rtl/>
        </w:rPr>
        <w:t>וב</w:t>
      </w:r>
      <w:r w:rsidRPr="008849E2">
        <w:rPr>
          <w:rFonts w:ascii="Tahoma" w:eastAsia="Calibri" w:hAnsi="Tahoma" w:cs="Tahoma"/>
          <w:b/>
          <w:sz w:val="19"/>
          <w:szCs w:val="19"/>
          <w:rtl/>
        </w:rPr>
        <w:t>סחר בבני אדם</w:t>
      </w:r>
      <w:r w:rsidRPr="008849E2">
        <w:rPr>
          <w:rFonts w:ascii="Tahoma" w:eastAsia="Calibri" w:hAnsi="Tahoma" w:cs="Tahoma" w:hint="cs"/>
          <w:b/>
          <w:sz w:val="19"/>
          <w:szCs w:val="19"/>
          <w:rtl/>
        </w:rPr>
        <w:t>, ו</w:t>
      </w:r>
      <w:r w:rsidRPr="008849E2">
        <w:rPr>
          <w:rFonts w:ascii="Tahoma" w:eastAsia="Calibri" w:hAnsi="Tahoma" w:cs="Tahoma"/>
          <w:b/>
          <w:sz w:val="19"/>
          <w:szCs w:val="19"/>
          <w:rtl/>
        </w:rPr>
        <w:t xml:space="preserve">זאת אף שמדובר בעבירות פליליות </w:t>
      </w:r>
      <w:r w:rsidRPr="008849E2">
        <w:rPr>
          <w:rFonts w:ascii="Tahoma" w:eastAsia="Calibri" w:hAnsi="Tahoma" w:cs="Tahoma" w:hint="cs"/>
          <w:b/>
          <w:sz w:val="19"/>
          <w:szCs w:val="19"/>
          <w:rtl/>
        </w:rPr>
        <w:t xml:space="preserve">שיש בהן פגיעה חמורה בזכויות אדם בסיסיות, ועל אף מחויבויותיה הבין-לאומיות של ישראל בנושא וההשפעות של הפרתן. החוק טרם עלה אפוא על מסילת יישום אפקטיבית. הדבר עולה מהממצאים בכמה מישורים, ובהם: </w:t>
      </w:r>
      <w:bookmarkEnd w:id="7"/>
    </w:p>
    <w:p w:rsidR="002C13AA" w:rsidP="002C13AA">
      <w:pPr>
        <w:numPr>
          <w:ilvl w:val="0"/>
          <w:numId w:val="18"/>
        </w:numPr>
        <w:spacing w:after="120" w:line="288" w:lineRule="auto"/>
        <w:ind w:left="-567" w:right="-567" w:hanging="285"/>
        <w:contextualSpacing/>
        <w:rPr>
          <w:rFonts w:ascii="Tahoma" w:eastAsia="Calibri" w:hAnsi="Tahoma" w:cs="Tahoma"/>
          <w:sz w:val="19"/>
          <w:szCs w:val="19"/>
        </w:rPr>
      </w:pPr>
      <w:r w:rsidRPr="008849E2">
        <w:rPr>
          <w:rFonts w:ascii="Tahoma" w:eastAsia="Calibri" w:hAnsi="Tahoma" w:cs="Tahoma"/>
          <w:b/>
          <w:bCs/>
          <w:sz w:val="19"/>
          <w:szCs w:val="19"/>
          <w:rtl/>
        </w:rPr>
        <w:t>אכיפה מינהלית</w:t>
      </w:r>
      <w:r w:rsidRPr="008849E2">
        <w:rPr>
          <w:rFonts w:ascii="Tahoma" w:eastAsia="Calibri" w:hAnsi="Tahoma" w:cs="Tahoma" w:hint="cs"/>
          <w:sz w:val="19"/>
          <w:szCs w:val="19"/>
          <w:rtl/>
        </w:rPr>
        <w:t xml:space="preserve"> - החל משנת 2023 מסתמנת מגמה של ירידה ניכרת באכיפת חוק איסור צריכת זנות באמצעות הטלת קנסות על צרכני זנות, עד לפעילות דלה ומצומצמת בשנת 2024.</w:t>
      </w:r>
      <w:r w:rsidRPr="008849E2">
        <w:rPr>
          <w:rFonts w:ascii="Tahoma" w:eastAsia="Calibri" w:hAnsi="Tahoma" w:cs="Tahoma"/>
          <w:sz w:val="19"/>
          <w:szCs w:val="19"/>
          <w:rtl/>
        </w:rPr>
        <w:t xml:space="preserve"> </w:t>
      </w:r>
      <w:r w:rsidRPr="008849E2">
        <w:rPr>
          <w:rFonts w:ascii="Tahoma" w:eastAsia="Calibri" w:hAnsi="Tahoma" w:cs="Tahoma" w:hint="cs"/>
          <w:sz w:val="19"/>
          <w:szCs w:val="19"/>
          <w:rtl/>
        </w:rPr>
        <w:t xml:space="preserve">אומנם בשנת 2025 חל </w:t>
      </w:r>
      <w:r w:rsidRPr="008849E2">
        <w:rPr>
          <w:rFonts w:ascii="Tahoma" w:eastAsia="Calibri" w:hAnsi="Tahoma" w:cs="Tahoma"/>
          <w:sz w:val="19"/>
          <w:szCs w:val="19"/>
          <w:rtl/>
        </w:rPr>
        <w:t>גידול במספר הקנסות, אך מספר</w:t>
      </w:r>
      <w:r w:rsidRPr="008849E2">
        <w:rPr>
          <w:rFonts w:ascii="Tahoma" w:eastAsia="Calibri" w:hAnsi="Tahoma" w:cs="Tahoma" w:hint="cs"/>
          <w:sz w:val="19"/>
          <w:szCs w:val="19"/>
          <w:rtl/>
        </w:rPr>
        <w:t>ם</w:t>
      </w:r>
      <w:r w:rsidRPr="008849E2">
        <w:rPr>
          <w:rFonts w:ascii="Tahoma" w:eastAsia="Calibri" w:hAnsi="Tahoma" w:cs="Tahoma"/>
          <w:sz w:val="19"/>
          <w:szCs w:val="19"/>
          <w:rtl/>
        </w:rPr>
        <w:t xml:space="preserve"> עדיין </w:t>
      </w:r>
      <w:r w:rsidRPr="008849E2">
        <w:rPr>
          <w:rFonts w:ascii="Tahoma" w:eastAsia="Calibri" w:hAnsi="Tahoma" w:cs="Tahoma" w:hint="cs"/>
          <w:sz w:val="19"/>
          <w:szCs w:val="19"/>
          <w:rtl/>
        </w:rPr>
        <w:t>קטן בהרבה</w:t>
      </w:r>
      <w:r w:rsidRPr="008849E2">
        <w:rPr>
          <w:rFonts w:ascii="Tahoma" w:eastAsia="Calibri" w:hAnsi="Tahoma" w:cs="Tahoma"/>
          <w:sz w:val="19"/>
          <w:szCs w:val="19"/>
          <w:rtl/>
        </w:rPr>
        <w:t xml:space="preserve"> ממספר הקנסות שהוטלו בשנת 2022 (הפחתה של כ-65%). יתרה מזאת, </w:t>
      </w:r>
      <w:bookmarkStart w:id="8" w:name="_Hlk224653265"/>
      <w:r w:rsidRPr="008849E2">
        <w:rPr>
          <w:rFonts w:ascii="Tahoma" w:eastAsia="Calibri" w:hAnsi="Tahoma" w:cs="Tahoma" w:hint="cs"/>
          <w:sz w:val="19"/>
          <w:szCs w:val="19"/>
          <w:rtl/>
        </w:rPr>
        <w:t>האכיפה בוצעה באופן כמעט בלעדי על ידי שלוש תחנות משטרה בלבד (</w:t>
      </w:r>
      <w:r w:rsidRPr="008849E2">
        <w:rPr>
          <w:rFonts w:ascii="Tahoma" w:eastAsia="Calibri" w:hAnsi="Tahoma" w:cs="Tahoma"/>
          <w:sz w:val="19"/>
          <w:szCs w:val="19"/>
          <w:rtl/>
        </w:rPr>
        <w:t>זבולון, ראשון לציון ושרת</w:t>
      </w:r>
      <w:r w:rsidRPr="008849E2">
        <w:rPr>
          <w:rFonts w:ascii="Tahoma" w:eastAsia="Calibri" w:hAnsi="Tahoma" w:cs="Tahoma" w:hint="cs"/>
          <w:sz w:val="19"/>
          <w:szCs w:val="19"/>
          <w:rtl/>
        </w:rPr>
        <w:t>) מתוך מאות תחנות.</w:t>
      </w:r>
      <w:bookmarkEnd w:id="8"/>
      <w:r w:rsidRPr="008849E2">
        <w:rPr>
          <w:rFonts w:ascii="Tahoma" w:eastAsia="Calibri" w:hAnsi="Tahoma" w:cs="Tahoma" w:hint="cs"/>
          <w:sz w:val="19"/>
          <w:szCs w:val="19"/>
          <w:rtl/>
        </w:rPr>
        <w:t xml:space="preserve"> </w:t>
      </w:r>
    </w:p>
    <w:p w:rsidR="008849E2" w:rsidRPr="008849E2" w:rsidP="002C13AA">
      <w:pPr>
        <w:spacing w:line="288" w:lineRule="auto"/>
        <w:ind w:left="-425" w:hanging="285"/>
        <w:contextualSpacing/>
        <w:rPr>
          <w:rFonts w:ascii="Tahoma" w:eastAsia="Calibri" w:hAnsi="Tahoma" w:cs="Tahoma"/>
          <w:sz w:val="8"/>
          <w:szCs w:val="8"/>
        </w:rPr>
      </w:pPr>
    </w:p>
    <w:p w:rsidR="002C13AA" w:rsidP="002C13AA">
      <w:pPr>
        <w:numPr>
          <w:ilvl w:val="0"/>
          <w:numId w:val="18"/>
        </w:numPr>
        <w:spacing w:line="288" w:lineRule="auto"/>
        <w:ind w:left="-567" w:right="-567" w:hanging="285"/>
        <w:contextualSpacing/>
        <w:rPr>
          <w:rFonts w:ascii="Tahoma" w:eastAsia="Calibri" w:hAnsi="Tahoma" w:cs="Tahoma"/>
          <w:sz w:val="19"/>
          <w:szCs w:val="19"/>
        </w:rPr>
      </w:pPr>
      <w:r w:rsidRPr="008849E2">
        <w:rPr>
          <w:rFonts w:ascii="Tahoma" w:eastAsia="Calibri" w:hAnsi="Tahoma" w:cs="Tahoma"/>
          <w:b/>
          <w:bCs/>
          <w:sz w:val="19"/>
          <w:szCs w:val="19"/>
          <w:rtl/>
        </w:rPr>
        <w:t>פיצוח פרשיות</w:t>
      </w:r>
      <w:r w:rsidRPr="008849E2">
        <w:rPr>
          <w:rFonts w:ascii="Tahoma" w:eastAsia="Calibri" w:hAnsi="Tahoma" w:cs="Tahoma"/>
          <w:sz w:val="19"/>
          <w:szCs w:val="19"/>
          <w:rtl/>
        </w:rPr>
        <w:t xml:space="preserve"> </w:t>
      </w:r>
      <w:r w:rsidRPr="008849E2">
        <w:rPr>
          <w:rFonts w:ascii="Tahoma" w:eastAsia="Calibri" w:hAnsi="Tahoma" w:cs="Tahoma" w:hint="cs"/>
          <w:sz w:val="19"/>
          <w:szCs w:val="19"/>
          <w:rtl/>
        </w:rPr>
        <w:t xml:space="preserve">- </w:t>
      </w:r>
      <w:r w:rsidRPr="008849E2">
        <w:rPr>
          <w:rFonts w:ascii="Tahoma" w:eastAsia="Calibri" w:hAnsi="Tahoma" w:cs="Tahoma"/>
          <w:sz w:val="19"/>
          <w:szCs w:val="19"/>
          <w:rtl/>
        </w:rPr>
        <w:t xml:space="preserve">בשנים 2022 - 2024 </w:t>
      </w:r>
      <w:bookmarkStart w:id="9" w:name="_Hlk232956595"/>
      <w:r w:rsidRPr="008849E2">
        <w:rPr>
          <w:rFonts w:ascii="Tahoma" w:eastAsia="Calibri" w:hAnsi="Tahoma" w:cs="Tahoma"/>
          <w:sz w:val="19"/>
          <w:szCs w:val="19"/>
          <w:rtl/>
        </w:rPr>
        <w:t xml:space="preserve">המשטרה </w:t>
      </w:r>
      <w:r w:rsidRPr="008849E2">
        <w:rPr>
          <w:rFonts w:ascii="Tahoma" w:eastAsia="Calibri" w:hAnsi="Tahoma" w:cs="Tahoma" w:hint="cs"/>
          <w:sz w:val="19"/>
          <w:szCs w:val="19"/>
          <w:rtl/>
        </w:rPr>
        <w:t>עמדה ב</w:t>
      </w:r>
      <w:r w:rsidRPr="008849E2">
        <w:rPr>
          <w:rFonts w:ascii="Tahoma" w:eastAsia="Calibri" w:hAnsi="Tahoma" w:cs="Tahoma"/>
          <w:sz w:val="19"/>
          <w:szCs w:val="19"/>
          <w:rtl/>
        </w:rPr>
        <w:t xml:space="preserve">כ-40% בלבד </w:t>
      </w:r>
      <w:r w:rsidRPr="008849E2">
        <w:rPr>
          <w:rFonts w:ascii="Tahoma" w:eastAsia="Calibri" w:hAnsi="Tahoma" w:cs="Tahoma" w:hint="cs"/>
          <w:sz w:val="19"/>
          <w:szCs w:val="19"/>
          <w:rtl/>
        </w:rPr>
        <w:t xml:space="preserve">מהיעד שקבעה לפיצוח פרשיות של עבירות סחר בבני אדם, וגם זאת כמעט אך ורק עקב פעולותיו של אחד מתוך שבעת מחוזות המשטרה. </w:t>
      </w:r>
      <w:bookmarkEnd w:id="9"/>
    </w:p>
    <w:p w:rsidR="008849E2" w:rsidRPr="008849E2" w:rsidP="002C13AA">
      <w:pPr>
        <w:spacing w:line="288" w:lineRule="auto"/>
        <w:ind w:left="-425" w:hanging="285"/>
        <w:contextualSpacing/>
        <w:rPr>
          <w:rFonts w:ascii="Tahoma" w:eastAsia="Calibri" w:hAnsi="Tahoma" w:cs="Tahoma"/>
          <w:sz w:val="8"/>
          <w:szCs w:val="8"/>
        </w:rPr>
      </w:pPr>
    </w:p>
    <w:p w:rsidR="002C13AA" w:rsidP="002C13AA">
      <w:pPr>
        <w:numPr>
          <w:ilvl w:val="0"/>
          <w:numId w:val="18"/>
        </w:numPr>
        <w:spacing w:line="288" w:lineRule="auto"/>
        <w:ind w:left="-567" w:right="-567" w:hanging="285"/>
        <w:contextualSpacing/>
        <w:rPr>
          <w:rFonts w:ascii="Tahoma" w:eastAsia="Calibri" w:hAnsi="Tahoma" w:cs="Tahoma"/>
          <w:sz w:val="19"/>
          <w:szCs w:val="19"/>
        </w:rPr>
      </w:pPr>
      <w:bookmarkStart w:id="10" w:name="_Hlk231817568"/>
      <w:r w:rsidRPr="008849E2">
        <w:rPr>
          <w:rFonts w:ascii="Tahoma" w:eastAsia="Calibri" w:hAnsi="Tahoma" w:cs="Tahoma" w:hint="cs"/>
          <w:b/>
          <w:bCs/>
          <w:sz w:val="19"/>
          <w:szCs w:val="19"/>
          <w:rtl/>
        </w:rPr>
        <w:t>אי-</w:t>
      </w:r>
      <w:r w:rsidRPr="008849E2">
        <w:rPr>
          <w:rFonts w:ascii="Tahoma" w:eastAsia="Calibri" w:hAnsi="Tahoma" w:cs="Tahoma" w:hint="eastAsia"/>
          <w:b/>
          <w:bCs/>
          <w:sz w:val="19"/>
          <w:szCs w:val="19"/>
          <w:rtl/>
        </w:rPr>
        <w:t>מיצוי</w:t>
      </w:r>
      <w:r w:rsidRPr="008849E2">
        <w:rPr>
          <w:rFonts w:ascii="Tahoma" w:eastAsia="Calibri" w:hAnsi="Tahoma" w:cs="Tahoma"/>
          <w:b/>
          <w:bCs/>
          <w:sz w:val="19"/>
          <w:szCs w:val="19"/>
          <w:rtl/>
        </w:rPr>
        <w:t xml:space="preserve"> </w:t>
      </w:r>
      <w:r w:rsidRPr="008849E2">
        <w:rPr>
          <w:rFonts w:ascii="Tahoma" w:eastAsia="Calibri" w:hAnsi="Tahoma" w:cs="Tahoma" w:hint="cs"/>
          <w:b/>
          <w:bCs/>
          <w:sz w:val="19"/>
          <w:szCs w:val="19"/>
          <w:rtl/>
        </w:rPr>
        <w:t>מידע על זירות זנות</w:t>
      </w:r>
      <w:r w:rsidRPr="008849E2">
        <w:rPr>
          <w:rFonts w:ascii="Tahoma" w:eastAsia="Calibri" w:hAnsi="Tahoma" w:cs="Tahoma" w:hint="cs"/>
          <w:sz w:val="19"/>
          <w:szCs w:val="19"/>
          <w:rtl/>
        </w:rPr>
        <w:t xml:space="preserve"> - המשטרה לא מיצתה מידע המצוי ברשותה שנאסף מאפיקים שונים</w:t>
      </w:r>
      <w:r>
        <w:rPr>
          <w:rFonts w:ascii="Tahoma" w:eastAsia="Calibri" w:hAnsi="Tahoma" w:cs="Tahoma"/>
          <w:sz w:val="19"/>
          <w:szCs w:val="19"/>
          <w:rtl/>
        </w:rPr>
        <w:footnoteReference w:id="7"/>
      </w:r>
      <w:r w:rsidRPr="008849E2">
        <w:rPr>
          <w:rFonts w:ascii="Tahoma" w:eastAsia="Calibri" w:hAnsi="Tahoma" w:cs="Tahoma" w:hint="cs"/>
          <w:sz w:val="19"/>
          <w:szCs w:val="19"/>
          <w:rtl/>
        </w:rPr>
        <w:t xml:space="preserve"> לצורך אכיפה, לרבות מידע על הטיפול בעבירות של סחר בבני אדם,</w:t>
      </w:r>
      <w:r w:rsidRPr="008849E2">
        <w:rPr>
          <w:rFonts w:ascii="Tahoma" w:eastAsia="Calibri" w:hAnsi="Tahoma" w:cs="Tahoma" w:hint="cs"/>
          <w:sz w:val="19"/>
          <w:szCs w:val="19"/>
          <w:rtl/>
        </w:rPr>
        <w:t xml:space="preserve"> </w:t>
      </w:r>
      <w:r w:rsidRPr="008849E2">
        <w:rPr>
          <w:rFonts w:ascii="Tahoma" w:eastAsia="Calibri" w:hAnsi="Tahoma" w:cs="Tahoma" w:hint="cs"/>
          <w:sz w:val="19"/>
          <w:szCs w:val="19"/>
          <w:rtl/>
        </w:rPr>
        <w:t xml:space="preserve">על סגירה של בתי בושת ועל הטלת קנסות על צרכני זנות. למשל, אף שבידי המשטרה מידע על קיומן של יותר מ-1,300 זירות זנות, </w:t>
      </w:r>
      <w:bookmarkStart w:id="11" w:name="_Hlk232343435"/>
      <w:r w:rsidRPr="008849E2">
        <w:rPr>
          <w:rFonts w:ascii="Tahoma" w:eastAsia="Calibri" w:hAnsi="Tahoma" w:cs="Tahoma" w:hint="cs"/>
          <w:sz w:val="19"/>
          <w:szCs w:val="19"/>
          <w:rtl/>
        </w:rPr>
        <w:t xml:space="preserve">מתוכן מאות ברמת מהימנות גבוהה ובינונית, </w:t>
      </w:r>
      <w:bookmarkEnd w:id="11"/>
      <w:r w:rsidRPr="008849E2">
        <w:rPr>
          <w:rFonts w:ascii="Tahoma" w:eastAsia="Calibri" w:hAnsi="Tahoma" w:cs="Tahoma" w:hint="cs"/>
          <w:sz w:val="19"/>
          <w:szCs w:val="19"/>
          <w:rtl/>
        </w:rPr>
        <w:t xml:space="preserve">בשנת 2024 נסגרו 13 בתי בושת בלבד והוטלו רק כ-380 קנסות (ירידה של 87% במספר הקנסות לעומת שנת 2022). </w:t>
      </w:r>
      <w:bookmarkEnd w:id="10"/>
    </w:p>
    <w:p w:rsidR="008849E2" w:rsidRPr="008849E2" w:rsidP="002C13AA">
      <w:pPr>
        <w:spacing w:line="288" w:lineRule="auto"/>
        <w:ind w:left="-425" w:hanging="285"/>
        <w:contextualSpacing/>
        <w:rPr>
          <w:rFonts w:ascii="Tahoma" w:eastAsia="Calibri" w:hAnsi="Tahoma" w:cs="Tahoma"/>
          <w:sz w:val="8"/>
          <w:szCs w:val="8"/>
        </w:rPr>
      </w:pPr>
    </w:p>
    <w:p w:rsidR="008849E2" w:rsidRPr="008849E2" w:rsidP="002C13AA">
      <w:pPr>
        <w:numPr>
          <w:ilvl w:val="0"/>
          <w:numId w:val="18"/>
        </w:numPr>
        <w:spacing w:line="288" w:lineRule="auto"/>
        <w:ind w:left="-567" w:right="-567" w:hanging="285"/>
        <w:contextualSpacing/>
        <w:rPr>
          <w:rFonts w:ascii="Tahoma" w:eastAsia="Calibri" w:hAnsi="Tahoma" w:cs="Tahoma"/>
          <w:sz w:val="19"/>
          <w:szCs w:val="19"/>
        </w:rPr>
      </w:pPr>
      <w:r w:rsidRPr="008849E2">
        <w:rPr>
          <w:rFonts w:ascii="Tahoma" w:eastAsia="Calibri" w:hAnsi="Tahoma" w:cs="Tahoma" w:hint="eastAsia"/>
          <w:b/>
          <w:bCs/>
          <w:sz w:val="19"/>
          <w:szCs w:val="19"/>
          <w:rtl/>
        </w:rPr>
        <w:t>עבירות</w:t>
      </w:r>
      <w:r w:rsidRPr="008849E2">
        <w:rPr>
          <w:rFonts w:ascii="Tahoma" w:eastAsia="Calibri" w:hAnsi="Tahoma" w:cs="Tahoma"/>
          <w:b/>
          <w:bCs/>
          <w:sz w:val="19"/>
          <w:szCs w:val="19"/>
          <w:rtl/>
        </w:rPr>
        <w:t xml:space="preserve"> </w:t>
      </w:r>
      <w:r w:rsidRPr="008849E2">
        <w:rPr>
          <w:rFonts w:ascii="Tahoma" w:eastAsia="Calibri" w:hAnsi="Tahoma" w:cs="Tahoma" w:hint="eastAsia"/>
          <w:b/>
          <w:bCs/>
          <w:sz w:val="19"/>
          <w:szCs w:val="19"/>
          <w:rtl/>
        </w:rPr>
        <w:t>במרחב</w:t>
      </w:r>
      <w:r w:rsidRPr="008849E2">
        <w:rPr>
          <w:rFonts w:ascii="Tahoma" w:eastAsia="Calibri" w:hAnsi="Tahoma" w:cs="Tahoma"/>
          <w:b/>
          <w:bCs/>
          <w:sz w:val="19"/>
          <w:szCs w:val="19"/>
          <w:rtl/>
        </w:rPr>
        <w:t xml:space="preserve"> </w:t>
      </w:r>
      <w:r w:rsidRPr="008849E2">
        <w:rPr>
          <w:rFonts w:ascii="Tahoma" w:eastAsia="Calibri" w:hAnsi="Tahoma" w:cs="Tahoma" w:hint="eastAsia"/>
          <w:b/>
          <w:bCs/>
          <w:sz w:val="19"/>
          <w:szCs w:val="19"/>
          <w:rtl/>
        </w:rPr>
        <w:t>המקוון</w:t>
      </w:r>
      <w:r w:rsidRPr="008849E2">
        <w:rPr>
          <w:rFonts w:ascii="Tahoma" w:eastAsia="Calibri" w:hAnsi="Tahoma" w:cs="Tahoma" w:hint="cs"/>
          <w:sz w:val="19"/>
          <w:szCs w:val="19"/>
          <w:rtl/>
        </w:rPr>
        <w:t xml:space="preserve"> - לא היה טיפול מספק ואפקטיבי בתופעת השימוש במרחב המקוון כפלטפורמה לשידול, לסרסרות, לניצול ולצריכת זנות - שימוש שהולך ומתרחב בשנים האחרונות. </w:t>
      </w:r>
    </w:p>
    <w:p w:rsidR="008849E2" w:rsidRPr="008849E2" w:rsidP="008849E2">
      <w:pPr>
        <w:spacing w:line="288" w:lineRule="auto"/>
        <w:ind w:left="-567"/>
        <w:rPr>
          <w:rFonts w:ascii="Tahoma" w:eastAsia="Calibri" w:hAnsi="Tahoma" w:cs="Tahoma"/>
          <w:b/>
          <w:sz w:val="8"/>
          <w:szCs w:val="8"/>
          <w:rtl/>
        </w:rPr>
      </w:pPr>
    </w:p>
    <w:p w:rsidR="002C13AA" w:rsidP="008849E2">
      <w:pPr>
        <w:spacing w:line="288" w:lineRule="auto"/>
        <w:ind w:left="-851" w:right="-567"/>
        <w:rPr>
          <w:rFonts w:ascii="Tahoma" w:eastAsia="Calibri" w:hAnsi="Tahoma" w:cs="Tahoma"/>
          <w:b/>
          <w:sz w:val="19"/>
          <w:szCs w:val="19"/>
          <w:rtl/>
        </w:rPr>
      </w:pPr>
      <w:r w:rsidRPr="008849E2">
        <w:rPr>
          <w:rFonts w:ascii="Tahoma" w:eastAsia="Calibri" w:hAnsi="Tahoma" w:cs="Tahoma" w:hint="eastAsia"/>
          <w:b/>
          <w:bCs/>
          <w:sz w:val="19"/>
          <w:szCs w:val="19"/>
          <w:rtl/>
        </w:rPr>
        <w:t>ליקויים</w:t>
      </w:r>
      <w:r w:rsidRPr="008849E2">
        <w:rPr>
          <w:rFonts w:ascii="Tahoma" w:eastAsia="Calibri" w:hAnsi="Tahoma" w:cs="Tahoma"/>
          <w:b/>
          <w:bCs/>
          <w:sz w:val="19"/>
          <w:szCs w:val="19"/>
          <w:rtl/>
        </w:rPr>
        <w:t xml:space="preserve"> </w:t>
      </w:r>
      <w:r w:rsidRPr="008849E2">
        <w:rPr>
          <w:rFonts w:ascii="Tahoma" w:eastAsia="Calibri" w:hAnsi="Tahoma" w:cs="Tahoma" w:hint="eastAsia"/>
          <w:b/>
          <w:bCs/>
          <w:sz w:val="19"/>
          <w:szCs w:val="19"/>
          <w:rtl/>
        </w:rPr>
        <w:t>בטיפול</w:t>
      </w:r>
      <w:r w:rsidRPr="008849E2">
        <w:rPr>
          <w:rFonts w:ascii="Tahoma" w:eastAsia="Calibri" w:hAnsi="Tahoma" w:cs="Tahoma"/>
          <w:b/>
          <w:bCs/>
          <w:sz w:val="19"/>
          <w:szCs w:val="19"/>
          <w:rtl/>
        </w:rPr>
        <w:t xml:space="preserve"> </w:t>
      </w:r>
      <w:r w:rsidRPr="008849E2">
        <w:rPr>
          <w:rFonts w:ascii="Tahoma" w:eastAsia="Calibri" w:hAnsi="Tahoma" w:cs="Tahoma" w:hint="eastAsia"/>
          <w:b/>
          <w:bCs/>
          <w:sz w:val="19"/>
          <w:szCs w:val="19"/>
          <w:rtl/>
        </w:rPr>
        <w:t>רשות</w:t>
      </w:r>
      <w:r w:rsidRPr="008849E2">
        <w:rPr>
          <w:rFonts w:ascii="Tahoma" w:eastAsia="Calibri" w:hAnsi="Tahoma" w:cs="Tahoma"/>
          <w:b/>
          <w:bCs/>
          <w:sz w:val="19"/>
          <w:szCs w:val="19"/>
          <w:rtl/>
        </w:rPr>
        <w:t xml:space="preserve"> </w:t>
      </w:r>
      <w:r w:rsidRPr="008849E2">
        <w:rPr>
          <w:rFonts w:ascii="Tahoma" w:eastAsia="Calibri" w:hAnsi="Tahoma" w:cs="Tahoma" w:hint="eastAsia"/>
          <w:b/>
          <w:bCs/>
          <w:sz w:val="19"/>
          <w:szCs w:val="19"/>
          <w:rtl/>
        </w:rPr>
        <w:t>האוכלוסין</w:t>
      </w:r>
      <w:r w:rsidRPr="008849E2">
        <w:rPr>
          <w:rFonts w:ascii="Tahoma" w:eastAsia="Calibri" w:hAnsi="Tahoma" w:cs="Tahoma"/>
          <w:b/>
          <w:bCs/>
          <w:sz w:val="19"/>
          <w:szCs w:val="19"/>
          <w:rtl/>
        </w:rPr>
        <w:t xml:space="preserve"> </w:t>
      </w:r>
      <w:r w:rsidRPr="008849E2">
        <w:rPr>
          <w:rFonts w:ascii="Tahoma" w:eastAsia="Calibri" w:hAnsi="Tahoma" w:cs="Tahoma" w:hint="eastAsia"/>
          <w:b/>
          <w:bCs/>
          <w:sz w:val="19"/>
          <w:szCs w:val="19"/>
          <w:rtl/>
        </w:rPr>
        <w:t>במתן</w:t>
      </w:r>
      <w:r w:rsidRPr="008849E2">
        <w:rPr>
          <w:rFonts w:ascii="Tahoma" w:eastAsia="Calibri" w:hAnsi="Tahoma" w:cs="Tahoma"/>
          <w:b/>
          <w:bCs/>
          <w:sz w:val="19"/>
          <w:szCs w:val="19"/>
          <w:rtl/>
        </w:rPr>
        <w:t xml:space="preserve"> </w:t>
      </w:r>
      <w:r w:rsidRPr="008849E2">
        <w:rPr>
          <w:rFonts w:ascii="Tahoma" w:eastAsia="Calibri" w:hAnsi="Tahoma" w:cs="Tahoma" w:hint="eastAsia"/>
          <w:b/>
          <w:bCs/>
          <w:sz w:val="19"/>
          <w:szCs w:val="19"/>
          <w:rtl/>
        </w:rPr>
        <w:t>אשרות</w:t>
      </w:r>
      <w:r w:rsidRPr="008849E2">
        <w:rPr>
          <w:rFonts w:ascii="Tahoma" w:eastAsia="Calibri" w:hAnsi="Tahoma" w:cs="Tahoma"/>
          <w:b/>
          <w:bCs/>
          <w:sz w:val="19"/>
          <w:szCs w:val="19"/>
          <w:rtl/>
        </w:rPr>
        <w:t xml:space="preserve"> </w:t>
      </w:r>
      <w:r w:rsidRPr="008849E2">
        <w:rPr>
          <w:rFonts w:ascii="Tahoma" w:eastAsia="Calibri" w:hAnsi="Tahoma" w:cs="Tahoma" w:hint="eastAsia"/>
          <w:b/>
          <w:bCs/>
          <w:sz w:val="19"/>
          <w:szCs w:val="19"/>
          <w:rtl/>
        </w:rPr>
        <w:t>שהייה</w:t>
      </w:r>
      <w:r w:rsidRPr="008849E2">
        <w:rPr>
          <w:rFonts w:ascii="Tahoma" w:eastAsia="Calibri" w:hAnsi="Tahoma" w:cs="Tahoma"/>
          <w:b/>
          <w:bCs/>
          <w:sz w:val="19"/>
          <w:szCs w:val="19"/>
          <w:rtl/>
        </w:rPr>
        <w:t xml:space="preserve"> </w:t>
      </w:r>
      <w:r w:rsidRPr="008849E2">
        <w:rPr>
          <w:rFonts w:ascii="Tahoma" w:eastAsia="Calibri" w:hAnsi="Tahoma" w:cs="Tahoma" w:hint="eastAsia"/>
          <w:b/>
          <w:bCs/>
          <w:sz w:val="19"/>
          <w:szCs w:val="19"/>
          <w:rtl/>
        </w:rPr>
        <w:t>לקורבנות</w:t>
      </w:r>
      <w:r w:rsidRPr="008849E2">
        <w:rPr>
          <w:rFonts w:ascii="Tahoma" w:eastAsia="Calibri" w:hAnsi="Tahoma" w:cs="Tahoma"/>
          <w:b/>
          <w:bCs/>
          <w:sz w:val="19"/>
          <w:szCs w:val="19"/>
          <w:rtl/>
        </w:rPr>
        <w:t xml:space="preserve"> </w:t>
      </w:r>
      <w:r w:rsidRPr="008849E2">
        <w:rPr>
          <w:rFonts w:ascii="Tahoma" w:eastAsia="Calibri" w:hAnsi="Tahoma" w:cs="Tahoma" w:hint="eastAsia"/>
          <w:b/>
          <w:bCs/>
          <w:sz w:val="19"/>
          <w:szCs w:val="19"/>
          <w:rtl/>
        </w:rPr>
        <w:t>סחר</w:t>
      </w:r>
      <w:r w:rsidRPr="008849E2">
        <w:rPr>
          <w:rFonts w:ascii="Tahoma" w:eastAsia="Calibri" w:hAnsi="Tahoma" w:cs="Tahoma"/>
          <w:b/>
          <w:bCs/>
          <w:sz w:val="19"/>
          <w:szCs w:val="19"/>
          <w:rtl/>
        </w:rPr>
        <w:t xml:space="preserve"> </w:t>
      </w:r>
      <w:r w:rsidRPr="008849E2">
        <w:rPr>
          <w:rFonts w:ascii="Tahoma" w:eastAsia="Calibri" w:hAnsi="Tahoma" w:cs="Tahoma" w:hint="eastAsia"/>
          <w:b/>
          <w:bCs/>
          <w:sz w:val="19"/>
          <w:szCs w:val="19"/>
          <w:rtl/>
        </w:rPr>
        <w:t>בבני</w:t>
      </w:r>
      <w:r w:rsidRPr="008849E2">
        <w:rPr>
          <w:rFonts w:ascii="Tahoma" w:eastAsia="Calibri" w:hAnsi="Tahoma" w:cs="Tahoma"/>
          <w:b/>
          <w:bCs/>
          <w:sz w:val="19"/>
          <w:szCs w:val="19"/>
          <w:rtl/>
        </w:rPr>
        <w:t xml:space="preserve"> </w:t>
      </w:r>
      <w:r w:rsidRPr="008849E2">
        <w:rPr>
          <w:rFonts w:ascii="Tahoma" w:eastAsia="Calibri" w:hAnsi="Tahoma" w:cs="Tahoma" w:hint="eastAsia"/>
          <w:b/>
          <w:bCs/>
          <w:sz w:val="19"/>
          <w:szCs w:val="19"/>
          <w:rtl/>
        </w:rPr>
        <w:t>אדם</w:t>
      </w:r>
      <w:r w:rsidRPr="008849E2">
        <w:rPr>
          <w:rFonts w:ascii="Tahoma" w:eastAsia="Calibri" w:hAnsi="Tahoma" w:cs="Tahoma" w:hint="cs"/>
          <w:b/>
          <w:sz w:val="19"/>
          <w:szCs w:val="19"/>
          <w:rtl/>
        </w:rPr>
        <w:t xml:space="preserve"> - בביקורת נמצא כי לעיתים טיפולה של הרשות במתן אשרות שהייה למי שהוכרו כקורבנות סחר בבני אדם התבצע באופן החורג מסמכותה ובניגוד לנהלים. אשרות אלו נועדו להסדיר את מעמדם של הקורבנות אשר אינם בעלי אזרחות ישראלית. </w:t>
      </w:r>
      <w:bookmarkStart w:id="12" w:name="_Hlk224809090"/>
      <w:r w:rsidRPr="008849E2">
        <w:rPr>
          <w:rFonts w:ascii="Tahoma" w:eastAsia="Calibri" w:hAnsi="Tahoma" w:cs="Tahoma"/>
          <w:b/>
          <w:sz w:val="19"/>
          <w:szCs w:val="19"/>
          <w:rtl/>
        </w:rPr>
        <w:t xml:space="preserve">עמדת המתאמת </w:t>
      </w:r>
      <w:r w:rsidRPr="008849E2">
        <w:rPr>
          <w:rFonts w:ascii="Tahoma" w:eastAsia="Calibri" w:hAnsi="Tahoma" w:cs="Tahoma" w:hint="cs"/>
          <w:b/>
          <w:sz w:val="19"/>
          <w:szCs w:val="19"/>
          <w:rtl/>
        </w:rPr>
        <w:t>ביחידת התיאום בעניין זה</w:t>
      </w:r>
      <w:r w:rsidRPr="008849E2">
        <w:rPr>
          <w:rFonts w:ascii="Tahoma" w:eastAsia="Calibri" w:hAnsi="Tahoma" w:cs="Tahoma"/>
          <w:b/>
          <w:sz w:val="19"/>
          <w:szCs w:val="19"/>
          <w:rtl/>
        </w:rPr>
        <w:t xml:space="preserve"> היא כי הרשות</w:t>
      </w:r>
      <w:r w:rsidRPr="008849E2">
        <w:rPr>
          <w:rFonts w:ascii="Tahoma" w:eastAsia="Calibri" w:hAnsi="Tahoma" w:cs="Tahoma" w:hint="cs"/>
          <w:b/>
          <w:sz w:val="19"/>
          <w:szCs w:val="19"/>
          <w:rtl/>
        </w:rPr>
        <w:t xml:space="preserve"> פועלת באופן בלתי סביר, </w:t>
      </w:r>
      <w:r w:rsidRPr="008849E2">
        <w:rPr>
          <w:rFonts w:ascii="Tahoma" w:eastAsia="Calibri" w:hAnsi="Tahoma" w:cs="Tahoma"/>
          <w:b/>
          <w:sz w:val="19"/>
          <w:szCs w:val="19"/>
          <w:rtl/>
        </w:rPr>
        <w:t xml:space="preserve">בניגוד להחלטות הממשלה ואף לנוהלי הרשות עצמה, פוגעת קשות בקורבנות </w:t>
      </w:r>
      <w:r w:rsidRPr="008849E2">
        <w:rPr>
          <w:rFonts w:ascii="Tahoma" w:eastAsia="Calibri" w:hAnsi="Tahoma" w:cs="Tahoma" w:hint="cs"/>
          <w:b/>
          <w:sz w:val="19"/>
          <w:szCs w:val="19"/>
          <w:rtl/>
        </w:rPr>
        <w:t>ו</w:t>
      </w:r>
      <w:r w:rsidRPr="008849E2">
        <w:rPr>
          <w:rFonts w:ascii="Tahoma" w:eastAsia="Calibri" w:hAnsi="Tahoma" w:cs="Tahoma"/>
          <w:b/>
          <w:sz w:val="19"/>
          <w:szCs w:val="19"/>
          <w:rtl/>
        </w:rPr>
        <w:t xml:space="preserve">מובילה לדחיקתם חזרה למעגל הזנות ולפגיעה חמורה בניהול תיקים פליליים </w:t>
      </w:r>
      <w:r w:rsidRPr="008849E2">
        <w:rPr>
          <w:rFonts w:ascii="Tahoma" w:eastAsia="Calibri" w:hAnsi="Tahoma" w:cs="Tahoma" w:hint="cs"/>
          <w:b/>
          <w:sz w:val="19"/>
          <w:szCs w:val="19"/>
          <w:rtl/>
        </w:rPr>
        <w:t>ש</w:t>
      </w:r>
      <w:r w:rsidRPr="008849E2">
        <w:rPr>
          <w:rFonts w:ascii="Tahoma" w:eastAsia="Calibri" w:hAnsi="Tahoma" w:cs="Tahoma"/>
          <w:b/>
          <w:sz w:val="19"/>
          <w:szCs w:val="19"/>
          <w:rtl/>
        </w:rPr>
        <w:t>מושקע בהם מאמץ רב.</w:t>
      </w:r>
      <w:bookmarkEnd w:id="12"/>
      <w:r w:rsidRPr="008849E2">
        <w:rPr>
          <w:rFonts w:ascii="Tahoma" w:eastAsia="Calibri" w:hAnsi="Tahoma" w:cs="Tahoma"/>
          <w:b/>
          <w:sz w:val="19"/>
          <w:szCs w:val="19"/>
          <w:rtl/>
        </w:rPr>
        <w:t xml:space="preserve"> </w:t>
      </w:r>
    </w:p>
    <w:p w:rsidR="008849E2" w:rsidRPr="008849E2" w:rsidP="008849E2">
      <w:pPr>
        <w:spacing w:line="288" w:lineRule="auto"/>
        <w:ind w:left="-851"/>
        <w:rPr>
          <w:rFonts w:ascii="Tahoma" w:eastAsia="Calibri" w:hAnsi="Tahoma" w:cs="Tahoma"/>
          <w:b/>
          <w:sz w:val="8"/>
          <w:szCs w:val="8"/>
          <w:rtl/>
        </w:rPr>
      </w:pPr>
    </w:p>
    <w:p w:rsidR="002C13AA" w:rsidP="00EF1F6D">
      <w:pPr>
        <w:spacing w:after="120" w:line="288" w:lineRule="auto"/>
        <w:ind w:left="-851" w:right="-567"/>
        <w:rPr>
          <w:rFonts w:ascii="Tahoma" w:eastAsia="Calibri" w:hAnsi="Tahoma" w:cs="Tahoma"/>
          <w:b/>
          <w:sz w:val="19"/>
          <w:szCs w:val="19"/>
          <w:rtl/>
        </w:rPr>
      </w:pPr>
      <w:bookmarkStart w:id="13" w:name="_Hlk232951073"/>
      <w:r w:rsidRPr="008849E2">
        <w:rPr>
          <w:rFonts w:ascii="Tahoma" w:eastAsia="Calibri" w:hAnsi="Tahoma" w:cs="Tahoma" w:hint="cs"/>
          <w:b/>
          <w:bCs/>
          <w:sz w:val="19"/>
          <w:szCs w:val="19"/>
          <w:rtl/>
        </w:rPr>
        <w:t xml:space="preserve">משימות שנותרו לביצוע על ידי </w:t>
      </w:r>
      <w:r w:rsidRPr="008849E2">
        <w:rPr>
          <w:rFonts w:ascii="Tahoma" w:eastAsia="Calibri" w:hAnsi="Tahoma" w:cs="Tahoma" w:hint="eastAsia"/>
          <w:b/>
          <w:bCs/>
          <w:sz w:val="19"/>
          <w:szCs w:val="19"/>
          <w:rtl/>
        </w:rPr>
        <w:t>יחידת</w:t>
      </w:r>
      <w:r w:rsidRPr="008849E2">
        <w:rPr>
          <w:rFonts w:ascii="Tahoma" w:eastAsia="Calibri" w:hAnsi="Tahoma" w:cs="Tahoma"/>
          <w:b/>
          <w:bCs/>
          <w:sz w:val="19"/>
          <w:szCs w:val="19"/>
          <w:rtl/>
        </w:rPr>
        <w:t xml:space="preserve"> </w:t>
      </w:r>
      <w:r w:rsidRPr="008849E2">
        <w:rPr>
          <w:rFonts w:ascii="Tahoma" w:eastAsia="Calibri" w:hAnsi="Tahoma" w:cs="Tahoma" w:hint="eastAsia"/>
          <w:b/>
          <w:bCs/>
          <w:sz w:val="19"/>
          <w:szCs w:val="19"/>
          <w:rtl/>
        </w:rPr>
        <w:t>התיאום</w:t>
      </w:r>
      <w:r w:rsidRPr="008849E2">
        <w:rPr>
          <w:rFonts w:ascii="Tahoma" w:eastAsia="Calibri" w:hAnsi="Tahoma" w:cs="Tahoma"/>
          <w:b/>
          <w:bCs/>
          <w:sz w:val="19"/>
          <w:szCs w:val="19"/>
          <w:rtl/>
        </w:rPr>
        <w:t xml:space="preserve"> </w:t>
      </w:r>
      <w:r w:rsidRPr="008849E2">
        <w:rPr>
          <w:rFonts w:ascii="Tahoma" w:eastAsia="Calibri" w:hAnsi="Tahoma" w:cs="Tahoma" w:hint="cs"/>
          <w:b/>
          <w:bCs/>
          <w:sz w:val="19"/>
          <w:szCs w:val="19"/>
          <w:rtl/>
        </w:rPr>
        <w:t xml:space="preserve">כחצי שנה לפני תום התקופה שהוגדרה ליישום התכנית </w:t>
      </w:r>
      <w:r w:rsidR="00A34A69">
        <w:rPr>
          <w:rFonts w:ascii="Tahoma" w:eastAsia="Calibri" w:hAnsi="Tahoma" w:cs="Tahoma"/>
          <w:b/>
          <w:bCs/>
          <w:sz w:val="19"/>
          <w:szCs w:val="19"/>
          <w:rtl/>
        </w:rPr>
        <w:br/>
      </w:r>
      <w:r w:rsidRPr="008849E2">
        <w:rPr>
          <w:rFonts w:ascii="Tahoma" w:eastAsia="Calibri" w:hAnsi="Tahoma" w:cs="Tahoma" w:hint="cs"/>
          <w:b/>
          <w:bCs/>
          <w:sz w:val="19"/>
          <w:szCs w:val="19"/>
          <w:rtl/>
        </w:rPr>
        <w:t>הרב-שנתית</w:t>
      </w:r>
      <w:bookmarkEnd w:id="13"/>
      <w:r w:rsidRPr="008849E2">
        <w:rPr>
          <w:rFonts w:ascii="Tahoma" w:eastAsia="Calibri" w:hAnsi="Tahoma" w:cs="Tahoma" w:hint="cs"/>
          <w:b/>
          <w:sz w:val="19"/>
          <w:szCs w:val="19"/>
          <w:rtl/>
        </w:rPr>
        <w:t xml:space="preserve"> - פעולת יחידת התיאום, אשר הוקמה לפי החלטת הממשלה כגוף המרכזי האחראי לעיצוב המדיניות בתחום המאבק בסחר בבני אדם ולתיאום וההובלה של יישומה, הייתה חסרה בכמה היבטים ובהם: (א) לא הוסדר שיתוף הפעולה בין מינהל אכיפה וזרים ברשות האוכלוסין</w:t>
      </w:r>
      <w:r w:rsidRPr="008849E2">
        <w:rPr>
          <w:rFonts w:ascii="Tahoma" w:eastAsia="Calibri" w:hAnsi="Tahoma" w:cs="Tahoma"/>
          <w:b/>
          <w:sz w:val="19"/>
          <w:szCs w:val="19"/>
          <w:rtl/>
        </w:rPr>
        <w:t xml:space="preserve"> </w:t>
      </w:r>
      <w:r w:rsidRPr="008849E2">
        <w:rPr>
          <w:rFonts w:ascii="Tahoma" w:eastAsia="Calibri" w:hAnsi="Tahoma" w:cs="Tahoma" w:hint="cs"/>
          <w:b/>
          <w:sz w:val="19"/>
          <w:szCs w:val="19"/>
          <w:rtl/>
        </w:rPr>
        <w:t>ובין המשטרה, ולכן פעולות גופים אלה אינן מתואמות</w:t>
      </w:r>
      <w:r w:rsidRPr="008849E2">
        <w:rPr>
          <w:rFonts w:ascii="Tahoma" w:eastAsia="Calibri" w:hAnsi="Tahoma" w:cs="Tahoma"/>
          <w:b/>
          <w:sz w:val="19"/>
          <w:szCs w:val="19"/>
          <w:rtl/>
        </w:rPr>
        <w:t xml:space="preserve"> </w:t>
      </w:r>
      <w:r w:rsidRPr="008849E2">
        <w:rPr>
          <w:rFonts w:ascii="Tahoma" w:eastAsia="Calibri" w:hAnsi="Tahoma" w:cs="Tahoma" w:hint="cs"/>
          <w:b/>
          <w:sz w:val="19"/>
          <w:szCs w:val="19"/>
          <w:rtl/>
        </w:rPr>
        <w:t xml:space="preserve">והם אינם מעבירים זה לזה </w:t>
      </w:r>
      <w:r w:rsidRPr="008849E2">
        <w:rPr>
          <w:rFonts w:ascii="Tahoma" w:eastAsia="Calibri" w:hAnsi="Tahoma" w:cs="Tahoma"/>
          <w:b/>
          <w:sz w:val="19"/>
          <w:szCs w:val="19"/>
          <w:rtl/>
        </w:rPr>
        <w:t xml:space="preserve">מידע ונתונים היכולים לסייע </w:t>
      </w:r>
      <w:r w:rsidRPr="008849E2">
        <w:rPr>
          <w:rFonts w:ascii="Tahoma" w:eastAsia="Calibri" w:hAnsi="Tahoma" w:cs="Tahoma" w:hint="cs"/>
          <w:b/>
          <w:sz w:val="19"/>
          <w:szCs w:val="19"/>
          <w:rtl/>
        </w:rPr>
        <w:t>ב</w:t>
      </w:r>
      <w:r w:rsidRPr="008849E2">
        <w:rPr>
          <w:rFonts w:ascii="Tahoma" w:eastAsia="Calibri" w:hAnsi="Tahoma" w:cs="Tahoma"/>
          <w:b/>
          <w:sz w:val="19"/>
          <w:szCs w:val="19"/>
          <w:rtl/>
        </w:rPr>
        <w:t xml:space="preserve">אכיפה </w:t>
      </w:r>
      <w:r w:rsidRPr="008849E2">
        <w:rPr>
          <w:rFonts w:ascii="Tahoma" w:eastAsia="Calibri" w:hAnsi="Tahoma" w:cs="Tahoma" w:hint="cs"/>
          <w:b/>
          <w:sz w:val="19"/>
          <w:szCs w:val="19"/>
          <w:rtl/>
        </w:rPr>
        <w:t xml:space="preserve">ובמאבק בסחר בבני אדם; </w:t>
      </w:r>
      <w:bookmarkStart w:id="14" w:name="_Hlk232951156"/>
      <w:r w:rsidRPr="008849E2">
        <w:rPr>
          <w:rFonts w:ascii="Tahoma" w:eastAsia="Calibri" w:hAnsi="Tahoma" w:cs="Tahoma" w:hint="cs"/>
          <w:b/>
          <w:sz w:val="19"/>
          <w:szCs w:val="19"/>
          <w:rtl/>
        </w:rPr>
        <w:t>(ב) הפעילות של מוקד פניות הציבור הייעודי לנושא הסחר בבני אדם, שמפעילה יחידת התיאום, לא הורחבה כנדרש בהחלטת הממשלה;</w:t>
      </w:r>
      <w:bookmarkEnd w:id="14"/>
      <w:r w:rsidRPr="008849E2">
        <w:rPr>
          <w:rFonts w:ascii="Tahoma" w:eastAsia="Calibri" w:hAnsi="Tahoma" w:cs="Tahoma" w:hint="cs"/>
          <w:b/>
          <w:sz w:val="19"/>
          <w:szCs w:val="19"/>
          <w:rtl/>
        </w:rPr>
        <w:t xml:space="preserve"> (ג) יחידת התיאום </w:t>
      </w:r>
      <w:r w:rsidRPr="008849E2">
        <w:rPr>
          <w:rFonts w:ascii="Tahoma" w:eastAsia="Calibri" w:hAnsi="Tahoma" w:cs="Tahoma"/>
          <w:b/>
          <w:sz w:val="19"/>
          <w:szCs w:val="19"/>
          <w:rtl/>
        </w:rPr>
        <w:t>לא גיבשה</w:t>
      </w:r>
      <w:r w:rsidRPr="008849E2">
        <w:rPr>
          <w:rFonts w:ascii="Tahoma" w:eastAsia="Calibri" w:hAnsi="Tahoma" w:cs="Tahoma" w:hint="cs"/>
          <w:b/>
          <w:sz w:val="19"/>
          <w:szCs w:val="19"/>
          <w:rtl/>
        </w:rPr>
        <w:t>, כנדרש בהחלטת הממשלה,</w:t>
      </w:r>
      <w:r w:rsidRPr="008849E2">
        <w:rPr>
          <w:rFonts w:ascii="Tahoma" w:eastAsia="Calibri" w:hAnsi="Tahoma" w:cs="Tahoma"/>
          <w:b/>
          <w:sz w:val="19"/>
          <w:szCs w:val="19"/>
          <w:rtl/>
        </w:rPr>
        <w:t xml:space="preserve"> ת</w:t>
      </w:r>
      <w:r w:rsidRPr="008849E2">
        <w:rPr>
          <w:rFonts w:ascii="Tahoma" w:eastAsia="Calibri" w:hAnsi="Tahoma" w:cs="Tahoma" w:hint="cs"/>
          <w:b/>
          <w:sz w:val="19"/>
          <w:szCs w:val="19"/>
          <w:rtl/>
        </w:rPr>
        <w:t>ו</w:t>
      </w:r>
      <w:r w:rsidRPr="008849E2">
        <w:rPr>
          <w:rFonts w:ascii="Tahoma" w:eastAsia="Calibri" w:hAnsi="Tahoma" w:cs="Tahoma"/>
          <w:b/>
          <w:sz w:val="19"/>
          <w:szCs w:val="19"/>
          <w:rtl/>
        </w:rPr>
        <w:t>כנית</w:t>
      </w:r>
      <w:r w:rsidRPr="008849E2">
        <w:rPr>
          <w:rFonts w:ascii="Tahoma" w:eastAsia="Calibri" w:hAnsi="Tahoma" w:cs="Tahoma" w:hint="cs"/>
          <w:b/>
          <w:sz w:val="19"/>
          <w:szCs w:val="19"/>
          <w:rtl/>
        </w:rPr>
        <w:t xml:space="preserve"> </w:t>
      </w:r>
      <w:r w:rsidRPr="008849E2">
        <w:rPr>
          <w:rFonts w:ascii="Tahoma" w:eastAsia="Calibri" w:hAnsi="Tahoma" w:cs="Tahoma"/>
          <w:b/>
          <w:sz w:val="19"/>
          <w:szCs w:val="19"/>
          <w:rtl/>
        </w:rPr>
        <w:t xml:space="preserve">הכשרה </w:t>
      </w:r>
      <w:r w:rsidRPr="008849E2">
        <w:rPr>
          <w:rFonts w:ascii="Tahoma" w:eastAsia="Calibri" w:hAnsi="Tahoma" w:cs="Tahoma" w:hint="cs"/>
          <w:b/>
          <w:sz w:val="19"/>
          <w:szCs w:val="19"/>
          <w:rtl/>
        </w:rPr>
        <w:t xml:space="preserve">שנתית </w:t>
      </w:r>
      <w:r w:rsidRPr="008849E2">
        <w:rPr>
          <w:rFonts w:ascii="Tahoma" w:eastAsia="Calibri" w:hAnsi="Tahoma" w:cs="Tahoma"/>
          <w:b/>
          <w:sz w:val="19"/>
          <w:szCs w:val="19"/>
          <w:rtl/>
        </w:rPr>
        <w:t>מקצועית, סדורה ובין-משרדית עבור המשרדים</w:t>
      </w:r>
      <w:r w:rsidRPr="008849E2">
        <w:rPr>
          <w:rFonts w:ascii="Tahoma" w:eastAsia="Calibri" w:hAnsi="Tahoma" w:cs="Tahoma" w:hint="cs"/>
          <w:b/>
          <w:sz w:val="19"/>
          <w:szCs w:val="19"/>
          <w:rtl/>
        </w:rPr>
        <w:t xml:space="preserve"> והגופים</w:t>
      </w:r>
      <w:r w:rsidRPr="008849E2">
        <w:rPr>
          <w:rFonts w:ascii="Tahoma" w:eastAsia="Calibri" w:hAnsi="Tahoma" w:cs="Tahoma"/>
          <w:b/>
          <w:sz w:val="19"/>
          <w:szCs w:val="19"/>
          <w:rtl/>
        </w:rPr>
        <w:t xml:space="preserve"> </w:t>
      </w:r>
      <w:r w:rsidRPr="008849E2">
        <w:rPr>
          <w:rFonts w:ascii="Tahoma" w:eastAsia="Calibri" w:hAnsi="Tahoma" w:cs="Tahoma" w:hint="cs"/>
          <w:b/>
          <w:sz w:val="19"/>
          <w:szCs w:val="19"/>
          <w:rtl/>
        </w:rPr>
        <w:t xml:space="preserve">הציבוריים </w:t>
      </w:r>
      <w:r w:rsidRPr="008849E2">
        <w:rPr>
          <w:rFonts w:ascii="Tahoma" w:eastAsia="Calibri" w:hAnsi="Tahoma" w:cs="Tahoma"/>
          <w:b/>
          <w:sz w:val="19"/>
          <w:szCs w:val="19"/>
          <w:rtl/>
        </w:rPr>
        <w:t>השותפים</w:t>
      </w:r>
      <w:r w:rsidRPr="008849E2">
        <w:rPr>
          <w:rFonts w:ascii="Tahoma" w:eastAsia="Calibri" w:hAnsi="Tahoma" w:cs="Tahoma" w:hint="cs"/>
          <w:b/>
          <w:sz w:val="19"/>
          <w:szCs w:val="19"/>
          <w:rtl/>
        </w:rPr>
        <w:t xml:space="preserve"> במאבק בסחר בבני אדם וזנות.</w:t>
      </w:r>
    </w:p>
    <w:p w:rsidR="002C13AA" w:rsidP="008849E2">
      <w:pPr>
        <w:spacing w:after="120" w:line="288" w:lineRule="auto"/>
        <w:ind w:left="-851" w:right="-567"/>
        <w:rPr>
          <w:rFonts w:ascii="Tahoma" w:eastAsia="Calibri" w:hAnsi="Tahoma" w:cs="Tahoma"/>
          <w:b/>
          <w:sz w:val="19"/>
          <w:szCs w:val="19"/>
          <w:rtl/>
        </w:rPr>
      </w:pPr>
      <w:r w:rsidRPr="008849E2">
        <w:rPr>
          <w:rFonts w:ascii="Tahoma" w:eastAsia="Calibri" w:hAnsi="Tahoma" w:cs="Tahoma" w:hint="cs"/>
          <w:b/>
          <w:sz w:val="19"/>
          <w:szCs w:val="19"/>
          <w:rtl/>
        </w:rPr>
        <w:t xml:space="preserve">על המשטרה ומשרד המשפטים לנקוט פעולות להגברת האכיפה של החוקים הנוגעים לעבירות זנות וסחר בבני אדם, לשיפור פעילות האכיפה ולהבטחת אכיפה יעילה ועקבית, בין היתר באמצעות הגברת השימוש במידע המשטרתי הקיים ובשיתופי פעולה; זאת, </w:t>
      </w:r>
      <w:r w:rsidRPr="008849E2">
        <w:rPr>
          <w:rFonts w:ascii="Tahoma" w:eastAsia="Calibri" w:hAnsi="Tahoma" w:cs="Tahoma"/>
          <w:b/>
          <w:sz w:val="19"/>
          <w:szCs w:val="19"/>
          <w:rtl/>
        </w:rPr>
        <w:t>בשים לב לחומרת העבירות ו</w:t>
      </w:r>
      <w:r w:rsidRPr="008849E2">
        <w:rPr>
          <w:rFonts w:ascii="Tahoma" w:eastAsia="Calibri" w:hAnsi="Tahoma" w:cs="Tahoma" w:hint="cs"/>
          <w:b/>
          <w:sz w:val="19"/>
          <w:szCs w:val="19"/>
          <w:rtl/>
        </w:rPr>
        <w:t>ל</w:t>
      </w:r>
      <w:r w:rsidRPr="008849E2">
        <w:rPr>
          <w:rFonts w:ascii="Tahoma" w:eastAsia="Calibri" w:hAnsi="Tahoma" w:cs="Tahoma"/>
          <w:b/>
          <w:sz w:val="19"/>
          <w:szCs w:val="19"/>
          <w:rtl/>
        </w:rPr>
        <w:t xml:space="preserve">פגיעוּת הקורבנות, </w:t>
      </w:r>
      <w:r w:rsidRPr="008849E2">
        <w:rPr>
          <w:rFonts w:ascii="Tahoma" w:eastAsia="Calibri" w:hAnsi="Tahoma" w:cs="Tahoma" w:hint="cs"/>
          <w:b/>
          <w:sz w:val="19"/>
          <w:szCs w:val="19"/>
          <w:rtl/>
        </w:rPr>
        <w:t xml:space="preserve">שעלולות להגיע </w:t>
      </w:r>
      <w:r w:rsidRPr="008849E2">
        <w:rPr>
          <w:rFonts w:ascii="Tahoma" w:eastAsia="Calibri" w:hAnsi="Tahoma" w:cs="Tahoma"/>
          <w:b/>
          <w:sz w:val="19"/>
          <w:szCs w:val="19"/>
          <w:rtl/>
        </w:rPr>
        <w:t xml:space="preserve">עד כדי חשש ממשי לחייהם, וכן </w:t>
      </w:r>
      <w:r w:rsidRPr="008849E2">
        <w:rPr>
          <w:rFonts w:ascii="Tahoma" w:eastAsia="Calibri" w:hAnsi="Tahoma" w:cs="Tahoma" w:hint="cs"/>
          <w:b/>
          <w:sz w:val="19"/>
          <w:szCs w:val="19"/>
          <w:rtl/>
        </w:rPr>
        <w:t>לנוכח</w:t>
      </w:r>
      <w:r w:rsidRPr="008849E2">
        <w:rPr>
          <w:rFonts w:ascii="Tahoma" w:eastAsia="Calibri" w:hAnsi="Tahoma" w:cs="Tahoma"/>
          <w:b/>
          <w:sz w:val="19"/>
          <w:szCs w:val="19"/>
          <w:rtl/>
        </w:rPr>
        <w:t xml:space="preserve"> מחויבויותיה הבין-לאומיות של המדינה בנושא </w:t>
      </w:r>
      <w:r w:rsidRPr="008849E2">
        <w:rPr>
          <w:rFonts w:ascii="Tahoma" w:eastAsia="Calibri" w:hAnsi="Tahoma" w:cs="Tahoma" w:hint="cs"/>
          <w:b/>
          <w:sz w:val="19"/>
          <w:szCs w:val="19"/>
          <w:rtl/>
        </w:rPr>
        <w:t>וההשפעות</w:t>
      </w:r>
      <w:r w:rsidRPr="008849E2">
        <w:rPr>
          <w:rFonts w:ascii="Tahoma" w:eastAsia="Calibri" w:hAnsi="Tahoma" w:cs="Tahoma"/>
          <w:b/>
          <w:sz w:val="19"/>
          <w:szCs w:val="19"/>
          <w:rtl/>
        </w:rPr>
        <w:t xml:space="preserve"> של הפרתן</w:t>
      </w:r>
      <w:r w:rsidRPr="008849E2">
        <w:rPr>
          <w:rFonts w:ascii="Tahoma" w:eastAsia="Calibri" w:hAnsi="Tahoma" w:cs="Tahoma" w:hint="cs"/>
          <w:b/>
          <w:sz w:val="19"/>
          <w:szCs w:val="19"/>
          <w:rtl/>
        </w:rPr>
        <w:t>.</w:t>
      </w:r>
      <w:r w:rsidRPr="008849E2">
        <w:rPr>
          <w:rFonts w:ascii="Tahoma" w:eastAsia="Calibri" w:hAnsi="Tahoma" w:cs="Tahoma"/>
          <w:b/>
          <w:sz w:val="19"/>
          <w:szCs w:val="19"/>
          <w:rtl/>
        </w:rPr>
        <w:t xml:space="preserve"> </w:t>
      </w:r>
      <w:r w:rsidRPr="008849E2">
        <w:rPr>
          <w:rFonts w:ascii="Tahoma" w:eastAsia="Calibri" w:hAnsi="Tahoma" w:cs="Tahoma" w:hint="cs"/>
          <w:b/>
          <w:sz w:val="19"/>
          <w:szCs w:val="19"/>
          <w:rtl/>
        </w:rPr>
        <w:t xml:space="preserve">מוצע כי </w:t>
      </w:r>
      <w:r w:rsidRPr="008849E2">
        <w:rPr>
          <w:rFonts w:ascii="Tahoma" w:eastAsia="Calibri" w:hAnsi="Tahoma" w:cs="Tahoma"/>
          <w:b/>
          <w:sz w:val="19"/>
          <w:szCs w:val="19"/>
          <w:rtl/>
        </w:rPr>
        <w:t>צוות</w:t>
      </w:r>
      <w:r w:rsidRPr="008849E2">
        <w:rPr>
          <w:rFonts w:ascii="Tahoma" w:eastAsia="Calibri" w:hAnsi="Tahoma" w:cs="Tahoma" w:hint="cs"/>
          <w:b/>
          <w:sz w:val="19"/>
          <w:szCs w:val="19"/>
          <w:rtl/>
        </w:rPr>
        <w:t>-</w:t>
      </w:r>
      <w:r w:rsidRPr="008849E2">
        <w:rPr>
          <w:rFonts w:ascii="Tahoma" w:eastAsia="Calibri" w:hAnsi="Tahoma" w:cs="Tahoma"/>
          <w:b/>
          <w:sz w:val="19"/>
          <w:szCs w:val="19"/>
          <w:rtl/>
        </w:rPr>
        <w:t xml:space="preserve">העל בראשות היועצת המשפטית לממשלה </w:t>
      </w:r>
      <w:r w:rsidRPr="008849E2">
        <w:rPr>
          <w:rFonts w:ascii="Tahoma" w:eastAsia="Calibri" w:hAnsi="Tahoma" w:cs="Tahoma" w:hint="cs"/>
          <w:b/>
          <w:sz w:val="19"/>
          <w:szCs w:val="19"/>
          <w:rtl/>
        </w:rPr>
        <w:t xml:space="preserve">ישקול אם </w:t>
      </w:r>
      <w:r w:rsidRPr="008849E2">
        <w:rPr>
          <w:rFonts w:ascii="Tahoma" w:eastAsia="Calibri" w:hAnsi="Tahoma" w:cs="Tahoma"/>
          <w:b/>
          <w:sz w:val="19"/>
          <w:szCs w:val="19"/>
          <w:rtl/>
        </w:rPr>
        <w:t>לקבוע יעד</w:t>
      </w:r>
      <w:r w:rsidRPr="008849E2">
        <w:rPr>
          <w:rFonts w:ascii="Tahoma" w:eastAsia="Calibri" w:hAnsi="Tahoma" w:cs="Tahoma" w:hint="cs"/>
          <w:b/>
          <w:sz w:val="19"/>
          <w:szCs w:val="19"/>
          <w:rtl/>
        </w:rPr>
        <w:t>י</w:t>
      </w:r>
      <w:r w:rsidRPr="008849E2">
        <w:rPr>
          <w:rFonts w:ascii="Tahoma" w:eastAsia="Calibri" w:hAnsi="Tahoma" w:cs="Tahoma"/>
          <w:b/>
          <w:sz w:val="19"/>
          <w:szCs w:val="19"/>
          <w:rtl/>
        </w:rPr>
        <w:t xml:space="preserve"> אכיפה ב</w:t>
      </w:r>
      <w:r w:rsidRPr="008849E2">
        <w:rPr>
          <w:rFonts w:ascii="Tahoma" w:eastAsia="Calibri" w:hAnsi="Tahoma" w:cs="Tahoma" w:hint="cs"/>
          <w:b/>
          <w:sz w:val="19"/>
          <w:szCs w:val="19"/>
          <w:rtl/>
        </w:rPr>
        <w:t xml:space="preserve">עניין </w:t>
      </w:r>
      <w:r w:rsidRPr="008849E2">
        <w:rPr>
          <w:rFonts w:ascii="Tahoma" w:eastAsia="Calibri" w:hAnsi="Tahoma" w:cs="Tahoma"/>
          <w:b/>
          <w:sz w:val="19"/>
          <w:szCs w:val="19"/>
          <w:rtl/>
        </w:rPr>
        <w:t>עבירות סחר בבני אדם ו</w:t>
      </w:r>
      <w:r w:rsidRPr="008849E2">
        <w:rPr>
          <w:rFonts w:ascii="Tahoma" w:eastAsia="Calibri" w:hAnsi="Tahoma" w:cs="Tahoma" w:hint="cs"/>
          <w:b/>
          <w:sz w:val="19"/>
          <w:szCs w:val="19"/>
          <w:rtl/>
        </w:rPr>
        <w:t>ה</w:t>
      </w:r>
      <w:r w:rsidRPr="008849E2">
        <w:rPr>
          <w:rFonts w:ascii="Tahoma" w:eastAsia="Calibri" w:hAnsi="Tahoma" w:cs="Tahoma"/>
          <w:b/>
          <w:sz w:val="19"/>
          <w:szCs w:val="19"/>
          <w:rtl/>
        </w:rPr>
        <w:t xml:space="preserve">עבירות הנלוות להן ויפעל במסגרת תפקידו לקידום אכיפה משולבת בתחום זה </w:t>
      </w:r>
      <w:r w:rsidRPr="008849E2">
        <w:rPr>
          <w:rFonts w:ascii="Tahoma" w:eastAsia="Calibri" w:hAnsi="Tahoma" w:cs="Tahoma" w:hint="cs"/>
          <w:b/>
          <w:sz w:val="19"/>
          <w:szCs w:val="19"/>
          <w:rtl/>
        </w:rPr>
        <w:t>בקרב</w:t>
      </w:r>
      <w:r w:rsidRPr="008849E2">
        <w:rPr>
          <w:rFonts w:ascii="Tahoma" w:eastAsia="Calibri" w:hAnsi="Tahoma" w:cs="Tahoma"/>
          <w:b/>
          <w:sz w:val="19"/>
          <w:szCs w:val="19"/>
          <w:rtl/>
        </w:rPr>
        <w:t xml:space="preserve"> רשויות האכיפה השונות</w:t>
      </w:r>
      <w:r w:rsidRPr="008849E2">
        <w:rPr>
          <w:rFonts w:ascii="Tahoma" w:eastAsia="Calibri" w:hAnsi="Tahoma" w:cs="Tahoma" w:hint="cs"/>
          <w:b/>
          <w:sz w:val="19"/>
          <w:szCs w:val="19"/>
          <w:rtl/>
        </w:rPr>
        <w:t>.</w:t>
      </w:r>
    </w:p>
    <w:p w:rsidR="002C13AA" w:rsidP="008849E2">
      <w:pPr>
        <w:spacing w:after="120" w:line="288" w:lineRule="auto"/>
        <w:ind w:left="-851" w:right="-567"/>
        <w:rPr>
          <w:rFonts w:ascii="Tahoma" w:eastAsia="Calibri" w:hAnsi="Tahoma" w:cs="Tahoma"/>
          <w:b/>
          <w:sz w:val="19"/>
          <w:szCs w:val="19"/>
          <w:rtl/>
        </w:rPr>
      </w:pPr>
      <w:r w:rsidRPr="008849E2">
        <w:rPr>
          <w:rFonts w:ascii="Tahoma" w:eastAsia="Calibri" w:hAnsi="Tahoma" w:cs="Tahoma"/>
          <w:b/>
          <w:sz w:val="19"/>
          <w:szCs w:val="19"/>
          <w:rtl/>
        </w:rPr>
        <w:t xml:space="preserve">על יחידת התיאום </w:t>
      </w:r>
      <w:r w:rsidRPr="008849E2">
        <w:rPr>
          <w:rFonts w:ascii="Tahoma" w:eastAsia="Calibri" w:hAnsi="Tahoma" w:cs="Tahoma" w:hint="cs"/>
          <w:b/>
          <w:sz w:val="19"/>
          <w:szCs w:val="19"/>
          <w:rtl/>
        </w:rPr>
        <w:t>להבטיח</w:t>
      </w:r>
      <w:r w:rsidRPr="008849E2">
        <w:rPr>
          <w:rFonts w:ascii="Tahoma" w:eastAsia="Calibri" w:hAnsi="Tahoma" w:cs="Tahoma"/>
          <w:b/>
          <w:sz w:val="19"/>
          <w:szCs w:val="19"/>
          <w:rtl/>
        </w:rPr>
        <w:t xml:space="preserve"> עבודה משותפת</w:t>
      </w:r>
      <w:r w:rsidRPr="008849E2">
        <w:rPr>
          <w:rFonts w:ascii="Tahoma" w:eastAsia="Calibri" w:hAnsi="Tahoma" w:cs="Tahoma" w:hint="cs"/>
          <w:b/>
          <w:sz w:val="19"/>
          <w:szCs w:val="19"/>
          <w:rtl/>
        </w:rPr>
        <w:t>,</w:t>
      </w:r>
      <w:r w:rsidRPr="008849E2">
        <w:rPr>
          <w:rFonts w:ascii="Tahoma" w:eastAsia="Calibri" w:hAnsi="Tahoma" w:cs="Tahoma"/>
          <w:b/>
          <w:sz w:val="19"/>
          <w:szCs w:val="19"/>
          <w:rtl/>
        </w:rPr>
        <w:t xml:space="preserve"> יעילה ומיטבית </w:t>
      </w:r>
      <w:r w:rsidRPr="008849E2">
        <w:rPr>
          <w:rFonts w:ascii="Tahoma" w:eastAsia="Calibri" w:hAnsi="Tahoma" w:cs="Tahoma" w:hint="cs"/>
          <w:b/>
          <w:sz w:val="19"/>
          <w:szCs w:val="19"/>
          <w:rtl/>
        </w:rPr>
        <w:t>של</w:t>
      </w:r>
      <w:r w:rsidRPr="008849E2">
        <w:rPr>
          <w:rFonts w:ascii="Tahoma" w:eastAsia="Calibri" w:hAnsi="Tahoma" w:cs="Tahoma"/>
          <w:b/>
          <w:sz w:val="19"/>
          <w:szCs w:val="19"/>
          <w:rtl/>
        </w:rPr>
        <w:t xml:space="preserve"> גופי האכיפה השונים</w:t>
      </w:r>
      <w:r w:rsidRPr="008849E2">
        <w:rPr>
          <w:rFonts w:ascii="Tahoma" w:eastAsia="Calibri" w:hAnsi="Tahoma" w:cs="Tahoma" w:hint="cs"/>
          <w:b/>
          <w:sz w:val="19"/>
          <w:szCs w:val="19"/>
          <w:rtl/>
        </w:rPr>
        <w:t xml:space="preserve"> ולממש באופן המיטבי את אחריותה כמתחייב מהחלטת הממשלה;</w:t>
      </w:r>
    </w:p>
    <w:p w:rsidR="008849E2" w:rsidRPr="008849E2" w:rsidP="008849E2">
      <w:pPr>
        <w:spacing w:after="120" w:line="288" w:lineRule="auto"/>
        <w:ind w:left="-851" w:right="-567"/>
        <w:rPr>
          <w:rFonts w:ascii="Tahoma" w:eastAsia="Calibri" w:hAnsi="Tahoma" w:cs="Tahoma"/>
          <w:b/>
          <w:sz w:val="19"/>
          <w:szCs w:val="19"/>
          <w:rtl/>
        </w:rPr>
      </w:pPr>
      <w:r w:rsidRPr="008849E2">
        <w:rPr>
          <w:rFonts w:ascii="Tahoma" w:eastAsia="Calibri" w:hAnsi="Tahoma" w:cs="Tahoma" w:hint="cs"/>
          <w:b/>
          <w:sz w:val="19"/>
          <w:szCs w:val="19"/>
          <w:rtl/>
        </w:rPr>
        <w:t xml:space="preserve">על רשות האוכלוסין להקפיד על מתן אשרת שהייה </w:t>
      </w:r>
      <w:r w:rsidRPr="008849E2">
        <w:rPr>
          <w:rFonts w:ascii="Tahoma" w:eastAsia="Calibri" w:hAnsi="Tahoma" w:cs="Tahoma"/>
          <w:b/>
          <w:sz w:val="19"/>
          <w:szCs w:val="19"/>
          <w:rtl/>
        </w:rPr>
        <w:t xml:space="preserve">לכל קורבן </w:t>
      </w:r>
      <w:r w:rsidRPr="008849E2">
        <w:rPr>
          <w:rFonts w:ascii="Tahoma" w:eastAsia="Calibri" w:hAnsi="Tahoma" w:cs="Tahoma" w:hint="cs"/>
          <w:b/>
          <w:sz w:val="19"/>
          <w:szCs w:val="19"/>
          <w:rtl/>
        </w:rPr>
        <w:t>סחר בבני אדם בהתאם לסמכות המוקנית לה ולנהליה, באופן שיאפשר להבטיח את מימוש זכויותיהם של מי שהוכרו כקורבנות סחר בבני אדם ויעודד אותם לשתף פעולה בהליכים פליליים שמנהלת המדינה בתחום.</w:t>
      </w:r>
    </w:p>
    <w:p w:rsidR="00FA7500" w:rsidP="00E01370">
      <w:pPr>
        <w:spacing w:after="120" w:line="288" w:lineRule="auto"/>
        <w:ind w:left="-851" w:right="-567"/>
        <w:rPr>
          <w:rFonts w:ascii="Calibri" w:hAnsi="Calibri" w:cstheme="minorBidi"/>
          <w:color w:val="002060"/>
          <w:sz w:val="22"/>
          <w:szCs w:val="22"/>
        </w:rPr>
      </w:pPr>
      <w:r w:rsidRPr="008849E2">
        <w:rPr>
          <w:rFonts w:ascii="Tahoma" w:eastAsia="Calibri" w:hAnsi="Tahoma" w:cs="Tahoma" w:hint="cs"/>
          <w:b/>
          <w:sz w:val="19"/>
          <w:szCs w:val="19"/>
          <w:rtl/>
        </w:rPr>
        <w:t xml:space="preserve">הגברת האכיפה של חוק איסור צריכת זנות הכרחית לשם השגת ייעודו. </w:t>
      </w:r>
      <w:r w:rsidRPr="008849E2">
        <w:rPr>
          <w:rFonts w:ascii="Tahoma" w:eastAsia="Calibri" w:hAnsi="Tahoma" w:cs="Tahoma"/>
          <w:b/>
          <w:sz w:val="19"/>
          <w:szCs w:val="19"/>
          <w:rtl/>
        </w:rPr>
        <w:t xml:space="preserve">יישום </w:t>
      </w:r>
      <w:r w:rsidRPr="008849E2">
        <w:rPr>
          <w:rFonts w:ascii="Tahoma" w:eastAsia="Calibri" w:hAnsi="Tahoma" w:cs="Tahoma" w:hint="cs"/>
          <w:b/>
          <w:sz w:val="19"/>
          <w:szCs w:val="19"/>
          <w:rtl/>
        </w:rPr>
        <w:t xml:space="preserve">של </w:t>
      </w:r>
      <w:r w:rsidRPr="008849E2">
        <w:rPr>
          <w:rFonts w:ascii="Tahoma" w:eastAsia="Calibri" w:hAnsi="Tahoma" w:cs="Tahoma"/>
          <w:b/>
          <w:sz w:val="19"/>
          <w:szCs w:val="19"/>
          <w:rtl/>
        </w:rPr>
        <w:t>המלצות אלה</w:t>
      </w:r>
      <w:r w:rsidRPr="008849E2">
        <w:rPr>
          <w:rFonts w:ascii="Tahoma" w:eastAsia="Calibri" w:hAnsi="Tahoma" w:cs="Tahoma" w:hint="cs"/>
          <w:b/>
          <w:sz w:val="19"/>
          <w:szCs w:val="19"/>
          <w:rtl/>
        </w:rPr>
        <w:t>, ושל ההמלצות הנוספות המפורטות בדוח זה,</w:t>
      </w:r>
      <w:r w:rsidRPr="008849E2">
        <w:rPr>
          <w:rFonts w:ascii="Tahoma" w:eastAsia="Calibri" w:hAnsi="Tahoma" w:cs="Tahoma"/>
          <w:b/>
          <w:sz w:val="19"/>
          <w:szCs w:val="19"/>
          <w:rtl/>
        </w:rPr>
        <w:t xml:space="preserve"> </w:t>
      </w:r>
      <w:r w:rsidRPr="008849E2">
        <w:rPr>
          <w:rFonts w:ascii="Tahoma" w:eastAsia="Calibri" w:hAnsi="Tahoma" w:cs="Tahoma" w:hint="cs"/>
          <w:b/>
          <w:sz w:val="19"/>
          <w:szCs w:val="19"/>
          <w:rtl/>
        </w:rPr>
        <w:t xml:space="preserve">ישפר את אכיפת החוק ואת </w:t>
      </w:r>
      <w:r w:rsidRPr="008849E2">
        <w:rPr>
          <w:rFonts w:ascii="Tahoma" w:eastAsia="Calibri" w:hAnsi="Tahoma" w:cs="Tahoma"/>
          <w:b/>
          <w:sz w:val="19"/>
          <w:szCs w:val="19"/>
          <w:rtl/>
        </w:rPr>
        <w:t xml:space="preserve">ההגנה על </w:t>
      </w:r>
      <w:r w:rsidRPr="008849E2">
        <w:rPr>
          <w:rFonts w:ascii="Tahoma" w:eastAsia="Calibri" w:hAnsi="Tahoma" w:cs="Tahoma" w:hint="cs"/>
          <w:b/>
          <w:sz w:val="19"/>
          <w:szCs w:val="19"/>
          <w:rtl/>
        </w:rPr>
        <w:t>ה</w:t>
      </w:r>
      <w:r w:rsidRPr="008849E2">
        <w:rPr>
          <w:rFonts w:ascii="Tahoma" w:eastAsia="Calibri" w:hAnsi="Tahoma" w:cs="Tahoma"/>
          <w:b/>
          <w:sz w:val="19"/>
          <w:szCs w:val="19"/>
          <w:rtl/>
        </w:rPr>
        <w:t>קורבנות</w:t>
      </w:r>
      <w:r w:rsidRPr="008849E2">
        <w:rPr>
          <w:rFonts w:ascii="Tahoma" w:eastAsia="Calibri" w:hAnsi="Tahoma" w:cs="Tahoma" w:hint="cs"/>
          <w:b/>
          <w:sz w:val="19"/>
          <w:szCs w:val="19"/>
          <w:rtl/>
        </w:rPr>
        <w:t xml:space="preserve"> של תופעות הזנות והסחר בבני אדם ויסייע למדינה לעמוד בחובותיה המוסריות, החוקיות, החוקתיות והבין-לאומיות.</w:t>
      </w: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1E204F" w:rsidRPr="00B4321D" w:rsidP="009E2768">
      <w:pPr>
        <w:tabs>
          <w:tab w:val="left" w:pos="6518"/>
          <w:tab w:val="left" w:pos="7568"/>
        </w:tabs>
        <w:spacing w:line="269" w:lineRule="auto"/>
        <w:jc w:val="left"/>
        <w:rPr>
          <w:rFonts w:ascii="Calibri" w:hAnsi="Calibri" w:cstheme="minorBidi"/>
          <w:color w:val="002060"/>
          <w:sz w:val="22"/>
          <w:szCs w:val="22"/>
        </w:rPr>
      </w:pPr>
      <w:r>
        <w:rPr>
          <w:rFonts w:ascii="Calibri" w:hAnsi="Calibri" w:cstheme="minorBidi"/>
          <w:color w:val="002060"/>
          <w:sz w:val="22"/>
          <w:szCs w:val="22"/>
        </w:rPr>
        <w:tab/>
      </w:r>
    </w:p>
    <w:sectPr w:rsidSect="0099692E">
      <w:headerReference w:type="default" r:id="rId17"/>
      <w:headerReference w:type="first" r:id="rId18"/>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arkisim">
    <w:altName w:val="Lucida Sans Unicode"/>
    <w:charset w:val="B1"/>
    <w:family w:val="swiss"/>
    <w:pitch w:val="variable"/>
    <w:sig w:usb0="00000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56611" w:rsidP="00C23CC9">
      <w:pPr>
        <w:spacing w:line="240" w:lineRule="auto"/>
      </w:pPr>
      <w:r>
        <w:separator/>
      </w:r>
    </w:p>
  </w:footnote>
  <w:footnote w:type="continuationSeparator" w:id="1">
    <w:p w:rsidR="00256611" w:rsidP="00C23CC9">
      <w:pPr>
        <w:spacing w:line="240" w:lineRule="auto"/>
      </w:pPr>
      <w:r>
        <w:continuationSeparator/>
      </w:r>
    </w:p>
  </w:footnote>
  <w:footnote w:id="2">
    <w:p w:rsidR="008849E2" w:rsidP="008849E2">
      <w:pPr>
        <w:pStyle w:val="FootnoteText"/>
        <w:ind w:right="-567"/>
      </w:pPr>
      <w:r>
        <w:rPr>
          <w:rStyle w:val="FootnoteReference1"/>
        </w:rPr>
        <w:footnoteRef/>
      </w:r>
      <w:r>
        <w:rPr>
          <w:rtl/>
        </w:rPr>
        <w:t xml:space="preserve"> </w:t>
      </w:r>
      <w:r>
        <w:rPr>
          <w:rtl/>
        </w:rPr>
        <w:tab/>
      </w:r>
      <w:r w:rsidRPr="007E43E6">
        <w:rPr>
          <w:rFonts w:ascii="Tahoma" w:hAnsi="Tahoma" w:cs="Tahoma"/>
          <w:sz w:val="16"/>
          <w:szCs w:val="16"/>
          <w:rtl/>
        </w:rPr>
        <w:t>תופעת הסחר בבני אדם כוללת סחר למטרות של עבודת כפייה או עבדות, ניצול מיני, הולדה, נטילת איברים, תועבה ועוד.</w:t>
      </w:r>
      <w:r>
        <w:rPr>
          <w:rFonts w:hint="cs"/>
          <w:rtl/>
        </w:rPr>
        <w:t xml:space="preserve"> </w:t>
      </w:r>
      <w:r w:rsidRPr="009E75B7">
        <w:rPr>
          <w:rFonts w:ascii="Tahoma" w:hAnsi="Tahoma" w:cs="Tahoma"/>
          <w:sz w:val="16"/>
          <w:szCs w:val="16"/>
          <w:rtl/>
        </w:rPr>
        <w:t>בכל שנה ממשלת ארצות הברית מחייבת את מדינות העולם לדווח על פעולותיהן בתחום אכיפת החוקים הנוגעים לעבירות הסחר בבני אדם ומפרסמת את דיווחיהן במסגרת הדוח השנתי למאבק בסחר בבני אדם</w:t>
      </w:r>
      <w:r w:rsidRPr="009E75B7">
        <w:rPr>
          <w:rFonts w:ascii="Tahoma" w:hAnsi="Tahoma" w:cs="Tahoma"/>
          <w:sz w:val="16"/>
          <w:szCs w:val="16"/>
          <w:rtl/>
        </w:rPr>
        <w:t>,</w:t>
      </w:r>
      <w:r w:rsidRPr="009E75B7">
        <w:rPr>
          <w:rFonts w:ascii="Tahoma" w:hAnsi="Tahoma" w:cs="Tahoma"/>
          <w:sz w:val="16"/>
          <w:szCs w:val="16"/>
        </w:rPr>
        <w:t xml:space="preserve"> </w:t>
      </w:r>
      <w:r w:rsidRPr="009E75B7">
        <w:rPr>
          <w:rFonts w:ascii="Tahoma" w:hAnsi="Tahoma" w:cs="Tahoma"/>
          <w:sz w:val="16"/>
          <w:szCs w:val="16"/>
          <w:rtl/>
        </w:rPr>
        <w:t>שנועד להבטיח שמדינות יעמדו בסטנדרטים בין-לאומיים מינימליים. בדוח זה מרוכזים נתונים על פעולות הממשל</w:t>
      </w:r>
      <w:r>
        <w:rPr>
          <w:rFonts w:ascii="Tahoma" w:hAnsi="Tahoma" w:cs="Tahoma" w:hint="cs"/>
          <w:sz w:val="16"/>
          <w:szCs w:val="16"/>
          <w:rtl/>
        </w:rPr>
        <w:t>ה</w:t>
      </w:r>
      <w:r w:rsidRPr="009E75B7">
        <w:rPr>
          <w:rFonts w:ascii="Tahoma" w:hAnsi="Tahoma" w:cs="Tahoma"/>
          <w:sz w:val="16"/>
          <w:szCs w:val="16"/>
          <w:rtl/>
        </w:rPr>
        <w:t xml:space="preserve"> ועל ההמלצות מטעמה לקידום הנושא.</w:t>
      </w:r>
    </w:p>
  </w:footnote>
  <w:footnote w:id="3">
    <w:p w:rsidR="008849E2" w:rsidP="008849E2">
      <w:pPr>
        <w:pStyle w:val="FootnoteText"/>
        <w:ind w:right="-567"/>
      </w:pPr>
      <w:r>
        <w:rPr>
          <w:rStyle w:val="FootnoteReference1"/>
        </w:rPr>
        <w:footnoteRef/>
      </w:r>
      <w:r>
        <w:rPr>
          <w:rtl/>
        </w:rPr>
        <w:t xml:space="preserve"> </w:t>
      </w:r>
      <w:r>
        <w:rPr>
          <w:rtl/>
        </w:rPr>
        <w:tab/>
      </w:r>
      <w:r w:rsidRPr="00C17AD0">
        <w:rPr>
          <w:rFonts w:ascii="Tahoma" w:hAnsi="Tahoma" w:cs="Tahoma"/>
          <w:sz w:val="16"/>
          <w:szCs w:val="16"/>
          <w:rtl/>
        </w:rPr>
        <w:t>דוח מחלקת המדינה האמריקאית אינו מבחין בהקשר זה בין סחר בבני אדם למטרות זנות לבין סחר למטרות אחרות. יחידת התיאום מסרה למשרד מבקר המדינה כי המיקוד של דוח מחלקת המדינה האמריקאית בנושא ההפחתה של מספר החקירות, כתבי האישום וההרשעות היה בתחום הסחר למטרות עבודה ובעבירת העבדות ולא בעבירות הנוגעות לתופעת הזנות או הסחר למטרות זנות.</w:t>
      </w:r>
    </w:p>
  </w:footnote>
  <w:footnote w:id="4">
    <w:p w:rsidR="008849E2" w:rsidRPr="008368E6" w:rsidP="008849E2">
      <w:pPr>
        <w:pStyle w:val="FootnoteText"/>
        <w:ind w:right="-567"/>
        <w:rPr>
          <w:rFonts w:ascii="Tahoma" w:hAnsi="Tahoma" w:cs="Tahoma"/>
          <w:sz w:val="16"/>
          <w:szCs w:val="16"/>
          <w:rtl/>
        </w:rPr>
      </w:pPr>
      <w:r>
        <w:rPr>
          <w:rStyle w:val="FootnoteReference1"/>
        </w:rPr>
        <w:footnoteRef/>
      </w:r>
      <w:r>
        <w:rPr>
          <w:rtl/>
        </w:rPr>
        <w:t xml:space="preserve"> </w:t>
      </w:r>
      <w:r>
        <w:rPr>
          <w:rtl/>
        </w:rPr>
        <w:tab/>
      </w:r>
      <w:r w:rsidRPr="008368E6">
        <w:rPr>
          <w:rFonts w:ascii="Tahoma" w:hAnsi="Tahoma" w:cs="Tahoma"/>
          <w:sz w:val="16"/>
          <w:szCs w:val="16"/>
          <w:rtl/>
        </w:rPr>
        <w:t>הדוח מתמקד באכיפת חוק איסור צריכת זנות ולא באכיפת החוק בעניינן של כלל עבירות הזנות, כגון סרסרות</w:t>
      </w:r>
      <w:r>
        <w:rPr>
          <w:rFonts w:ascii="Tahoma" w:hAnsi="Tahoma" w:cs="Tahoma" w:hint="cs"/>
          <w:sz w:val="16"/>
          <w:szCs w:val="16"/>
          <w:rtl/>
        </w:rPr>
        <w:t xml:space="preserve"> </w:t>
      </w:r>
      <w:r w:rsidRPr="008368E6">
        <w:rPr>
          <w:rFonts w:ascii="Tahoma" w:hAnsi="Tahoma" w:cs="Tahoma"/>
          <w:sz w:val="16"/>
          <w:szCs w:val="16"/>
          <w:rtl/>
        </w:rPr>
        <w:t>והחזקה או ניהול של מקום לשם עיסוק בזנות.</w:t>
      </w:r>
    </w:p>
  </w:footnote>
  <w:footnote w:id="5">
    <w:p w:rsidR="008849E2" w:rsidRPr="007209B0" w:rsidP="008849E2">
      <w:pPr>
        <w:pStyle w:val="FootnoteText"/>
        <w:ind w:right="-709"/>
        <w:rPr>
          <w:rFonts w:ascii="Tahoma" w:hAnsi="Tahoma" w:cs="Tahoma"/>
          <w:sz w:val="19"/>
          <w:szCs w:val="19"/>
        </w:rPr>
      </w:pPr>
      <w:r>
        <w:rPr>
          <w:rStyle w:val="FootnoteReference1"/>
        </w:rPr>
        <w:footnoteRef/>
      </w:r>
      <w:r>
        <w:rPr>
          <w:rtl/>
        </w:rPr>
        <w:t xml:space="preserve"> </w:t>
      </w:r>
      <w:r>
        <w:rPr>
          <w:rtl/>
        </w:rPr>
        <w:tab/>
      </w:r>
      <w:r w:rsidRPr="007209B0">
        <w:rPr>
          <w:rFonts w:ascii="Tahoma" w:hAnsi="Tahoma" w:cs="Tahoma" w:hint="eastAsia"/>
          <w:sz w:val="16"/>
          <w:szCs w:val="16"/>
          <w:rtl/>
        </w:rPr>
        <w:t>יש</w:t>
      </w:r>
      <w:r w:rsidRPr="007209B0">
        <w:rPr>
          <w:rFonts w:ascii="Tahoma" w:hAnsi="Tahoma" w:cs="Tahoma"/>
          <w:sz w:val="16"/>
          <w:szCs w:val="16"/>
          <w:rtl/>
        </w:rPr>
        <w:t xml:space="preserve"> </w:t>
      </w:r>
      <w:r w:rsidRPr="007209B0">
        <w:rPr>
          <w:rFonts w:ascii="Tahoma" w:hAnsi="Tahoma" w:cs="Tahoma" w:hint="eastAsia"/>
          <w:sz w:val="16"/>
          <w:szCs w:val="16"/>
          <w:rtl/>
        </w:rPr>
        <w:t>צרכני</w:t>
      </w:r>
      <w:r w:rsidRPr="007209B0">
        <w:rPr>
          <w:rFonts w:ascii="Tahoma" w:hAnsi="Tahoma" w:cs="Tahoma"/>
          <w:sz w:val="16"/>
          <w:szCs w:val="16"/>
          <w:rtl/>
        </w:rPr>
        <w:t xml:space="preserve"> </w:t>
      </w:r>
      <w:r w:rsidRPr="007209B0">
        <w:rPr>
          <w:rFonts w:ascii="Tahoma" w:hAnsi="Tahoma" w:cs="Tahoma" w:hint="eastAsia"/>
          <w:sz w:val="16"/>
          <w:szCs w:val="16"/>
          <w:rtl/>
        </w:rPr>
        <w:t>זנות</w:t>
      </w:r>
      <w:r w:rsidRPr="007209B0">
        <w:rPr>
          <w:rFonts w:ascii="Tahoma" w:hAnsi="Tahoma" w:cs="Tahoma"/>
          <w:sz w:val="16"/>
          <w:szCs w:val="16"/>
          <w:rtl/>
        </w:rPr>
        <w:t xml:space="preserve"> </w:t>
      </w:r>
      <w:r w:rsidRPr="007209B0">
        <w:rPr>
          <w:rFonts w:ascii="Tahoma" w:hAnsi="Tahoma" w:cs="Tahoma" w:hint="eastAsia"/>
          <w:sz w:val="16"/>
          <w:szCs w:val="16"/>
          <w:rtl/>
        </w:rPr>
        <w:t>שקיבלו</w:t>
      </w:r>
      <w:r w:rsidRPr="007209B0">
        <w:rPr>
          <w:rFonts w:ascii="Tahoma" w:hAnsi="Tahoma" w:cs="Tahoma"/>
          <w:sz w:val="16"/>
          <w:szCs w:val="16"/>
          <w:rtl/>
        </w:rPr>
        <w:t xml:space="preserve"> </w:t>
      </w:r>
      <w:r w:rsidRPr="007209B0">
        <w:rPr>
          <w:rFonts w:ascii="Tahoma" w:hAnsi="Tahoma" w:cs="Tahoma" w:hint="eastAsia"/>
          <w:sz w:val="16"/>
          <w:szCs w:val="16"/>
          <w:rtl/>
        </w:rPr>
        <w:t>יותר</w:t>
      </w:r>
      <w:r w:rsidRPr="007209B0">
        <w:rPr>
          <w:rFonts w:ascii="Tahoma" w:hAnsi="Tahoma" w:cs="Tahoma"/>
          <w:sz w:val="16"/>
          <w:szCs w:val="16"/>
          <w:rtl/>
        </w:rPr>
        <w:t xml:space="preserve"> </w:t>
      </w:r>
      <w:r w:rsidRPr="007209B0">
        <w:rPr>
          <w:rFonts w:ascii="Tahoma" w:hAnsi="Tahoma" w:cs="Tahoma" w:hint="eastAsia"/>
          <w:sz w:val="16"/>
          <w:szCs w:val="16"/>
          <w:rtl/>
        </w:rPr>
        <w:t>מקנס</w:t>
      </w:r>
      <w:r w:rsidRPr="007209B0">
        <w:rPr>
          <w:rFonts w:ascii="Tahoma" w:hAnsi="Tahoma" w:cs="Tahoma"/>
          <w:sz w:val="16"/>
          <w:szCs w:val="16"/>
          <w:rtl/>
        </w:rPr>
        <w:t xml:space="preserve"> </w:t>
      </w:r>
      <w:r w:rsidRPr="007209B0">
        <w:rPr>
          <w:rFonts w:ascii="Tahoma" w:hAnsi="Tahoma" w:cs="Tahoma" w:hint="eastAsia"/>
          <w:sz w:val="16"/>
          <w:szCs w:val="16"/>
          <w:rtl/>
        </w:rPr>
        <w:t>אחד</w:t>
      </w:r>
      <w:r w:rsidRPr="007209B0">
        <w:rPr>
          <w:rFonts w:ascii="Tahoma" w:hAnsi="Tahoma" w:cs="Tahoma"/>
          <w:sz w:val="16"/>
          <w:szCs w:val="16"/>
          <w:rtl/>
        </w:rPr>
        <w:t xml:space="preserve">, </w:t>
      </w:r>
      <w:r w:rsidRPr="007209B0">
        <w:rPr>
          <w:rFonts w:ascii="Tahoma" w:hAnsi="Tahoma" w:cs="Tahoma" w:hint="eastAsia"/>
          <w:sz w:val="16"/>
          <w:szCs w:val="16"/>
          <w:rtl/>
        </w:rPr>
        <w:t>ולכן</w:t>
      </w:r>
      <w:r w:rsidRPr="007209B0">
        <w:rPr>
          <w:rFonts w:ascii="Tahoma" w:hAnsi="Tahoma" w:cs="Tahoma"/>
          <w:sz w:val="16"/>
          <w:szCs w:val="16"/>
          <w:rtl/>
        </w:rPr>
        <w:t xml:space="preserve"> </w:t>
      </w:r>
      <w:r w:rsidRPr="007209B0">
        <w:rPr>
          <w:rFonts w:ascii="Tahoma" w:hAnsi="Tahoma" w:cs="Tahoma" w:hint="eastAsia"/>
          <w:sz w:val="16"/>
          <w:szCs w:val="16"/>
          <w:rtl/>
        </w:rPr>
        <w:t>מספר</w:t>
      </w:r>
      <w:r w:rsidRPr="007209B0">
        <w:rPr>
          <w:rFonts w:ascii="Tahoma" w:hAnsi="Tahoma" w:cs="Tahoma"/>
          <w:sz w:val="16"/>
          <w:szCs w:val="16"/>
          <w:rtl/>
        </w:rPr>
        <w:t xml:space="preserve"> </w:t>
      </w:r>
      <w:r w:rsidRPr="007209B0">
        <w:rPr>
          <w:rFonts w:ascii="Tahoma" w:hAnsi="Tahoma" w:cs="Tahoma" w:hint="eastAsia"/>
          <w:sz w:val="16"/>
          <w:szCs w:val="16"/>
          <w:rtl/>
        </w:rPr>
        <w:t>הקנסות</w:t>
      </w:r>
      <w:r w:rsidRPr="007209B0">
        <w:rPr>
          <w:rFonts w:ascii="Tahoma" w:hAnsi="Tahoma" w:cs="Tahoma"/>
          <w:sz w:val="16"/>
          <w:szCs w:val="16"/>
          <w:rtl/>
        </w:rPr>
        <w:t xml:space="preserve"> </w:t>
      </w:r>
      <w:r>
        <w:rPr>
          <w:rFonts w:ascii="Tahoma" w:hAnsi="Tahoma" w:cs="Tahoma" w:hint="cs"/>
          <w:sz w:val="16"/>
          <w:szCs w:val="16"/>
          <w:rtl/>
        </w:rPr>
        <w:t xml:space="preserve">גדול </w:t>
      </w:r>
      <w:r w:rsidRPr="007209B0">
        <w:rPr>
          <w:rFonts w:ascii="Tahoma" w:hAnsi="Tahoma" w:cs="Tahoma" w:hint="eastAsia"/>
          <w:sz w:val="16"/>
          <w:szCs w:val="16"/>
          <w:rtl/>
        </w:rPr>
        <w:t>ממספר</w:t>
      </w:r>
      <w:r w:rsidRPr="007209B0">
        <w:rPr>
          <w:rFonts w:ascii="Tahoma" w:hAnsi="Tahoma" w:cs="Tahoma"/>
          <w:sz w:val="16"/>
          <w:szCs w:val="16"/>
          <w:rtl/>
        </w:rPr>
        <w:t xml:space="preserve"> </w:t>
      </w:r>
      <w:r w:rsidRPr="007209B0">
        <w:rPr>
          <w:rFonts w:ascii="Tahoma" w:hAnsi="Tahoma" w:cs="Tahoma" w:hint="eastAsia"/>
          <w:sz w:val="16"/>
          <w:szCs w:val="16"/>
          <w:rtl/>
        </w:rPr>
        <w:t>הנקנסים</w:t>
      </w:r>
      <w:r w:rsidRPr="007209B0">
        <w:rPr>
          <w:rFonts w:ascii="Tahoma" w:hAnsi="Tahoma" w:cs="Tahoma"/>
          <w:sz w:val="16"/>
          <w:szCs w:val="16"/>
          <w:rtl/>
        </w:rPr>
        <w:t xml:space="preserve">, </w:t>
      </w:r>
      <w:r w:rsidRPr="007209B0">
        <w:rPr>
          <w:rFonts w:ascii="Tahoma" w:hAnsi="Tahoma" w:cs="Tahoma" w:hint="eastAsia"/>
          <w:sz w:val="16"/>
          <w:szCs w:val="16"/>
          <w:rtl/>
        </w:rPr>
        <w:t>אך</w:t>
      </w:r>
      <w:r w:rsidRPr="007209B0">
        <w:rPr>
          <w:rFonts w:ascii="Tahoma" w:hAnsi="Tahoma" w:cs="Tahoma"/>
          <w:sz w:val="16"/>
          <w:szCs w:val="16"/>
          <w:rtl/>
        </w:rPr>
        <w:t xml:space="preserve"> </w:t>
      </w:r>
      <w:r w:rsidRPr="007209B0">
        <w:rPr>
          <w:rFonts w:ascii="Tahoma" w:hAnsi="Tahoma" w:cs="Tahoma" w:hint="eastAsia"/>
          <w:sz w:val="16"/>
          <w:szCs w:val="16"/>
          <w:rtl/>
        </w:rPr>
        <w:t>מדובר</w:t>
      </w:r>
      <w:r w:rsidRPr="007209B0">
        <w:rPr>
          <w:rFonts w:ascii="Tahoma" w:hAnsi="Tahoma" w:cs="Tahoma"/>
          <w:sz w:val="16"/>
          <w:szCs w:val="16"/>
          <w:rtl/>
        </w:rPr>
        <w:t xml:space="preserve"> </w:t>
      </w:r>
      <w:r w:rsidRPr="007209B0">
        <w:rPr>
          <w:rFonts w:ascii="Tahoma" w:hAnsi="Tahoma" w:cs="Tahoma" w:hint="eastAsia"/>
          <w:sz w:val="16"/>
          <w:szCs w:val="16"/>
          <w:rtl/>
        </w:rPr>
        <w:t>באחוזים</w:t>
      </w:r>
      <w:r w:rsidRPr="007209B0">
        <w:rPr>
          <w:rFonts w:ascii="Tahoma" w:hAnsi="Tahoma" w:cs="Tahoma"/>
          <w:sz w:val="16"/>
          <w:szCs w:val="16"/>
          <w:rtl/>
        </w:rPr>
        <w:t xml:space="preserve"> </w:t>
      </w:r>
      <w:r w:rsidRPr="007209B0">
        <w:rPr>
          <w:rFonts w:ascii="Tahoma" w:hAnsi="Tahoma" w:cs="Tahoma" w:hint="eastAsia"/>
          <w:sz w:val="16"/>
          <w:szCs w:val="16"/>
          <w:rtl/>
        </w:rPr>
        <w:t>בודדים</w:t>
      </w:r>
      <w:r w:rsidRPr="007209B0">
        <w:rPr>
          <w:rFonts w:ascii="Tahoma" w:hAnsi="Tahoma" w:cs="Tahoma"/>
          <w:sz w:val="16"/>
          <w:szCs w:val="16"/>
          <w:rtl/>
        </w:rPr>
        <w:t>.</w:t>
      </w:r>
    </w:p>
  </w:footnote>
  <w:footnote w:id="6">
    <w:p w:rsidR="008849E2" w:rsidRPr="00747DD6" w:rsidP="008849E2">
      <w:pPr>
        <w:pStyle w:val="FootnoteText"/>
        <w:rPr>
          <w:sz w:val="16"/>
          <w:szCs w:val="16"/>
          <w:rtl/>
        </w:rPr>
      </w:pPr>
      <w:r>
        <w:rPr>
          <w:rStyle w:val="FootnoteReference1"/>
        </w:rPr>
        <w:footnoteRef/>
      </w:r>
      <w:r>
        <w:rPr>
          <w:rtl/>
        </w:rPr>
        <w:t xml:space="preserve"> </w:t>
      </w:r>
      <w:r>
        <w:rPr>
          <w:rtl/>
        </w:rPr>
        <w:tab/>
      </w:r>
      <w:r w:rsidRPr="00747DD6">
        <w:rPr>
          <w:rFonts w:ascii="Tahoma" w:hAnsi="Tahoma" w:cs="Tahoma"/>
          <w:sz w:val="16"/>
          <w:szCs w:val="16"/>
          <w:rtl/>
        </w:rPr>
        <w:t>הכוונה לפניות אזרחים בקשר לעבירת מטרדים לפי ס' 215 (ג) לחוק העונשין.</w:t>
      </w:r>
    </w:p>
  </w:footnote>
  <w:footnote w:id="7">
    <w:p w:rsidR="008849E2" w:rsidRPr="00686243" w:rsidP="008849E2">
      <w:pPr>
        <w:pStyle w:val="FootnoteText"/>
        <w:rPr>
          <w:rtl/>
        </w:rPr>
      </w:pPr>
      <w:r w:rsidRPr="00686243">
        <w:rPr>
          <w:rStyle w:val="FootnoteReference1"/>
        </w:rPr>
        <w:footnoteRef/>
      </w:r>
      <w:r w:rsidRPr="00686243">
        <w:rPr>
          <w:rtl/>
        </w:rPr>
        <w:t xml:space="preserve"> </w:t>
      </w:r>
      <w:r w:rsidRPr="00686243">
        <w:rPr>
          <w:rtl/>
        </w:rPr>
        <w:tab/>
      </w:r>
      <w:r w:rsidRPr="00DF28BA">
        <w:rPr>
          <w:rFonts w:ascii="Tahoma" w:hAnsi="Tahoma" w:cs="Tahoma"/>
          <w:sz w:val="16"/>
          <w:szCs w:val="16"/>
          <w:rtl/>
        </w:rPr>
        <w:t xml:space="preserve">לרבות דיווחי אזרחים למוקד 100 ומידע ממרפאות של משרד הבריאות אשר מטפלות בנפגעות זנות וסחר בבני אדם.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57F9" w:rsidRPr="0062451B" w:rsidP="00AF57F9">
    <w:pPr>
      <w:pStyle w:val="Header"/>
      <w:ind w:right="-567"/>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1503045</wp:posOffset>
              </wp:positionH>
              <wp:positionV relativeFrom="paragraph">
                <wp:posOffset>208915</wp:posOffset>
              </wp:positionV>
              <wp:extent cx="4588510" cy="285750"/>
              <wp:effectExtent l="0" t="0" r="0" b="0"/>
              <wp:wrapSquare wrapText="bothSides"/>
              <wp:docPr id="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4588510" cy="285750"/>
                      </a:xfrm>
                      <a:prstGeom prst="rect">
                        <a:avLst/>
                      </a:prstGeom>
                      <a:noFill/>
                      <a:ln w="9525">
                        <a:noFill/>
                        <a:miter lim="800000"/>
                        <a:headEnd/>
                        <a:tailEnd/>
                      </a:ln>
                    </wps:spPr>
                    <wps:txbx>
                      <w:txbxContent>
                        <w:p w:rsidR="00AF57F9" w:rsidRPr="00AF57F9" w:rsidP="00AF57F9">
                          <w:pPr>
                            <w:ind w:left="427"/>
                            <w:rPr>
                              <w:rFonts w:ascii="Calibri" w:hAnsi="Calibri" w:cs="Calibri"/>
                              <w:color w:val="002060"/>
                              <w:szCs w:val="20"/>
                              <w:rtl/>
                            </w:rPr>
                          </w:pPr>
                          <w:r w:rsidRPr="008849E2">
                            <w:rPr>
                              <w:rFonts w:ascii="Calibri" w:hAnsi="Calibri" w:cs="Calibri"/>
                              <w:color w:val="002060"/>
                              <w:szCs w:val="20"/>
                              <w:rtl/>
                            </w:rPr>
                            <w:t>תופעות הזנות והסחר בבני אדם למטרות זנות - היבטים באכיפה ובהגנה על הקורבנות</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49" type="#_x0000_t202" style="width:361.3pt;height:22.5pt;margin-top:16.45pt;margin-left:118.35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AF57F9" w:rsidRPr="00AF57F9" w:rsidP="00AF57F9">
                    <w:pPr>
                      <w:ind w:left="427"/>
                      <w:rPr>
                        <w:rFonts w:ascii="Calibri" w:hAnsi="Calibri" w:cs="Calibri"/>
                        <w:color w:val="002060"/>
                        <w:szCs w:val="20"/>
                        <w:rtl/>
                      </w:rPr>
                    </w:pPr>
                    <w:r w:rsidRPr="008849E2">
                      <w:rPr>
                        <w:rFonts w:ascii="Calibri" w:hAnsi="Calibri" w:cs="Calibri"/>
                        <w:color w:val="002060"/>
                        <w:szCs w:val="20"/>
                        <w:rtl/>
                      </w:rPr>
                      <w:t>תופעות הזנות והסחר בבני אדם למטרות זנות - היבטים באכיפה ובהגנה על הקורבנות</w:t>
                    </w:r>
                  </w:p>
                </w:txbxContent>
              </v:textbox>
              <w10:wrap type="square"/>
            </v:shape>
          </w:pict>
        </mc:Fallback>
      </mc:AlternateContent>
    </w:r>
    <w:r>
      <w:rPr>
        <w:rFonts w:asciiTheme="minorHAnsi" w:hAnsiTheme="minorHAnsi" w:cstheme="minorHAnsi"/>
        <w:noProof/>
        <w:color w:val="002060"/>
        <w:szCs w:val="20"/>
        <w:rtl/>
        <w:lang w:val="he-IL"/>
      </w:rPr>
      <mc:AlternateContent>
        <mc:Choice Requires="wps">
          <w:drawing>
            <wp:anchor distT="0" distB="0" distL="114300" distR="114300" simplePos="0" relativeHeight="251664384"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2" name="מחבר ישר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2" o:spid="_x0000_s2050" style="flip:y;mso-height-percent:0;mso-height-relative:margin;mso-width-percent:0;mso-width-relative:margin;mso-wrap-distance-bottom:0;mso-wrap-distance-left:9pt;mso-wrap-distance-right:9pt;mso-wrap-distance-top:0;mso-wrap-style:square;position:absolute;visibility:visible;z-index:251665408" from="-26.55pt,16.3pt" to="451.2pt,16.3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AF57F9" w:rsidRPr="0062451B" w:rsidP="00AF57F9">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w:t>
                          </w:r>
                          <w:r w:rsidR="00275816">
                            <w:rPr>
                              <w:rFonts w:ascii="Calibri" w:hAnsi="Calibri" w:cs="Calibri" w:hint="cs"/>
                              <w:color w:val="002060"/>
                              <w:sz w:val="22"/>
                              <w:szCs w:val="22"/>
                              <w:rtl/>
                            </w:rPr>
                            <w:t>מיוחד</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67456" filled="f" stroked="f">
              <v:textbox>
                <w:txbxContent>
                  <w:p w:rsidR="00AF57F9" w:rsidRPr="0062451B" w:rsidP="00AF57F9">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w:t>
                    </w:r>
                    <w:r w:rsidR="00275816">
                      <w:rPr>
                        <w:rFonts w:ascii="Calibri" w:hAnsi="Calibri" w:cs="Calibri" w:hint="cs"/>
                        <w:color w:val="002060"/>
                        <w:sz w:val="22"/>
                        <w:szCs w:val="22"/>
                        <w:rtl/>
                      </w:rPr>
                      <w:t>מיוחד</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8480"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AF57F9" w:rsidRPr="0062451B" w:rsidP="00AF57F9">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w:t>
                          </w:r>
                          <w:r w:rsidR="00275816">
                            <w:rPr>
                              <w:rFonts w:ascii="Calibri" w:hAnsi="Calibri" w:cs="Calibri" w:hint="cs"/>
                              <w:color w:val="002060"/>
                              <w:szCs w:val="20"/>
                              <w:rtl/>
                            </w:rPr>
                            <w:t>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יולי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6976" filled="f" stroked="f">
              <v:textbox>
                <w:txbxContent>
                  <w:p w:rsidR="00AF57F9" w:rsidRPr="0062451B" w:rsidP="00AF57F9">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w:t>
                    </w:r>
                    <w:r w:rsidR="00275816">
                      <w:rPr>
                        <w:rFonts w:ascii="Calibri" w:hAnsi="Calibri" w:cs="Calibri" w:hint="cs"/>
                        <w:color w:val="002060"/>
                        <w:szCs w:val="20"/>
                        <w:rtl/>
                      </w:rPr>
                      <w:t>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יולי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Pr>
        <w:rFonts w:asciiTheme="minorHAnsi" w:hAnsiTheme="minorHAnsi" w:cstheme="minorHAnsi" w:hint="cs"/>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1</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p w:rsidR="00AF57F9" w:rsidRPr="007E53C6" w:rsidP="00AF57F9">
    <w:pPr>
      <w:pStyle w:val="Header"/>
    </w:pPr>
  </w:p>
  <w:p w:rsidR="00AF57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rsidRPr="0062451B" w:rsidP="007E53C6">
    <w:pPr>
      <w:pStyle w:val="Header"/>
      <w:ind w:right="-567"/>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58240"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33" name="מחבר ישר 33"/>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33" o:spid="_x0000_s2053" style="flip:y;mso-height-percent:0;mso-height-relative:margin;mso-width-percent:0;mso-width-relative:margin;mso-wrap-distance-bottom:0;mso-wrap-distance-left:9pt;mso-wrap-distance-right:9pt;mso-wrap-distance-top:0;mso-wrap-style:square;position:absolute;visibility:visible;z-index:251659264" from="-26.55pt,16.3pt" to="451.2pt,16.3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0288"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3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256611" w:rsidRPr="0062451B" w:rsidP="007E53C6">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w:t>
                          </w:r>
                          <w:r w:rsidR="008630BC">
                            <w:rPr>
                              <w:rFonts w:ascii="Calibri" w:hAnsi="Calibri" w:cs="Calibri" w:hint="cs"/>
                              <w:color w:val="002060"/>
                              <w:sz w:val="22"/>
                              <w:szCs w:val="22"/>
                              <w:rtl/>
                            </w:rPr>
                            <w:t xml:space="preserve"> מיוחד</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4"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61312" filled="f" stroked="f">
              <v:textbox>
                <w:txbxContent>
                  <w:p w:rsidR="00256611" w:rsidRPr="0062451B" w:rsidP="007E53C6">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w:t>
                    </w:r>
                    <w:r w:rsidR="008630BC">
                      <w:rPr>
                        <w:rFonts w:ascii="Calibri" w:hAnsi="Calibri" w:cs="Calibri" w:hint="cs"/>
                        <w:color w:val="002060"/>
                        <w:sz w:val="22"/>
                        <w:szCs w:val="22"/>
                        <w:rtl/>
                      </w:rPr>
                      <w:t xml:space="preserve"> מיוחד</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2336"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3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256611" w:rsidRPr="0062451B" w:rsidP="007E53C6">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w:t>
                          </w:r>
                          <w:r w:rsidR="008630BC">
                            <w:rPr>
                              <w:rFonts w:ascii="Calibri" w:hAnsi="Calibri" w:cs="Calibri" w:hint="cs"/>
                              <w:color w:val="002060"/>
                              <w:szCs w:val="20"/>
                              <w:rtl/>
                            </w:rPr>
                            <w:t>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יולי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5"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3120" filled="f" stroked="f">
              <v:textbox>
                <w:txbxContent>
                  <w:p w:rsidR="00256611" w:rsidRPr="0062451B" w:rsidP="007E53C6">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w:t>
                    </w:r>
                    <w:r w:rsidR="008630BC">
                      <w:rPr>
                        <w:rFonts w:ascii="Calibri" w:hAnsi="Calibri" w:cs="Calibri" w:hint="cs"/>
                        <w:color w:val="002060"/>
                        <w:szCs w:val="20"/>
                        <w:rtl/>
                      </w:rPr>
                      <w:t>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יולי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3</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p w:rsidR="00256611" w:rsidRPr="007E53C6" w:rsidP="007E53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6C243D"/>
    <w:multiLevelType w:val="multilevel"/>
    <w:tmpl w:val="89D88ECA"/>
    <w:lvl w:ilvl="0">
      <w:start w:val="1"/>
      <w:numFmt w:val="decimal"/>
      <w:lvlText w:val="%1."/>
      <w:lvlJc w:val="left"/>
      <w:pPr>
        <w:ind w:left="1105" w:hanging="340"/>
      </w:pPr>
      <w:rPr>
        <w:b/>
        <w:bCs/>
      </w:rPr>
    </w:lvl>
    <w:lvl w:ilvl="1">
      <w:start w:val="1"/>
      <w:numFmt w:val="hebrew1"/>
      <w:lvlText w:val="%2."/>
      <w:lvlJc w:val="left"/>
      <w:pPr>
        <w:ind w:left="1445" w:hanging="340"/>
      </w:pPr>
    </w:lvl>
    <w:lvl w:ilvl="2">
      <w:start w:val="1"/>
      <w:numFmt w:val="decimal"/>
      <w:lvlText w:val="(%3)"/>
      <w:lvlJc w:val="left"/>
      <w:pPr>
        <w:ind w:left="1842" w:hanging="397"/>
      </w:pPr>
    </w:lvl>
    <w:lvl w:ilvl="3">
      <w:start w:val="1"/>
      <w:numFmt w:val="hebrew1"/>
      <w:lvlText w:val="(%4)"/>
      <w:lvlJc w:val="left"/>
      <w:pPr>
        <w:ind w:left="2239" w:hanging="397"/>
      </w:pPr>
    </w:lvl>
    <w:lvl w:ilvl="4">
      <w:start w:val="1"/>
      <w:numFmt w:val="lowerLetter"/>
      <w:lvlText w:val="(%5)"/>
      <w:lvlJc w:val="left"/>
      <w:pPr>
        <w:ind w:left="2562" w:hanging="357"/>
      </w:pPr>
    </w:lvl>
    <w:lvl w:ilvl="5">
      <w:start w:val="1"/>
      <w:numFmt w:val="lowerRoman"/>
      <w:lvlText w:val="(%6)"/>
      <w:lvlJc w:val="left"/>
      <w:pPr>
        <w:ind w:left="2925" w:hanging="363"/>
      </w:pPr>
    </w:lvl>
    <w:lvl w:ilvl="6">
      <w:start w:val="1"/>
      <w:numFmt w:val="decimal"/>
      <w:lvlText w:val="%7."/>
      <w:lvlJc w:val="left"/>
      <w:pPr>
        <w:ind w:left="3282" w:hanging="357"/>
      </w:pPr>
    </w:lvl>
    <w:lvl w:ilvl="7">
      <w:start w:val="1"/>
      <w:numFmt w:val="lowerLetter"/>
      <w:lvlText w:val="%8."/>
      <w:lvlJc w:val="left"/>
      <w:pPr>
        <w:ind w:left="3645" w:hanging="363"/>
      </w:pPr>
    </w:lvl>
    <w:lvl w:ilvl="8">
      <w:start w:val="1"/>
      <w:numFmt w:val="lowerRoman"/>
      <w:lvlText w:val="%9."/>
      <w:lvlJc w:val="left"/>
      <w:pPr>
        <w:ind w:left="4002" w:hanging="357"/>
      </w:pPr>
    </w:lvl>
  </w:abstractNum>
  <w:abstractNum w:abstractNumId="1">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2">
    <w:nsid w:val="1DC12F84"/>
    <w:multiLevelType w:val="hybridMultilevel"/>
    <w:tmpl w:val="C2C47B0E"/>
    <w:lvl w:ilvl="0">
      <w:start w:val="1"/>
      <w:numFmt w:val="bullet"/>
      <w:lvlText w:val=""/>
      <w:lvlJc w:val="left"/>
      <w:pPr>
        <w:ind w:left="217" w:hanging="360"/>
      </w:pPr>
      <w:rPr>
        <w:rFonts w:ascii="Symbol" w:hAnsi="Symbol" w:hint="default"/>
        <w:b/>
        <w:color w:val="FF0000"/>
      </w:rPr>
    </w:lvl>
    <w:lvl w:ilvl="1" w:tentative="1">
      <w:start w:val="1"/>
      <w:numFmt w:val="lowerLetter"/>
      <w:lvlText w:val="%2."/>
      <w:lvlJc w:val="left"/>
      <w:pPr>
        <w:ind w:left="937" w:hanging="360"/>
      </w:pPr>
    </w:lvl>
    <w:lvl w:ilvl="2" w:tentative="1">
      <w:start w:val="1"/>
      <w:numFmt w:val="lowerRoman"/>
      <w:lvlText w:val="%3."/>
      <w:lvlJc w:val="right"/>
      <w:pPr>
        <w:ind w:left="1657" w:hanging="180"/>
      </w:pPr>
    </w:lvl>
    <w:lvl w:ilvl="3" w:tentative="1">
      <w:start w:val="1"/>
      <w:numFmt w:val="decimal"/>
      <w:lvlText w:val="%4."/>
      <w:lvlJc w:val="left"/>
      <w:pPr>
        <w:ind w:left="2377" w:hanging="360"/>
      </w:pPr>
    </w:lvl>
    <w:lvl w:ilvl="4" w:tentative="1">
      <w:start w:val="1"/>
      <w:numFmt w:val="lowerLetter"/>
      <w:lvlText w:val="%5."/>
      <w:lvlJc w:val="left"/>
      <w:pPr>
        <w:ind w:left="3097" w:hanging="360"/>
      </w:pPr>
    </w:lvl>
    <w:lvl w:ilvl="5" w:tentative="1">
      <w:start w:val="1"/>
      <w:numFmt w:val="lowerRoman"/>
      <w:lvlText w:val="%6."/>
      <w:lvlJc w:val="right"/>
      <w:pPr>
        <w:ind w:left="3817" w:hanging="180"/>
      </w:pPr>
    </w:lvl>
    <w:lvl w:ilvl="6" w:tentative="1">
      <w:start w:val="1"/>
      <w:numFmt w:val="decimal"/>
      <w:lvlText w:val="%7."/>
      <w:lvlJc w:val="left"/>
      <w:pPr>
        <w:ind w:left="4537" w:hanging="360"/>
      </w:pPr>
    </w:lvl>
    <w:lvl w:ilvl="7" w:tentative="1">
      <w:start w:val="1"/>
      <w:numFmt w:val="lowerLetter"/>
      <w:lvlText w:val="%8."/>
      <w:lvlJc w:val="left"/>
      <w:pPr>
        <w:ind w:left="5257" w:hanging="360"/>
      </w:pPr>
    </w:lvl>
    <w:lvl w:ilvl="8" w:tentative="1">
      <w:start w:val="1"/>
      <w:numFmt w:val="lowerRoman"/>
      <w:lvlText w:val="%9."/>
      <w:lvlJc w:val="right"/>
      <w:pPr>
        <w:ind w:left="5977" w:hanging="180"/>
      </w:pPr>
    </w:lvl>
  </w:abstractNum>
  <w:abstractNum w:abstractNumId="3">
    <w:nsid w:val="29677F6F"/>
    <w:multiLevelType w:val="hybridMultilevel"/>
    <w:tmpl w:val="CB0045A4"/>
    <w:lvl w:ilvl="0">
      <w:start w:val="1"/>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5">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6">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7">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8">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9">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10">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1">
    <w:nsid w:val="5D815C8E"/>
    <w:multiLevelType w:val="hybridMultilevel"/>
    <w:tmpl w:val="7358504A"/>
    <w:lvl w:ilvl="0">
      <w:start w:val="1"/>
      <w:numFmt w:val="bullet"/>
      <w:lvlText w:val=""/>
      <w:lvlJc w:val="left"/>
      <w:pPr>
        <w:ind w:left="217" w:hanging="360"/>
      </w:pPr>
      <w:rPr>
        <w:rFonts w:ascii="Symbol" w:hAnsi="Symbol" w:hint="default"/>
        <w:b/>
        <w:color w:val="FF0000"/>
        <w:sz w:val="22"/>
        <w:szCs w:val="22"/>
      </w:rPr>
    </w:lvl>
    <w:lvl w:ilvl="1" w:tentative="1">
      <w:start w:val="1"/>
      <w:numFmt w:val="lowerLetter"/>
      <w:lvlText w:val="%2."/>
      <w:lvlJc w:val="left"/>
      <w:pPr>
        <w:ind w:left="937" w:hanging="360"/>
      </w:pPr>
    </w:lvl>
    <w:lvl w:ilvl="2" w:tentative="1">
      <w:start w:val="1"/>
      <w:numFmt w:val="lowerRoman"/>
      <w:lvlText w:val="%3."/>
      <w:lvlJc w:val="right"/>
      <w:pPr>
        <w:ind w:left="1657" w:hanging="180"/>
      </w:pPr>
    </w:lvl>
    <w:lvl w:ilvl="3" w:tentative="1">
      <w:start w:val="1"/>
      <w:numFmt w:val="decimal"/>
      <w:lvlText w:val="%4."/>
      <w:lvlJc w:val="left"/>
      <w:pPr>
        <w:ind w:left="2377" w:hanging="360"/>
      </w:pPr>
    </w:lvl>
    <w:lvl w:ilvl="4" w:tentative="1">
      <w:start w:val="1"/>
      <w:numFmt w:val="lowerLetter"/>
      <w:lvlText w:val="%5."/>
      <w:lvlJc w:val="left"/>
      <w:pPr>
        <w:ind w:left="3097" w:hanging="360"/>
      </w:pPr>
    </w:lvl>
    <w:lvl w:ilvl="5" w:tentative="1">
      <w:start w:val="1"/>
      <w:numFmt w:val="lowerRoman"/>
      <w:lvlText w:val="%6."/>
      <w:lvlJc w:val="right"/>
      <w:pPr>
        <w:ind w:left="3817" w:hanging="180"/>
      </w:pPr>
    </w:lvl>
    <w:lvl w:ilvl="6" w:tentative="1">
      <w:start w:val="1"/>
      <w:numFmt w:val="decimal"/>
      <w:lvlText w:val="%7."/>
      <w:lvlJc w:val="left"/>
      <w:pPr>
        <w:ind w:left="4537" w:hanging="360"/>
      </w:pPr>
    </w:lvl>
    <w:lvl w:ilvl="7" w:tentative="1">
      <w:start w:val="1"/>
      <w:numFmt w:val="lowerLetter"/>
      <w:lvlText w:val="%8."/>
      <w:lvlJc w:val="left"/>
      <w:pPr>
        <w:ind w:left="5257" w:hanging="360"/>
      </w:pPr>
    </w:lvl>
    <w:lvl w:ilvl="8" w:tentative="1">
      <w:start w:val="1"/>
      <w:numFmt w:val="lowerRoman"/>
      <w:lvlText w:val="%9."/>
      <w:lvlJc w:val="right"/>
      <w:pPr>
        <w:ind w:left="5977" w:hanging="180"/>
      </w:pPr>
    </w:lvl>
  </w:abstractNum>
  <w:abstractNum w:abstractNumId="12">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4">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705C3C08"/>
    <w:multiLevelType w:val="multilevel"/>
    <w:tmpl w:val="B2760BCA"/>
    <w:lvl w:ilvl="0">
      <w:start w:val="1"/>
      <w:numFmt w:val="bullet"/>
      <w:lvlText w:val=""/>
      <w:lvlJc w:val="left"/>
      <w:pPr>
        <w:ind w:left="340" w:hanging="340"/>
      </w:pPr>
      <w:rPr>
        <w:rFonts w:ascii="Symbol" w:hAnsi="Symbol" w:cs="Symbol" w:hint="default"/>
        <w:b/>
        <w:bCs/>
        <w:color w:val="FF0000"/>
        <w:sz w:val="28"/>
        <w:szCs w:val="28"/>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6">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7">
    <w:nsid w:val="7F622778"/>
    <w:multiLevelType w:val="multilevel"/>
    <w:tmpl w:val="B4DE4174"/>
    <w:lvl w:ilvl="0">
      <w:start w:val="1"/>
      <w:numFmt w:val="bullet"/>
      <w:lvlText w:val=""/>
      <w:lvlJc w:val="left"/>
      <w:pPr>
        <w:ind w:left="340" w:hanging="340"/>
      </w:pPr>
      <w:rPr>
        <w:rFonts w:ascii="Symbol" w:hAnsi="Symbol" w:hint="default"/>
        <w:color w:val="FF0000"/>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bullet"/>
      <w:lvlText w:val=""/>
      <w:lvlJc w:val="left"/>
      <w:pPr>
        <w:ind w:left="2517" w:hanging="357"/>
      </w:pPr>
      <w:rPr>
        <w:rFonts w:ascii="Symbol" w:hAnsi="Symbol" w:hint="default"/>
        <w:color w:val="FF0000"/>
      </w:rPr>
    </w:lvl>
    <w:lvl w:ilvl="7">
      <w:start w:val="1"/>
      <w:numFmt w:val="lowerLetter"/>
      <w:lvlText w:val="%8."/>
      <w:lvlJc w:val="left"/>
      <w:pPr>
        <w:ind w:left="2880" w:hanging="363"/>
      </w:pPr>
    </w:lvl>
    <w:lvl w:ilvl="8">
      <w:start w:val="1"/>
      <w:numFmt w:val="lowerRoman"/>
      <w:lvlText w:val="%9."/>
      <w:lvlJc w:val="left"/>
      <w:pPr>
        <w:ind w:left="3237" w:hanging="357"/>
      </w:pPr>
    </w:lvl>
  </w:abstractNum>
  <w:num w:numId="1">
    <w:abstractNumId w:val="16"/>
  </w:num>
  <w:num w:numId="2">
    <w:abstractNumId w:val="10"/>
  </w:num>
  <w:num w:numId="3">
    <w:abstractNumId w:val="8"/>
  </w:num>
  <w:num w:numId="4">
    <w:abstractNumId w:val="1"/>
  </w:num>
  <w:num w:numId="5">
    <w:abstractNumId w:val="9"/>
  </w:num>
  <w:num w:numId="6">
    <w:abstractNumId w:val="13"/>
  </w:num>
  <w:num w:numId="7">
    <w:abstractNumId w:val="7"/>
  </w:num>
  <w:num w:numId="8">
    <w:abstractNumId w:val="5"/>
  </w:num>
  <w:num w:numId="9">
    <w:abstractNumId w:val="4"/>
  </w:num>
  <w:num w:numId="10">
    <w:abstractNumId w:val="6"/>
  </w:num>
  <w:num w:numId="11">
    <w:abstractNumId w:val="3"/>
  </w:num>
  <w:num w:numId="12">
    <w:abstractNumId w:val="14"/>
  </w:num>
  <w:num w:numId="13">
    <w:abstractNumId w:val="12"/>
  </w:num>
  <w:num w:numId="14">
    <w:abstractNumId w:val="2"/>
  </w:num>
  <w:num w:numId="15">
    <w:abstractNumId w:val="11"/>
  </w:num>
  <w:num w:numId="16">
    <w:abstractNumId w:val="15"/>
  </w:num>
  <w:num w:numId="17">
    <w:abstractNumId w:val="17"/>
  </w:num>
  <w:num w:numId="1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735B"/>
    <w:rsid w:val="00042837"/>
    <w:rsid w:val="000501A4"/>
    <w:rsid w:val="000532AA"/>
    <w:rsid w:val="00056FDC"/>
    <w:rsid w:val="00077C3D"/>
    <w:rsid w:val="000B1102"/>
    <w:rsid w:val="000C7459"/>
    <w:rsid w:val="000E013E"/>
    <w:rsid w:val="000F7725"/>
    <w:rsid w:val="00101D0F"/>
    <w:rsid w:val="001132D6"/>
    <w:rsid w:val="00113E28"/>
    <w:rsid w:val="00114325"/>
    <w:rsid w:val="00166477"/>
    <w:rsid w:val="001730B0"/>
    <w:rsid w:val="001960B4"/>
    <w:rsid w:val="001A613C"/>
    <w:rsid w:val="001B2821"/>
    <w:rsid w:val="001C057E"/>
    <w:rsid w:val="001C6185"/>
    <w:rsid w:val="001E204F"/>
    <w:rsid w:val="001E31FA"/>
    <w:rsid w:val="00203604"/>
    <w:rsid w:val="002064F7"/>
    <w:rsid w:val="002131B5"/>
    <w:rsid w:val="00240887"/>
    <w:rsid w:val="00240A84"/>
    <w:rsid w:val="00256611"/>
    <w:rsid w:val="00263521"/>
    <w:rsid w:val="00275816"/>
    <w:rsid w:val="002A7D21"/>
    <w:rsid w:val="002C0FD0"/>
    <w:rsid w:val="002C13AA"/>
    <w:rsid w:val="002C1EE0"/>
    <w:rsid w:val="002C4139"/>
    <w:rsid w:val="00301153"/>
    <w:rsid w:val="00313DEA"/>
    <w:rsid w:val="00323027"/>
    <w:rsid w:val="0037370B"/>
    <w:rsid w:val="0037752E"/>
    <w:rsid w:val="00380052"/>
    <w:rsid w:val="00386E9B"/>
    <w:rsid w:val="0039415D"/>
    <w:rsid w:val="003A6E37"/>
    <w:rsid w:val="003D61C6"/>
    <w:rsid w:val="003E58C2"/>
    <w:rsid w:val="00401656"/>
    <w:rsid w:val="0047002B"/>
    <w:rsid w:val="004779AA"/>
    <w:rsid w:val="004A0385"/>
    <w:rsid w:val="004C7D9F"/>
    <w:rsid w:val="005006C5"/>
    <w:rsid w:val="00512A2D"/>
    <w:rsid w:val="00514BA9"/>
    <w:rsid w:val="00551B42"/>
    <w:rsid w:val="00551FF7"/>
    <w:rsid w:val="00574579"/>
    <w:rsid w:val="00580C5C"/>
    <w:rsid w:val="005A021D"/>
    <w:rsid w:val="0062451B"/>
    <w:rsid w:val="00634DAD"/>
    <w:rsid w:val="00640B60"/>
    <w:rsid w:val="006457EB"/>
    <w:rsid w:val="006531CB"/>
    <w:rsid w:val="006827DD"/>
    <w:rsid w:val="00686243"/>
    <w:rsid w:val="006D4161"/>
    <w:rsid w:val="006D786C"/>
    <w:rsid w:val="006E1414"/>
    <w:rsid w:val="006F285F"/>
    <w:rsid w:val="007209B0"/>
    <w:rsid w:val="0072219B"/>
    <w:rsid w:val="007474F0"/>
    <w:rsid w:val="00747DD6"/>
    <w:rsid w:val="00753ADE"/>
    <w:rsid w:val="00773F61"/>
    <w:rsid w:val="007A4468"/>
    <w:rsid w:val="007A4EBD"/>
    <w:rsid w:val="007B112B"/>
    <w:rsid w:val="007B5B26"/>
    <w:rsid w:val="007B691A"/>
    <w:rsid w:val="007C1FF6"/>
    <w:rsid w:val="007D61B8"/>
    <w:rsid w:val="007E43E6"/>
    <w:rsid w:val="007E53C6"/>
    <w:rsid w:val="007F7FF2"/>
    <w:rsid w:val="00805B42"/>
    <w:rsid w:val="008102AD"/>
    <w:rsid w:val="008238B4"/>
    <w:rsid w:val="008368E6"/>
    <w:rsid w:val="00837997"/>
    <w:rsid w:val="008630BC"/>
    <w:rsid w:val="00867FC5"/>
    <w:rsid w:val="008849E2"/>
    <w:rsid w:val="00892F80"/>
    <w:rsid w:val="008B4F41"/>
    <w:rsid w:val="008C6F75"/>
    <w:rsid w:val="009015B2"/>
    <w:rsid w:val="00906E90"/>
    <w:rsid w:val="0091051D"/>
    <w:rsid w:val="00936F84"/>
    <w:rsid w:val="00940851"/>
    <w:rsid w:val="0094653A"/>
    <w:rsid w:val="009679D9"/>
    <w:rsid w:val="0099692E"/>
    <w:rsid w:val="009C6066"/>
    <w:rsid w:val="009D73F5"/>
    <w:rsid w:val="009E1A3F"/>
    <w:rsid w:val="009E2768"/>
    <w:rsid w:val="009E53CF"/>
    <w:rsid w:val="009E75B7"/>
    <w:rsid w:val="009F0BD3"/>
    <w:rsid w:val="00A222E2"/>
    <w:rsid w:val="00A34A69"/>
    <w:rsid w:val="00A57D15"/>
    <w:rsid w:val="00A61AD5"/>
    <w:rsid w:val="00A73038"/>
    <w:rsid w:val="00A76C99"/>
    <w:rsid w:val="00A81EBE"/>
    <w:rsid w:val="00A92970"/>
    <w:rsid w:val="00AC6B95"/>
    <w:rsid w:val="00AF57F9"/>
    <w:rsid w:val="00B00E5C"/>
    <w:rsid w:val="00B4321D"/>
    <w:rsid w:val="00B666B9"/>
    <w:rsid w:val="00B7199B"/>
    <w:rsid w:val="00B74B90"/>
    <w:rsid w:val="00B76DC1"/>
    <w:rsid w:val="00B862C0"/>
    <w:rsid w:val="00B96230"/>
    <w:rsid w:val="00BA7E35"/>
    <w:rsid w:val="00BE2DD8"/>
    <w:rsid w:val="00BE68F2"/>
    <w:rsid w:val="00C17AD0"/>
    <w:rsid w:val="00C2305A"/>
    <w:rsid w:val="00C23CC9"/>
    <w:rsid w:val="00C30B3D"/>
    <w:rsid w:val="00C33AE2"/>
    <w:rsid w:val="00C8096C"/>
    <w:rsid w:val="00C8100B"/>
    <w:rsid w:val="00C91050"/>
    <w:rsid w:val="00CA41D2"/>
    <w:rsid w:val="00CA4F20"/>
    <w:rsid w:val="00CE3828"/>
    <w:rsid w:val="00D22748"/>
    <w:rsid w:val="00D26918"/>
    <w:rsid w:val="00D37121"/>
    <w:rsid w:val="00D779F7"/>
    <w:rsid w:val="00D871D5"/>
    <w:rsid w:val="00D87542"/>
    <w:rsid w:val="00D95C20"/>
    <w:rsid w:val="00D97C16"/>
    <w:rsid w:val="00DE1DAB"/>
    <w:rsid w:val="00DE20A2"/>
    <w:rsid w:val="00DF0B89"/>
    <w:rsid w:val="00DF28BA"/>
    <w:rsid w:val="00E01370"/>
    <w:rsid w:val="00E35682"/>
    <w:rsid w:val="00E46EA3"/>
    <w:rsid w:val="00E51C1B"/>
    <w:rsid w:val="00E53DA7"/>
    <w:rsid w:val="00EC6B44"/>
    <w:rsid w:val="00EE37A3"/>
    <w:rsid w:val="00EF1F6D"/>
    <w:rsid w:val="00F4385E"/>
    <w:rsid w:val="00F627EB"/>
    <w:rsid w:val="00F75A10"/>
    <w:rsid w:val="00F77276"/>
    <w:rsid w:val="00F86F27"/>
    <w:rsid w:val="00F95853"/>
    <w:rsid w:val="00FA7500"/>
    <w:rsid w:val="00FB3F26"/>
    <w:rsid w:val="00FC3213"/>
    <w:rsid w:val="00FC48C6"/>
    <w:rsid w:val="00FD5A9A"/>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Char Char תו,Footnote Text - Sharp Char תו,Footnote Text - Sharp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5"/>
    <w:uiPriority w:val="34"/>
    <w:qFormat/>
    <w:rsid w:val="00B4321D"/>
    <w:pPr>
      <w:ind w:left="720"/>
      <w:contextualSpacing/>
    </w:pPr>
  </w:style>
  <w:style w:type="character" w:customStyle="1" w:styleId="a5">
    <w:name w:val="פיסקת רשימה תו"/>
    <w:aliases w:val="Bullet Number תו,Num Bullet 1 תו,Use Case List Paragraph תו,style 2 תו,פיסקת רשימה1 תו"/>
    <w:link w:val="ListParagraph"/>
    <w:uiPriority w:val="34"/>
    <w:rsid w:val="00B4321D"/>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6"/>
    <w:uiPriority w:val="99"/>
    <w:semiHidden/>
    <w:unhideWhenUsed/>
    <w:rsid w:val="00B4321D"/>
    <w:pPr>
      <w:spacing w:line="240" w:lineRule="auto"/>
    </w:pPr>
    <w:rPr>
      <w:rFonts w:ascii="Tahoma" w:hAnsi="Tahoma" w:cs="Tahoma"/>
      <w:sz w:val="18"/>
      <w:szCs w:val="18"/>
    </w:rPr>
  </w:style>
  <w:style w:type="character" w:customStyle="1" w:styleId="a6">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7"/>
    <w:uiPriority w:val="99"/>
    <w:unhideWhenUsed/>
    <w:rsid w:val="00B4321D"/>
    <w:pPr>
      <w:spacing w:line="240" w:lineRule="auto"/>
    </w:pPr>
    <w:rPr>
      <w:szCs w:val="20"/>
    </w:rPr>
  </w:style>
  <w:style w:type="character" w:customStyle="1" w:styleId="a7">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8"/>
    <w:uiPriority w:val="99"/>
    <w:semiHidden/>
    <w:unhideWhenUsed/>
    <w:rsid w:val="00B4321D"/>
    <w:rPr>
      <w:b/>
      <w:bCs/>
    </w:rPr>
  </w:style>
  <w:style w:type="character" w:customStyle="1" w:styleId="a8">
    <w:name w:val="נושא הערה תו"/>
    <w:basedOn w:val="a7"/>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9"/>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9">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2">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character" w:customStyle="1" w:styleId="size">
    <w:name w:val="size"/>
    <w:basedOn w:val="DefaultParagraphFont"/>
    <w:rsid w:val="009E2768"/>
  </w:style>
  <w:style w:type="table" w:styleId="GridTable5DarkAccent5">
    <w:name w:val="Grid Table 5 Dark Accent 5"/>
    <w:basedOn w:val="TableNormal"/>
    <w:uiPriority w:val="50"/>
    <w:rsid w:val="009E27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3">
    <w:name w:val="Grid Table 5 Dark Accent 3"/>
    <w:basedOn w:val="TableNormal"/>
    <w:uiPriority w:val="50"/>
    <w:rsid w:val="009E27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styleId="Emphasis">
    <w:name w:val="Emphasis"/>
    <w:basedOn w:val="DefaultParagraphFont"/>
    <w:uiPriority w:val="20"/>
    <w:qFormat/>
    <w:rsid w:val="009E2768"/>
    <w:rPr>
      <w:i/>
      <w:iCs/>
    </w:rPr>
  </w:style>
  <w:style w:type="paragraph" w:customStyle="1" w:styleId="a49">
    <w:name w:val="סגנון בסיס"/>
    <w:basedOn w:val="Normal"/>
    <w:rsid w:val="009E2768"/>
    <w:pPr>
      <w:spacing w:line="360" w:lineRule="auto"/>
      <w:ind w:right="360"/>
    </w:pPr>
    <w:rPr>
      <w:rFonts w:eastAsia="Times New Roman" w:cs="Narkisim"/>
      <w:sz w:val="24"/>
      <w:szCs w:val="25"/>
      <w:lang w:eastAsia="he-IL"/>
    </w:rPr>
  </w:style>
  <w:style w:type="table" w:customStyle="1" w:styleId="26">
    <w:name w:val="רשת טבלה2"/>
    <w:basedOn w:val="TableNormal"/>
    <w:next w:val="TableGrid"/>
    <w:uiPriority w:val="59"/>
    <w:rsid w:val="008849E2"/>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header" Target="header2.xml"/><Relationship Id="rId8" Type="http://schemas.openxmlformats.org/officeDocument/2006/relationships/image" Target="media/image3.jpeg"/><Relationship Id="rId21" Type="http://schemas.openxmlformats.org/officeDocument/2006/relationships/styles" Target="styles.xml"/><Relationship Id="rId3" Type="http://schemas.openxmlformats.org/officeDocument/2006/relationships/webSettings" Target="webSettings.xml"/><Relationship Id="rId12" Type="http://schemas.openxmlformats.org/officeDocument/2006/relationships/image" Target="media/image7.jpeg"/><Relationship Id="rId17" Type="http://schemas.openxmlformats.org/officeDocument/2006/relationships/header" Target="header1.xml"/><Relationship Id="rId7" Type="http://schemas.openxmlformats.org/officeDocument/2006/relationships/image" Target="media/image2.jpeg"/><Relationship Id="rId16" Type="http://schemas.openxmlformats.org/officeDocument/2006/relationships/image" Target="media/image11.jpeg"/><Relationship Id="rId2" Type="http://schemas.openxmlformats.org/officeDocument/2006/relationships/settings" Target="settings.xml"/><Relationship Id="rId20" Type="http://schemas.openxmlformats.org/officeDocument/2006/relationships/numbering" Target="numbering.xml"/><Relationship Id="rId1" Type="http://schemas.openxmlformats.org/officeDocument/2006/relationships/footnotes" Target="footnotes.xml"/><Relationship Id="rId11" Type="http://schemas.openxmlformats.org/officeDocument/2006/relationships/image" Target="media/image6.jpeg"/><Relationship Id="rId6" Type="http://schemas.openxmlformats.org/officeDocument/2006/relationships/image" Target="media/image1.jpeg"/><Relationship Id="rId24" Type="http://schemas.openxmlformats.org/officeDocument/2006/relationships/customXml" Target="../customXml/item4.xml"/><Relationship Id="rId15" Type="http://schemas.openxmlformats.org/officeDocument/2006/relationships/image" Target="media/image10.png"/><Relationship Id="rId5" Type="http://schemas.openxmlformats.org/officeDocument/2006/relationships/customXml" Target="../customXml/item1.xml"/><Relationship Id="rId23" Type="http://schemas.openxmlformats.org/officeDocument/2006/relationships/customXml" Target="../customXml/item3.xml"/><Relationship Id="rId10" Type="http://schemas.openxmlformats.org/officeDocument/2006/relationships/image" Target="media/image5.jpeg"/><Relationship Id="rId19" Type="http://schemas.openxmlformats.org/officeDocument/2006/relationships/theme" Target="theme/theme1.xml"/><Relationship Id="rId14" Type="http://schemas.openxmlformats.org/officeDocument/2006/relationships/image" Target="media/image9.jpeg"/><Relationship Id="rId4" Type="http://schemas.openxmlformats.org/officeDocument/2006/relationships/fontTable" Target="fontTable.xml"/><Relationship Id="rId9" Type="http://schemas.openxmlformats.org/officeDocument/2006/relationships/image" Target="media/image4.jpeg"/><Relationship Id="rId22" Type="http://schemas.openxmlformats.org/officeDocument/2006/relationships/customXml" Target="../customXml/item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6D6F59D-CD57-44C9-A983-EA2FE93CA340}">
  <ds:schemaRefs>
    <ds:schemaRef ds:uri="http://schemas.openxmlformats.org/officeDocument/2006/bibliography"/>
  </ds:schemaRefs>
</ds:datastoreItem>
</file>

<file path=customXml/itemProps2.xml><?xml version="1.0" encoding="utf-8"?>
<ds:datastoreItem xmlns:ds="http://schemas.openxmlformats.org/officeDocument/2006/customXml" ds:itemID="{1DF74BBB-CC2B-4AFA-AF36-F83C35E420C6}"/>
</file>

<file path=customXml/itemProps3.xml><?xml version="1.0" encoding="utf-8"?>
<ds:datastoreItem xmlns:ds="http://schemas.openxmlformats.org/officeDocument/2006/customXml" ds:itemID="{9134D7AA-FD34-44E5-A243-A4244E5C3911}"/>
</file>

<file path=customXml/itemProps4.xml><?xml version="1.0" encoding="utf-8"?>
<ds:datastoreItem xmlns:ds="http://schemas.openxmlformats.org/officeDocument/2006/customXml" ds:itemID="{DC0F57AF-E456-474D-8B3A-A3798D7E32EF}"/>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