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rsidR="008849E2" w:rsidRPr="008849E2" w:rsidP="00205877">
      <w:pPr>
        <w:bidi w:val="0"/>
        <w:spacing w:line="269" w:lineRule="auto"/>
        <w:rPr>
          <w:rFonts w:ascii="Calibri" w:hAnsi="Calibri" w:cs="Calibri"/>
          <w:b/>
          <w:bCs/>
          <w:color w:val="002060"/>
          <w:sz w:val="2"/>
          <w:szCs w:val="2"/>
        </w:rPr>
      </w:pPr>
    </w:p>
    <w:p w:rsidR="00E303AD" w:rsidRPr="00E303AD" w:rsidP="00E303AD">
      <w:pPr>
        <w:keepNext/>
        <w:keepLines/>
        <w:spacing w:line="269" w:lineRule="auto"/>
        <w:jc w:val="center"/>
        <w:outlineLvl w:val="0"/>
        <w:rPr>
          <w:rFonts w:eastAsia="Times New Roman"/>
          <w:bCs/>
          <w:szCs w:val="36"/>
          <w:u w:val="single"/>
          <w:rtl/>
        </w:rPr>
      </w:pPr>
      <w:bookmarkStart w:id="0" w:name="_Toc232696554"/>
      <w:bookmarkStart w:id="1" w:name="_Hlk231815307"/>
      <w:bookmarkStart w:id="2" w:name="_Hlk231815906"/>
      <w:bookmarkStart w:id="3" w:name="_Hlk206588470"/>
      <w:r w:rsidRPr="00E303AD">
        <w:rPr>
          <w:rFonts w:eastAsia="Times New Roman" w:hint="cs"/>
          <w:bCs/>
          <w:szCs w:val="36"/>
          <w:u w:val="single"/>
          <w:rtl/>
        </w:rPr>
        <w:t>תופעות הזנות והסחר בבני אדם למטרות זנות -</w:t>
      </w:r>
      <w:bookmarkEnd w:id="0"/>
      <w:r w:rsidRPr="00E303AD">
        <w:rPr>
          <w:rFonts w:eastAsia="Times New Roman" w:hint="cs"/>
          <w:bCs/>
          <w:szCs w:val="36"/>
          <w:u w:val="single"/>
          <w:rtl/>
        </w:rPr>
        <w:t xml:space="preserve"> </w:t>
      </w:r>
    </w:p>
    <w:p w:rsidR="00E303AD" w:rsidRPr="00E303AD" w:rsidP="00E303AD">
      <w:pPr>
        <w:keepNext/>
        <w:keepLines/>
        <w:spacing w:line="269" w:lineRule="auto"/>
        <w:jc w:val="center"/>
        <w:outlineLvl w:val="0"/>
        <w:rPr>
          <w:rFonts w:eastAsia="Times New Roman"/>
          <w:bCs/>
          <w:szCs w:val="36"/>
          <w:u w:val="single"/>
          <w:rtl/>
        </w:rPr>
      </w:pPr>
      <w:bookmarkStart w:id="4" w:name="_Toc232696555"/>
      <w:r w:rsidRPr="00E303AD">
        <w:rPr>
          <w:rFonts w:eastAsia="Times New Roman" w:hint="cs"/>
          <w:bCs/>
          <w:szCs w:val="36"/>
          <w:u w:val="single"/>
          <w:rtl/>
        </w:rPr>
        <w:t>היבטים באכיפה ובהגנה על הקורבנות</w:t>
      </w:r>
      <w:bookmarkEnd w:id="1"/>
      <w:bookmarkEnd w:id="4"/>
    </w:p>
    <w:bookmarkEnd w:id="2"/>
    <w:p w:rsidR="00E303AD" w:rsidRPr="00E303AD" w:rsidP="00E303AD">
      <w:pPr>
        <w:spacing w:line="269" w:lineRule="auto"/>
        <w:jc w:val="center"/>
        <w:rPr>
          <w:rFonts w:eastAsia="Calibri"/>
          <w:sz w:val="16"/>
          <w:szCs w:val="20"/>
          <w:rtl/>
        </w:rPr>
      </w:pPr>
    </w:p>
    <w:p w:rsidR="00E303AD" w:rsidRPr="00E303AD" w:rsidP="00E303AD">
      <w:pPr>
        <w:spacing w:line="269" w:lineRule="auto"/>
        <w:rPr>
          <w:rFonts w:eastAsia="Calibri"/>
          <w:rtl/>
        </w:rPr>
      </w:pPr>
      <w:bookmarkStart w:id="5" w:name="_Toc221474961"/>
      <w:bookmarkStart w:id="6" w:name="_Toc224808273"/>
      <w:r w:rsidRPr="00E303AD">
        <w:rPr>
          <w:rFonts w:eastAsia="Calibri"/>
          <w:noProof/>
        </w:rPr>
        <w:drawing>
          <wp:inline distT="0" distB="0" distL="0" distR="0">
            <wp:extent cx="5220335" cy="1271905"/>
            <wp:effectExtent l="0" t="0" r="0" b="4445"/>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xmlns:r="http://schemas.openxmlformats.org/officeDocument/2006/relationships" r:embed="rId6"/>
                    <a:stretch>
                      <a:fillRect/>
                    </a:stretch>
                  </pic:blipFill>
                  <pic:spPr>
                    <a:xfrm>
                      <a:off x="0" y="0"/>
                      <a:ext cx="5220335" cy="1271905"/>
                    </a:xfrm>
                    <a:prstGeom prst="rect">
                      <a:avLst/>
                    </a:prstGeom>
                  </pic:spPr>
                </pic:pic>
              </a:graphicData>
            </a:graphic>
          </wp:inline>
        </w:drawing>
      </w:r>
    </w:p>
    <w:p w:rsidR="00573B28" w:rsidRPr="00522B30" w:rsidP="00522B30">
      <w:pPr>
        <w:spacing w:line="269" w:lineRule="auto"/>
        <w:rPr>
          <w:rFonts w:eastAsia="Calibri"/>
          <w:rtl/>
        </w:rPr>
      </w:pPr>
      <w:bookmarkStart w:id="7" w:name="_Toc232696556"/>
    </w:p>
    <w:p w:rsidR="00E303AD" w:rsidRPr="00E303AD" w:rsidP="00E303AD">
      <w:pPr>
        <w:keepNext/>
        <w:keepLines/>
        <w:spacing w:line="269" w:lineRule="auto"/>
        <w:outlineLvl w:val="2"/>
        <w:rPr>
          <w:rFonts w:eastAsia="Times New Roman"/>
          <w:bCs/>
          <w:szCs w:val="28"/>
          <w:u w:val="single"/>
          <w:rtl/>
        </w:rPr>
      </w:pPr>
      <w:r w:rsidRPr="00E303AD">
        <w:rPr>
          <w:rFonts w:eastAsia="Times New Roman"/>
          <w:bCs/>
          <w:szCs w:val="28"/>
          <w:u w:val="single"/>
          <w:rtl/>
        </w:rPr>
        <w:t>מבוא</w:t>
      </w:r>
      <w:bookmarkEnd w:id="5"/>
      <w:bookmarkEnd w:id="6"/>
      <w:bookmarkEnd w:id="7"/>
    </w:p>
    <w:p w:rsidR="00E303AD" w:rsidRPr="00E303AD" w:rsidP="00E303AD">
      <w:pPr>
        <w:spacing w:line="269" w:lineRule="auto"/>
        <w:ind w:left="-567"/>
        <w:rPr>
          <w:rFonts w:eastAsia="Calibri"/>
          <w:szCs w:val="20"/>
          <w:rtl/>
        </w:rPr>
      </w:pPr>
    </w:p>
    <w:p w:rsidR="00E303AD" w:rsidRPr="00E303AD" w:rsidP="00E303AD">
      <w:pPr>
        <w:spacing w:line="269" w:lineRule="auto"/>
        <w:rPr>
          <w:rFonts w:eastAsia="Calibri"/>
          <w:rtl/>
        </w:rPr>
      </w:pPr>
      <w:r w:rsidRPr="00E303AD">
        <w:rPr>
          <w:rFonts w:eastAsia="Calibri"/>
          <w:rtl/>
        </w:rPr>
        <w:t>לפי חוק</w:t>
      </w:r>
      <w:r w:rsidRPr="00E303AD">
        <w:rPr>
          <w:rFonts w:eastAsia="Calibri" w:hint="cs"/>
          <w:rtl/>
        </w:rPr>
        <w:t>-</w:t>
      </w:r>
      <w:r w:rsidRPr="00E303AD">
        <w:rPr>
          <w:rFonts w:eastAsia="Calibri"/>
          <w:rtl/>
        </w:rPr>
        <w:t>יסוד: כבוד האדם וחירותו</w:t>
      </w:r>
      <w:r>
        <w:rPr>
          <w:rFonts w:eastAsia="Calibri"/>
          <w:vertAlign w:val="superscript"/>
          <w:rtl/>
        </w:rPr>
        <w:footnoteReference w:id="2"/>
      </w:r>
      <w:r w:rsidRPr="00E303AD">
        <w:rPr>
          <w:rFonts w:eastAsia="Calibri"/>
          <w:rtl/>
        </w:rPr>
        <w:t>, על מדינת ישראל מוטלת החובה להגן על כבוד האדם,</w:t>
      </w:r>
      <w:r w:rsidRPr="00E303AD">
        <w:rPr>
          <w:rFonts w:eastAsia="Calibri" w:hint="cs"/>
          <w:rtl/>
        </w:rPr>
        <w:t xml:space="preserve"> על</w:t>
      </w:r>
      <w:r w:rsidRPr="00E303AD">
        <w:rPr>
          <w:rFonts w:eastAsia="Calibri"/>
          <w:rtl/>
        </w:rPr>
        <w:t xml:space="preserve"> חירותו ו</w:t>
      </w:r>
      <w:r w:rsidRPr="00E303AD">
        <w:rPr>
          <w:rFonts w:eastAsia="Calibri" w:hint="cs"/>
          <w:rtl/>
        </w:rPr>
        <w:t xml:space="preserve">על </w:t>
      </w:r>
      <w:r w:rsidRPr="00E303AD">
        <w:rPr>
          <w:rFonts w:eastAsia="Calibri"/>
          <w:rtl/>
        </w:rPr>
        <w:t>שלמות גופו</w:t>
      </w:r>
      <w:r>
        <w:rPr>
          <w:rFonts w:eastAsia="Calibri"/>
          <w:vertAlign w:val="superscript"/>
          <w:rtl/>
        </w:rPr>
        <w:footnoteReference w:id="3"/>
      </w:r>
      <w:r w:rsidRPr="00E303AD">
        <w:rPr>
          <w:rFonts w:eastAsia="Calibri"/>
          <w:rtl/>
        </w:rPr>
        <w:t xml:space="preserve">. מחויבות זו </w:t>
      </w:r>
      <w:r w:rsidRPr="00E303AD">
        <w:rPr>
          <w:rFonts w:eastAsia="Calibri" w:hint="cs"/>
          <w:rtl/>
        </w:rPr>
        <w:t xml:space="preserve">היא </w:t>
      </w:r>
      <w:r w:rsidRPr="00E303AD">
        <w:rPr>
          <w:rFonts w:eastAsia="Calibri"/>
          <w:rtl/>
        </w:rPr>
        <w:t>אבן יסוד במאבק בסחר בבני אדם ובצריכת זנות, והיא מנחה את עיצוב המדיניות בתחומי החקיקה, האכיפה והטיפול החברתי.</w:t>
      </w:r>
    </w:p>
    <w:p w:rsidR="00E303AD" w:rsidRPr="00E303AD" w:rsidP="00E303AD">
      <w:pPr>
        <w:spacing w:line="269" w:lineRule="auto"/>
        <w:ind w:left="-567"/>
        <w:rPr>
          <w:rFonts w:eastAsia="Calibri"/>
          <w:szCs w:val="20"/>
          <w:rtl/>
        </w:rPr>
      </w:pPr>
    </w:p>
    <w:p w:rsidR="00E303AD" w:rsidRPr="00E303AD" w:rsidP="00E303AD">
      <w:pPr>
        <w:spacing w:line="269" w:lineRule="auto"/>
        <w:rPr>
          <w:rFonts w:eastAsia="Calibri"/>
          <w:rtl/>
        </w:rPr>
      </w:pPr>
      <w:r w:rsidRPr="00E303AD">
        <w:rPr>
          <w:rFonts w:eastAsia="Calibri"/>
          <w:rtl/>
        </w:rPr>
        <w:t>היקף תופעת הזנות בישראל קשה לאמידה</w:t>
      </w:r>
      <w:r>
        <w:rPr>
          <w:rFonts w:eastAsia="Calibri"/>
          <w:vertAlign w:val="superscript"/>
          <w:rtl/>
        </w:rPr>
        <w:footnoteReference w:id="4"/>
      </w:r>
      <w:r w:rsidRPr="00E303AD">
        <w:rPr>
          <w:rFonts w:eastAsia="Calibri"/>
          <w:rtl/>
        </w:rPr>
        <w:t xml:space="preserve">, הן בשל ההסתרה המובנית בעיסוק </w:t>
      </w:r>
      <w:r w:rsidRPr="00E303AD">
        <w:rPr>
          <w:rFonts w:eastAsia="Calibri" w:hint="cs"/>
          <w:rtl/>
        </w:rPr>
        <w:t xml:space="preserve">בזנות </w:t>
      </w:r>
      <w:r w:rsidRPr="00E303AD">
        <w:rPr>
          <w:rFonts w:eastAsia="Calibri"/>
          <w:rtl/>
        </w:rPr>
        <w:t>ובצריכ</w:t>
      </w:r>
      <w:r w:rsidRPr="00E303AD">
        <w:rPr>
          <w:rFonts w:eastAsia="Calibri" w:hint="cs"/>
          <w:rtl/>
        </w:rPr>
        <w:t>ת</w:t>
      </w:r>
      <w:r w:rsidRPr="00E303AD">
        <w:rPr>
          <w:rFonts w:eastAsia="Calibri"/>
          <w:rtl/>
        </w:rPr>
        <w:t xml:space="preserve">ה, והן בעקבות המעבר מזנות רחוב ובתי בושת </w:t>
      </w:r>
      <w:r w:rsidRPr="00E303AD">
        <w:rPr>
          <w:rFonts w:eastAsia="Calibri" w:hint="cs"/>
          <w:rtl/>
        </w:rPr>
        <w:t>ל</w:t>
      </w:r>
      <w:r w:rsidRPr="00E303AD">
        <w:rPr>
          <w:rFonts w:eastAsia="Calibri"/>
          <w:rtl/>
        </w:rPr>
        <w:t>דירות דיסקרטיות ופלטפורמות מקוונות</w:t>
      </w:r>
      <w:r w:rsidRPr="00E303AD">
        <w:rPr>
          <w:rFonts w:eastAsia="Calibri" w:hint="cs"/>
          <w:rtl/>
        </w:rPr>
        <w:t>.</w:t>
      </w:r>
      <w:r w:rsidRPr="00E303AD">
        <w:rPr>
          <w:rFonts w:eastAsia="Calibri"/>
          <w:rtl/>
        </w:rPr>
        <w:t xml:space="preserve"> </w:t>
      </w:r>
      <w:r w:rsidRPr="00E303AD">
        <w:rPr>
          <w:rFonts w:eastAsia="Calibri" w:hint="cs"/>
          <w:rtl/>
        </w:rPr>
        <w:t xml:space="preserve">בשל שינוי זה בפני התופעה </w:t>
      </w:r>
      <w:r w:rsidRPr="00E303AD">
        <w:rPr>
          <w:rFonts w:eastAsia="Calibri"/>
          <w:rtl/>
        </w:rPr>
        <w:t xml:space="preserve">קשה </w:t>
      </w:r>
      <w:r w:rsidRPr="00E303AD">
        <w:rPr>
          <w:rFonts w:eastAsia="Calibri" w:hint="cs"/>
          <w:rtl/>
        </w:rPr>
        <w:t xml:space="preserve">לפקח עליה וכן קשה לאתר ולאסוף מידע בעניינה.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bookmarkStart w:id="8" w:name="_Hlk223350892"/>
      <w:r w:rsidRPr="00E303AD">
        <w:rPr>
          <w:rFonts w:eastAsia="Calibri"/>
          <w:b/>
          <w:bCs/>
          <w:rtl/>
        </w:rPr>
        <w:t xml:space="preserve">הסקר הלאומי היחיד בנושא </w:t>
      </w:r>
      <w:r w:rsidRPr="00E303AD">
        <w:rPr>
          <w:rFonts w:eastAsia="Calibri" w:hint="eastAsia"/>
          <w:b/>
          <w:bCs/>
          <w:rtl/>
        </w:rPr>
        <w:t>שבוצע</w:t>
      </w:r>
      <w:r w:rsidRPr="00E303AD">
        <w:rPr>
          <w:rFonts w:eastAsia="Calibri"/>
          <w:b/>
          <w:bCs/>
          <w:rtl/>
        </w:rPr>
        <w:t xml:space="preserve"> </w:t>
      </w:r>
      <w:r w:rsidRPr="00E303AD">
        <w:rPr>
          <w:rFonts w:eastAsia="Calibri" w:hint="eastAsia"/>
          <w:b/>
          <w:bCs/>
          <w:rtl/>
        </w:rPr>
        <w:t>במדינת</w:t>
      </w:r>
      <w:r w:rsidRPr="00E303AD">
        <w:rPr>
          <w:rFonts w:eastAsia="Calibri"/>
          <w:b/>
          <w:bCs/>
          <w:rtl/>
        </w:rPr>
        <w:t xml:space="preserve"> ישראל פורסם בשנת 2016</w:t>
      </w:r>
      <w:r>
        <w:rPr>
          <w:rFonts w:eastAsia="Calibri"/>
          <w:b/>
          <w:bCs/>
          <w:vertAlign w:val="superscript"/>
          <w:rtl/>
        </w:rPr>
        <w:footnoteReference w:id="5"/>
      </w:r>
      <w:r w:rsidRPr="00E303AD">
        <w:rPr>
          <w:rFonts w:eastAsia="Calibri"/>
          <w:b/>
          <w:bCs/>
          <w:rtl/>
        </w:rPr>
        <w:t>, וגם הוא שנוי במחלוקת</w:t>
      </w:r>
      <w:r>
        <w:rPr>
          <w:rFonts w:eastAsia="Calibri"/>
          <w:b/>
          <w:bCs/>
          <w:vertAlign w:val="superscript"/>
          <w:rtl/>
        </w:rPr>
        <w:footnoteReference w:id="6"/>
      </w:r>
      <w:r w:rsidRPr="00E303AD">
        <w:rPr>
          <w:rFonts w:eastAsia="Calibri"/>
          <w:b/>
          <w:bCs/>
          <w:rtl/>
        </w:rPr>
        <w:t xml:space="preserve">. </w:t>
      </w:r>
      <w:r w:rsidRPr="00E303AD">
        <w:rPr>
          <w:rFonts w:eastAsia="Calibri" w:hint="eastAsia"/>
          <w:b/>
          <w:bCs/>
          <w:rtl/>
        </w:rPr>
        <w:t>בהתאם</w:t>
      </w:r>
      <w:r w:rsidRPr="00E303AD">
        <w:rPr>
          <w:rFonts w:eastAsia="Calibri"/>
          <w:b/>
          <w:bCs/>
          <w:rtl/>
        </w:rPr>
        <w:t xml:space="preserve"> </w:t>
      </w:r>
      <w:r w:rsidRPr="00E303AD">
        <w:rPr>
          <w:rFonts w:eastAsia="Calibri" w:hint="eastAsia"/>
          <w:b/>
          <w:bCs/>
          <w:rtl/>
        </w:rPr>
        <w:t>לממצאי</w:t>
      </w:r>
      <w:r w:rsidRPr="00E303AD">
        <w:rPr>
          <w:rFonts w:eastAsia="Calibri" w:hint="cs"/>
          <w:b/>
          <w:bCs/>
          <w:rtl/>
        </w:rPr>
        <w:t xml:space="preserve"> </w:t>
      </w:r>
      <w:r w:rsidRPr="00E303AD">
        <w:rPr>
          <w:rFonts w:eastAsia="Calibri" w:hint="eastAsia"/>
          <w:b/>
          <w:bCs/>
          <w:rtl/>
        </w:rPr>
        <w:t>סקר</w:t>
      </w:r>
      <w:r w:rsidRPr="00E303AD">
        <w:rPr>
          <w:rFonts w:eastAsia="Calibri"/>
          <w:b/>
          <w:bCs/>
          <w:rtl/>
        </w:rPr>
        <w:t xml:space="preserve"> </w:t>
      </w:r>
      <w:r w:rsidRPr="00E303AD">
        <w:rPr>
          <w:rFonts w:eastAsia="Calibri" w:hint="eastAsia"/>
          <w:b/>
          <w:bCs/>
          <w:rtl/>
        </w:rPr>
        <w:t>זה</w:t>
      </w:r>
      <w:r w:rsidRPr="00E303AD">
        <w:rPr>
          <w:rFonts w:eastAsia="Calibri"/>
          <w:b/>
          <w:bCs/>
          <w:rtl/>
        </w:rPr>
        <w:t xml:space="preserve">, </w:t>
      </w:r>
      <w:r w:rsidRPr="00E303AD">
        <w:rPr>
          <w:rFonts w:eastAsia="Calibri" w:hint="eastAsia"/>
          <w:b/>
          <w:bCs/>
          <w:rtl/>
        </w:rPr>
        <w:t>כ</w:t>
      </w:r>
      <w:r w:rsidRPr="00E303AD">
        <w:rPr>
          <w:rFonts w:eastAsia="Calibri"/>
          <w:b/>
          <w:bCs/>
          <w:rtl/>
        </w:rPr>
        <w:t xml:space="preserve">-12,000 </w:t>
      </w:r>
      <w:r w:rsidRPr="00E303AD">
        <w:rPr>
          <w:rFonts w:eastAsia="Calibri" w:hint="eastAsia"/>
          <w:b/>
          <w:bCs/>
          <w:rtl/>
        </w:rPr>
        <w:t>נשים</w:t>
      </w:r>
      <w:r w:rsidRPr="00E303AD">
        <w:rPr>
          <w:rFonts w:eastAsia="Calibri"/>
          <w:b/>
          <w:bCs/>
          <w:rtl/>
        </w:rPr>
        <w:t xml:space="preserve"> </w:t>
      </w:r>
      <w:r w:rsidRPr="00E303AD">
        <w:rPr>
          <w:rFonts w:eastAsia="Calibri" w:hint="eastAsia"/>
          <w:b/>
          <w:bCs/>
          <w:rtl/>
        </w:rPr>
        <w:t>וגברים</w:t>
      </w:r>
      <w:r w:rsidRPr="00E303AD">
        <w:rPr>
          <w:rFonts w:eastAsia="Calibri"/>
          <w:b/>
          <w:bCs/>
          <w:rtl/>
        </w:rPr>
        <w:t xml:space="preserve"> </w:t>
      </w:r>
      <w:r w:rsidRPr="00E303AD">
        <w:rPr>
          <w:rFonts w:eastAsia="Calibri" w:hint="eastAsia"/>
          <w:b/>
          <w:bCs/>
          <w:rtl/>
        </w:rPr>
        <w:t>נמצאים</w:t>
      </w:r>
      <w:r w:rsidRPr="00E303AD">
        <w:rPr>
          <w:rFonts w:eastAsia="Calibri"/>
          <w:b/>
          <w:bCs/>
          <w:rtl/>
        </w:rPr>
        <w:t xml:space="preserve"> במעגל הזנות בישראל נכון לשנת 2014 (95% </w:t>
      </w:r>
      <w:r w:rsidRPr="00E303AD">
        <w:rPr>
          <w:rFonts w:eastAsia="Calibri" w:hint="eastAsia"/>
          <w:b/>
          <w:bCs/>
          <w:rtl/>
        </w:rPr>
        <w:t>מהם</w:t>
      </w:r>
      <w:r w:rsidRPr="00E303AD">
        <w:rPr>
          <w:rFonts w:eastAsia="Calibri"/>
          <w:b/>
          <w:bCs/>
          <w:rtl/>
        </w:rPr>
        <w:t xml:space="preserve"> </w:t>
      </w:r>
      <w:r w:rsidRPr="00E303AD">
        <w:rPr>
          <w:rFonts w:eastAsia="Calibri" w:hint="eastAsia"/>
          <w:b/>
          <w:bCs/>
          <w:rtl/>
        </w:rPr>
        <w:t>נשים</w:t>
      </w:r>
      <w:bookmarkStart w:id="9" w:name="_Hlk223012083"/>
      <w:r w:rsidRPr="00E303AD">
        <w:rPr>
          <w:rFonts w:eastAsia="Calibri"/>
          <w:b/>
          <w:bCs/>
          <w:rtl/>
        </w:rPr>
        <w:t>)</w:t>
      </w:r>
      <w:r w:rsidRPr="00E303AD">
        <w:rPr>
          <w:rFonts w:eastAsia="Calibri" w:hint="cs"/>
          <w:b/>
          <w:bCs/>
          <w:rtl/>
        </w:rPr>
        <w:t xml:space="preserve">, </w:t>
      </w:r>
      <w:bookmarkStart w:id="10" w:name="_Hlk223012180"/>
      <w:r w:rsidRPr="00E303AD">
        <w:rPr>
          <w:rFonts w:eastAsia="Calibri" w:hint="cs"/>
          <w:b/>
          <w:bCs/>
          <w:rtl/>
        </w:rPr>
        <w:t>ו</w:t>
      </w:r>
      <w:r w:rsidRPr="00E303AD">
        <w:rPr>
          <w:rFonts w:eastAsia="Calibri"/>
          <w:b/>
          <w:bCs/>
          <w:rtl/>
        </w:rPr>
        <w:t xml:space="preserve">האומדן המצטבר של </w:t>
      </w:r>
      <w:r w:rsidRPr="00E303AD">
        <w:rPr>
          <w:rFonts w:eastAsia="Calibri" w:hint="cs"/>
          <w:b/>
          <w:bCs/>
          <w:rtl/>
        </w:rPr>
        <w:t xml:space="preserve">התשלומים בשנת 2014 עבור צריכת זנות </w:t>
      </w:r>
      <w:r w:rsidRPr="00E303AD">
        <w:rPr>
          <w:rFonts w:eastAsia="Calibri"/>
          <w:b/>
          <w:bCs/>
          <w:rtl/>
        </w:rPr>
        <w:t>ה</w:t>
      </w:r>
      <w:r w:rsidRPr="00E303AD">
        <w:rPr>
          <w:rFonts w:eastAsia="Calibri" w:hint="cs"/>
          <w:b/>
          <w:bCs/>
          <w:rtl/>
        </w:rPr>
        <w:t>יה</w:t>
      </w:r>
      <w:r w:rsidRPr="00E303AD">
        <w:rPr>
          <w:rFonts w:eastAsia="Calibri"/>
          <w:b/>
          <w:bCs/>
          <w:rtl/>
        </w:rPr>
        <w:t xml:space="preserve"> כ-</w:t>
      </w:r>
      <w:r w:rsidRPr="00E303AD">
        <w:rPr>
          <w:rFonts w:eastAsia="Calibri" w:hint="cs"/>
          <w:b/>
          <w:bCs/>
          <w:rtl/>
        </w:rPr>
        <w:t>1.3</w:t>
      </w:r>
      <w:r w:rsidRPr="00E303AD">
        <w:rPr>
          <w:rFonts w:eastAsia="Calibri"/>
          <w:b/>
          <w:bCs/>
          <w:rtl/>
        </w:rPr>
        <w:t xml:space="preserve"> מיליארד </w:t>
      </w:r>
      <w:r w:rsidRPr="00E303AD">
        <w:rPr>
          <w:rFonts w:eastAsia="Calibri" w:hint="cs"/>
          <w:b/>
          <w:bCs/>
          <w:rtl/>
        </w:rPr>
        <w:t>ש"ח</w:t>
      </w:r>
      <w:bookmarkEnd w:id="9"/>
      <w:bookmarkEnd w:id="10"/>
      <w:r w:rsidRPr="00E303AD">
        <w:rPr>
          <w:rFonts w:eastAsia="Calibri"/>
          <w:b/>
          <w:b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bookmarkStart w:id="11" w:name="_Hlk222918082"/>
      <w:bookmarkStart w:id="12" w:name="_Hlk222990422"/>
      <w:r w:rsidRPr="00E303AD">
        <w:rPr>
          <w:rFonts w:eastAsia="Calibri" w:hint="eastAsia"/>
          <w:b/>
          <w:bCs/>
          <w:rtl/>
        </w:rPr>
        <w:t>לפי</w:t>
      </w:r>
      <w:r w:rsidRPr="00E303AD">
        <w:rPr>
          <w:rFonts w:eastAsia="Calibri"/>
          <w:b/>
          <w:bCs/>
          <w:rtl/>
        </w:rPr>
        <w:t xml:space="preserve"> ממצאי הסקר </w:t>
      </w:r>
      <w:r w:rsidRPr="00E303AD">
        <w:rPr>
          <w:rFonts w:eastAsia="Calibri" w:hint="cs"/>
          <w:b/>
          <w:bCs/>
          <w:rtl/>
        </w:rPr>
        <w:t xml:space="preserve">הלאומי ונתונים שהוצגו לוועדה המיוחדת לזכויות הילד בכנסת בשנת 2017, מתוך 12,000 המצויים במעגל הזנות </w:t>
      </w:r>
      <w:r w:rsidRPr="00E303AD">
        <w:rPr>
          <w:rFonts w:eastAsia="Calibri"/>
          <w:b/>
          <w:bCs/>
          <w:rtl/>
        </w:rPr>
        <w:t xml:space="preserve">כ-1,300 </w:t>
      </w:r>
      <w:r w:rsidRPr="00E303AD">
        <w:rPr>
          <w:rFonts w:eastAsia="Calibri" w:hint="cs"/>
          <w:b/>
          <w:bCs/>
          <w:rtl/>
        </w:rPr>
        <w:t xml:space="preserve">הם </w:t>
      </w:r>
      <w:r w:rsidRPr="00E303AD">
        <w:rPr>
          <w:rFonts w:eastAsia="Calibri"/>
          <w:b/>
          <w:bCs/>
          <w:rtl/>
        </w:rPr>
        <w:t>קטינים וקטינות</w:t>
      </w:r>
      <w:r w:rsidRPr="00E303AD">
        <w:rPr>
          <w:rFonts w:eastAsia="Calibri" w:hint="cs"/>
          <w:b/>
          <w:bCs/>
          <w:rtl/>
        </w:rPr>
        <w:t>,</w:t>
      </w:r>
      <w:r w:rsidRPr="00E303AD">
        <w:rPr>
          <w:rFonts w:eastAsia="Calibri"/>
          <w:b/>
          <w:bCs/>
          <w:rtl/>
        </w:rPr>
        <w:t xml:space="preserve"> </w:t>
      </w:r>
      <w:r w:rsidRPr="00E303AD">
        <w:rPr>
          <w:rFonts w:eastAsia="Calibri" w:hint="eastAsia"/>
          <w:b/>
          <w:bCs/>
          <w:rtl/>
        </w:rPr>
        <w:t>ו</w:t>
      </w:r>
      <w:r w:rsidRPr="00E303AD">
        <w:rPr>
          <w:rFonts w:eastAsia="Calibri"/>
          <w:b/>
          <w:bCs/>
          <w:rtl/>
        </w:rPr>
        <w:t xml:space="preserve">גיל הכניסה הממוצע </w:t>
      </w:r>
      <w:r w:rsidRPr="00E303AD">
        <w:rPr>
          <w:rFonts w:eastAsia="Calibri" w:hint="eastAsia"/>
          <w:b/>
          <w:bCs/>
          <w:rtl/>
        </w:rPr>
        <w:t>למעגל</w:t>
      </w:r>
      <w:r w:rsidRPr="00E303AD">
        <w:rPr>
          <w:rFonts w:eastAsia="Calibri"/>
          <w:b/>
          <w:bCs/>
          <w:rtl/>
        </w:rPr>
        <w:t xml:space="preserve"> זה הוא</w:t>
      </w:r>
      <w:r w:rsidRPr="00E303AD">
        <w:rPr>
          <w:rFonts w:eastAsia="Calibri" w:hint="cs"/>
          <w:b/>
          <w:bCs/>
          <w:rtl/>
        </w:rPr>
        <w:t xml:space="preserve"> 13 - 14.</w:t>
      </w:r>
      <w:r w:rsidRPr="00E303AD">
        <w:rPr>
          <w:rFonts w:eastAsia="Calibri"/>
          <w:b/>
          <w:bCs/>
          <w:rtl/>
        </w:rPr>
        <w:t xml:space="preserve"> </w:t>
      </w:r>
      <w:r w:rsidRPr="00E303AD">
        <w:rPr>
          <w:rFonts w:eastAsia="Calibri" w:hint="cs"/>
          <w:b/>
          <w:bCs/>
          <w:rtl/>
        </w:rPr>
        <w:t>עם זאת, ההנחה של גורמים העוסקים בתחום היא כי כבר בעת שבוצע הסקר היה מספרם גדול בהרבה ממספרם לפי ממצאיו, ונכון לשנת 2025 עסקו בזנות 3,000 - 5,000 קטינים וקטינות</w:t>
      </w:r>
      <w:bookmarkEnd w:id="8"/>
      <w:bookmarkEnd w:id="11"/>
      <w:r>
        <w:rPr>
          <w:rFonts w:eastAsia="Calibri"/>
          <w:b/>
          <w:bCs/>
          <w:vertAlign w:val="superscript"/>
          <w:rtl/>
        </w:rPr>
        <w:footnoteReference w:id="7"/>
      </w:r>
      <w:r w:rsidRPr="00E303AD">
        <w:rPr>
          <w:rFonts w:eastAsia="Calibri" w:hint="cs"/>
          <w:b/>
          <w:bCs/>
          <w:rtl/>
        </w:rPr>
        <w:t>.</w:t>
      </w:r>
    </w:p>
    <w:bookmarkEnd w:id="12"/>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במשך</w:t>
      </w:r>
      <w:r w:rsidRPr="00E303AD">
        <w:rPr>
          <w:rFonts w:eastAsia="Calibri"/>
          <w:rtl/>
        </w:rPr>
        <w:t xml:space="preserve"> השנים </w:t>
      </w:r>
      <w:r w:rsidRPr="00E303AD">
        <w:rPr>
          <w:rFonts w:eastAsia="Calibri" w:hint="cs"/>
          <w:rtl/>
        </w:rPr>
        <w:t>חלו שינויים</w:t>
      </w:r>
      <w:r w:rsidRPr="00E303AD">
        <w:rPr>
          <w:rFonts w:eastAsia="Calibri"/>
          <w:rtl/>
        </w:rPr>
        <w:t xml:space="preserve"> </w:t>
      </w:r>
      <w:r w:rsidRPr="00E303AD">
        <w:rPr>
          <w:rFonts w:eastAsia="Calibri" w:hint="cs"/>
          <w:rtl/>
        </w:rPr>
        <w:t>ב</w:t>
      </w:r>
      <w:r w:rsidRPr="00E303AD">
        <w:rPr>
          <w:rFonts w:eastAsia="Calibri"/>
          <w:rtl/>
        </w:rPr>
        <w:t>תופעת הזנות ו</w:t>
      </w:r>
      <w:r w:rsidRPr="00E303AD">
        <w:rPr>
          <w:rFonts w:eastAsia="Calibri" w:hint="cs"/>
          <w:rtl/>
        </w:rPr>
        <w:t xml:space="preserve">היא </w:t>
      </w:r>
      <w:r w:rsidRPr="00E303AD">
        <w:rPr>
          <w:rFonts w:eastAsia="Calibri"/>
          <w:rtl/>
        </w:rPr>
        <w:t>החלה לכלול דפוסים מורכבים בעלי היבטים בין</w:t>
      </w:r>
      <w:r w:rsidRPr="00E303AD">
        <w:rPr>
          <w:rFonts w:eastAsia="Calibri" w:hint="cs"/>
          <w:rtl/>
        </w:rPr>
        <w:t>-</w:t>
      </w:r>
      <w:r w:rsidRPr="00E303AD">
        <w:rPr>
          <w:rFonts w:eastAsia="Calibri"/>
          <w:rtl/>
        </w:rPr>
        <w:t xml:space="preserve">לאומיים. החל מאמצע שנות התשעים </w:t>
      </w:r>
      <w:r w:rsidRPr="00E303AD">
        <w:rPr>
          <w:rFonts w:eastAsia="Calibri" w:hint="cs"/>
          <w:rtl/>
        </w:rPr>
        <w:t xml:space="preserve">של המאה העשרים </w:t>
      </w:r>
      <w:r w:rsidRPr="00E303AD">
        <w:rPr>
          <w:rFonts w:eastAsia="Calibri"/>
          <w:rtl/>
        </w:rPr>
        <w:t xml:space="preserve">נחשף בישראל סחר בנשים שהובאו </w:t>
      </w:r>
      <w:r w:rsidRPr="00E303AD">
        <w:rPr>
          <w:rFonts w:eastAsia="Calibri"/>
          <w:rtl/>
        </w:rPr>
        <w:t xml:space="preserve">ממדינות חבר העמים לשעבר </w:t>
      </w:r>
      <w:r w:rsidRPr="00E303AD">
        <w:rPr>
          <w:rFonts w:eastAsia="Calibri" w:hint="cs"/>
          <w:rtl/>
        </w:rPr>
        <w:t>לצורכי מין</w:t>
      </w:r>
      <w:r>
        <w:rPr>
          <w:rFonts w:eastAsia="Calibri"/>
          <w:vertAlign w:val="superscript"/>
          <w:rtl/>
        </w:rPr>
        <w:footnoteReference w:id="8"/>
      </w:r>
      <w:r w:rsidRPr="00E303AD">
        <w:rPr>
          <w:rFonts w:eastAsia="Calibri"/>
          <w:rtl/>
        </w:rPr>
        <w:t xml:space="preserve">, ובהמשך התרחב הסחר גם </w:t>
      </w:r>
      <w:r w:rsidRPr="00E303AD">
        <w:rPr>
          <w:rFonts w:eastAsia="Calibri" w:hint="cs"/>
          <w:rtl/>
        </w:rPr>
        <w:t>מ</w:t>
      </w:r>
      <w:r w:rsidRPr="00E303AD">
        <w:rPr>
          <w:rFonts w:eastAsia="Calibri"/>
          <w:rtl/>
        </w:rPr>
        <w:t>מדינות דרום אמריקה, אפריקה, וכן מהרשות הפלסטינית ו</w:t>
      </w:r>
      <w:r w:rsidRPr="00E303AD">
        <w:rPr>
          <w:rFonts w:eastAsia="Calibri" w:hint="cs"/>
          <w:rtl/>
        </w:rPr>
        <w:t xml:space="preserve">מרצועת </w:t>
      </w:r>
      <w:r w:rsidRPr="00E303AD">
        <w:rPr>
          <w:rFonts w:eastAsia="Calibri"/>
          <w:rtl/>
        </w:rPr>
        <w:t>עזה</w:t>
      </w:r>
      <w:r w:rsidRPr="00E303AD">
        <w:rPr>
          <w:rFonts w:eastAsia="Calibri" w:hint="cs"/>
          <w:rtl/>
        </w:rPr>
        <w:t>.</w:t>
      </w:r>
      <w:r w:rsidRPr="00E303AD">
        <w:rPr>
          <w:rFonts w:eastAsia="Calibri"/>
          <w:rtl/>
        </w:rPr>
        <w:t xml:space="preserve"> </w:t>
      </w:r>
      <w:r w:rsidRPr="00E303AD">
        <w:rPr>
          <w:rFonts w:eastAsia="Calibri" w:hint="cs"/>
          <w:rtl/>
        </w:rPr>
        <w:t>רבים מקורבנות הסחר הם גברים ונשים שהובאו לישראל</w:t>
      </w:r>
      <w:r w:rsidRPr="00E303AD">
        <w:rPr>
          <w:rFonts w:eastAsia="Calibri"/>
          <w:rtl/>
        </w:rPr>
        <w:t xml:space="preserve"> </w:t>
      </w:r>
      <w:r w:rsidRPr="00E303AD">
        <w:rPr>
          <w:rFonts w:eastAsia="Calibri"/>
          <w:rtl/>
        </w:rPr>
        <w:t xml:space="preserve">תוך מצגי שווא, ובפועל </w:t>
      </w:r>
      <w:r w:rsidRPr="00E303AD">
        <w:rPr>
          <w:rFonts w:eastAsia="Calibri" w:hint="cs"/>
          <w:rtl/>
        </w:rPr>
        <w:t xml:space="preserve">הם </w:t>
      </w:r>
      <w:r w:rsidRPr="00E303AD">
        <w:rPr>
          <w:rFonts w:eastAsia="Calibri"/>
          <w:rtl/>
        </w:rPr>
        <w:t xml:space="preserve">נחשפים לדפוסי סחר שונים </w:t>
      </w:r>
      <w:r w:rsidRPr="00E303AD">
        <w:rPr>
          <w:rFonts w:eastAsia="Calibri" w:hint="cs"/>
          <w:rtl/>
        </w:rPr>
        <w:t xml:space="preserve">ובהם </w:t>
      </w:r>
      <w:r w:rsidRPr="00E303AD">
        <w:rPr>
          <w:rFonts w:eastAsia="Calibri"/>
          <w:rtl/>
        </w:rPr>
        <w:t xml:space="preserve">עבודות כפייה, עבדות, נישואין בכפייה וניצול </w:t>
      </w:r>
      <w:r w:rsidRPr="00E303AD">
        <w:rPr>
          <w:rFonts w:eastAsia="Calibri" w:hint="cs"/>
          <w:rtl/>
        </w:rPr>
        <w:t xml:space="preserve">למטרות </w:t>
      </w:r>
      <w:r w:rsidRPr="00E303AD">
        <w:rPr>
          <w:rFonts w:eastAsia="Calibri"/>
          <w:rtl/>
        </w:rPr>
        <w:t>זנות</w:t>
      </w:r>
      <w:r>
        <w:rPr>
          <w:rFonts w:eastAsia="Calibri"/>
          <w:vertAlign w:val="superscript"/>
          <w:rtl/>
        </w:rPr>
        <w:footnoteReference w:id="9"/>
      </w:r>
      <w:r w:rsidRPr="00E303AD">
        <w:rPr>
          <w:rFonts w:eastAsia="Calibri" w:hint="cs"/>
          <w:rtl/>
        </w:rPr>
        <w:t>. תופעת הסחר בבני אדם כוללת סחר למטרות של עבודת כפייה או עבדות, ניצול מיני, הולדה, נטילת איברים, תועבה ועוד. הביקורת בדוח זה מתייחסת לסחר בבני אדם למטרות זנות בלבד.</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 xml:space="preserve">מדינת ישראל </w:t>
      </w:r>
      <w:r w:rsidRPr="00E303AD">
        <w:rPr>
          <w:rFonts w:eastAsia="Calibri" w:hint="cs"/>
          <w:rtl/>
        </w:rPr>
        <w:t xml:space="preserve">עוסקת במיגור </w:t>
      </w:r>
      <w:r w:rsidRPr="00E303AD">
        <w:rPr>
          <w:rFonts w:eastAsia="Calibri"/>
          <w:rtl/>
        </w:rPr>
        <w:t>תופעת הסחר בבני אדם</w:t>
      </w:r>
      <w:r w:rsidRPr="00E303AD">
        <w:rPr>
          <w:rFonts w:eastAsia="Calibri" w:hint="cs"/>
          <w:rtl/>
        </w:rPr>
        <w:t>,</w:t>
      </w:r>
      <w:r w:rsidRPr="00E303AD">
        <w:rPr>
          <w:rFonts w:eastAsia="Calibri"/>
          <w:rtl/>
        </w:rPr>
        <w:t xml:space="preserve"> </w:t>
      </w:r>
      <w:r w:rsidRPr="00E303AD">
        <w:rPr>
          <w:rFonts w:eastAsia="Calibri" w:hint="cs"/>
          <w:rtl/>
        </w:rPr>
        <w:t xml:space="preserve">ובכלל זה סחר למטרות זנות, </w:t>
      </w:r>
      <w:r w:rsidRPr="00E303AD">
        <w:rPr>
          <w:rFonts w:eastAsia="Calibri"/>
          <w:rtl/>
        </w:rPr>
        <w:t xml:space="preserve">זה </w:t>
      </w:r>
      <w:r w:rsidRPr="00E303AD">
        <w:rPr>
          <w:rFonts w:eastAsia="Calibri" w:hint="cs"/>
          <w:rtl/>
        </w:rPr>
        <w:t xml:space="preserve">יותר </w:t>
      </w:r>
      <w:r w:rsidRPr="00E303AD">
        <w:rPr>
          <w:rFonts w:eastAsia="Calibri"/>
          <w:rtl/>
        </w:rPr>
        <w:t>משני עשורים</w:t>
      </w:r>
      <w:r>
        <w:rPr>
          <w:rFonts w:eastAsia="Calibri"/>
          <w:vertAlign w:val="superscript"/>
          <w:rtl/>
        </w:rPr>
        <w:footnoteReference w:id="10"/>
      </w:r>
      <w:r w:rsidRPr="00E303AD">
        <w:rPr>
          <w:rFonts w:eastAsia="Calibri"/>
          <w:rtl/>
        </w:rPr>
        <w:t xml:space="preserve">. </w:t>
      </w:r>
      <w:bookmarkStart w:id="13" w:name="_Hlk232595932"/>
      <w:r w:rsidRPr="00E303AD">
        <w:rPr>
          <w:rFonts w:eastAsia="Calibri" w:hint="cs"/>
          <w:rtl/>
        </w:rPr>
        <w:t>הגורם העיקרי שבהשפעתו התחוללה במדינת ישראל תנופת שינוי בתחום זה היה החוק</w:t>
      </w:r>
      <w:r w:rsidRPr="00E303AD">
        <w:rPr>
          <w:rFonts w:eastAsia="Calibri"/>
          <w:rtl/>
        </w:rPr>
        <w:t xml:space="preserve"> האמריקאי </w:t>
      </w:r>
      <w:r w:rsidRPr="00E303AD">
        <w:rPr>
          <w:rFonts w:eastAsia="Calibri" w:hint="cs"/>
          <w:rtl/>
        </w:rPr>
        <w:t>להגנה על</w:t>
      </w:r>
      <w:r w:rsidRPr="00E303AD">
        <w:rPr>
          <w:rFonts w:eastAsia="Calibri"/>
          <w:rtl/>
        </w:rPr>
        <w:t xml:space="preserve"> קורבנות סחר בבני אדם (</w:t>
      </w:r>
      <w:r w:rsidRPr="00E303AD">
        <w:rPr>
          <w:rFonts w:eastAsia="Calibri"/>
          <w:sz w:val="24"/>
        </w:rPr>
        <w:t>Trafficking Victims</w:t>
      </w:r>
      <w:r w:rsidRPr="00E303AD">
        <w:rPr>
          <w:rFonts w:eastAsia="Calibri"/>
        </w:rPr>
        <w:t xml:space="preserve"> </w:t>
      </w:r>
      <w:r w:rsidRPr="00E303AD">
        <w:rPr>
          <w:rFonts w:eastAsia="Calibri"/>
          <w:sz w:val="24"/>
        </w:rPr>
        <w:t xml:space="preserve">Protection Act - </w:t>
      </w:r>
      <w:r w:rsidRPr="00E303AD">
        <w:rPr>
          <w:rFonts w:eastAsia="Calibri"/>
          <w:sz w:val="22"/>
          <w:szCs w:val="22"/>
        </w:rPr>
        <w:t>TVPA</w:t>
      </w:r>
      <w:r w:rsidRPr="00E303AD">
        <w:rPr>
          <w:rFonts w:eastAsia="Calibri"/>
          <w:rtl/>
        </w:rPr>
        <w:t xml:space="preserve">), </w:t>
      </w:r>
      <w:r w:rsidRPr="00E303AD">
        <w:rPr>
          <w:rFonts w:eastAsia="Calibri" w:hint="cs"/>
          <w:rtl/>
        </w:rPr>
        <w:t>שנחקק</w:t>
      </w:r>
      <w:r w:rsidRPr="00E303AD">
        <w:rPr>
          <w:rFonts w:eastAsia="Calibri"/>
          <w:rtl/>
        </w:rPr>
        <w:t xml:space="preserve"> בארצות הברית בשנת 2000</w:t>
      </w:r>
      <w:r w:rsidRPr="00E303AD">
        <w:rPr>
          <w:rFonts w:eastAsia="Calibri" w:hint="cs"/>
          <w:rtl/>
        </w:rPr>
        <w:t xml:space="preserve"> ו</w:t>
      </w:r>
      <w:r w:rsidRPr="00E303AD">
        <w:rPr>
          <w:rFonts w:eastAsia="Calibri"/>
          <w:rtl/>
        </w:rPr>
        <w:t xml:space="preserve">הסדיר מנגנון דיווח שנתי </w:t>
      </w:r>
      <w:r w:rsidRPr="00E303AD">
        <w:rPr>
          <w:rFonts w:eastAsia="Calibri" w:hint="cs"/>
          <w:rtl/>
        </w:rPr>
        <w:t>על אופן</w:t>
      </w:r>
      <w:r w:rsidRPr="00E303AD">
        <w:rPr>
          <w:rFonts w:eastAsia="Calibri"/>
          <w:rtl/>
        </w:rPr>
        <w:t xml:space="preserve"> התמודדות מדינות העולם עם התופע</w:t>
      </w:r>
      <w:r w:rsidRPr="00E303AD">
        <w:rPr>
          <w:rFonts w:eastAsia="Calibri" w:hint="cs"/>
          <w:rtl/>
        </w:rPr>
        <w:t>ה (</w:t>
      </w:r>
      <w:bookmarkStart w:id="14" w:name="_Hlk232596994"/>
      <w:r w:rsidRPr="00E303AD">
        <w:rPr>
          <w:rFonts w:eastAsia="Calibri" w:hint="cs"/>
          <w:rtl/>
        </w:rPr>
        <w:t>הדוח השנתי של מחלקת המדינה האמריקאית</w:t>
      </w:r>
      <w:bookmarkEnd w:id="14"/>
      <w:r w:rsidRPr="00E303AD">
        <w:rPr>
          <w:rFonts w:eastAsia="Calibri" w:hint="cs"/>
          <w:rtl/>
        </w:rPr>
        <w:t xml:space="preserve"> בנושא המאבק בסחר בבני אדם - </w:t>
      </w:r>
      <w:r w:rsidRPr="00DB429E">
        <w:rPr>
          <w:rFonts w:eastAsia="Calibri" w:hint="cs"/>
          <w:sz w:val="22"/>
          <w:szCs w:val="28"/>
        </w:rPr>
        <w:t>TIP</w:t>
      </w:r>
      <w:r w:rsidRPr="00DB429E">
        <w:rPr>
          <w:rFonts w:eastAsia="Calibri"/>
          <w:sz w:val="22"/>
          <w:szCs w:val="28"/>
        </w:rPr>
        <w:t xml:space="preserve"> </w:t>
      </w:r>
      <w:r w:rsidRPr="00E303AD">
        <w:rPr>
          <w:rFonts w:eastAsia="Calibri"/>
          <w:sz w:val="24"/>
          <w:szCs w:val="32"/>
        </w:rPr>
        <w:t>report</w:t>
      </w:r>
      <w:r w:rsidRPr="00E303AD">
        <w:rPr>
          <w:rFonts w:eastAsia="Calibri" w:hint="cs"/>
          <w:sz w:val="24"/>
          <w:szCs w:val="32"/>
          <w:rtl/>
        </w:rPr>
        <w:t xml:space="preserve">, </w:t>
      </w:r>
      <w:r w:rsidRPr="00E303AD">
        <w:rPr>
          <w:rFonts w:eastAsia="Calibri" w:hint="cs"/>
          <w:rtl/>
        </w:rPr>
        <w:t>להלן - הדוח האמריקאי)</w:t>
      </w:r>
      <w:bookmarkEnd w:id="13"/>
      <w:r>
        <w:rPr>
          <w:rFonts w:eastAsia="Calibri"/>
          <w:vertAlign w:val="superscript"/>
          <w:rtl/>
        </w:rPr>
        <w:footnoteReference w:id="11"/>
      </w:r>
      <w:r w:rsidRPr="00E303AD">
        <w:rPr>
          <w:rFonts w:eastAsia="Calibri"/>
          <w:rtl/>
        </w:rPr>
        <w:t>.</w:t>
      </w:r>
      <w:r w:rsidRPr="00E303AD">
        <w:rPr>
          <w:rFonts w:eastAsia="Calibri" w:hint="cs"/>
          <w:rtl/>
        </w:rPr>
        <w:t xml:space="preserve"> הדיווח נדרש לשקף את כלל פעולות המדינה בהיבטי הגנה, אכיפה ומניעה בקשר לסחר בבני אדם. בשנת 2001 פורסם ה</w:t>
      </w:r>
      <w:r w:rsidRPr="00E303AD">
        <w:rPr>
          <w:rFonts w:eastAsia="Calibri"/>
          <w:rtl/>
        </w:rPr>
        <w:t xml:space="preserve">דוח הראשון </w:t>
      </w:r>
      <w:r w:rsidRPr="00E303AD">
        <w:rPr>
          <w:rFonts w:eastAsia="Calibri" w:hint="cs"/>
          <w:rtl/>
        </w:rPr>
        <w:t>בנושא, והוא כלל נתונים על התמודדותן של 82 מדינות עם התופעה.</w:t>
      </w:r>
      <w:r w:rsidRPr="00E303AD">
        <w:rPr>
          <w:rFonts w:eastAsia="Calibri"/>
          <w:rtl/>
        </w:rPr>
        <w:t xml:space="preserve"> ישראל דורגה </w:t>
      </w:r>
      <w:r w:rsidRPr="00E303AD">
        <w:rPr>
          <w:rFonts w:eastAsia="Calibri" w:hint="cs"/>
          <w:rtl/>
        </w:rPr>
        <w:t xml:space="preserve">בו </w:t>
      </w:r>
      <w:r w:rsidRPr="00E303AD">
        <w:rPr>
          <w:rFonts w:eastAsia="Calibri"/>
          <w:rtl/>
        </w:rPr>
        <w:t>בדרג</w:t>
      </w:r>
      <w:r w:rsidRPr="00E303AD">
        <w:rPr>
          <w:rFonts w:eastAsia="Calibri" w:hint="cs"/>
          <w:rtl/>
        </w:rPr>
        <w:t>ה</w:t>
      </w:r>
      <w:r w:rsidRPr="00E303AD">
        <w:rPr>
          <w:rFonts w:eastAsia="Calibri"/>
          <w:rtl/>
        </w:rPr>
        <w:t xml:space="preserve"> </w:t>
      </w:r>
      <w:r w:rsidRPr="00E303AD">
        <w:rPr>
          <w:rFonts w:eastAsia="Calibri" w:hint="cs"/>
          <w:rtl/>
        </w:rPr>
        <w:t xml:space="preserve">הנמוכה </w:t>
      </w:r>
      <w:r w:rsidRPr="00E303AD">
        <w:rPr>
          <w:rFonts w:eastAsia="Calibri"/>
          <w:rtl/>
        </w:rPr>
        <w:t>ביות</w:t>
      </w:r>
      <w:r w:rsidRPr="00E303AD">
        <w:rPr>
          <w:rFonts w:eastAsia="Calibri" w:hint="cs"/>
          <w:rtl/>
        </w:rPr>
        <w:t>ר לעניין הטיפול בתופעה (</w:t>
      </w:r>
      <w:r w:rsidRPr="00E303AD">
        <w:rPr>
          <w:rFonts w:eastAsia="Calibri" w:hint="cs"/>
          <w:sz w:val="24"/>
          <w:szCs w:val="32"/>
        </w:rPr>
        <w:t>T</w:t>
      </w:r>
      <w:r w:rsidRPr="00E303AD">
        <w:rPr>
          <w:rFonts w:eastAsia="Calibri"/>
          <w:sz w:val="24"/>
          <w:szCs w:val="32"/>
        </w:rPr>
        <w:t>ier 3</w:t>
      </w:r>
      <w:r w:rsidRPr="00E303AD">
        <w:rPr>
          <w:rFonts w:eastAsia="Calibri" w:hint="cs"/>
          <w:rtl/>
        </w:rPr>
        <w:t>) לצד 23 מדינות נוספות,</w:t>
      </w:r>
      <w:r w:rsidRPr="00E303AD">
        <w:rPr>
          <w:rFonts w:eastAsia="Calibri"/>
        </w:rPr>
        <w:t xml:space="preserve"> </w:t>
      </w:r>
      <w:r w:rsidRPr="00E303AD">
        <w:rPr>
          <w:rFonts w:eastAsia="Calibri" w:hint="cs"/>
          <w:rtl/>
        </w:rPr>
        <w:t>וה</w:t>
      </w:r>
      <w:r w:rsidRPr="00E303AD">
        <w:rPr>
          <w:rFonts w:eastAsia="Calibri"/>
          <w:rtl/>
        </w:rPr>
        <w:t>דבר</w:t>
      </w:r>
      <w:r w:rsidRPr="00E303AD">
        <w:rPr>
          <w:rFonts w:eastAsia="Calibri" w:hint="cs"/>
          <w:rtl/>
        </w:rPr>
        <w:t xml:space="preserve"> עלול היה לערער את</w:t>
      </w:r>
      <w:r w:rsidRPr="00E303AD">
        <w:rPr>
          <w:rFonts w:eastAsia="Calibri"/>
          <w:rtl/>
        </w:rPr>
        <w:t xml:space="preserve"> יחסיה</w:t>
      </w:r>
      <w:r w:rsidRPr="00E303AD">
        <w:rPr>
          <w:rFonts w:eastAsia="Calibri" w:hint="cs"/>
        </w:rPr>
        <w:t xml:space="preserve"> </w:t>
      </w:r>
      <w:r w:rsidRPr="00E303AD">
        <w:rPr>
          <w:rFonts w:eastAsia="Calibri" w:hint="cs"/>
          <w:rtl/>
        </w:rPr>
        <w:t>הכלכליים והמדיניים</w:t>
      </w:r>
      <w:r w:rsidRPr="00E303AD">
        <w:rPr>
          <w:rFonts w:eastAsia="Calibri"/>
          <w:rtl/>
        </w:rPr>
        <w:t xml:space="preserve"> עם ארצות הברית</w:t>
      </w:r>
      <w:r>
        <w:rPr>
          <w:rFonts w:eastAsia="Calibri"/>
          <w:vertAlign w:val="superscript"/>
          <w:rtl/>
        </w:rPr>
        <w:footnoteReference w:id="12"/>
      </w:r>
      <w:r w:rsidRPr="00E303AD">
        <w:rPr>
          <w:rFonts w:eastAsia="Calibri"/>
          <w:rtl/>
        </w:rPr>
        <w:t>.</w:t>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מצב זה הניע את ישראל לנקוט </w:t>
      </w:r>
      <w:r w:rsidRPr="00E303AD">
        <w:rPr>
          <w:rFonts w:eastAsia="Calibri"/>
          <w:rtl/>
        </w:rPr>
        <w:t xml:space="preserve">צעדים חקיקתיים ומוסדיים </w:t>
      </w:r>
      <w:r w:rsidRPr="00E303AD">
        <w:rPr>
          <w:rFonts w:eastAsia="Calibri" w:hint="cs"/>
          <w:rtl/>
        </w:rPr>
        <w:t>מרחיקי לכת</w:t>
      </w:r>
      <w:r>
        <w:rPr>
          <w:rFonts w:eastAsia="Calibri"/>
          <w:vertAlign w:val="superscript"/>
          <w:rtl/>
        </w:rPr>
        <w:footnoteReference w:id="13"/>
      </w:r>
      <w:r w:rsidRPr="00E303AD">
        <w:rPr>
          <w:rFonts w:eastAsia="Calibri" w:hint="cs"/>
          <w:rtl/>
        </w:rPr>
        <w:t>, ובהם חתימה על פרוטוקול פלרמו בשנת 2001 ואשרורו בשנת 2008</w:t>
      </w:r>
      <w:r>
        <w:rPr>
          <w:rFonts w:eastAsia="Calibri"/>
          <w:vertAlign w:val="superscript"/>
          <w:rtl/>
        </w:rPr>
        <w:footnoteReference w:id="14"/>
      </w:r>
      <w:r w:rsidRPr="00E303AD">
        <w:rPr>
          <w:rFonts w:eastAsia="Calibri" w:hint="cs"/>
          <w:rtl/>
        </w:rPr>
        <w:t>, וכן הצטרפות בשנת 2021 לאמנת מועצת אירופה למאבק בסחר בבני אדם</w:t>
      </w:r>
      <w:r>
        <w:rPr>
          <w:rFonts w:eastAsia="Calibri"/>
          <w:vertAlign w:val="superscript"/>
          <w:rtl/>
        </w:rPr>
        <w:footnoteReference w:id="15"/>
      </w:r>
      <w:r w:rsidRPr="00E303AD">
        <w:rPr>
          <w:rFonts w:eastAsia="Calibri" w:hint="cs"/>
          <w:rtl/>
        </w:rPr>
        <w:t>.</w:t>
      </w:r>
      <w:r w:rsidRPr="00E303AD">
        <w:rPr>
          <w:rFonts w:eastAsia="Calibri"/>
          <w:rtl/>
        </w:rPr>
        <w:t xml:space="preserve"> אמנות אלו מטילות על </w:t>
      </w:r>
      <w:bookmarkStart w:id="15" w:name="_Hlk217457098"/>
      <w:r w:rsidRPr="00E303AD">
        <w:rPr>
          <w:rFonts w:eastAsia="Calibri"/>
          <w:rtl/>
        </w:rPr>
        <w:t xml:space="preserve">המדינות החברות בהן </w:t>
      </w:r>
      <w:bookmarkEnd w:id="15"/>
      <w:r w:rsidRPr="00E303AD">
        <w:rPr>
          <w:rFonts w:eastAsia="Calibri" w:hint="cs"/>
          <w:rtl/>
        </w:rPr>
        <w:t>חובה</w:t>
      </w:r>
      <w:r w:rsidRPr="00E303AD">
        <w:rPr>
          <w:rFonts w:eastAsia="Calibri"/>
          <w:rtl/>
        </w:rPr>
        <w:t xml:space="preserve"> לאתר קורבנות סחר </w:t>
      </w:r>
      <w:r w:rsidRPr="00E303AD">
        <w:rPr>
          <w:rFonts w:eastAsia="Calibri" w:hint="cs"/>
          <w:rtl/>
        </w:rPr>
        <w:t>בבני אדם, לזהותם ולהגן עליהם לפני ש</w:t>
      </w:r>
      <w:r w:rsidRPr="00E303AD">
        <w:rPr>
          <w:rFonts w:eastAsia="Calibri"/>
          <w:rtl/>
        </w:rPr>
        <w:t>יגורשו וכן להכשיר גורמי אכיפה ורשויות ממשל</w:t>
      </w:r>
      <w:r w:rsidRPr="00E303AD">
        <w:rPr>
          <w:rFonts w:eastAsia="Calibri" w:hint="cs"/>
          <w:rtl/>
        </w:rPr>
        <w:t xml:space="preserve"> לעסוק בנושא.</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אשר למישור הפנים-מדינתי, בשנים 2000 - 2009 </w:t>
      </w:r>
      <w:r w:rsidRPr="00E303AD">
        <w:rPr>
          <w:rFonts w:eastAsia="Calibri"/>
          <w:rtl/>
        </w:rPr>
        <w:t xml:space="preserve">הוסדר </w:t>
      </w:r>
      <w:r w:rsidRPr="00E303AD">
        <w:rPr>
          <w:rFonts w:eastAsia="Calibri" w:hint="cs"/>
          <w:rtl/>
        </w:rPr>
        <w:t xml:space="preserve">הליך </w:t>
      </w:r>
      <w:r w:rsidRPr="00E303AD">
        <w:rPr>
          <w:rFonts w:eastAsia="Calibri"/>
          <w:rtl/>
        </w:rPr>
        <w:t>מתן אשרות לקורבנות סחר</w:t>
      </w:r>
      <w:r w:rsidRPr="00E303AD">
        <w:rPr>
          <w:rFonts w:eastAsia="Calibri" w:hint="cs"/>
          <w:rtl/>
        </w:rPr>
        <w:t xml:space="preserve"> בבני אדם</w:t>
      </w:r>
      <w:r w:rsidRPr="00E303AD">
        <w:rPr>
          <w:rFonts w:eastAsia="Calibri"/>
          <w:rtl/>
        </w:rPr>
        <w:t>, נפתח</w:t>
      </w:r>
      <w:r w:rsidRPr="00E303AD">
        <w:rPr>
          <w:rFonts w:eastAsia="Calibri" w:hint="cs"/>
          <w:rtl/>
        </w:rPr>
        <w:t>ו</w:t>
      </w:r>
      <w:r w:rsidRPr="00E303AD">
        <w:rPr>
          <w:rFonts w:eastAsia="Calibri"/>
          <w:rtl/>
        </w:rPr>
        <w:t xml:space="preserve"> מקלט</w:t>
      </w:r>
      <w:r w:rsidRPr="00E303AD">
        <w:rPr>
          <w:rFonts w:eastAsia="Calibri" w:hint="cs"/>
          <w:rtl/>
        </w:rPr>
        <w:t>ים</w:t>
      </w:r>
      <w:r w:rsidRPr="00E303AD">
        <w:rPr>
          <w:rFonts w:eastAsia="Calibri"/>
          <w:rtl/>
        </w:rPr>
        <w:t xml:space="preserve"> ייעודי</w:t>
      </w:r>
      <w:r w:rsidRPr="00E303AD">
        <w:rPr>
          <w:rFonts w:eastAsia="Calibri" w:hint="cs"/>
          <w:rtl/>
        </w:rPr>
        <w:t>ים</w:t>
      </w:r>
      <w:r w:rsidRPr="00E303AD">
        <w:rPr>
          <w:rFonts w:eastAsia="Calibri"/>
          <w:rtl/>
        </w:rPr>
        <w:t xml:space="preserve"> לנשים</w:t>
      </w:r>
      <w:r w:rsidRPr="00E303AD">
        <w:rPr>
          <w:rFonts w:eastAsia="Calibri" w:hint="cs"/>
          <w:rtl/>
        </w:rPr>
        <w:t xml:space="preserve"> ולגברים</w:t>
      </w:r>
      <w:r w:rsidRPr="00E303AD">
        <w:rPr>
          <w:rFonts w:eastAsia="Calibri"/>
          <w:rtl/>
        </w:rPr>
        <w:t xml:space="preserve"> שנסחרו למטרות זנות</w:t>
      </w:r>
      <w:r w:rsidRPr="00E303AD">
        <w:rPr>
          <w:rFonts w:eastAsia="Calibri" w:hint="cs"/>
          <w:rtl/>
        </w:rPr>
        <w:t xml:space="preserve"> והוקנתה</w:t>
      </w:r>
      <w:r w:rsidRPr="00E303AD">
        <w:rPr>
          <w:rFonts w:eastAsia="Calibri"/>
          <w:rtl/>
        </w:rPr>
        <w:t xml:space="preserve"> </w:t>
      </w:r>
      <w:r w:rsidRPr="00E303AD">
        <w:rPr>
          <w:rFonts w:eastAsia="Calibri" w:hint="cs"/>
          <w:rtl/>
        </w:rPr>
        <w:t>להם ה</w:t>
      </w:r>
      <w:r w:rsidRPr="00E303AD">
        <w:rPr>
          <w:rFonts w:eastAsia="Calibri"/>
          <w:rtl/>
        </w:rPr>
        <w:t>זכות לייצוג משפטי</w:t>
      </w:r>
      <w:r>
        <w:rPr>
          <w:rFonts w:eastAsia="Calibri"/>
          <w:vertAlign w:val="superscript"/>
          <w:rtl/>
        </w:rPr>
        <w:footnoteReference w:id="16"/>
      </w:r>
      <w:r w:rsidRPr="00E303AD">
        <w:rPr>
          <w:rFonts w:eastAsia="Calibri" w:hint="cs"/>
          <w:rtl/>
        </w:rPr>
        <w:t>. כמו כן</w:t>
      </w:r>
      <w:r w:rsidRPr="00E303AD">
        <w:rPr>
          <w:rFonts w:eastAsia="Calibri"/>
          <w:rtl/>
        </w:rPr>
        <w:t xml:space="preserve">, בוצעו </w:t>
      </w:r>
      <w:r w:rsidRPr="00E303AD">
        <w:rPr>
          <w:rFonts w:eastAsia="Calibri" w:hint="cs"/>
          <w:rtl/>
        </w:rPr>
        <w:t xml:space="preserve">בחוק העונשין </w:t>
      </w:r>
      <w:r w:rsidRPr="00E303AD">
        <w:rPr>
          <w:rFonts w:eastAsia="Calibri"/>
          <w:rtl/>
        </w:rPr>
        <w:t>תיקוני חקיקה ש</w:t>
      </w:r>
      <w:r w:rsidRPr="00E303AD">
        <w:rPr>
          <w:rFonts w:eastAsia="Calibri" w:hint="cs"/>
          <w:rtl/>
        </w:rPr>
        <w:t xml:space="preserve">הרחיבו את ההגדרה </w:t>
      </w:r>
      <w:r w:rsidRPr="00E303AD">
        <w:rPr>
          <w:rFonts w:eastAsia="Calibri"/>
          <w:rtl/>
        </w:rPr>
        <w:t xml:space="preserve">החוקית של סחר בבני אדם </w:t>
      </w:r>
      <w:r w:rsidRPr="00E303AD">
        <w:rPr>
          <w:rFonts w:eastAsia="Calibri" w:hint="cs"/>
          <w:rtl/>
        </w:rPr>
        <w:t xml:space="preserve">באופן </w:t>
      </w:r>
      <w:r w:rsidRPr="00E303AD">
        <w:rPr>
          <w:rFonts w:eastAsia="Calibri"/>
          <w:rtl/>
        </w:rPr>
        <w:t>ש</w:t>
      </w:r>
      <w:r w:rsidRPr="00E303AD">
        <w:rPr>
          <w:rFonts w:eastAsia="Calibri" w:hint="cs"/>
          <w:rtl/>
        </w:rPr>
        <w:t xml:space="preserve">היא </w:t>
      </w:r>
      <w:r w:rsidRPr="00E303AD">
        <w:rPr>
          <w:rFonts w:eastAsia="Calibri"/>
          <w:rtl/>
        </w:rPr>
        <w:t>תכלול</w:t>
      </w:r>
      <w:r w:rsidRPr="00E303AD">
        <w:rPr>
          <w:rFonts w:eastAsia="Calibri" w:hint="cs"/>
          <w:rtl/>
        </w:rPr>
        <w:t xml:space="preserve">, בין היתר, הבאה לידי מעשה זנות, </w:t>
      </w:r>
      <w:r w:rsidRPr="00E303AD">
        <w:rPr>
          <w:rFonts w:eastAsia="Calibri"/>
          <w:rtl/>
        </w:rPr>
        <w:t>עבדות ועבוד</w:t>
      </w:r>
      <w:r w:rsidRPr="00E303AD">
        <w:rPr>
          <w:rFonts w:eastAsia="Calibri" w:hint="cs"/>
          <w:rtl/>
        </w:rPr>
        <w:t>ו</w:t>
      </w:r>
      <w:r w:rsidRPr="00E303AD">
        <w:rPr>
          <w:rFonts w:eastAsia="Calibri"/>
          <w:rtl/>
        </w:rPr>
        <w:t>ת כפייה</w:t>
      </w:r>
      <w:r w:rsidRPr="00E303AD">
        <w:rPr>
          <w:rFonts w:eastAsia="Calibri" w:hint="cs"/>
          <w:rtl/>
        </w:rPr>
        <w:t xml:space="preserve"> </w:t>
      </w:r>
      <w:r w:rsidRPr="00E303AD">
        <w:rPr>
          <w:rFonts w:eastAsia="Calibri"/>
          <w:rtl/>
        </w:rPr>
        <w:t>ונוספו סעיפים ייחודיים להגנת הקורבן - ובכלל זה לעניין פסיקת פיצויים, מתן סיוע משפטי, הקמת קרן חילוט ייעודית</w:t>
      </w:r>
      <w:r w:rsidRPr="00E303AD">
        <w:rPr>
          <w:rFonts w:eastAsia="Calibri" w:hint="cs"/>
          <w:rtl/>
        </w:rPr>
        <w:t xml:space="preserve"> וקביעת עונש מרבי של 16 שנות מאסר לעובר עבירת סחר בבני אדם</w:t>
      </w:r>
      <w:r>
        <w:rPr>
          <w:rFonts w:eastAsia="Calibri"/>
          <w:vertAlign w:val="superscript"/>
          <w:rtl/>
        </w:rPr>
        <w:footnoteReference w:id="17"/>
      </w:r>
      <w:r w:rsidRPr="00E303AD">
        <w:rPr>
          <w:rFonts w:eastAsia="Calibri"/>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bidi w:val="0"/>
        <w:spacing w:line="269" w:lineRule="auto"/>
        <w:rPr>
          <w:rFonts w:eastAsia="Calibri"/>
          <w:rtl/>
        </w:rPr>
      </w:pPr>
      <w:bookmarkStart w:id="16" w:name="_Hlk232605990"/>
      <w:r w:rsidRPr="00E303AD">
        <w:rPr>
          <w:rFonts w:eastAsia="Calibri"/>
          <w:rtl/>
        </w:rPr>
        <w:br w:type="page"/>
      </w:r>
    </w:p>
    <w:p w:rsidR="00E303AD" w:rsidRPr="00E303AD" w:rsidP="00E303AD">
      <w:pPr>
        <w:spacing w:line="269" w:lineRule="auto"/>
        <w:rPr>
          <w:rFonts w:eastAsia="Calibri"/>
          <w:rtl/>
        </w:rPr>
      </w:pPr>
      <w:r w:rsidRPr="00E303AD">
        <w:rPr>
          <w:rFonts w:eastAsia="Calibri" w:hint="cs"/>
          <w:rtl/>
        </w:rPr>
        <w:t>מכוח החלטת הממשלה 63 משנת 2006</w:t>
      </w:r>
      <w:r>
        <w:rPr>
          <w:rFonts w:eastAsia="Calibri"/>
          <w:vertAlign w:val="superscript"/>
          <w:rtl/>
        </w:rPr>
        <w:footnoteReference w:id="18"/>
      </w:r>
      <w:r w:rsidRPr="00E303AD">
        <w:rPr>
          <w:rFonts w:eastAsia="Calibri"/>
          <w:rtl/>
        </w:rPr>
        <w:t xml:space="preserve"> הוקמה</w:t>
      </w:r>
      <w:r w:rsidRPr="00E303AD">
        <w:rPr>
          <w:rFonts w:eastAsia="Calibri" w:hint="cs"/>
          <w:rtl/>
        </w:rPr>
        <w:t>,</w:t>
      </w:r>
      <w:r w:rsidRPr="00E303AD">
        <w:rPr>
          <w:rFonts w:eastAsia="Calibri"/>
          <w:rtl/>
        </w:rPr>
        <w:t xml:space="preserve"> במסגרת </w:t>
      </w:r>
      <w:r w:rsidRPr="00E303AD">
        <w:rPr>
          <w:rFonts w:eastAsia="Calibri" w:hint="cs"/>
          <w:rtl/>
        </w:rPr>
        <w:t>החטיבה</w:t>
      </w:r>
      <w:r w:rsidRPr="00E303AD">
        <w:rPr>
          <w:rFonts w:eastAsia="Calibri"/>
          <w:rtl/>
        </w:rPr>
        <w:t xml:space="preserve"> החברתית שבמשרד המשפטים</w:t>
      </w:r>
      <w:r w:rsidRPr="00E303AD">
        <w:rPr>
          <w:rFonts w:eastAsia="Calibri" w:hint="cs"/>
          <w:rtl/>
        </w:rPr>
        <w:t>,</w:t>
      </w:r>
      <w:r w:rsidRPr="00E303AD">
        <w:rPr>
          <w:rFonts w:eastAsia="Calibri"/>
          <w:rtl/>
        </w:rPr>
        <w:t xml:space="preserve"> יחידת התיאום למאבק בסחר בבני אדם</w:t>
      </w:r>
      <w:r w:rsidRPr="00E303AD">
        <w:rPr>
          <w:rFonts w:eastAsia="Calibri" w:hint="cs"/>
          <w:rtl/>
        </w:rPr>
        <w:t>, זנות ופוליגמיה</w:t>
      </w:r>
      <w:r w:rsidRPr="00E303AD">
        <w:rPr>
          <w:rFonts w:eastAsia="Calibri"/>
          <w:rtl/>
        </w:rPr>
        <w:t xml:space="preserve"> (להלן</w:t>
      </w:r>
      <w:r w:rsidRPr="00E303AD">
        <w:rPr>
          <w:rFonts w:eastAsia="Calibri" w:hint="cs"/>
          <w:rtl/>
        </w:rPr>
        <w:t xml:space="preserve"> -</w:t>
      </w:r>
      <w:r w:rsidRPr="00E303AD">
        <w:rPr>
          <w:rFonts w:eastAsia="Calibri"/>
          <w:rtl/>
        </w:rPr>
        <w:t xml:space="preserve"> יחידת התיאום</w:t>
      </w:r>
      <w:r w:rsidRPr="00E303AD">
        <w:rPr>
          <w:rFonts w:eastAsia="Calibri" w:hint="cs"/>
          <w:rtl/>
        </w:rPr>
        <w:t xml:space="preserve"> או היחידה</w:t>
      </w:r>
      <w:r w:rsidRPr="00E303AD">
        <w:rPr>
          <w:rFonts w:eastAsia="Calibri"/>
          <w:rtl/>
        </w:rPr>
        <w:t>)</w:t>
      </w:r>
      <w:bookmarkEnd w:id="16"/>
      <w:r>
        <w:rPr>
          <w:rFonts w:eastAsia="Calibri"/>
          <w:vertAlign w:val="superscript"/>
          <w:rtl/>
        </w:rPr>
        <w:footnoteReference w:id="19"/>
      </w:r>
      <w:r w:rsidRPr="00E303AD">
        <w:rPr>
          <w:rFonts w:eastAsia="Calibri" w:hint="cs"/>
          <w:rtl/>
        </w:rPr>
        <w:t xml:space="preserve">. היחידה משמשת </w:t>
      </w:r>
      <w:r w:rsidRPr="00E303AD">
        <w:rPr>
          <w:rFonts w:eastAsia="Calibri"/>
          <w:rtl/>
        </w:rPr>
        <w:t>גוף מטה בין</w:t>
      </w:r>
      <w:r w:rsidRPr="00E303AD">
        <w:rPr>
          <w:rFonts w:eastAsia="Calibri" w:hint="cs"/>
          <w:rtl/>
        </w:rPr>
        <w:t>-</w:t>
      </w:r>
      <w:r w:rsidRPr="00E303AD">
        <w:rPr>
          <w:rFonts w:eastAsia="Calibri"/>
          <w:rtl/>
        </w:rPr>
        <w:t xml:space="preserve">משרדי שתפקידו לרכז את </w:t>
      </w:r>
      <w:r w:rsidRPr="00E303AD">
        <w:rPr>
          <w:rFonts w:eastAsia="Calibri" w:hint="cs"/>
          <w:rtl/>
        </w:rPr>
        <w:t>מאמצי</w:t>
      </w:r>
      <w:r w:rsidRPr="00E303AD">
        <w:rPr>
          <w:rFonts w:eastAsia="Calibri"/>
          <w:rtl/>
        </w:rPr>
        <w:t xml:space="preserve"> ההסברה</w:t>
      </w:r>
      <w:r w:rsidRPr="00E303AD">
        <w:rPr>
          <w:rFonts w:eastAsia="Calibri" w:hint="cs"/>
          <w:rtl/>
        </w:rPr>
        <w:t xml:space="preserve"> בעניין המאבק בתופעת סחר בבני אדם, מניעת התופעה</w:t>
      </w:r>
      <w:r w:rsidRPr="00E303AD">
        <w:rPr>
          <w:rFonts w:eastAsia="Calibri"/>
          <w:rtl/>
        </w:rPr>
        <w:t xml:space="preserve">, </w:t>
      </w:r>
      <w:r w:rsidRPr="00E303AD">
        <w:rPr>
          <w:rFonts w:eastAsia="Calibri" w:hint="cs"/>
          <w:rtl/>
        </w:rPr>
        <w:t>אכיפת החוק בנושא</w:t>
      </w:r>
      <w:r w:rsidRPr="00E303AD">
        <w:rPr>
          <w:rFonts w:eastAsia="Calibri"/>
          <w:rtl/>
        </w:rPr>
        <w:t>, זיהוי הקורבנות וההכרה בהם</w:t>
      </w:r>
      <w:r w:rsidRPr="00E303AD">
        <w:rPr>
          <w:rFonts w:eastAsia="Calibri" w:hint="cs"/>
          <w:rtl/>
        </w:rPr>
        <w:t>. כמו כן, היחידה אחראית ל</w:t>
      </w:r>
      <w:r w:rsidRPr="00E303AD">
        <w:rPr>
          <w:rFonts w:eastAsia="Calibri"/>
          <w:rtl/>
        </w:rPr>
        <w:t xml:space="preserve">שיתוף </w:t>
      </w:r>
      <w:r w:rsidRPr="00E303AD">
        <w:rPr>
          <w:rFonts w:eastAsia="Calibri" w:hint="cs"/>
          <w:rtl/>
        </w:rPr>
        <w:t>ה</w:t>
      </w:r>
      <w:r w:rsidRPr="00E303AD">
        <w:rPr>
          <w:rFonts w:eastAsia="Calibri"/>
          <w:rtl/>
        </w:rPr>
        <w:t xml:space="preserve">פעולה בין כלל הרשויות והגופים המוסמכים בתחום, </w:t>
      </w:r>
      <w:r w:rsidRPr="00E303AD">
        <w:rPr>
          <w:rFonts w:eastAsia="Calibri" w:hint="cs"/>
          <w:rtl/>
        </w:rPr>
        <w:t>ובהם</w:t>
      </w:r>
      <w:r w:rsidRPr="00E303AD">
        <w:rPr>
          <w:rFonts w:eastAsia="Calibri"/>
          <w:rtl/>
        </w:rPr>
        <w:t xml:space="preserve">: </w:t>
      </w:r>
      <w:r w:rsidRPr="00E303AD">
        <w:rPr>
          <w:rFonts w:eastAsia="Calibri" w:hint="cs"/>
          <w:rtl/>
        </w:rPr>
        <w:t>ה</w:t>
      </w:r>
      <w:r w:rsidRPr="00E303AD">
        <w:rPr>
          <w:rFonts w:eastAsia="Calibri"/>
          <w:rtl/>
        </w:rPr>
        <w:t>משטר</w:t>
      </w:r>
      <w:r w:rsidRPr="00E303AD">
        <w:rPr>
          <w:rFonts w:eastAsia="Calibri" w:hint="cs"/>
          <w:rtl/>
        </w:rPr>
        <w:t>ה</w:t>
      </w:r>
      <w:r w:rsidRPr="00E303AD">
        <w:rPr>
          <w:rFonts w:eastAsia="Calibri"/>
          <w:rtl/>
        </w:rPr>
        <w:t xml:space="preserve">, באמצעות חוליית הסחר בבני אדם </w:t>
      </w:r>
      <w:r w:rsidRPr="00E303AD">
        <w:rPr>
          <w:rFonts w:eastAsia="Calibri" w:hint="cs"/>
          <w:rtl/>
        </w:rPr>
        <w:t xml:space="preserve">שבחטיבת החקירות </w:t>
      </w:r>
      <w:r w:rsidRPr="00E303AD">
        <w:rPr>
          <w:rFonts w:eastAsia="Calibri"/>
          <w:rtl/>
        </w:rPr>
        <w:t>במטה הארצי</w:t>
      </w:r>
      <w:r w:rsidRPr="00E303AD">
        <w:rPr>
          <w:rFonts w:eastAsia="Calibri" w:hint="cs"/>
          <w:rtl/>
        </w:rPr>
        <w:t xml:space="preserve"> (להלן - חוליית סחר בבני אדם)</w:t>
      </w:r>
      <w:r w:rsidRPr="00E303AD">
        <w:rPr>
          <w:rFonts w:eastAsia="Calibri"/>
          <w:rtl/>
        </w:rPr>
        <w:t>; רשות האוכלוסין וההגירה</w:t>
      </w:r>
      <w:r w:rsidRPr="00E303AD">
        <w:rPr>
          <w:rFonts w:eastAsia="Calibri" w:hint="cs"/>
          <w:rtl/>
        </w:rPr>
        <w:t xml:space="preserve"> במשרד הפנים (להלן - רשות האוכלוסין או הרשות)</w:t>
      </w:r>
      <w:r w:rsidRPr="00E303AD">
        <w:rPr>
          <w:rFonts w:eastAsia="Calibri"/>
          <w:rtl/>
        </w:rPr>
        <w:t>, ה</w:t>
      </w:r>
      <w:r w:rsidRPr="00E303AD">
        <w:rPr>
          <w:rFonts w:eastAsia="Calibri" w:hint="cs"/>
          <w:rtl/>
        </w:rPr>
        <w:t>מפקחת על גבולות המדינה וה</w:t>
      </w:r>
      <w:r w:rsidRPr="00E303AD">
        <w:rPr>
          <w:rFonts w:eastAsia="Calibri"/>
          <w:rtl/>
        </w:rPr>
        <w:t>אמונה על מתן אשרות שהייה והיתרי עבודה לקורבנות</w:t>
      </w:r>
      <w:r w:rsidRPr="00E303AD">
        <w:rPr>
          <w:rFonts w:eastAsia="Calibri" w:hint="cs"/>
          <w:rtl/>
        </w:rPr>
        <w:t xml:space="preserve"> סחר בבני אדם</w:t>
      </w:r>
      <w:r w:rsidRPr="00E303AD">
        <w:rPr>
          <w:rFonts w:eastAsia="Calibri"/>
          <w:rtl/>
        </w:rPr>
        <w:t xml:space="preserve">; </w:t>
      </w:r>
      <w:r w:rsidRPr="00E303AD">
        <w:rPr>
          <w:rFonts w:eastAsia="Calibri" w:hint="cs"/>
          <w:rtl/>
        </w:rPr>
        <w:t xml:space="preserve">אגף </w:t>
      </w:r>
      <w:r w:rsidRPr="00E303AD">
        <w:rPr>
          <w:rFonts w:eastAsia="Calibri"/>
          <w:rtl/>
        </w:rPr>
        <w:t xml:space="preserve">הסיוע המשפטי במשרד המשפטים, המעניק </w:t>
      </w:r>
      <w:r w:rsidRPr="00E303AD">
        <w:rPr>
          <w:rFonts w:eastAsia="Calibri" w:hint="cs"/>
          <w:rtl/>
        </w:rPr>
        <w:t xml:space="preserve">לקורבנות הסחר בבני אדם </w:t>
      </w:r>
      <w:r w:rsidRPr="00E303AD">
        <w:rPr>
          <w:rFonts w:eastAsia="Calibri"/>
          <w:rtl/>
        </w:rPr>
        <w:t>ייצוג משפטי למימוש זכויות</w:t>
      </w:r>
      <w:r w:rsidRPr="00E303AD">
        <w:rPr>
          <w:rFonts w:eastAsia="Calibri" w:hint="cs"/>
          <w:rtl/>
        </w:rPr>
        <w:t>יהם</w:t>
      </w:r>
      <w:r w:rsidRPr="00E303AD">
        <w:rPr>
          <w:rFonts w:eastAsia="Calibri"/>
          <w:rtl/>
        </w:rPr>
        <w:t xml:space="preserve"> </w:t>
      </w:r>
      <w:r w:rsidRPr="00E303AD">
        <w:rPr>
          <w:rFonts w:eastAsia="Calibri" w:hint="cs"/>
          <w:rtl/>
        </w:rPr>
        <w:t>(להלן - אגף הסיוע המשפטי)</w:t>
      </w:r>
      <w:r w:rsidRPr="00E303AD">
        <w:rPr>
          <w:rFonts w:eastAsia="Calibri"/>
          <w:rtl/>
        </w:rPr>
        <w:t>; וכן שירותי הרווחה והבריאות, המפעילים מקלטים ייעודיים ו</w:t>
      </w:r>
      <w:r w:rsidRPr="00E303AD">
        <w:rPr>
          <w:rFonts w:eastAsia="Calibri" w:hint="cs"/>
          <w:rtl/>
        </w:rPr>
        <w:t>מספקים</w:t>
      </w:r>
      <w:r w:rsidRPr="00E303AD">
        <w:rPr>
          <w:rFonts w:eastAsia="Calibri" w:hint="cs"/>
        </w:rPr>
        <w:t xml:space="preserve"> </w:t>
      </w:r>
      <w:r w:rsidRPr="00E303AD">
        <w:rPr>
          <w:rFonts w:eastAsia="Calibri"/>
          <w:rtl/>
        </w:rPr>
        <w:t xml:space="preserve">שירותי טיפול ושיקום. הצלחת המענה הממשלתי מותנית </w:t>
      </w:r>
      <w:r w:rsidRPr="00E303AD">
        <w:rPr>
          <w:rFonts w:eastAsia="Calibri" w:hint="cs"/>
          <w:rtl/>
        </w:rPr>
        <w:t>ב</w:t>
      </w:r>
      <w:r w:rsidRPr="00E303AD">
        <w:rPr>
          <w:rFonts w:eastAsia="Calibri"/>
          <w:rtl/>
        </w:rPr>
        <w:t>תיאום רציף</w:t>
      </w:r>
      <w:r w:rsidRPr="00E303AD">
        <w:rPr>
          <w:rFonts w:eastAsia="Calibri" w:hint="cs"/>
          <w:rtl/>
        </w:rPr>
        <w:t xml:space="preserve"> </w:t>
      </w:r>
      <w:r w:rsidRPr="00E303AD">
        <w:rPr>
          <w:rFonts w:eastAsia="Calibri"/>
          <w:rtl/>
        </w:rPr>
        <w:t xml:space="preserve">בין כלל הגופים </w:t>
      </w:r>
      <w:r w:rsidRPr="00E303AD">
        <w:rPr>
          <w:rFonts w:eastAsia="Calibri" w:hint="cs"/>
          <w:rtl/>
        </w:rPr>
        <w:t>העוסקים בנושא</w:t>
      </w:r>
      <w:r w:rsidRPr="00E303AD">
        <w:rPr>
          <w:rFonts w:eastAsia="Calibri"/>
          <w:rtl/>
        </w:rPr>
        <w:t xml:space="preserve"> ובהקצאת משאבים מתאימה</w:t>
      </w:r>
      <w:r w:rsidRPr="00E303AD">
        <w:rPr>
          <w:rFonts w:eastAsia="Calibri" w:hint="cs"/>
          <w:rtl/>
        </w:rPr>
        <w:t xml:space="preserve"> לגופים אלה</w:t>
      </w:r>
      <w:r w:rsidRPr="00E303AD">
        <w:rPr>
          <w:rFonts w:eastAsia="Calibri"/>
          <w:rtl/>
        </w:rPr>
        <w:t>.</w:t>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 xml:space="preserve">בעקבות הצעדים שננקטו </w:t>
      </w:r>
      <w:r w:rsidRPr="00E303AD">
        <w:rPr>
          <w:rFonts w:eastAsia="Calibri" w:hint="cs"/>
          <w:rtl/>
        </w:rPr>
        <w:t xml:space="preserve">עלתה מדינת ישראל בשנת 2012 </w:t>
      </w:r>
      <w:r w:rsidRPr="00E303AD">
        <w:rPr>
          <w:rFonts w:eastAsia="Calibri"/>
          <w:rtl/>
        </w:rPr>
        <w:t>לדירוג העליון</w:t>
      </w:r>
      <w:r w:rsidRPr="00E303AD">
        <w:rPr>
          <w:rFonts w:eastAsia="Calibri" w:hint="cs"/>
          <w:rtl/>
        </w:rPr>
        <w:t xml:space="preserve"> (</w:t>
      </w:r>
      <w:r w:rsidRPr="00E303AD">
        <w:rPr>
          <w:rFonts w:eastAsia="Calibri" w:hint="cs"/>
          <w:sz w:val="24"/>
          <w:szCs w:val="32"/>
        </w:rPr>
        <w:t>T</w:t>
      </w:r>
      <w:r w:rsidRPr="00E303AD">
        <w:rPr>
          <w:rFonts w:eastAsia="Calibri"/>
          <w:sz w:val="24"/>
          <w:szCs w:val="32"/>
        </w:rPr>
        <w:t>ier 1</w:t>
      </w:r>
      <w:r w:rsidRPr="00E303AD">
        <w:rPr>
          <w:rFonts w:eastAsia="Calibri" w:hint="cs"/>
          <w:rtl/>
        </w:rPr>
        <w:t>)</w:t>
      </w:r>
      <w:r w:rsidRPr="00E303AD">
        <w:rPr>
          <w:rFonts w:eastAsia="Calibri"/>
        </w:rPr>
        <w:t xml:space="preserve"> </w:t>
      </w:r>
      <w:r w:rsidRPr="00E303AD">
        <w:rPr>
          <w:rFonts w:eastAsia="Calibri"/>
          <w:rtl/>
        </w:rPr>
        <w:t>בדוחות מחלקת המדינה האמריקאית</w:t>
      </w:r>
      <w:r>
        <w:rPr>
          <w:rFonts w:eastAsia="Calibri"/>
          <w:vertAlign w:val="superscript"/>
          <w:rtl/>
        </w:rPr>
        <w:footnoteReference w:id="20"/>
      </w:r>
      <w:r w:rsidRPr="00E303AD">
        <w:rPr>
          <w:rFonts w:eastAsia="Calibri" w:hint="cs"/>
          <w:rtl/>
        </w:rPr>
        <w:t>,</w:t>
      </w:r>
      <w:r w:rsidRPr="00E303AD">
        <w:rPr>
          <w:rFonts w:eastAsia="Calibri"/>
          <w:rtl/>
        </w:rPr>
        <w:t xml:space="preserve"> אולם בשנת </w:t>
      </w:r>
      <w:r w:rsidRPr="00E303AD">
        <w:rPr>
          <w:rFonts w:eastAsia="Calibri" w:hint="cs"/>
          <w:rtl/>
        </w:rPr>
        <w:t>2020</w:t>
      </w:r>
      <w:r w:rsidRPr="00E303AD">
        <w:rPr>
          <w:rFonts w:eastAsia="Calibri"/>
          <w:rtl/>
        </w:rPr>
        <w:t xml:space="preserve"> </w:t>
      </w:r>
      <w:r w:rsidRPr="00E303AD">
        <w:rPr>
          <w:rFonts w:eastAsia="Calibri" w:hint="cs"/>
          <w:rtl/>
        </w:rPr>
        <w:t xml:space="preserve">היא </w:t>
      </w:r>
      <w:r w:rsidRPr="00E303AD">
        <w:rPr>
          <w:rFonts w:eastAsia="Calibri"/>
          <w:rtl/>
        </w:rPr>
        <w:t>ירדה לדירוג הביניים</w:t>
      </w:r>
      <w:r w:rsidRPr="00E303AD">
        <w:rPr>
          <w:rFonts w:eastAsia="Calibri" w:hint="cs"/>
          <w:rtl/>
        </w:rPr>
        <w:t xml:space="preserve"> (</w:t>
      </w:r>
      <w:r w:rsidRPr="00E303AD">
        <w:rPr>
          <w:rFonts w:eastAsia="Calibri" w:hint="cs"/>
          <w:sz w:val="24"/>
          <w:szCs w:val="32"/>
        </w:rPr>
        <w:t>T</w:t>
      </w:r>
      <w:r w:rsidRPr="00E303AD">
        <w:rPr>
          <w:rFonts w:eastAsia="Calibri"/>
          <w:sz w:val="24"/>
          <w:szCs w:val="32"/>
        </w:rPr>
        <w:t>ier 2</w:t>
      </w:r>
      <w:r w:rsidRPr="00E303AD">
        <w:rPr>
          <w:rFonts w:eastAsia="Calibri" w:hint="cs"/>
          <w:rtl/>
        </w:rPr>
        <w:t>),</w:t>
      </w:r>
      <w:r w:rsidRPr="00E303AD">
        <w:rPr>
          <w:rFonts w:eastAsia="Calibri"/>
        </w:rPr>
        <w:t xml:space="preserve"> </w:t>
      </w:r>
      <w:r w:rsidRPr="00E303AD">
        <w:rPr>
          <w:rFonts w:eastAsia="Calibri"/>
          <w:rtl/>
        </w:rPr>
        <w:t>דירו</w:t>
      </w:r>
      <w:r w:rsidRPr="00E303AD">
        <w:rPr>
          <w:rFonts w:eastAsia="Calibri" w:hint="cs"/>
          <w:rtl/>
        </w:rPr>
        <w:t>ג המציב אותה בסיכון ל</w:t>
      </w:r>
      <w:r w:rsidRPr="00E303AD">
        <w:rPr>
          <w:rFonts w:eastAsia="Calibri"/>
          <w:rtl/>
        </w:rPr>
        <w:t>ירידה נוספת לדירוג התחתון</w:t>
      </w:r>
      <w:r w:rsidRPr="00E303AD">
        <w:rPr>
          <w:rFonts w:eastAsia="Calibri" w:hint="cs"/>
          <w:rtl/>
        </w:rPr>
        <w:t xml:space="preserve"> (</w:t>
      </w:r>
      <w:r w:rsidRPr="00E303AD">
        <w:rPr>
          <w:rFonts w:eastAsia="Calibri" w:hint="cs"/>
          <w:sz w:val="24"/>
          <w:szCs w:val="32"/>
        </w:rPr>
        <w:t>T</w:t>
      </w:r>
      <w:r w:rsidRPr="00E303AD">
        <w:rPr>
          <w:rFonts w:eastAsia="Calibri"/>
          <w:sz w:val="24"/>
          <w:szCs w:val="32"/>
        </w:rPr>
        <w:t>ier 3</w:t>
      </w:r>
      <w:r w:rsidRPr="00E303AD">
        <w:rPr>
          <w:rFonts w:eastAsia="Calibri" w:hint="cs"/>
          <w:rtl/>
        </w:rPr>
        <w:t>),</w:t>
      </w:r>
      <w:r w:rsidRPr="00E303AD">
        <w:rPr>
          <w:rFonts w:eastAsia="Calibri"/>
          <w:rtl/>
        </w:rPr>
        <w:t xml:space="preserve"> </w:t>
      </w:r>
      <w:r w:rsidRPr="00E303AD">
        <w:rPr>
          <w:rFonts w:eastAsia="Calibri" w:hint="cs"/>
          <w:rtl/>
        </w:rPr>
        <w:t>המלווה ב</w:t>
      </w:r>
      <w:r w:rsidRPr="00E303AD">
        <w:rPr>
          <w:rFonts w:eastAsia="Calibri"/>
          <w:rtl/>
        </w:rPr>
        <w:t xml:space="preserve">סנקציות נרחבות. הירידה בדירוג </w:t>
      </w:r>
      <w:r w:rsidRPr="00E303AD">
        <w:rPr>
          <w:rFonts w:eastAsia="Calibri" w:hint="cs"/>
          <w:rtl/>
        </w:rPr>
        <w:t>נומקה בדוח</w:t>
      </w:r>
      <w:r w:rsidRPr="00E303AD">
        <w:rPr>
          <w:rFonts w:eastAsia="Calibri"/>
          <w:rtl/>
        </w:rPr>
        <w:t xml:space="preserve">, בין היתר, </w:t>
      </w:r>
      <w:r w:rsidRPr="00E303AD">
        <w:rPr>
          <w:rFonts w:eastAsia="Calibri" w:hint="cs"/>
          <w:rtl/>
        </w:rPr>
        <w:t xml:space="preserve">בהפחתה של </w:t>
      </w:r>
      <w:r w:rsidRPr="00E303AD">
        <w:rPr>
          <w:rFonts w:eastAsia="Calibri"/>
          <w:rtl/>
        </w:rPr>
        <w:t>מספר החקירות, כתבי האישום וההרשעות בתחום הסחר בבני אדם</w:t>
      </w:r>
      <w:r>
        <w:rPr>
          <w:rFonts w:eastAsia="Calibri"/>
          <w:vertAlign w:val="superscript"/>
          <w:rtl/>
        </w:rPr>
        <w:footnoteReference w:id="21"/>
      </w:r>
      <w:r w:rsidRPr="00E303AD">
        <w:rPr>
          <w:rFonts w:eastAsia="Calibri" w:hint="cs"/>
          <w:rtl/>
        </w:rPr>
        <w:t>;</w:t>
      </w:r>
      <w:r w:rsidRPr="00E303AD">
        <w:rPr>
          <w:rFonts w:eastAsia="Calibri"/>
          <w:rtl/>
        </w:rPr>
        <w:t xml:space="preserve"> </w:t>
      </w:r>
      <w:r w:rsidRPr="00E303AD">
        <w:rPr>
          <w:rFonts w:eastAsia="Calibri" w:hint="cs"/>
          <w:rtl/>
        </w:rPr>
        <w:t>ב</w:t>
      </w:r>
      <w:r w:rsidRPr="00E303AD">
        <w:rPr>
          <w:rFonts w:eastAsia="Calibri"/>
          <w:rtl/>
        </w:rPr>
        <w:t xml:space="preserve">עיכובים ממושכים בזיהוי קורבנות ולעיתים אף </w:t>
      </w:r>
      <w:r w:rsidRPr="00E303AD">
        <w:rPr>
          <w:rFonts w:eastAsia="Calibri" w:hint="cs"/>
          <w:rtl/>
        </w:rPr>
        <w:t>ב</w:t>
      </w:r>
      <w:r w:rsidRPr="00E303AD">
        <w:rPr>
          <w:rFonts w:eastAsia="Calibri"/>
          <w:rtl/>
        </w:rPr>
        <w:t>פגיעה חוזרת בהם</w:t>
      </w:r>
      <w:r w:rsidRPr="00E303AD">
        <w:rPr>
          <w:rFonts w:eastAsia="Calibri" w:hint="cs"/>
          <w:rtl/>
        </w:rPr>
        <w:t>;</w:t>
      </w:r>
      <w:r w:rsidRPr="00E303AD">
        <w:rPr>
          <w:rFonts w:eastAsia="Calibri"/>
          <w:rtl/>
        </w:rPr>
        <w:t xml:space="preserve"> </w:t>
      </w:r>
      <w:r w:rsidRPr="00E303AD">
        <w:rPr>
          <w:rFonts w:eastAsia="Calibri" w:hint="cs"/>
          <w:rtl/>
        </w:rPr>
        <w:t>ב</w:t>
      </w:r>
      <w:r w:rsidRPr="00E303AD">
        <w:rPr>
          <w:rFonts w:eastAsia="Calibri"/>
          <w:rtl/>
        </w:rPr>
        <w:t xml:space="preserve">היחלשות פעילות </w:t>
      </w:r>
      <w:r w:rsidRPr="00E303AD">
        <w:rPr>
          <w:rFonts w:eastAsia="Calibri" w:hint="cs"/>
          <w:rtl/>
        </w:rPr>
        <w:t>חוליית סחר בבני אדם,</w:t>
      </w:r>
      <w:r w:rsidRPr="00E303AD">
        <w:rPr>
          <w:rFonts w:eastAsia="Calibri"/>
          <w:rtl/>
        </w:rPr>
        <w:t xml:space="preserve"> </w:t>
      </w:r>
      <w:r w:rsidRPr="00E303AD">
        <w:rPr>
          <w:rFonts w:eastAsia="Calibri" w:hint="cs"/>
          <w:rtl/>
        </w:rPr>
        <w:t>אשר במשך מרבית</w:t>
      </w:r>
      <w:r w:rsidRPr="00E303AD">
        <w:rPr>
          <w:rFonts w:eastAsia="Calibri"/>
          <w:rtl/>
        </w:rPr>
        <w:t xml:space="preserve"> </w:t>
      </w:r>
      <w:r w:rsidRPr="00E303AD">
        <w:rPr>
          <w:rFonts w:eastAsia="Calibri" w:hint="cs"/>
          <w:rtl/>
        </w:rPr>
        <w:t>שנת 2020 אוישה</w:t>
      </w:r>
      <w:r w:rsidRPr="00E303AD">
        <w:rPr>
          <w:rFonts w:eastAsia="Calibri"/>
          <w:rtl/>
        </w:rPr>
        <w:t xml:space="preserve"> בקצי</w:t>
      </w:r>
      <w:r w:rsidRPr="00E303AD">
        <w:rPr>
          <w:rFonts w:eastAsia="Calibri" w:hint="cs"/>
          <w:rtl/>
        </w:rPr>
        <w:t>נה</w:t>
      </w:r>
      <w:r w:rsidRPr="00E303AD">
        <w:rPr>
          <w:rFonts w:eastAsia="Calibri"/>
          <w:rtl/>
        </w:rPr>
        <w:t xml:space="preserve"> אח</w:t>
      </w:r>
      <w:r w:rsidRPr="00E303AD">
        <w:rPr>
          <w:rFonts w:eastAsia="Calibri" w:hint="cs"/>
          <w:rtl/>
        </w:rPr>
        <w:t>ת</w:t>
      </w:r>
      <w:r w:rsidRPr="00E303AD">
        <w:rPr>
          <w:rFonts w:eastAsia="Calibri"/>
          <w:rtl/>
        </w:rPr>
        <w:t xml:space="preserve"> בלבד</w:t>
      </w:r>
      <w:r w:rsidRPr="00E303AD">
        <w:rPr>
          <w:rFonts w:eastAsia="Calibri" w:hint="cs"/>
          <w:rtl/>
        </w:rPr>
        <w:t xml:space="preserve">; </w:t>
      </w:r>
      <w:r w:rsidRPr="00E303AD">
        <w:rPr>
          <w:rFonts w:eastAsia="Calibri"/>
          <w:rtl/>
        </w:rPr>
        <w:t>ו</w:t>
      </w:r>
      <w:r w:rsidRPr="00E303AD">
        <w:rPr>
          <w:rFonts w:eastAsia="Calibri" w:hint="cs"/>
          <w:rtl/>
        </w:rPr>
        <w:t>ב</w:t>
      </w:r>
      <w:r w:rsidRPr="00E303AD">
        <w:rPr>
          <w:rFonts w:eastAsia="Calibri"/>
          <w:rtl/>
        </w:rPr>
        <w:t>מדיניות</w:t>
      </w:r>
      <w:r w:rsidRPr="00E303AD">
        <w:rPr>
          <w:rFonts w:eastAsia="Calibri" w:hint="cs"/>
          <w:rtl/>
        </w:rPr>
        <w:t xml:space="preserve"> לקויה</w:t>
      </w:r>
      <w:r w:rsidRPr="00E303AD">
        <w:rPr>
          <w:rFonts w:eastAsia="Calibri"/>
          <w:rtl/>
        </w:rPr>
        <w:t xml:space="preserve"> כלפי עובדים זרים</w:t>
      </w:r>
      <w:r w:rsidRPr="00E303AD">
        <w:rPr>
          <w:rFonts w:eastAsia="Calibri" w:hint="cs"/>
          <w:rtl/>
        </w:rPr>
        <w:t>,</w:t>
      </w:r>
      <w:r w:rsidRPr="00E303AD">
        <w:rPr>
          <w:rFonts w:eastAsia="Calibri"/>
          <w:rtl/>
        </w:rPr>
        <w:t xml:space="preserve"> </w:t>
      </w:r>
      <w:r w:rsidRPr="00E303AD">
        <w:rPr>
          <w:rFonts w:eastAsia="Calibri" w:hint="cs"/>
          <w:rtl/>
        </w:rPr>
        <w:t>ש</w:t>
      </w:r>
      <w:r w:rsidRPr="00E303AD">
        <w:rPr>
          <w:rFonts w:eastAsia="Calibri"/>
          <w:rtl/>
        </w:rPr>
        <w:t>הגבירה את פגיעותם לניצול ולסחר</w:t>
      </w:r>
      <w:r>
        <w:rPr>
          <w:rFonts w:eastAsia="Calibri"/>
          <w:vertAlign w:val="superscript"/>
          <w:rtl/>
        </w:rPr>
        <w:footnoteReference w:id="22"/>
      </w:r>
      <w:r w:rsidRPr="00E303AD">
        <w:rPr>
          <w:rFonts w:eastAsia="Calibri"/>
          <w:rtl/>
        </w:rPr>
        <w:t xml:space="preserve">. </w:t>
      </w:r>
      <w:r w:rsidRPr="00E303AD">
        <w:rPr>
          <w:rFonts w:eastAsia="Calibri" w:hint="cs"/>
          <w:rtl/>
        </w:rPr>
        <w:t>נכון למועד הביקורת, ביולי 2025, ישראל עדיין מדורגת בדירוג הביניים (</w:t>
      </w:r>
      <w:r w:rsidRPr="00E303AD">
        <w:rPr>
          <w:rFonts w:eastAsia="Calibri" w:hint="cs"/>
          <w:sz w:val="24"/>
          <w:szCs w:val="32"/>
        </w:rPr>
        <w:t>T</w:t>
      </w:r>
      <w:r w:rsidRPr="00E303AD">
        <w:rPr>
          <w:rFonts w:eastAsia="Calibri"/>
          <w:sz w:val="24"/>
          <w:szCs w:val="32"/>
        </w:rPr>
        <w:t>ier 2</w:t>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הירידה בדירוג הובילה לקבלתה של החלטת הממשלה 1862 בשנת 2022 (להלן - החלטת הממשלה 1862), אשר העניקה את סמכות ההכרה בקורבנות סחר בבני אדם למנהלת יחידת התיאום (להלן - המתאמת),</w:t>
      </w:r>
      <w:r w:rsidRPr="00E303AD">
        <w:rPr>
          <w:rFonts w:eastAsia="Calibri"/>
          <w:rtl/>
        </w:rPr>
        <w:t xml:space="preserve"> תוך היוועצות עם ועדה מייעצת</w:t>
      </w:r>
      <w:r w:rsidRPr="00E303AD">
        <w:rPr>
          <w:rFonts w:eastAsia="Calibri" w:hint="cs"/>
          <w:rtl/>
        </w:rPr>
        <w:t xml:space="preserve"> הכוללת</w:t>
      </w:r>
      <w:r w:rsidRPr="00E303AD">
        <w:rPr>
          <w:rFonts w:eastAsia="Calibri"/>
          <w:rtl/>
        </w:rPr>
        <w:t xml:space="preserve"> נציגי</w:t>
      </w:r>
      <w:r w:rsidRPr="00E303AD">
        <w:rPr>
          <w:rFonts w:eastAsia="Calibri" w:hint="cs"/>
          <w:rtl/>
        </w:rPr>
        <w:t>ם</w:t>
      </w:r>
      <w:r w:rsidRPr="00E303AD">
        <w:rPr>
          <w:rFonts w:eastAsia="Calibri"/>
          <w:rtl/>
        </w:rPr>
        <w:t xml:space="preserve"> </w:t>
      </w:r>
      <w:r w:rsidRPr="00E303AD">
        <w:rPr>
          <w:rFonts w:eastAsia="Calibri" w:hint="cs"/>
          <w:rtl/>
        </w:rPr>
        <w:t>מ</w:t>
      </w:r>
      <w:r w:rsidRPr="00E303AD">
        <w:rPr>
          <w:rFonts w:eastAsia="Calibri"/>
          <w:rtl/>
        </w:rPr>
        <w:t xml:space="preserve">משרדי ממשלה </w:t>
      </w:r>
      <w:r w:rsidRPr="00E303AD">
        <w:rPr>
          <w:rFonts w:eastAsia="Calibri" w:hint="cs"/>
          <w:rtl/>
        </w:rPr>
        <w:t>ומ</w:t>
      </w:r>
      <w:r w:rsidRPr="00E303AD">
        <w:rPr>
          <w:rFonts w:eastAsia="Calibri"/>
          <w:rtl/>
        </w:rPr>
        <w:t xml:space="preserve">ארגוני חברה אזרחית </w:t>
      </w:r>
      <w:r w:rsidRPr="00E303AD">
        <w:rPr>
          <w:rFonts w:eastAsia="Calibri" w:hint="cs"/>
          <w:rtl/>
        </w:rPr>
        <w:t>וכן מי</w:t>
      </w:r>
      <w:r w:rsidRPr="00E303AD">
        <w:rPr>
          <w:rFonts w:eastAsia="Calibri"/>
          <w:rtl/>
        </w:rPr>
        <w:t xml:space="preserve"> שהוכר</w:t>
      </w:r>
      <w:r w:rsidRPr="00E303AD">
        <w:rPr>
          <w:rFonts w:eastAsia="Calibri" w:hint="cs"/>
          <w:rtl/>
        </w:rPr>
        <w:t>ה</w:t>
      </w:r>
      <w:r w:rsidRPr="00E303AD">
        <w:rPr>
          <w:rFonts w:eastAsia="Calibri"/>
          <w:rtl/>
        </w:rPr>
        <w:t xml:space="preserve"> בעבר כקורבן עבירות סחר בבני אדם</w:t>
      </w:r>
      <w:r w:rsidRPr="00E303AD">
        <w:rPr>
          <w:rFonts w:eastAsia="Calibri" w:hint="cs"/>
          <w:rtl/>
        </w:rPr>
        <w:t xml:space="preserve"> (להלן - הוועדה המייעצת).</w:t>
      </w:r>
      <w:r w:rsidRPr="00E303AD">
        <w:rPr>
          <w:rFonts w:eastAsia="Calibri"/>
          <w:rtl/>
        </w:rPr>
        <w:t xml:space="preserve"> סמכות ההכרה בקורבנות סחר בבני אדם </w:t>
      </w:r>
      <w:r w:rsidRPr="00E303AD">
        <w:rPr>
          <w:rFonts w:eastAsia="Calibri" w:hint="cs"/>
          <w:rtl/>
        </w:rPr>
        <w:t>הו</w:t>
      </w:r>
      <w:r w:rsidRPr="00E303AD">
        <w:rPr>
          <w:rFonts w:eastAsia="Calibri"/>
          <w:rtl/>
        </w:rPr>
        <w:t>עברה מהמשטרה למתאמת בינואר 2024</w:t>
      </w:r>
      <w:r w:rsidRPr="00E303AD">
        <w:rPr>
          <w:rFonts w:eastAsia="Calibri" w:hint="cs"/>
          <w:rtl/>
        </w:rPr>
        <w:t>,</w:t>
      </w:r>
      <w:r w:rsidRPr="00E303AD">
        <w:rPr>
          <w:rFonts w:eastAsia="Calibri"/>
          <w:rtl/>
        </w:rPr>
        <w:t xml:space="preserve"> עם פרסום הנוהל המסדיר את מנגנון ההכרה</w:t>
      </w:r>
      <w:r w:rsidRPr="00E303AD">
        <w:rPr>
          <w:rFonts w:eastAsia="Calibri" w:hint="cs"/>
          <w:rtl/>
        </w:rPr>
        <w:t>.</w:t>
      </w:r>
      <w:r w:rsidRPr="00E303AD">
        <w:rPr>
          <w:rFonts w:eastAsia="Calibri"/>
          <w:rtl/>
        </w:rPr>
        <w:t xml:space="preserve"> </w:t>
      </w:r>
      <w:r w:rsidRPr="00E303AD">
        <w:rPr>
          <w:rFonts w:eastAsia="Calibri" w:hint="cs"/>
          <w:rtl/>
        </w:rPr>
        <w:t>ההחלטה כללה גם תוכנית יישום לאומית רב-שנתית למאבק בסחר בבני אדם</w:t>
      </w:r>
      <w:r>
        <w:rPr>
          <w:rFonts w:eastAsia="Calibri"/>
          <w:vertAlign w:val="superscript"/>
          <w:rtl/>
        </w:rPr>
        <w:footnoteReference w:id="23"/>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szCs w:val="20"/>
          <w:rtl/>
        </w:rPr>
        <w:br w:type="page"/>
      </w:r>
    </w:p>
    <w:p w:rsidR="00E303AD" w:rsidRPr="00E303AD" w:rsidP="00E303AD">
      <w:pPr>
        <w:spacing w:line="269" w:lineRule="auto"/>
        <w:jc w:val="center"/>
        <w:rPr>
          <w:rFonts w:eastAsia="Calibri"/>
          <w:b/>
          <w:bCs/>
          <w:rtl/>
        </w:rPr>
      </w:pPr>
      <w:bookmarkStart w:id="18" w:name="_Hlk209945732"/>
      <w:r w:rsidRPr="00E303AD">
        <w:rPr>
          <w:rFonts w:eastAsia="Calibri" w:hint="cs"/>
          <w:rtl/>
        </w:rPr>
        <w:t>תרשים 1:</w:t>
      </w:r>
      <w:r w:rsidRPr="00E303AD">
        <w:rPr>
          <w:rFonts w:eastAsia="Calibri" w:hint="cs"/>
          <w:b/>
          <w:bCs/>
          <w:rtl/>
        </w:rPr>
        <w:t xml:space="preserve"> </w:t>
      </w:r>
      <w:r w:rsidRPr="00E303AD">
        <w:rPr>
          <w:rFonts w:eastAsia="Calibri"/>
          <w:b/>
          <w:bCs/>
          <w:rtl/>
        </w:rPr>
        <w:t xml:space="preserve">תיקוני </w:t>
      </w:r>
      <w:r w:rsidRPr="00E303AD">
        <w:rPr>
          <w:rFonts w:eastAsia="Calibri" w:hint="cs"/>
          <w:b/>
          <w:bCs/>
          <w:rtl/>
        </w:rPr>
        <w:t>ה</w:t>
      </w:r>
      <w:r w:rsidRPr="00E303AD">
        <w:rPr>
          <w:rFonts w:eastAsia="Calibri"/>
          <w:b/>
          <w:bCs/>
          <w:rtl/>
        </w:rPr>
        <w:t>חקיקה ו</w:t>
      </w:r>
      <w:r w:rsidRPr="00E303AD">
        <w:rPr>
          <w:rFonts w:eastAsia="Calibri" w:hint="cs"/>
          <w:b/>
          <w:bCs/>
          <w:rtl/>
        </w:rPr>
        <w:t>פעולות ממשלת ישראל בנושא המאבק בסחר בבני אדם ובתופעת הזנות, 2000 - 2025</w:t>
      </w:r>
    </w:p>
    <w:p w:rsidR="00E303AD" w:rsidRPr="00E303AD" w:rsidP="00E303AD">
      <w:pPr>
        <w:spacing w:line="269" w:lineRule="auto"/>
        <w:jc w:val="center"/>
        <w:rPr>
          <w:rFonts w:eastAsia="Calibri"/>
          <w:szCs w:val="20"/>
          <w:rtl/>
        </w:rPr>
      </w:pPr>
      <w:r w:rsidRPr="00E303AD">
        <w:rPr>
          <w:rFonts w:eastAsia="Calibri"/>
          <w:noProof/>
        </w:rPr>
        <w:drawing>
          <wp:inline distT="0" distB="0" distL="0" distR="0">
            <wp:extent cx="5110370" cy="5762625"/>
            <wp:effectExtent l="0" t="0" r="0" b="0"/>
            <wp:docPr id="27" name="תמונה 27" descr="התרשים מציג ציר זמן המתאר את התפתחות המאבק בסחר בבני אדם ובזנות בישראל בין השנים 2000 ל-2025. ציר הזמן מציג 14 אירועים מרכזיים, כל אחד מסומן עם השנה שבה התרחש ותיאור קצר של הפעולה שננקטה.&#10;&#10;להלן פירוט האירועים לפי סדר כרונולוגי:&#10;2000 - תיקון חוק העונשין: הוספת ס' 203א - איסור על סחר בבני אדם למטרות זנות; עונש של עד 16 שנות מאסר.&#10;2002 - החלטת הממשלה 2806 בדבר הקמת מקלטים לקורבנות סחר: 2002 - מקלט לנשים, 2007 - מקלט לגברים.&#10;2004 - הסדרת הסיוע המשפטי לקורבנות הסחר בבני אדם.&#10;2006 - הרחבת הגדרת סחר בבני אדם והטלת חובת פיצויים וחילוט בחוק העונשין; החלטת הממשלה 63 - הקמת יחידת התיאום וועדת מנכ&quot;לים.&#10;2007 - החלטת הממשלה 2670 בדבר תוכנית לאומית כוללת למאבק בסחר בבני אדם.&#10;2008 - אשרור פרוטוקול פלרמו.&#10;2009 - תקנות העונשין (דרכי הנהלת הקרן הייעודית לטיפול ברכוש שחולט ובקנסות שהוטלו בתיקי סחר בבני אדם והחזקה בתנאי עבדות).&#10;2011 - תיקון והרחבת האיסור על פרסום שירותי זנות.&#10;2016 - החמרת ענישה בעניין צריכת זנות מקטין והפיכתה לעבירת פשע.&#10;2018 - חקיקת האיסור על פרסום הצעות לעיסוק בזנות.&#10;2019 - חקיקה של חוק איסור צריכת זנות; החלטת הממשלה 4462 המורה על יישום המלצות הצוות הבין-משרדי לצמצום צריכת הזנות.&#10;2020 -התקנת תקנות איסור צריכת זנות (אמצעי חלופי להטלת קנס).&#10;2021 - הצטרפות לאמנת מועצת אירופה.&#10;2022 - החלטת הממשלה 1862: העברת הסמכות לזיהוי קורבנות סחר ליחידת התיאום ואימוץ תוכנית יישום 2022–2026.&#10;2025 - הארכת הוראת השעה לאיסור צריכת זנות בחמש שנים.&#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7"/>
                    <a:srcRect b="2848"/>
                    <a:stretch>
                      <a:fillRect/>
                    </a:stretch>
                  </pic:blipFill>
                  <pic:spPr bwMode="auto">
                    <a:xfrm>
                      <a:off x="0" y="0"/>
                      <a:ext cx="5112531" cy="576506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303AD" w:rsidRPr="00E303AD" w:rsidP="00E303AD">
      <w:pPr>
        <w:spacing w:line="269" w:lineRule="auto"/>
        <w:jc w:val="left"/>
        <w:rPr>
          <w:rFonts w:eastAsia="Calibri"/>
          <w:b/>
          <w:bCs/>
          <w:rtl/>
        </w:rPr>
      </w:pPr>
      <w:r w:rsidRPr="00E303AD">
        <w:rPr>
          <w:rFonts w:eastAsia="Calibri" w:hint="cs"/>
          <w:szCs w:val="20"/>
          <w:rtl/>
        </w:rPr>
        <w:t>לפי אתר יחידת התיאום, בעיבוד משרד מבקר המדינה</w:t>
      </w:r>
      <w:r>
        <w:rPr>
          <w:rFonts w:eastAsia="Calibri"/>
          <w:szCs w:val="20"/>
          <w:vertAlign w:val="superscript"/>
          <w:rtl/>
        </w:rPr>
        <w:footnoteReference w:id="24"/>
      </w:r>
      <w:r w:rsidRPr="00E303AD">
        <w:rPr>
          <w:rFonts w:eastAsia="Calibri" w:hint="cs"/>
          <w:szCs w:val="20"/>
          <w:rtl/>
        </w:rPr>
        <w:t>.</w:t>
      </w:r>
    </w:p>
    <w:bookmarkEnd w:id="18"/>
    <w:p w:rsidR="00E303AD" w:rsidRPr="00E303AD" w:rsidP="00E303AD">
      <w:pPr>
        <w:spacing w:line="269" w:lineRule="auto"/>
        <w:rPr>
          <w:rFonts w:eastAsia="Calibri"/>
          <w:rtl/>
        </w:rPr>
      </w:pPr>
    </w:p>
    <w:p w:rsidR="00E303AD" w:rsidRPr="00E303AD" w:rsidP="00E303AD">
      <w:pPr>
        <w:spacing w:line="269" w:lineRule="auto"/>
        <w:rPr>
          <w:rFonts w:eastAsia="Calibri"/>
          <w:rtl/>
        </w:rPr>
      </w:pPr>
      <w:r w:rsidRPr="00E303AD">
        <w:rPr>
          <w:rFonts w:eastAsia="Calibri" w:hint="cs"/>
          <w:rtl/>
        </w:rPr>
        <w:t xml:space="preserve">בחלק מדוחות מחלקת המדינה האמריקאית שפורסמו במשך השנים </w:t>
      </w:r>
      <w:r w:rsidRPr="00E303AD">
        <w:rPr>
          <w:rFonts w:eastAsia="Calibri"/>
          <w:rtl/>
        </w:rPr>
        <w:t>צוי</w:t>
      </w:r>
      <w:r w:rsidRPr="00E303AD">
        <w:rPr>
          <w:rFonts w:eastAsia="Calibri" w:hint="cs"/>
          <w:rtl/>
        </w:rPr>
        <w:t>נו</w:t>
      </w:r>
      <w:r w:rsidRPr="00E303AD">
        <w:rPr>
          <w:rFonts w:eastAsia="Calibri"/>
          <w:rtl/>
        </w:rPr>
        <w:t xml:space="preserve"> לחיוב </w:t>
      </w:r>
      <w:r w:rsidRPr="00E303AD">
        <w:rPr>
          <w:rFonts w:eastAsia="Calibri" w:hint="cs"/>
          <w:rtl/>
        </w:rPr>
        <w:t>חלק מה</w:t>
      </w:r>
      <w:r w:rsidRPr="00E303AD">
        <w:rPr>
          <w:rFonts w:eastAsia="Calibri"/>
          <w:rtl/>
        </w:rPr>
        <w:t>צעדים</w:t>
      </w:r>
      <w:r w:rsidRPr="00E303AD">
        <w:rPr>
          <w:rFonts w:eastAsia="Calibri" w:hint="cs"/>
          <w:rtl/>
        </w:rPr>
        <w:t xml:space="preserve"> הננקטים</w:t>
      </w:r>
      <w:r w:rsidRPr="00E303AD">
        <w:rPr>
          <w:rFonts w:eastAsia="Calibri"/>
          <w:rtl/>
        </w:rPr>
        <w:t xml:space="preserve"> </w:t>
      </w:r>
      <w:r w:rsidRPr="00E303AD">
        <w:rPr>
          <w:rFonts w:eastAsia="Calibri" w:hint="cs"/>
          <w:rtl/>
        </w:rPr>
        <w:t xml:space="preserve">בישראל </w:t>
      </w:r>
      <w:r w:rsidRPr="00E303AD">
        <w:rPr>
          <w:rFonts w:eastAsia="Calibri"/>
          <w:rtl/>
        </w:rPr>
        <w:t xml:space="preserve">לצמצום תופעת הזנות במרחב הציבורי, ובהם סגירת בתי בושת, כחלק ממאמץ כולל להפחתת הביקוש המוביל לסחר בנשים לישראל. </w:t>
      </w:r>
      <w:r w:rsidRPr="00E303AD">
        <w:rPr>
          <w:rFonts w:eastAsia="Calibri" w:hint="cs"/>
          <w:rtl/>
        </w:rPr>
        <w:t>עם</w:t>
      </w:r>
      <w:r w:rsidRPr="00E303AD">
        <w:rPr>
          <w:rFonts w:eastAsia="Calibri"/>
          <w:rtl/>
        </w:rPr>
        <w:t xml:space="preserve"> הצעדים שזכו להערכה נמ</w:t>
      </w:r>
      <w:r w:rsidRPr="00E303AD">
        <w:rPr>
          <w:rFonts w:eastAsia="Calibri" w:hint="cs"/>
          <w:rtl/>
        </w:rPr>
        <w:t xml:space="preserve">נו גם הפעולות שבוצעו במסגרת אכיפת </w:t>
      </w:r>
      <w:r w:rsidRPr="00E303AD">
        <w:rPr>
          <w:rFonts w:eastAsia="Calibri"/>
          <w:rtl/>
        </w:rPr>
        <w:t>חוק איסור צריכת זנות</w:t>
      </w:r>
      <w:r w:rsidRPr="00E303AD">
        <w:rPr>
          <w:rFonts w:eastAsia="Calibri" w:hint="cs"/>
          <w:rtl/>
        </w:rPr>
        <w:t xml:space="preserve"> (הוראת שעה ותיקון חקיקה), התשע"ט-2019 (להלן - חוק איסור צריכת זנות או החוק)</w:t>
      </w:r>
      <w:r>
        <w:rPr>
          <w:rFonts w:eastAsia="Calibri"/>
          <w:vertAlign w:val="superscript"/>
          <w:rtl/>
        </w:rPr>
        <w:footnoteReference w:id="25"/>
      </w:r>
      <w:r w:rsidRPr="00E303AD">
        <w:rPr>
          <w:rFonts w:eastAsia="Calibri" w:hint="cs"/>
          <w:rtl/>
        </w:rPr>
        <w:t>, כפי שיפורט בהמשך.</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אשר לתופעת הזנות עצמה, במשך השנים </w:t>
      </w:r>
      <w:r w:rsidRPr="00E303AD">
        <w:rPr>
          <w:rFonts w:eastAsia="Calibri"/>
          <w:rtl/>
        </w:rPr>
        <w:t xml:space="preserve">חוק העונשין אסר </w:t>
      </w:r>
      <w:r w:rsidRPr="00E303AD">
        <w:rPr>
          <w:rFonts w:eastAsia="Calibri" w:hint="cs"/>
          <w:rtl/>
        </w:rPr>
        <w:t xml:space="preserve">לבצע </w:t>
      </w:r>
      <w:r w:rsidRPr="00E303AD">
        <w:rPr>
          <w:rFonts w:eastAsia="Calibri"/>
          <w:rtl/>
        </w:rPr>
        <w:t xml:space="preserve">פעילויות נלוות לזנות ובהן סרסרות, החזקת מקום לשם זנות, </w:t>
      </w:r>
      <w:r w:rsidRPr="00E303AD">
        <w:rPr>
          <w:rFonts w:eastAsia="Calibri" w:hint="cs"/>
          <w:rtl/>
        </w:rPr>
        <w:t>הבאת אדם לידי מעשה זנות או עיסוק בזנות, ניצול קטינים לזנות</w:t>
      </w:r>
      <w:r>
        <w:rPr>
          <w:rFonts w:eastAsia="Calibri"/>
          <w:vertAlign w:val="superscript"/>
          <w:rtl/>
        </w:rPr>
        <w:footnoteReference w:id="26"/>
      </w:r>
      <w:r w:rsidRPr="00E303AD">
        <w:rPr>
          <w:rFonts w:eastAsia="Calibri" w:hint="cs"/>
          <w:rtl/>
        </w:rPr>
        <w:t xml:space="preserve">. עם זאת, </w:t>
      </w:r>
      <w:r w:rsidRPr="00E303AD">
        <w:rPr>
          <w:rFonts w:eastAsia="Calibri"/>
          <w:rtl/>
        </w:rPr>
        <w:t xml:space="preserve">עצם צריכת שירותי זנות </w:t>
      </w:r>
      <w:r w:rsidRPr="00E303AD">
        <w:rPr>
          <w:rFonts w:eastAsia="Calibri" w:hint="cs"/>
          <w:rtl/>
        </w:rPr>
        <w:t>מ</w:t>
      </w:r>
      <w:r w:rsidRPr="00E303AD">
        <w:rPr>
          <w:rFonts w:eastAsia="Calibri"/>
          <w:rtl/>
        </w:rPr>
        <w:t>בגירים לא נאסרה</w:t>
      </w:r>
      <w:r w:rsidRPr="00E303AD">
        <w:rPr>
          <w:rFonts w:eastAsia="Calibri"/>
        </w:rPr>
        <w:t>.</w:t>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 xml:space="preserve">בשנת 2016 </w:t>
      </w:r>
      <w:r w:rsidRPr="00E303AD">
        <w:rPr>
          <w:rFonts w:eastAsia="Calibri" w:hint="cs"/>
          <w:rtl/>
        </w:rPr>
        <w:t>הקימה שרת המשפטים</w:t>
      </w:r>
      <w:r w:rsidRPr="00E303AD">
        <w:rPr>
          <w:rFonts w:eastAsia="Calibri"/>
          <w:rtl/>
        </w:rPr>
        <w:t xml:space="preserve"> </w:t>
      </w:r>
      <w:r w:rsidRPr="00E303AD">
        <w:rPr>
          <w:rFonts w:eastAsia="Calibri" w:hint="cs"/>
          <w:rtl/>
        </w:rPr>
        <w:t xml:space="preserve">דאז </w:t>
      </w:r>
      <w:r w:rsidRPr="00E303AD">
        <w:rPr>
          <w:rFonts w:eastAsia="Calibri"/>
          <w:rtl/>
        </w:rPr>
        <w:t>צוות בין</w:t>
      </w:r>
      <w:r w:rsidRPr="00E303AD">
        <w:rPr>
          <w:rFonts w:eastAsia="Calibri" w:hint="cs"/>
          <w:rtl/>
        </w:rPr>
        <w:t>-</w:t>
      </w:r>
      <w:r w:rsidRPr="00E303AD">
        <w:rPr>
          <w:rFonts w:eastAsia="Calibri"/>
          <w:rtl/>
        </w:rPr>
        <w:t xml:space="preserve">משרדי בראשות משרד המשפטים, בהשתתפות </w:t>
      </w:r>
      <w:r w:rsidRPr="00E303AD">
        <w:rPr>
          <w:rFonts w:eastAsia="Calibri" w:hint="cs"/>
          <w:rtl/>
        </w:rPr>
        <w:t>נציגים מהמשטרה</w:t>
      </w:r>
      <w:r w:rsidRPr="00E303AD">
        <w:rPr>
          <w:rFonts w:eastAsia="Calibri"/>
          <w:rtl/>
        </w:rPr>
        <w:t xml:space="preserve">, </w:t>
      </w:r>
      <w:r w:rsidRPr="00E303AD">
        <w:rPr>
          <w:rFonts w:eastAsia="Calibri" w:hint="cs"/>
          <w:rtl/>
        </w:rPr>
        <w:t>מ</w:t>
      </w:r>
      <w:r w:rsidRPr="00E303AD">
        <w:rPr>
          <w:rFonts w:eastAsia="Calibri"/>
          <w:rtl/>
        </w:rPr>
        <w:t xml:space="preserve">המשרד לביטחון לאומי, </w:t>
      </w:r>
      <w:r w:rsidRPr="00E303AD">
        <w:rPr>
          <w:rFonts w:eastAsia="Calibri" w:hint="cs"/>
          <w:rtl/>
        </w:rPr>
        <w:t>מ</w:t>
      </w:r>
      <w:r w:rsidRPr="00E303AD">
        <w:rPr>
          <w:rFonts w:eastAsia="Calibri"/>
          <w:rtl/>
        </w:rPr>
        <w:t>משרד הרווחה והביטחון החברתי</w:t>
      </w:r>
      <w:r w:rsidRPr="00E303AD">
        <w:rPr>
          <w:rFonts w:eastAsia="Calibri" w:hint="cs"/>
          <w:rtl/>
        </w:rPr>
        <w:t xml:space="preserve"> (להלן - משרד הרווחה)</w:t>
      </w:r>
      <w:r w:rsidRPr="00E303AD">
        <w:rPr>
          <w:rFonts w:eastAsia="Calibri"/>
          <w:rtl/>
        </w:rPr>
        <w:t xml:space="preserve">, </w:t>
      </w:r>
      <w:r w:rsidRPr="00E303AD">
        <w:rPr>
          <w:rFonts w:eastAsia="Calibri" w:hint="cs"/>
          <w:rtl/>
        </w:rPr>
        <w:t>מ</w:t>
      </w:r>
      <w:r w:rsidRPr="00E303AD">
        <w:rPr>
          <w:rFonts w:eastAsia="Calibri"/>
          <w:rtl/>
        </w:rPr>
        <w:t xml:space="preserve">משרד הבריאות, </w:t>
      </w:r>
      <w:r w:rsidRPr="00E303AD">
        <w:rPr>
          <w:rFonts w:eastAsia="Calibri" w:hint="cs"/>
          <w:rtl/>
        </w:rPr>
        <w:t>מ</w:t>
      </w:r>
      <w:r w:rsidRPr="00E303AD">
        <w:rPr>
          <w:rFonts w:eastAsia="Calibri"/>
          <w:rtl/>
        </w:rPr>
        <w:t>משרד החינוך ו</w:t>
      </w:r>
      <w:r w:rsidRPr="00E303AD">
        <w:rPr>
          <w:rFonts w:eastAsia="Calibri" w:hint="cs"/>
          <w:rtl/>
        </w:rPr>
        <w:t>מ</w:t>
      </w:r>
      <w:r w:rsidRPr="00E303AD">
        <w:rPr>
          <w:rFonts w:eastAsia="Calibri"/>
          <w:rtl/>
        </w:rPr>
        <w:t>משרד האוצר</w:t>
      </w:r>
      <w:r w:rsidRPr="00E303AD">
        <w:rPr>
          <w:rFonts w:eastAsia="Calibri" w:hint="cs"/>
          <w:rtl/>
        </w:rPr>
        <w:t>, שנועד לבחון כלים לצמצום צריכת הזנות. הצוות סיכם את עבודתו בדוח משנת 2017</w:t>
      </w:r>
      <w:r>
        <w:rPr>
          <w:rFonts w:eastAsia="Calibri"/>
          <w:vertAlign w:val="superscript"/>
          <w:rtl/>
        </w:rPr>
        <w:footnoteReference w:id="27"/>
      </w:r>
      <w:r w:rsidRPr="00E303AD">
        <w:rPr>
          <w:rFonts w:eastAsia="Calibri"/>
          <w:rtl/>
        </w:rPr>
        <w:t>.</w:t>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 xml:space="preserve">בינואר 2019 </w:t>
      </w:r>
      <w:r w:rsidRPr="00E303AD">
        <w:rPr>
          <w:rFonts w:eastAsia="Calibri" w:hint="cs"/>
          <w:rtl/>
        </w:rPr>
        <w:t>התקבלה</w:t>
      </w:r>
      <w:r w:rsidRPr="00E303AD">
        <w:rPr>
          <w:rFonts w:eastAsia="Calibri"/>
          <w:rtl/>
        </w:rPr>
        <w:t xml:space="preserve"> החלט</w:t>
      </w:r>
      <w:r w:rsidRPr="00E303AD">
        <w:rPr>
          <w:rFonts w:eastAsia="Calibri" w:hint="cs"/>
          <w:rtl/>
        </w:rPr>
        <w:t>ת הממשלה</w:t>
      </w:r>
      <w:r w:rsidRPr="00E303AD">
        <w:rPr>
          <w:rFonts w:eastAsia="Calibri"/>
          <w:rtl/>
        </w:rPr>
        <w:t xml:space="preserve"> 4462</w:t>
      </w:r>
      <w:r>
        <w:rPr>
          <w:rFonts w:eastAsia="Calibri"/>
          <w:vertAlign w:val="superscript"/>
          <w:rtl/>
        </w:rPr>
        <w:footnoteReference w:id="28"/>
      </w:r>
      <w:r w:rsidRPr="00E303AD">
        <w:rPr>
          <w:rFonts w:eastAsia="Calibri"/>
          <w:rtl/>
        </w:rPr>
        <w:t xml:space="preserve">, </w:t>
      </w:r>
      <w:r w:rsidRPr="00E303AD">
        <w:rPr>
          <w:rFonts w:eastAsia="Calibri" w:hint="cs"/>
          <w:rtl/>
        </w:rPr>
        <w:t>ובה אושרו</w:t>
      </w:r>
      <w:r w:rsidRPr="00E303AD">
        <w:rPr>
          <w:rFonts w:eastAsia="Calibri"/>
          <w:rtl/>
        </w:rPr>
        <w:t xml:space="preserve"> עקרונות התוכנית הבין</w:t>
      </w:r>
      <w:r w:rsidRPr="00E303AD">
        <w:rPr>
          <w:rFonts w:eastAsia="Calibri" w:hint="cs"/>
          <w:rtl/>
        </w:rPr>
        <w:t>-</w:t>
      </w:r>
      <w:r w:rsidRPr="00E303AD">
        <w:rPr>
          <w:rFonts w:eastAsia="Calibri"/>
          <w:rtl/>
        </w:rPr>
        <w:t>משרדית לפיתוח ולהרחב</w:t>
      </w:r>
      <w:r w:rsidRPr="00E303AD">
        <w:rPr>
          <w:rFonts w:eastAsia="Calibri" w:hint="cs"/>
          <w:rtl/>
        </w:rPr>
        <w:t>ה של</w:t>
      </w:r>
      <w:r w:rsidRPr="00E303AD">
        <w:rPr>
          <w:rFonts w:eastAsia="Calibri"/>
          <w:rtl/>
        </w:rPr>
        <w:t xml:space="preserve"> שירותי סיוע ושיקום לאנשים </w:t>
      </w:r>
      <w:r w:rsidRPr="00E303AD">
        <w:rPr>
          <w:rFonts w:eastAsia="Calibri" w:hint="cs"/>
          <w:rtl/>
        </w:rPr>
        <w:t>הנמצאים במעגל ה</w:t>
      </w:r>
      <w:r w:rsidRPr="00E303AD">
        <w:rPr>
          <w:rFonts w:eastAsia="Calibri"/>
          <w:rtl/>
        </w:rPr>
        <w:t xml:space="preserve">זנות </w:t>
      </w:r>
      <w:r w:rsidRPr="00E303AD">
        <w:rPr>
          <w:rFonts w:eastAsia="Calibri" w:hint="cs"/>
          <w:rtl/>
        </w:rPr>
        <w:t>וניתנה ל</w:t>
      </w:r>
      <w:r w:rsidRPr="00E303AD">
        <w:rPr>
          <w:rFonts w:eastAsia="Calibri"/>
          <w:rtl/>
        </w:rPr>
        <w:t xml:space="preserve">משרד הרווחה </w:t>
      </w:r>
      <w:r w:rsidRPr="00E303AD">
        <w:rPr>
          <w:rFonts w:eastAsia="Calibri" w:hint="cs"/>
          <w:rtl/>
        </w:rPr>
        <w:t xml:space="preserve">הנחיה </w:t>
      </w:r>
      <w:r w:rsidRPr="00E303AD">
        <w:rPr>
          <w:rFonts w:eastAsia="Calibri"/>
          <w:rtl/>
        </w:rPr>
        <w:t xml:space="preserve">להקצות לצורך </w:t>
      </w:r>
      <w:r w:rsidRPr="00E303AD">
        <w:rPr>
          <w:rFonts w:eastAsia="Calibri" w:hint="cs"/>
          <w:rtl/>
        </w:rPr>
        <w:t>יישום התוכנית</w:t>
      </w:r>
      <w:r w:rsidRPr="00E303AD">
        <w:rPr>
          <w:rFonts w:eastAsia="Calibri"/>
          <w:rtl/>
        </w:rPr>
        <w:t xml:space="preserve"> תקציב שנתי </w:t>
      </w:r>
      <w:r w:rsidRPr="00E303AD">
        <w:rPr>
          <w:rFonts w:eastAsia="Calibri" w:hint="cs"/>
          <w:rtl/>
        </w:rPr>
        <w:t>בסך</w:t>
      </w:r>
      <w:r w:rsidRPr="00E303AD">
        <w:rPr>
          <w:rFonts w:eastAsia="Calibri"/>
          <w:rtl/>
        </w:rPr>
        <w:t xml:space="preserve"> 30 מיליון ש"ח</w:t>
      </w:r>
      <w:r w:rsidRPr="00E303AD">
        <w:rPr>
          <w:rFonts w:eastAsia="Calibri" w:hint="cs"/>
          <w:rtl/>
        </w:rPr>
        <w:t>, לשנים 2019 - 2021. עוד סוכם כי</w:t>
      </w:r>
      <w:r w:rsidRPr="00E303AD">
        <w:rPr>
          <w:rFonts w:eastAsia="Calibri"/>
          <w:rtl/>
        </w:rPr>
        <w:t xml:space="preserve"> צוות בין</w:t>
      </w:r>
      <w:r w:rsidRPr="00E303AD">
        <w:rPr>
          <w:rFonts w:eastAsia="Calibri" w:hint="cs"/>
          <w:rtl/>
        </w:rPr>
        <w:t>-</w:t>
      </w:r>
      <w:r w:rsidRPr="00E303AD">
        <w:rPr>
          <w:rFonts w:eastAsia="Calibri"/>
          <w:rtl/>
        </w:rPr>
        <w:t>משרדי לטיפול בתופעת הזנות, בראשות מנכ"ל</w:t>
      </w:r>
      <w:r w:rsidRPr="00E303AD">
        <w:rPr>
          <w:rFonts w:eastAsia="Calibri" w:hint="cs"/>
          <w:rtl/>
        </w:rPr>
        <w:t>ית</w:t>
      </w:r>
      <w:r w:rsidRPr="00E303AD">
        <w:rPr>
          <w:rFonts w:eastAsia="Calibri"/>
          <w:rtl/>
        </w:rPr>
        <w:t xml:space="preserve"> משרד המשפטים, יהיה אמון על גיבוש ת</w:t>
      </w:r>
      <w:r w:rsidRPr="00E303AD">
        <w:rPr>
          <w:rFonts w:eastAsia="Calibri" w:hint="cs"/>
          <w:rtl/>
        </w:rPr>
        <w:t>ו</w:t>
      </w:r>
      <w:r w:rsidRPr="00E303AD">
        <w:rPr>
          <w:rFonts w:eastAsia="Calibri"/>
          <w:rtl/>
        </w:rPr>
        <w:t>כנית שנתית ליישום מטרות החוק ולפיתוח מענים לאוכלוסיות בזנות</w:t>
      </w:r>
      <w:r w:rsidRPr="00E303AD">
        <w:rPr>
          <w:rFonts w:eastAsia="Calibri" w:hint="cs"/>
          <w:rtl/>
        </w:rPr>
        <w:t xml:space="preserve">. </w:t>
      </w:r>
      <w:r w:rsidRPr="00E303AD">
        <w:rPr>
          <w:rFonts w:eastAsia="Calibri"/>
          <w:rtl/>
        </w:rPr>
        <w:t>בשנת 2021</w:t>
      </w:r>
      <w:r w:rsidRPr="00E303AD">
        <w:rPr>
          <w:rFonts w:eastAsia="Calibri" w:hint="cs"/>
          <w:rtl/>
        </w:rPr>
        <w:t>,</w:t>
      </w:r>
      <w:r w:rsidRPr="00E303AD">
        <w:rPr>
          <w:rFonts w:eastAsia="Calibri"/>
          <w:rtl/>
        </w:rPr>
        <w:t xml:space="preserve"> עם </w:t>
      </w:r>
      <w:r w:rsidRPr="00E303AD">
        <w:rPr>
          <w:rFonts w:eastAsia="Calibri" w:hint="cs"/>
          <w:rtl/>
        </w:rPr>
        <w:t>פקיעת</w:t>
      </w:r>
      <w:r w:rsidRPr="00E303AD">
        <w:rPr>
          <w:rFonts w:eastAsia="Calibri"/>
          <w:rtl/>
        </w:rPr>
        <w:t xml:space="preserve"> תוקפה של החלטת הממשלה, </w:t>
      </w:r>
      <w:r w:rsidRPr="00E303AD">
        <w:rPr>
          <w:rFonts w:eastAsia="Calibri" w:hint="cs"/>
          <w:rtl/>
        </w:rPr>
        <w:t>נוסף לבסיס</w:t>
      </w:r>
      <w:r w:rsidRPr="00E303AD">
        <w:rPr>
          <w:rFonts w:eastAsia="Calibri"/>
          <w:rtl/>
        </w:rPr>
        <w:t xml:space="preserve"> </w:t>
      </w:r>
      <w:r w:rsidRPr="00E303AD">
        <w:rPr>
          <w:rFonts w:eastAsia="Calibri" w:hint="cs"/>
          <w:rtl/>
        </w:rPr>
        <w:t>ה</w:t>
      </w:r>
      <w:r w:rsidRPr="00E303AD">
        <w:rPr>
          <w:rFonts w:eastAsia="Calibri"/>
          <w:rtl/>
        </w:rPr>
        <w:t xml:space="preserve">תקציב </w:t>
      </w:r>
      <w:r w:rsidRPr="00E303AD">
        <w:rPr>
          <w:rFonts w:eastAsia="Calibri" w:hint="cs"/>
          <w:rtl/>
        </w:rPr>
        <w:t xml:space="preserve">סך </w:t>
      </w:r>
      <w:r w:rsidRPr="00E303AD">
        <w:rPr>
          <w:rFonts w:eastAsia="Calibri"/>
          <w:rtl/>
        </w:rPr>
        <w:t>של 30 מ</w:t>
      </w:r>
      <w:r w:rsidRPr="00E303AD">
        <w:rPr>
          <w:rFonts w:eastAsia="Calibri" w:hint="cs"/>
          <w:rtl/>
        </w:rPr>
        <w:t xml:space="preserve">יליון </w:t>
      </w:r>
      <w:r w:rsidRPr="00E303AD">
        <w:rPr>
          <w:rFonts w:eastAsia="Calibri"/>
          <w:rtl/>
        </w:rPr>
        <w:t xml:space="preserve">ש״ח בשנה באופן קבוע </w:t>
      </w:r>
      <w:r w:rsidRPr="00E303AD">
        <w:rPr>
          <w:rFonts w:eastAsia="Calibri" w:hint="cs"/>
          <w:rtl/>
        </w:rPr>
        <w:t>לשם מימוש</w:t>
      </w:r>
      <w:r w:rsidRPr="00E303AD">
        <w:rPr>
          <w:rFonts w:eastAsia="Calibri"/>
          <w:rtl/>
        </w:rPr>
        <w:t xml:space="preserve"> </w:t>
      </w:r>
      <w:r w:rsidRPr="00E303AD">
        <w:rPr>
          <w:rFonts w:eastAsia="Calibri" w:hint="cs"/>
          <w:rtl/>
        </w:rPr>
        <w:t>ה</w:t>
      </w:r>
      <w:r w:rsidRPr="00E303AD">
        <w:rPr>
          <w:rFonts w:eastAsia="Calibri"/>
          <w:rtl/>
        </w:rPr>
        <w:t xml:space="preserve">מטרות </w:t>
      </w:r>
      <w:r w:rsidRPr="00E303AD">
        <w:rPr>
          <w:rFonts w:eastAsia="Calibri" w:hint="cs"/>
          <w:rtl/>
        </w:rPr>
        <w:t>שנקבעו ב</w:t>
      </w:r>
      <w:r w:rsidRPr="00E303AD">
        <w:rPr>
          <w:rFonts w:eastAsia="Calibri"/>
          <w:rtl/>
        </w:rPr>
        <w:t>החלטת הממשלה</w:t>
      </w:r>
      <w:r w:rsidRPr="00E303AD">
        <w:rPr>
          <w:rFonts w:eastAsia="Calibri" w:hint="cs"/>
          <w:rtl/>
        </w:rPr>
        <w:t xml:space="preserve">, והוחלט </w:t>
      </w:r>
      <w:r w:rsidRPr="00E303AD">
        <w:rPr>
          <w:rFonts w:eastAsia="Calibri"/>
          <w:rtl/>
        </w:rPr>
        <w:t>כי הצוות הבין-משרדי לטיפול בתופעת הזנות</w:t>
      </w:r>
      <w:r w:rsidRPr="00E303AD">
        <w:rPr>
          <w:rFonts w:eastAsia="Calibri" w:hint="cs"/>
          <w:rtl/>
        </w:rPr>
        <w:t xml:space="preserve"> ימשיך לפעול, שהמתאמת תעמוד בראשו ושהוא </w:t>
      </w:r>
      <w:r w:rsidRPr="00E303AD">
        <w:rPr>
          <w:rFonts w:eastAsia="Calibri"/>
          <w:rtl/>
        </w:rPr>
        <w:t>יהיה אמון על גיבוש ת</w:t>
      </w:r>
      <w:r w:rsidRPr="00E303AD">
        <w:rPr>
          <w:rFonts w:eastAsia="Calibri" w:hint="cs"/>
          <w:rtl/>
        </w:rPr>
        <w:t>ו</w:t>
      </w:r>
      <w:r w:rsidRPr="00E303AD">
        <w:rPr>
          <w:rFonts w:eastAsia="Calibri"/>
          <w:rtl/>
        </w:rPr>
        <w:t>כנית שנתית למימוש התקציב וליישום המטרות שנקבעו בהחלטת הממשלה</w:t>
      </w:r>
      <w:r w:rsidRPr="00E303AD">
        <w:rPr>
          <w:rFonts w:eastAsia="Calibri" w:hint="cs"/>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בד בבד, בשנת 2019</w:t>
      </w:r>
      <w:r w:rsidRPr="00E303AD">
        <w:rPr>
          <w:rFonts w:eastAsia="Calibri"/>
          <w:rtl/>
        </w:rPr>
        <w:t xml:space="preserve"> פורסם חוק איסור צריכת זנות, </w:t>
      </w:r>
      <w:r w:rsidRPr="00E303AD">
        <w:rPr>
          <w:rFonts w:eastAsia="Calibri" w:hint="cs"/>
          <w:rtl/>
        </w:rPr>
        <w:t>שהוא</w:t>
      </w:r>
      <w:r w:rsidRPr="00E303AD">
        <w:rPr>
          <w:rFonts w:eastAsia="Calibri"/>
          <w:rtl/>
        </w:rPr>
        <w:t xml:space="preserve"> נקודת </w:t>
      </w:r>
      <w:r w:rsidRPr="00E303AD">
        <w:rPr>
          <w:rFonts w:eastAsia="Calibri" w:hint="cs"/>
          <w:rtl/>
        </w:rPr>
        <w:t>ציון</w:t>
      </w:r>
      <w:r w:rsidRPr="00E303AD">
        <w:rPr>
          <w:rFonts w:eastAsia="Calibri"/>
          <w:rtl/>
        </w:rPr>
        <w:t xml:space="preserve"> במדיניות מדינ</w:t>
      </w:r>
      <w:r w:rsidRPr="00E303AD">
        <w:rPr>
          <w:rFonts w:eastAsia="Calibri" w:hint="cs"/>
          <w:rtl/>
        </w:rPr>
        <w:t>ת ישראל</w:t>
      </w:r>
      <w:r w:rsidRPr="00E303AD">
        <w:rPr>
          <w:rFonts w:eastAsia="Calibri"/>
          <w:rtl/>
        </w:rPr>
        <w:t xml:space="preserve"> כלפי התופעה</w:t>
      </w:r>
      <w:r>
        <w:rPr>
          <w:rFonts w:eastAsia="Calibri"/>
          <w:vertAlign w:val="superscript"/>
          <w:rtl/>
        </w:rPr>
        <w:footnoteReference w:id="29"/>
      </w:r>
      <w:r w:rsidRPr="00E303AD">
        <w:rPr>
          <w:rFonts w:eastAsia="Calibri"/>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 xml:space="preserve">תפיסת חוק </w:t>
      </w:r>
      <w:r w:rsidRPr="00E303AD">
        <w:rPr>
          <w:rFonts w:eastAsia="Calibri" w:hint="cs"/>
          <w:rtl/>
        </w:rPr>
        <w:t>איסור צריכת זנות מתבססת</w:t>
      </w:r>
      <w:r w:rsidRPr="00E303AD">
        <w:rPr>
          <w:rFonts w:eastAsia="Calibri"/>
          <w:rtl/>
        </w:rPr>
        <w:t xml:space="preserve"> על המודל הנורדי</w:t>
      </w:r>
      <w:r>
        <w:rPr>
          <w:rFonts w:eastAsia="Calibri"/>
          <w:vertAlign w:val="superscript"/>
          <w:rtl/>
        </w:rPr>
        <w:footnoteReference w:id="30"/>
      </w:r>
      <w:r w:rsidRPr="00E303AD">
        <w:rPr>
          <w:rFonts w:eastAsia="Calibri"/>
          <w:rtl/>
        </w:rPr>
        <w:t xml:space="preserve"> </w:t>
      </w:r>
      <w:r w:rsidRPr="00E303AD">
        <w:rPr>
          <w:rFonts w:eastAsia="Calibri" w:hint="cs"/>
          <w:rtl/>
        </w:rPr>
        <w:t>ש</w:t>
      </w:r>
      <w:r w:rsidRPr="00E303AD">
        <w:rPr>
          <w:rFonts w:eastAsia="Calibri"/>
          <w:rtl/>
        </w:rPr>
        <w:t xml:space="preserve">לפיו האיסור חל על </w:t>
      </w:r>
      <w:r w:rsidRPr="00E303AD">
        <w:rPr>
          <w:rFonts w:eastAsia="Calibri" w:hint="cs"/>
          <w:rtl/>
        </w:rPr>
        <w:t>צרכני הזנות</w:t>
      </w:r>
      <w:r w:rsidRPr="00E303AD">
        <w:rPr>
          <w:rFonts w:eastAsia="Calibri"/>
          <w:rtl/>
        </w:rPr>
        <w:t xml:space="preserve"> ולא על הנשים והגברים</w:t>
      </w:r>
      <w:r w:rsidRPr="00E303AD">
        <w:rPr>
          <w:rFonts w:eastAsia="Calibri" w:hint="cs"/>
          <w:rtl/>
        </w:rPr>
        <w:t xml:space="preserve"> העוסקים</w:t>
      </w:r>
      <w:r w:rsidRPr="00E303AD">
        <w:rPr>
          <w:rFonts w:eastAsia="Calibri"/>
          <w:rtl/>
        </w:rPr>
        <w:t xml:space="preserve"> בזנות עצמם</w:t>
      </w:r>
      <w:r w:rsidRPr="00E303AD">
        <w:rPr>
          <w:rFonts w:eastAsia="Calibri" w:hint="cs"/>
          <w:rtl/>
        </w:rPr>
        <w:t>.</w:t>
      </w:r>
      <w:r w:rsidRPr="00E303AD">
        <w:rPr>
          <w:rFonts w:eastAsia="Calibri"/>
          <w:rtl/>
        </w:rPr>
        <w:t xml:space="preserve"> בהתאם לכך, הדגש מושם על מתן סיוע, טיפול</w:t>
      </w:r>
      <w:r w:rsidRPr="00E303AD">
        <w:rPr>
          <w:rFonts w:eastAsia="Calibri" w:hint="cs"/>
          <w:rtl/>
        </w:rPr>
        <w:t xml:space="preserve"> </w:t>
      </w:r>
      <w:r w:rsidRPr="00E303AD">
        <w:rPr>
          <w:rFonts w:eastAsia="Calibri"/>
          <w:rtl/>
        </w:rPr>
        <w:t>ושיקום לאנשים</w:t>
      </w:r>
      <w:r w:rsidRPr="00E303AD">
        <w:rPr>
          <w:rFonts w:eastAsia="Calibri" w:hint="cs"/>
          <w:rtl/>
        </w:rPr>
        <w:t xml:space="preserve"> הנמצאים במעגל ה</w:t>
      </w:r>
      <w:r w:rsidRPr="00E303AD">
        <w:rPr>
          <w:rFonts w:eastAsia="Calibri"/>
          <w:rtl/>
        </w:rPr>
        <w:t>זנות</w:t>
      </w:r>
      <w:r w:rsidRPr="00E303AD">
        <w:rPr>
          <w:rFonts w:eastAsia="Calibri" w:hint="cs"/>
          <w:rtl/>
        </w:rPr>
        <w:t xml:space="preserve"> בשילוב צעדי חינוך והסברה</w:t>
      </w:r>
      <w:r>
        <w:rPr>
          <w:rFonts w:eastAsia="Calibri"/>
          <w:vertAlign w:val="superscript"/>
          <w:rtl/>
        </w:rPr>
        <w:footnoteReference w:id="31"/>
      </w:r>
      <w:r w:rsidRPr="00E303AD">
        <w:rPr>
          <w:rFonts w:eastAsia="Calibri" w:hint="cs"/>
          <w:rtl/>
        </w:rPr>
        <w:t>.</w:t>
      </w:r>
      <w:r w:rsidRPr="00E303AD">
        <w:rPr>
          <w:rFonts w:eastAsia="Calibri"/>
          <w:rtl/>
        </w:rPr>
        <w:t xml:space="preserve"> החוק נכנס לתוקף ביולי 2020 כהוראת שעה לתקופה של חמש שנים</w:t>
      </w:r>
      <w:r>
        <w:rPr>
          <w:rFonts w:eastAsia="Calibri"/>
          <w:vertAlign w:val="superscript"/>
          <w:rtl/>
        </w:rPr>
        <w:footnoteReference w:id="32"/>
      </w:r>
      <w:r w:rsidRPr="00E303AD">
        <w:rPr>
          <w:rFonts w:eastAsia="Calibri"/>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ב</w:t>
      </w:r>
      <w:r w:rsidRPr="00E303AD">
        <w:rPr>
          <w:rFonts w:eastAsia="Calibri"/>
          <w:rtl/>
        </w:rPr>
        <w:t xml:space="preserve">חוק </w:t>
      </w:r>
      <w:r w:rsidRPr="00E303AD">
        <w:rPr>
          <w:rFonts w:eastAsia="Calibri" w:hint="cs"/>
          <w:rtl/>
        </w:rPr>
        <w:t xml:space="preserve">נקבע </w:t>
      </w:r>
      <w:r w:rsidRPr="00E303AD">
        <w:rPr>
          <w:rFonts w:eastAsia="Calibri"/>
          <w:rtl/>
        </w:rPr>
        <w:t xml:space="preserve">איסור </w:t>
      </w:r>
      <w:r w:rsidRPr="00E303AD">
        <w:rPr>
          <w:rFonts w:eastAsia="Calibri" w:hint="cs"/>
          <w:rtl/>
        </w:rPr>
        <w:t xml:space="preserve">פלילי </w:t>
      </w:r>
      <w:r w:rsidRPr="00E303AD">
        <w:rPr>
          <w:rFonts w:eastAsia="Calibri"/>
          <w:rtl/>
        </w:rPr>
        <w:t>על צריכת שירותי זנות ועל הימצאות במקום המשמש למעשי זנות</w:t>
      </w:r>
      <w:r>
        <w:rPr>
          <w:rFonts w:eastAsia="Calibri"/>
          <w:vertAlign w:val="superscript"/>
          <w:rtl/>
        </w:rPr>
        <w:footnoteReference w:id="33"/>
      </w:r>
      <w:r w:rsidRPr="00E303AD">
        <w:rPr>
          <w:rFonts w:eastAsia="Calibri"/>
          <w:rtl/>
        </w:rPr>
        <w:t xml:space="preserve">. הפרת האיסור </w:t>
      </w:r>
      <w:r w:rsidRPr="00E303AD">
        <w:rPr>
          <w:rFonts w:eastAsia="Calibri" w:hint="cs"/>
          <w:rtl/>
        </w:rPr>
        <w:t xml:space="preserve">היא </w:t>
      </w:r>
      <w:r w:rsidRPr="00E303AD">
        <w:rPr>
          <w:rFonts w:eastAsia="Calibri"/>
          <w:rtl/>
        </w:rPr>
        <w:t>עבירה מ</w:t>
      </w:r>
      <w:r w:rsidRPr="00E303AD">
        <w:rPr>
          <w:rFonts w:eastAsia="Calibri" w:hint="cs"/>
          <w:rtl/>
        </w:rPr>
        <w:t>י</w:t>
      </w:r>
      <w:r w:rsidRPr="00E303AD">
        <w:rPr>
          <w:rFonts w:eastAsia="Calibri"/>
          <w:rtl/>
        </w:rPr>
        <w:t xml:space="preserve">נהלית, שבצידה </w:t>
      </w:r>
      <w:r w:rsidRPr="00E303AD">
        <w:rPr>
          <w:rFonts w:eastAsia="Calibri" w:hint="cs"/>
          <w:rtl/>
        </w:rPr>
        <w:t>קנס מינהלי. בנסיבות מסוימות</w:t>
      </w:r>
      <w:r w:rsidRPr="00E303AD">
        <w:rPr>
          <w:rFonts w:eastAsia="Calibri"/>
          <w:rtl/>
        </w:rPr>
        <w:t xml:space="preserve"> רשאיות רשויות האכיפה לשקול פתיחה בחקירה פלילית והגשת כתב אישום. לנקנס ניתנת </w:t>
      </w:r>
      <w:r w:rsidRPr="00E303AD">
        <w:rPr>
          <w:rFonts w:eastAsia="Calibri" w:hint="cs"/>
          <w:rtl/>
        </w:rPr>
        <w:t>ה</w:t>
      </w:r>
      <w:r w:rsidRPr="00E303AD">
        <w:rPr>
          <w:rFonts w:eastAsia="Calibri"/>
          <w:rtl/>
        </w:rPr>
        <w:t>אפשרות להמיר את הקנס בהשתתפות בת</w:t>
      </w:r>
      <w:r w:rsidRPr="00E303AD">
        <w:rPr>
          <w:rFonts w:eastAsia="Calibri" w:hint="cs"/>
          <w:rtl/>
        </w:rPr>
        <w:t>ו</w:t>
      </w:r>
      <w:r w:rsidRPr="00E303AD">
        <w:rPr>
          <w:rFonts w:eastAsia="Calibri"/>
          <w:rtl/>
        </w:rPr>
        <w:t>כנית פסיכו</w:t>
      </w:r>
      <w:r w:rsidRPr="00E303AD">
        <w:rPr>
          <w:rFonts w:eastAsia="Calibri" w:hint="cs"/>
          <w:rtl/>
        </w:rPr>
        <w:t>-</w:t>
      </w:r>
      <w:r w:rsidRPr="00E303AD">
        <w:rPr>
          <w:rFonts w:eastAsia="Calibri"/>
          <w:rtl/>
        </w:rPr>
        <w:t xml:space="preserve">חינוכית, שמטרתה להעמיק את ההבנה בדבר נזקי הזנות ולמנוע </w:t>
      </w:r>
      <w:r w:rsidRPr="00E303AD">
        <w:rPr>
          <w:rFonts w:eastAsia="Calibri" w:hint="cs"/>
          <w:rtl/>
        </w:rPr>
        <w:t xml:space="preserve">את </w:t>
      </w:r>
      <w:r w:rsidRPr="00E303AD">
        <w:rPr>
          <w:rFonts w:eastAsia="Calibri"/>
          <w:rtl/>
        </w:rPr>
        <w:t xml:space="preserve">הישנות </w:t>
      </w:r>
      <w:r w:rsidRPr="00E303AD">
        <w:rPr>
          <w:rFonts w:eastAsia="Calibri" w:hint="cs"/>
          <w:rtl/>
        </w:rPr>
        <w:t>העבירה.</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בעקבות קבלתה של </w:t>
      </w:r>
      <w:r w:rsidRPr="00E303AD">
        <w:rPr>
          <w:rFonts w:eastAsia="Calibri"/>
          <w:rtl/>
        </w:rPr>
        <w:t xml:space="preserve">החלטת </w:t>
      </w:r>
      <w:r w:rsidRPr="00E303AD">
        <w:rPr>
          <w:rFonts w:eastAsia="Calibri" w:hint="cs"/>
          <w:rtl/>
        </w:rPr>
        <w:t>ה</w:t>
      </w:r>
      <w:r w:rsidRPr="00E303AD">
        <w:rPr>
          <w:rFonts w:eastAsia="Calibri"/>
          <w:rtl/>
        </w:rPr>
        <w:t>ממשלה 4462</w:t>
      </w:r>
      <w:r w:rsidRPr="00E303AD">
        <w:rPr>
          <w:rFonts w:eastAsia="Calibri" w:hint="cs"/>
          <w:rtl/>
        </w:rPr>
        <w:t>,</w:t>
      </w:r>
      <w:r w:rsidRPr="00E303AD">
        <w:rPr>
          <w:rFonts w:eastAsia="Calibri"/>
          <w:rtl/>
        </w:rPr>
        <w:t xml:space="preserve"> החלה </w:t>
      </w:r>
      <w:r w:rsidRPr="00E303AD">
        <w:rPr>
          <w:rFonts w:eastAsia="Calibri" w:hint="cs"/>
          <w:rtl/>
        </w:rPr>
        <w:t>יחידת התיאום</w:t>
      </w:r>
      <w:r w:rsidRPr="00E303AD">
        <w:rPr>
          <w:rFonts w:eastAsia="Calibri"/>
          <w:rtl/>
        </w:rPr>
        <w:t xml:space="preserve"> בשנת 2021</w:t>
      </w:r>
      <w:r w:rsidRPr="00E303AD">
        <w:rPr>
          <w:rFonts w:eastAsia="Calibri" w:hint="cs"/>
          <w:rtl/>
        </w:rPr>
        <w:t xml:space="preserve"> </w:t>
      </w:r>
      <w:r w:rsidRPr="00E303AD">
        <w:rPr>
          <w:rFonts w:eastAsia="Calibri"/>
          <w:rtl/>
        </w:rPr>
        <w:t xml:space="preserve">לתכלל את כלל הפעילות הממשלתית הרחבה בתחומי האכיפה, </w:t>
      </w:r>
      <w:r w:rsidRPr="00E303AD">
        <w:rPr>
          <w:rFonts w:eastAsia="Calibri" w:hint="cs"/>
          <w:rtl/>
        </w:rPr>
        <w:t>ה</w:t>
      </w:r>
      <w:r w:rsidRPr="00E303AD">
        <w:rPr>
          <w:rFonts w:eastAsia="Calibri"/>
          <w:rtl/>
        </w:rPr>
        <w:t>מניעה ו</w:t>
      </w:r>
      <w:r w:rsidRPr="00E303AD">
        <w:rPr>
          <w:rFonts w:eastAsia="Calibri" w:hint="cs"/>
          <w:rtl/>
        </w:rPr>
        <w:t>ה</w:t>
      </w:r>
      <w:r w:rsidRPr="00E303AD">
        <w:rPr>
          <w:rFonts w:eastAsia="Calibri"/>
          <w:rtl/>
        </w:rPr>
        <w:t>הגנה על ק</w:t>
      </w:r>
      <w:r w:rsidRPr="00E303AD">
        <w:rPr>
          <w:rFonts w:eastAsia="Calibri" w:hint="cs"/>
          <w:rtl/>
        </w:rPr>
        <w:t>ו</w:t>
      </w:r>
      <w:r w:rsidRPr="00E303AD">
        <w:rPr>
          <w:rFonts w:eastAsia="Calibri"/>
          <w:rtl/>
        </w:rPr>
        <w:t xml:space="preserve">רבנות, גם ביחס לתופעת </w:t>
      </w:r>
      <w:r w:rsidRPr="00E303AD">
        <w:rPr>
          <w:rFonts w:eastAsia="Calibri"/>
          <w:rtl/>
        </w:rPr>
        <w:t>הזנות בפני עצמה</w:t>
      </w:r>
      <w:r w:rsidRPr="00E303AD">
        <w:rPr>
          <w:rFonts w:eastAsia="Calibri" w:hint="cs"/>
          <w:rtl/>
        </w:rPr>
        <w:t>, והיא מלווה את יישום חוק איסור צריכת זנות בשיתוף עם צוותים בין-משרדיים האמונים על היבטיו השונים</w:t>
      </w:r>
      <w:r w:rsidRPr="00E303AD">
        <w:rPr>
          <w:rFonts w:eastAsia="Calibri"/>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עבודת היחידה כוללת פעולות לקידום מדיניות ממשלתית</w:t>
      </w:r>
      <w:r w:rsidRPr="00E303AD">
        <w:rPr>
          <w:rFonts w:eastAsia="Calibri" w:hint="cs"/>
          <w:rtl/>
        </w:rPr>
        <w:t xml:space="preserve"> </w:t>
      </w:r>
      <w:r w:rsidRPr="00E303AD">
        <w:rPr>
          <w:rFonts w:eastAsia="Calibri" w:hint="eastAsia"/>
          <w:rtl/>
        </w:rPr>
        <w:t>במאבק</w:t>
      </w:r>
      <w:r w:rsidRPr="00E303AD">
        <w:rPr>
          <w:rFonts w:eastAsia="Calibri"/>
          <w:rtl/>
        </w:rPr>
        <w:t xml:space="preserve"> </w:t>
      </w:r>
      <w:r w:rsidRPr="00E303AD">
        <w:rPr>
          <w:rFonts w:eastAsia="Calibri" w:hint="eastAsia"/>
          <w:rtl/>
        </w:rPr>
        <w:t>בסחר</w:t>
      </w:r>
      <w:r w:rsidRPr="00E303AD">
        <w:rPr>
          <w:rFonts w:eastAsia="Calibri"/>
          <w:rtl/>
        </w:rPr>
        <w:t xml:space="preserve"> </w:t>
      </w:r>
      <w:r w:rsidRPr="00E303AD">
        <w:rPr>
          <w:rFonts w:eastAsia="Calibri" w:hint="eastAsia"/>
          <w:rtl/>
        </w:rPr>
        <w:t>בבני</w:t>
      </w:r>
      <w:r w:rsidRPr="00E303AD">
        <w:rPr>
          <w:rFonts w:eastAsia="Calibri"/>
          <w:rtl/>
        </w:rPr>
        <w:t xml:space="preserve"> </w:t>
      </w:r>
      <w:r w:rsidRPr="00E303AD">
        <w:rPr>
          <w:rFonts w:eastAsia="Calibri" w:hint="eastAsia"/>
          <w:rtl/>
        </w:rPr>
        <w:t>אדם</w:t>
      </w:r>
      <w:r w:rsidRPr="00E303AD">
        <w:rPr>
          <w:rFonts w:eastAsia="Calibri" w:hint="cs"/>
          <w:rtl/>
        </w:rPr>
        <w:t>;</w:t>
      </w:r>
      <w:r w:rsidRPr="00E303AD">
        <w:rPr>
          <w:rFonts w:eastAsia="Calibri"/>
          <w:rtl/>
        </w:rPr>
        <w:t xml:space="preserve"> קידום פרויקטים ומחקרים </w:t>
      </w:r>
      <w:r w:rsidRPr="00E303AD">
        <w:rPr>
          <w:rFonts w:eastAsia="Calibri" w:hint="cs"/>
          <w:rtl/>
        </w:rPr>
        <w:t xml:space="preserve">הנוגעים </w:t>
      </w:r>
      <w:r w:rsidRPr="00E303AD">
        <w:rPr>
          <w:rFonts w:eastAsia="Calibri"/>
          <w:rtl/>
        </w:rPr>
        <w:t>למאבק בסחר בבני אדם ו</w:t>
      </w:r>
      <w:r w:rsidRPr="00E303AD">
        <w:rPr>
          <w:rFonts w:eastAsia="Calibri" w:hint="cs"/>
          <w:rtl/>
        </w:rPr>
        <w:t>ב</w:t>
      </w:r>
      <w:r w:rsidRPr="00E303AD">
        <w:rPr>
          <w:rFonts w:eastAsia="Calibri"/>
          <w:rtl/>
        </w:rPr>
        <w:t>זנות</w:t>
      </w:r>
      <w:r w:rsidRPr="00E303AD">
        <w:rPr>
          <w:rFonts w:eastAsia="Calibri" w:hint="cs"/>
          <w:rtl/>
        </w:rPr>
        <w:t xml:space="preserve">; קידום </w:t>
      </w:r>
      <w:r w:rsidRPr="00E303AD">
        <w:rPr>
          <w:rFonts w:eastAsia="Calibri"/>
          <w:rtl/>
        </w:rPr>
        <w:t>מבצעי חינוך</w:t>
      </w:r>
      <w:r w:rsidRPr="00E303AD">
        <w:rPr>
          <w:rFonts w:eastAsia="Calibri" w:hint="cs"/>
          <w:rtl/>
        </w:rPr>
        <w:t xml:space="preserve"> ו</w:t>
      </w:r>
      <w:r w:rsidRPr="00E303AD">
        <w:rPr>
          <w:rFonts w:eastAsia="Calibri"/>
          <w:rtl/>
        </w:rPr>
        <w:t>הכשרות מקצועיות בתחום</w:t>
      </w:r>
      <w:r w:rsidRPr="00E303AD">
        <w:rPr>
          <w:rFonts w:eastAsia="Calibri" w:hint="cs"/>
          <w:rtl/>
        </w:rPr>
        <w:t xml:space="preserve">; </w:t>
      </w:r>
      <w:r w:rsidRPr="00E303AD">
        <w:rPr>
          <w:rFonts w:eastAsia="Calibri" w:hint="eastAsia"/>
          <w:rtl/>
        </w:rPr>
        <w:t>סיוע</w:t>
      </w:r>
      <w:r w:rsidRPr="00E303AD">
        <w:rPr>
          <w:rFonts w:eastAsia="Calibri"/>
          <w:rtl/>
        </w:rPr>
        <w:t xml:space="preserve"> </w:t>
      </w:r>
      <w:r w:rsidRPr="00E303AD">
        <w:rPr>
          <w:rFonts w:eastAsia="Calibri" w:hint="cs"/>
          <w:rtl/>
        </w:rPr>
        <w:t>ל</w:t>
      </w:r>
      <w:r w:rsidRPr="00E303AD">
        <w:rPr>
          <w:rFonts w:eastAsia="Calibri"/>
          <w:rtl/>
        </w:rPr>
        <w:t>פעילותם של גופים ממשלתיים ולא ממשלתיים</w:t>
      </w:r>
      <w:r w:rsidRPr="00E303AD">
        <w:rPr>
          <w:rFonts w:eastAsia="Calibri" w:hint="cs"/>
          <w:rtl/>
        </w:rPr>
        <w:t xml:space="preserve"> </w:t>
      </w:r>
      <w:r w:rsidRPr="00E303AD">
        <w:rPr>
          <w:rFonts w:eastAsia="Calibri"/>
          <w:rtl/>
        </w:rPr>
        <w:t>בתחום</w:t>
      </w:r>
      <w:r w:rsidRPr="00E303AD">
        <w:rPr>
          <w:rFonts w:eastAsia="Calibri" w:hint="cs"/>
          <w:rtl/>
        </w:rPr>
        <w:t xml:space="preserve"> ומעקב בנושא; </w:t>
      </w:r>
      <w:r w:rsidRPr="00E303AD">
        <w:rPr>
          <w:rFonts w:eastAsia="Calibri"/>
          <w:rtl/>
        </w:rPr>
        <w:t xml:space="preserve">הסרת חסמים וחיזוק שיתופי הפעולה, בתוך הממשלה ובין הממשלה לבין כלל </w:t>
      </w:r>
      <w:r w:rsidRPr="00E303AD">
        <w:rPr>
          <w:rFonts w:eastAsia="Calibri" w:hint="cs"/>
          <w:rtl/>
        </w:rPr>
        <w:t>הגורמים</w:t>
      </w:r>
      <w:r w:rsidRPr="00E303AD">
        <w:rPr>
          <w:rFonts w:eastAsia="Calibri"/>
          <w:rtl/>
        </w:rPr>
        <w:t xml:space="preserve"> הרלוונטיים, בחברה האזרחית ובמישור הבין-לאומי. </w:t>
      </w:r>
      <w:r w:rsidRPr="00E303AD">
        <w:rPr>
          <w:rFonts w:eastAsia="Calibri" w:hint="cs"/>
          <w:rtl/>
        </w:rPr>
        <w:t>יחידת התיאום</w:t>
      </w:r>
      <w:r w:rsidRPr="00E303AD">
        <w:rPr>
          <w:rFonts w:eastAsia="Calibri"/>
          <w:rtl/>
        </w:rPr>
        <w:t xml:space="preserve"> מרכזת </w:t>
      </w:r>
      <w:r w:rsidRPr="00E303AD">
        <w:rPr>
          <w:rFonts w:eastAsia="Calibri" w:hint="cs"/>
          <w:rtl/>
        </w:rPr>
        <w:t xml:space="preserve">גם </w:t>
      </w:r>
      <w:r w:rsidRPr="00E303AD">
        <w:rPr>
          <w:rFonts w:eastAsia="Calibri"/>
          <w:rtl/>
        </w:rPr>
        <w:t xml:space="preserve">את פעילות </w:t>
      </w:r>
      <w:r w:rsidRPr="00E303AD">
        <w:rPr>
          <w:rFonts w:eastAsia="Calibri" w:hint="cs"/>
          <w:rtl/>
        </w:rPr>
        <w:t>ה</w:t>
      </w:r>
      <w:r w:rsidRPr="00E303AD">
        <w:rPr>
          <w:rFonts w:eastAsia="Calibri"/>
          <w:rtl/>
        </w:rPr>
        <w:t>צוות הבין</w:t>
      </w:r>
      <w:r w:rsidRPr="00E303AD">
        <w:rPr>
          <w:rFonts w:eastAsia="Calibri" w:hint="cs"/>
          <w:rtl/>
        </w:rPr>
        <w:t>-</w:t>
      </w:r>
      <w:r w:rsidRPr="00E303AD">
        <w:rPr>
          <w:rFonts w:eastAsia="Calibri"/>
          <w:rtl/>
        </w:rPr>
        <w:t>משרדי למאבק בתופעת הזנות</w:t>
      </w:r>
      <w:r w:rsidRPr="00E303AD">
        <w:rPr>
          <w:rFonts w:eastAsia="Calibri" w:hint="cs"/>
          <w:rtl/>
        </w:rPr>
        <w:t xml:space="preserve">, שעוקב </w:t>
      </w:r>
      <w:r w:rsidRPr="00E303AD">
        <w:rPr>
          <w:rFonts w:eastAsia="Calibri"/>
          <w:rtl/>
        </w:rPr>
        <w:t>אחר אופן יישום החלטת הממשלה בהיבטי שיקום, טיפול וחינוך</w:t>
      </w:r>
      <w:r w:rsidRPr="00E303AD">
        <w:rPr>
          <w:rFonts w:eastAsia="Calibri" w:hint="cs"/>
          <w:rtl/>
        </w:rPr>
        <w:t xml:space="preserve">. במסגרת עבודת הצוות מבוצעות כמה פעולות: דיון בנושא </w:t>
      </w:r>
      <w:r w:rsidRPr="00E303AD">
        <w:rPr>
          <w:rFonts w:eastAsia="Calibri"/>
          <w:rtl/>
        </w:rPr>
        <w:t xml:space="preserve">חלוקת התקציב הממשלתי השנתי ומעקב </w:t>
      </w:r>
      <w:r w:rsidRPr="00E303AD">
        <w:rPr>
          <w:rFonts w:eastAsia="Calibri" w:hint="cs"/>
          <w:rtl/>
        </w:rPr>
        <w:t>אחר</w:t>
      </w:r>
      <w:r w:rsidRPr="00E303AD">
        <w:rPr>
          <w:rFonts w:eastAsia="Calibri"/>
          <w:rtl/>
        </w:rPr>
        <w:t xml:space="preserve"> מימושו</w:t>
      </w:r>
      <w:r w:rsidRPr="00E303AD">
        <w:rPr>
          <w:rFonts w:eastAsia="Calibri" w:hint="cs"/>
          <w:rtl/>
        </w:rPr>
        <w:t>;</w:t>
      </w:r>
      <w:r w:rsidRPr="00E303AD">
        <w:rPr>
          <w:rFonts w:eastAsia="Calibri"/>
          <w:rtl/>
        </w:rPr>
        <w:t xml:space="preserve"> </w:t>
      </w:r>
      <w:r w:rsidRPr="00E303AD">
        <w:rPr>
          <w:rFonts w:eastAsia="Calibri" w:hint="cs"/>
          <w:rtl/>
        </w:rPr>
        <w:t xml:space="preserve">קיום </w:t>
      </w:r>
      <w:r w:rsidRPr="00E303AD">
        <w:rPr>
          <w:rFonts w:eastAsia="Calibri"/>
          <w:rtl/>
        </w:rPr>
        <w:t>ימי למידה וסיורים משותפים ו</w:t>
      </w:r>
      <w:r w:rsidRPr="00E303AD">
        <w:rPr>
          <w:rFonts w:eastAsia="Calibri" w:hint="cs"/>
          <w:rtl/>
        </w:rPr>
        <w:t>קידום</w:t>
      </w:r>
      <w:r w:rsidRPr="00E303AD">
        <w:rPr>
          <w:rFonts w:eastAsia="Calibri"/>
          <w:rtl/>
        </w:rPr>
        <w:t xml:space="preserve"> שיתופי פעולה בי</w:t>
      </w:r>
      <w:r w:rsidRPr="00E303AD">
        <w:rPr>
          <w:rFonts w:eastAsia="Calibri" w:hint="cs"/>
          <w:rtl/>
        </w:rPr>
        <w:t xml:space="preserve">ן-ארגוניים; פיתוח </w:t>
      </w:r>
      <w:r w:rsidRPr="00E303AD">
        <w:rPr>
          <w:rFonts w:eastAsia="Calibri"/>
          <w:rtl/>
        </w:rPr>
        <w:t>ת</w:t>
      </w:r>
      <w:r w:rsidRPr="00E303AD">
        <w:rPr>
          <w:rFonts w:eastAsia="Calibri" w:hint="cs"/>
          <w:rtl/>
        </w:rPr>
        <w:t>ו</w:t>
      </w:r>
      <w:r w:rsidRPr="00E303AD">
        <w:rPr>
          <w:rFonts w:eastAsia="Calibri"/>
          <w:rtl/>
        </w:rPr>
        <w:t>כניות חדשניות שנועדו</w:t>
      </w:r>
      <w:r w:rsidRPr="00E303AD">
        <w:rPr>
          <w:rFonts w:eastAsia="Calibri" w:hint="cs"/>
          <w:rtl/>
        </w:rPr>
        <w:t xml:space="preserve"> </w:t>
      </w:r>
      <w:r w:rsidRPr="00E303AD">
        <w:rPr>
          <w:rFonts w:eastAsia="Calibri"/>
          <w:rtl/>
        </w:rPr>
        <w:t>לסייע בהליכי היציאה מהזנות</w:t>
      </w:r>
      <w:r w:rsidRPr="00E303AD">
        <w:rPr>
          <w:rFonts w:eastAsia="Calibri" w:hint="cs"/>
          <w:rtl/>
        </w:rPr>
        <w:t xml:space="preserve">, כמו תוכנית להתמודדות עם החסם הכלכלי של חובות כספיים ביציאה מהזנות; </w:t>
      </w:r>
      <w:r w:rsidRPr="00E303AD">
        <w:rPr>
          <w:rFonts w:eastAsia="Calibri"/>
          <w:rtl/>
        </w:rPr>
        <w:t xml:space="preserve">קידום מענים </w:t>
      </w:r>
      <w:r w:rsidRPr="00E303AD">
        <w:rPr>
          <w:rFonts w:eastAsia="Calibri" w:hint="cs"/>
          <w:rtl/>
        </w:rPr>
        <w:t xml:space="preserve">בהתאם </w:t>
      </w:r>
      <w:r w:rsidRPr="00E303AD">
        <w:rPr>
          <w:rFonts w:eastAsia="Calibri"/>
          <w:rtl/>
        </w:rPr>
        <w:t>לצרכים העולים מהשטח</w:t>
      </w:r>
      <w:r w:rsidRPr="00E303AD">
        <w:rPr>
          <w:rFonts w:eastAsia="Calibri" w:hint="cs"/>
          <w:rtl/>
        </w:rPr>
        <w:t>,</w:t>
      </w:r>
      <w:r w:rsidRPr="00E303AD">
        <w:rPr>
          <w:rFonts w:eastAsia="Calibri"/>
          <w:rtl/>
        </w:rPr>
        <w:t xml:space="preserve"> </w:t>
      </w:r>
      <w:r w:rsidRPr="00E303AD">
        <w:rPr>
          <w:rFonts w:eastAsia="Calibri" w:hint="cs"/>
          <w:rtl/>
        </w:rPr>
        <w:t>לרבות</w:t>
      </w:r>
      <w:r w:rsidRPr="00E303AD">
        <w:rPr>
          <w:rFonts w:eastAsia="Calibri"/>
          <w:rtl/>
        </w:rPr>
        <w:t xml:space="preserve"> בתחום הדיור, האיתור והתעסוקה</w:t>
      </w:r>
      <w:r w:rsidRPr="00E303AD">
        <w:rPr>
          <w:rFonts w:eastAsia="Calibri" w:hint="cs"/>
          <w:rtl/>
        </w:rPr>
        <w:t xml:space="preserve"> וביצוע </w:t>
      </w:r>
      <w:r w:rsidRPr="00E303AD">
        <w:rPr>
          <w:rFonts w:eastAsia="Calibri"/>
          <w:rtl/>
        </w:rPr>
        <w:t>פעולות הסברה שונות להגברת המודעות לנזקי הזנות ולאיסור הפלילי על צריכת</w:t>
      </w:r>
      <w:r w:rsidRPr="00E303AD">
        <w:rPr>
          <w:rFonts w:eastAsia="Calibri" w:hint="cs"/>
          <w:rtl/>
        </w:rPr>
        <w:t xml:space="preserve"> </w:t>
      </w:r>
      <w:r w:rsidRPr="00E303AD">
        <w:rPr>
          <w:rFonts w:eastAsia="Calibri"/>
          <w:rtl/>
        </w:rPr>
        <w:t xml:space="preserve">זנות והכשרות </w:t>
      </w:r>
      <w:r w:rsidRPr="00E303AD">
        <w:rPr>
          <w:rFonts w:eastAsia="Calibri" w:hint="cs"/>
          <w:rtl/>
        </w:rPr>
        <w:t>ש</w:t>
      </w:r>
      <w:r w:rsidRPr="00E303AD">
        <w:rPr>
          <w:rFonts w:eastAsia="Calibri"/>
          <w:rtl/>
        </w:rPr>
        <w:t>ל</w:t>
      </w:r>
      <w:r w:rsidRPr="00E303AD">
        <w:rPr>
          <w:rFonts w:eastAsia="Calibri" w:hint="cs"/>
          <w:rtl/>
        </w:rPr>
        <w:t xml:space="preserve"> </w:t>
      </w:r>
      <w:r w:rsidRPr="00E303AD">
        <w:rPr>
          <w:rFonts w:eastAsia="Calibri"/>
          <w:rtl/>
        </w:rPr>
        <w:t>צוותים מקצועיים שונים</w:t>
      </w:r>
      <w:r w:rsidRPr="00E303AD">
        <w:rPr>
          <w:rFonts w:eastAsia="Calibri" w:hint="cs"/>
          <w:rtl/>
        </w:rPr>
        <w:t>.</w:t>
      </w:r>
    </w:p>
    <w:p w:rsidR="00E303AD" w:rsidRPr="00E303AD" w:rsidP="00E303AD">
      <w:pPr>
        <w:spacing w:line="269" w:lineRule="auto"/>
        <w:ind w:left="-567"/>
        <w:rPr>
          <w:rFonts w:eastAsia="Calibri"/>
          <w:szCs w:val="20"/>
          <w:rtl/>
        </w:rPr>
      </w:pPr>
      <w:r w:rsidRPr="00E303AD">
        <w:rPr>
          <w:rFonts w:eastAsia="Calibri"/>
          <w:szCs w:val="20"/>
        </w:rPr>
        <w:t xml:space="preserve"> </w:t>
      </w:r>
    </w:p>
    <w:p w:rsidR="00E303AD" w:rsidRPr="00E303AD" w:rsidP="00E303AD">
      <w:pPr>
        <w:spacing w:line="269" w:lineRule="auto"/>
        <w:rPr>
          <w:rFonts w:eastAsia="Calibri"/>
          <w:rtl/>
        </w:rPr>
      </w:pPr>
      <w:r w:rsidRPr="00E303AD">
        <w:rPr>
          <w:rFonts w:eastAsia="Calibri" w:hint="cs"/>
          <w:rtl/>
        </w:rPr>
        <w:t xml:space="preserve">יישום </w:t>
      </w:r>
      <w:r w:rsidRPr="00E303AD">
        <w:rPr>
          <w:rFonts w:eastAsia="Calibri"/>
          <w:rtl/>
        </w:rPr>
        <w:t xml:space="preserve">החוק </w:t>
      </w:r>
      <w:r w:rsidRPr="00E303AD">
        <w:rPr>
          <w:rFonts w:eastAsia="Calibri" w:hint="cs"/>
          <w:rtl/>
        </w:rPr>
        <w:t>לווה</w:t>
      </w:r>
      <w:r w:rsidRPr="00E303AD">
        <w:rPr>
          <w:rFonts w:eastAsia="Calibri"/>
          <w:rtl/>
        </w:rPr>
        <w:t xml:space="preserve"> במחקר הערכה</w:t>
      </w:r>
      <w:r w:rsidRPr="00E303AD">
        <w:rPr>
          <w:rFonts w:eastAsia="Calibri" w:hint="cs"/>
          <w:rtl/>
        </w:rPr>
        <w:t>,</w:t>
      </w:r>
      <w:r w:rsidRPr="00E303AD">
        <w:rPr>
          <w:rFonts w:eastAsia="Calibri"/>
          <w:rtl/>
        </w:rPr>
        <w:t xml:space="preserve"> שנועד</w:t>
      </w:r>
      <w:r w:rsidRPr="00E303AD">
        <w:rPr>
          <w:rFonts w:eastAsia="Calibri" w:hint="cs"/>
          <w:rtl/>
        </w:rPr>
        <w:t>, כפי שהוגדר בחוק,</w:t>
      </w:r>
      <w:r w:rsidRPr="00E303AD">
        <w:rPr>
          <w:rFonts w:eastAsia="Calibri"/>
          <w:rtl/>
        </w:rPr>
        <w:t xml:space="preserve"> לבחון את מידת יעילותו </w:t>
      </w:r>
      <w:r w:rsidRPr="00E303AD">
        <w:rPr>
          <w:rFonts w:eastAsia="Calibri" w:hint="cs"/>
          <w:rtl/>
        </w:rPr>
        <w:t xml:space="preserve">של החוק </w:t>
      </w:r>
      <w:r w:rsidRPr="00E303AD">
        <w:rPr>
          <w:rFonts w:eastAsia="Calibri"/>
          <w:rtl/>
        </w:rPr>
        <w:t xml:space="preserve">ואת הצורך </w:t>
      </w:r>
      <w:r w:rsidRPr="00E303AD">
        <w:rPr>
          <w:rFonts w:eastAsia="Calibri" w:hint="cs"/>
          <w:rtl/>
        </w:rPr>
        <w:t xml:space="preserve">בביצוע שינויים עתידיים או </w:t>
      </w:r>
      <w:r w:rsidRPr="00E303AD">
        <w:rPr>
          <w:rFonts w:eastAsia="Calibri"/>
          <w:rtl/>
        </w:rPr>
        <w:t>בעיגונו כהסדר קבע</w:t>
      </w:r>
      <w:r w:rsidRPr="00E303AD">
        <w:rPr>
          <w:rFonts w:eastAsia="Calibri" w:hint="cs"/>
          <w:rtl/>
        </w:rPr>
        <w:t xml:space="preserve"> (המחקר המלווה)</w:t>
      </w:r>
      <w:r>
        <w:rPr>
          <w:rFonts w:eastAsia="Calibri"/>
          <w:vertAlign w:val="superscript"/>
          <w:rtl/>
        </w:rPr>
        <w:footnoteReference w:id="34"/>
      </w:r>
      <w:r w:rsidRPr="00E303AD">
        <w:rPr>
          <w:rFonts w:eastAsia="Calibri" w:hint="cs"/>
          <w:rtl/>
        </w:rPr>
        <w:t xml:space="preserve">. ביצוע </w:t>
      </w:r>
      <w:r w:rsidRPr="00E303AD">
        <w:rPr>
          <w:rFonts w:eastAsia="Calibri"/>
          <w:rtl/>
        </w:rPr>
        <w:t>המחקר החל בנובמבר</w:t>
      </w:r>
      <w:r w:rsidRPr="00E303AD">
        <w:rPr>
          <w:rFonts w:eastAsia="Calibri" w:hint="cs"/>
          <w:rtl/>
        </w:rPr>
        <w:t xml:space="preserve"> </w:t>
      </w:r>
      <w:r w:rsidRPr="00E303AD">
        <w:rPr>
          <w:rFonts w:eastAsia="Calibri"/>
          <w:rtl/>
        </w:rPr>
        <w:t>2020 והסתיים במאי 2024</w:t>
      </w:r>
      <w:r w:rsidRPr="00E303AD">
        <w:rPr>
          <w:rFonts w:eastAsia="Calibri" w:hint="cs"/>
          <w:rtl/>
        </w:rPr>
        <w:t>, ו</w:t>
      </w:r>
      <w:r w:rsidRPr="00E303AD">
        <w:rPr>
          <w:rFonts w:eastAsia="Calibri"/>
          <w:rtl/>
        </w:rPr>
        <w:t>ממצאי</w:t>
      </w:r>
      <w:r w:rsidRPr="00E303AD">
        <w:rPr>
          <w:rFonts w:eastAsia="Calibri" w:hint="cs"/>
          <w:rtl/>
        </w:rPr>
        <w:t>ו</w:t>
      </w:r>
      <w:r w:rsidRPr="00E303AD">
        <w:rPr>
          <w:rFonts w:eastAsia="Calibri"/>
          <w:rtl/>
        </w:rPr>
        <w:t xml:space="preserve"> </w:t>
      </w:r>
      <w:r w:rsidRPr="00E303AD">
        <w:rPr>
          <w:rFonts w:eastAsia="Calibri" w:hint="cs"/>
          <w:rtl/>
        </w:rPr>
        <w:t>העיקריים</w:t>
      </w:r>
      <w:r w:rsidRPr="00E303AD">
        <w:rPr>
          <w:rFonts w:eastAsia="Calibri"/>
          <w:rtl/>
        </w:rPr>
        <w:t xml:space="preserve"> מלמדים כי </w:t>
      </w:r>
      <w:r w:rsidRPr="00E303AD">
        <w:rPr>
          <w:rFonts w:eastAsia="Calibri" w:hint="cs"/>
          <w:rtl/>
        </w:rPr>
        <w:t xml:space="preserve">המודעות הציבורית </w:t>
      </w:r>
      <w:r w:rsidRPr="00E303AD">
        <w:rPr>
          <w:rFonts w:eastAsia="Calibri"/>
          <w:rtl/>
        </w:rPr>
        <w:t>לקיומו של החוק</w:t>
      </w:r>
      <w:r w:rsidRPr="00E303AD">
        <w:rPr>
          <w:rFonts w:eastAsia="Calibri" w:hint="cs"/>
          <w:rtl/>
        </w:rPr>
        <w:t xml:space="preserve"> היא חלקית בלבד,</w:t>
      </w:r>
      <w:r w:rsidRPr="00E303AD">
        <w:rPr>
          <w:rFonts w:eastAsia="Calibri"/>
          <w:rtl/>
        </w:rPr>
        <w:t xml:space="preserve"> </w:t>
      </w:r>
      <w:r w:rsidRPr="00E303AD">
        <w:rPr>
          <w:rFonts w:eastAsia="Calibri" w:hint="cs"/>
          <w:rtl/>
        </w:rPr>
        <w:t xml:space="preserve">כי נותר ביקוש </w:t>
      </w:r>
      <w:r w:rsidRPr="00E303AD">
        <w:rPr>
          <w:rFonts w:eastAsia="Calibri"/>
          <w:rtl/>
        </w:rPr>
        <w:t>לצריכת זנות בקרב קבוצות מסוימות</w:t>
      </w:r>
      <w:r w:rsidRPr="00E303AD">
        <w:rPr>
          <w:rFonts w:eastAsia="Calibri" w:hint="cs"/>
          <w:rtl/>
        </w:rPr>
        <w:t xml:space="preserve"> וכי מסתמנת מגמת ירידה ב</w:t>
      </w:r>
      <w:r w:rsidRPr="00E303AD">
        <w:rPr>
          <w:rFonts w:eastAsia="Calibri"/>
          <w:rtl/>
        </w:rPr>
        <w:t>שיעורי האכיפה</w:t>
      </w:r>
      <w:r w:rsidRPr="00E303AD">
        <w:rPr>
          <w:rFonts w:eastAsia="Calibri" w:hint="cs"/>
          <w:rtl/>
        </w:rPr>
        <w:t xml:space="preserve"> של החוק. מהמחקר עולה כי שיעור </w:t>
      </w:r>
      <w:r w:rsidRPr="00E303AD">
        <w:rPr>
          <w:rFonts w:eastAsia="Calibri"/>
          <w:rtl/>
        </w:rPr>
        <w:t xml:space="preserve">הדיווח על צריכת זנות של גברים יהודים בני 18 </w:t>
      </w:r>
      <w:r w:rsidRPr="00E303AD">
        <w:rPr>
          <w:rFonts w:eastAsia="Calibri" w:hint="cs"/>
          <w:rtl/>
        </w:rPr>
        <w:t>-</w:t>
      </w:r>
      <w:r w:rsidRPr="00E303AD">
        <w:rPr>
          <w:rFonts w:eastAsia="Calibri"/>
          <w:rtl/>
        </w:rPr>
        <w:t xml:space="preserve"> 70 בשנת 2024 היה </w:t>
      </w:r>
      <w:r w:rsidRPr="00E303AD">
        <w:rPr>
          <w:rFonts w:eastAsia="Calibri" w:hint="cs"/>
          <w:rtl/>
        </w:rPr>
        <w:t>גדול</w:t>
      </w:r>
      <w:r w:rsidRPr="00E303AD">
        <w:rPr>
          <w:rFonts w:eastAsia="Calibri"/>
          <w:rtl/>
        </w:rPr>
        <w:t xml:space="preserve"> יותר מ</w:t>
      </w:r>
      <w:r w:rsidRPr="00E303AD">
        <w:rPr>
          <w:rFonts w:eastAsia="Calibri" w:hint="cs"/>
          <w:rtl/>
        </w:rPr>
        <w:t>שיעור ה</w:t>
      </w:r>
      <w:r w:rsidRPr="00E303AD">
        <w:rPr>
          <w:rFonts w:eastAsia="Calibri"/>
          <w:rtl/>
        </w:rPr>
        <w:t>דיווח</w:t>
      </w:r>
      <w:r w:rsidRPr="00E303AD">
        <w:rPr>
          <w:rFonts w:eastAsia="Calibri" w:hint="cs"/>
          <w:rtl/>
        </w:rPr>
        <w:t xml:space="preserve"> בנושא</w:t>
      </w:r>
      <w:r w:rsidRPr="00E303AD">
        <w:rPr>
          <w:rFonts w:eastAsia="Calibri"/>
          <w:rtl/>
        </w:rPr>
        <w:t xml:space="preserve"> בשנת 2021: 12.2% בשנת 2024 לעומת 9.2% בשנת 2021</w:t>
      </w:r>
      <w:r>
        <w:rPr>
          <w:rFonts w:eastAsia="Calibri"/>
          <w:vertAlign w:val="superscript"/>
          <w:rtl/>
        </w:rPr>
        <w:footnoteReference w:id="35"/>
      </w:r>
      <w:r w:rsidRPr="00E303AD">
        <w:rPr>
          <w:rFonts w:eastAsia="Calibri"/>
          <w:rtl/>
        </w:rPr>
        <w:t xml:space="preserve">. </w:t>
      </w:r>
      <w:r w:rsidRPr="00E303AD">
        <w:rPr>
          <w:rFonts w:eastAsia="Calibri" w:hint="cs"/>
          <w:rtl/>
        </w:rPr>
        <w:t xml:space="preserve">לעומת זאת, </w:t>
      </w:r>
      <w:r w:rsidRPr="00E303AD">
        <w:rPr>
          <w:rFonts w:eastAsia="Calibri" w:hint="eastAsia"/>
          <w:rtl/>
        </w:rPr>
        <w:t>במחקר</w:t>
      </w:r>
      <w:r w:rsidRPr="00E303AD">
        <w:rPr>
          <w:rFonts w:eastAsia="Calibri"/>
          <w:rtl/>
        </w:rPr>
        <w:t xml:space="preserve"> </w:t>
      </w:r>
      <w:r w:rsidRPr="00E303AD">
        <w:rPr>
          <w:rFonts w:eastAsia="Calibri" w:hint="eastAsia"/>
          <w:rtl/>
        </w:rPr>
        <w:t>צוין</w:t>
      </w:r>
      <w:r w:rsidRPr="00E303AD">
        <w:rPr>
          <w:rFonts w:eastAsia="Calibri"/>
          <w:rtl/>
        </w:rPr>
        <w:t xml:space="preserve"> </w:t>
      </w:r>
      <w:r w:rsidRPr="00E303AD">
        <w:rPr>
          <w:rFonts w:eastAsia="Calibri" w:hint="eastAsia"/>
          <w:rtl/>
        </w:rPr>
        <w:t>כי</w:t>
      </w:r>
      <w:r w:rsidRPr="00E303AD">
        <w:rPr>
          <w:rFonts w:eastAsia="Calibri" w:hint="cs"/>
          <w:rtl/>
        </w:rPr>
        <w:t xml:space="preserve"> לפי נתוני </w:t>
      </w:r>
      <w:r w:rsidRPr="00E303AD">
        <w:rPr>
          <w:rFonts w:eastAsia="Calibri"/>
        </w:rPr>
        <w:t>Google trends</w:t>
      </w:r>
      <w:r w:rsidRPr="00E303AD">
        <w:rPr>
          <w:rFonts w:eastAsia="Calibri"/>
          <w:rtl/>
        </w:rPr>
        <w:t xml:space="preserve"> </w:t>
      </w:r>
      <w:r w:rsidRPr="00E303AD">
        <w:rPr>
          <w:rFonts w:eastAsia="Calibri" w:hint="eastAsia"/>
          <w:rtl/>
        </w:rPr>
        <w:t>בתקופת</w:t>
      </w:r>
      <w:r w:rsidRPr="00E303AD">
        <w:rPr>
          <w:rFonts w:eastAsia="Calibri"/>
          <w:rtl/>
        </w:rPr>
        <w:t xml:space="preserve"> המחקר </w:t>
      </w:r>
      <w:r w:rsidRPr="00E303AD">
        <w:rPr>
          <w:rFonts w:eastAsia="Calibri" w:hint="cs"/>
          <w:rtl/>
        </w:rPr>
        <w:t>בוצעו</w:t>
      </w:r>
      <w:r w:rsidRPr="00E303AD">
        <w:rPr>
          <w:rFonts w:eastAsia="Calibri"/>
          <w:rtl/>
        </w:rPr>
        <w:t xml:space="preserve"> פחות חיפושים של שירותי זנות לעומת התקופה שקדמה לחקיקת החוק. </w:t>
      </w:r>
      <w:r w:rsidRPr="00E303AD">
        <w:rPr>
          <w:rFonts w:eastAsia="Calibri" w:hint="cs"/>
          <w:rtl/>
        </w:rPr>
        <w:t>ממצאי המחקר גם מעידים על</w:t>
      </w:r>
      <w:r w:rsidRPr="00E303AD">
        <w:rPr>
          <w:rFonts w:eastAsia="Calibri"/>
          <w:rtl/>
        </w:rPr>
        <w:t xml:space="preserve"> צורך בהרחבת שירותי הסיוע ליציאה ממעגל הזנות ובה</w:t>
      </w:r>
      <w:r w:rsidRPr="00E303AD">
        <w:rPr>
          <w:rFonts w:eastAsia="Calibri" w:hint="cs"/>
          <w:rtl/>
        </w:rPr>
        <w:t>רחבת</w:t>
      </w:r>
      <w:r w:rsidRPr="00E303AD">
        <w:rPr>
          <w:rFonts w:eastAsia="Calibri"/>
          <w:rtl/>
        </w:rPr>
        <w:t xml:space="preserve"> פעולות ההסברה והמניעה</w:t>
      </w:r>
      <w:r w:rsidRPr="00E303AD">
        <w:rPr>
          <w:rFonts w:eastAsia="Calibri" w:hint="cs"/>
          <w:rtl/>
        </w:rPr>
        <w:t xml:space="preserve"> בנושא</w:t>
      </w:r>
      <w:r w:rsidRPr="00E303AD">
        <w:rPr>
          <w:rFonts w:eastAsia="Calibri"/>
          <w:rtl/>
        </w:rPr>
        <w:t>.</w:t>
      </w:r>
    </w:p>
    <w:p w:rsidR="00E303AD" w:rsidRPr="00E303AD" w:rsidP="00E303AD">
      <w:pPr>
        <w:spacing w:line="269" w:lineRule="auto"/>
        <w:ind w:left="-567"/>
        <w:rPr>
          <w:rFonts w:eastAsia="Calibri"/>
          <w:szCs w:val="20"/>
          <w:rtl/>
        </w:rPr>
      </w:pPr>
      <w:r w:rsidRPr="00E303AD">
        <w:rPr>
          <w:rFonts w:eastAsia="Calibri"/>
          <w:szCs w:val="20"/>
        </w:rPr>
        <w:t xml:space="preserve"> </w:t>
      </w:r>
    </w:p>
    <w:p w:rsidR="00E303AD" w:rsidP="00E303AD">
      <w:pPr>
        <w:spacing w:line="269" w:lineRule="auto"/>
        <w:rPr>
          <w:rFonts w:eastAsia="Calibri"/>
          <w:rtl/>
        </w:rPr>
      </w:pPr>
      <w:r w:rsidRPr="00E303AD">
        <w:rPr>
          <w:rFonts w:eastAsia="Calibri" w:hint="cs"/>
          <w:rtl/>
        </w:rPr>
        <w:t xml:space="preserve">יצוין כי </w:t>
      </w:r>
      <w:r w:rsidRPr="00E303AD">
        <w:rPr>
          <w:rFonts w:eastAsia="Calibri"/>
          <w:rtl/>
        </w:rPr>
        <w:t>ב</w:t>
      </w:r>
      <w:r w:rsidRPr="00E303AD">
        <w:rPr>
          <w:rFonts w:eastAsia="Calibri" w:hint="cs"/>
          <w:rtl/>
        </w:rPr>
        <w:t>יוני</w:t>
      </w:r>
      <w:r w:rsidRPr="00E303AD">
        <w:rPr>
          <w:rFonts w:eastAsia="Calibri"/>
          <w:rtl/>
        </w:rPr>
        <w:t xml:space="preserve"> 2025 החליטה הכנסת להותיר את חוק</w:t>
      </w:r>
      <w:r w:rsidRPr="00E303AD">
        <w:rPr>
          <w:rFonts w:eastAsia="Calibri" w:hint="cs"/>
          <w:rtl/>
        </w:rPr>
        <w:t xml:space="preserve"> איסור צריכת זנות</w:t>
      </w:r>
      <w:r w:rsidRPr="00E303AD">
        <w:rPr>
          <w:rFonts w:eastAsia="Calibri"/>
          <w:rtl/>
        </w:rPr>
        <w:t xml:space="preserve"> כהוראת שעה ל</w:t>
      </w:r>
      <w:r w:rsidRPr="00E303AD">
        <w:rPr>
          <w:rFonts w:eastAsia="Calibri" w:hint="cs"/>
          <w:rtl/>
        </w:rPr>
        <w:t xml:space="preserve">משך </w:t>
      </w:r>
      <w:r w:rsidRPr="00E303AD">
        <w:rPr>
          <w:rFonts w:eastAsia="Calibri"/>
          <w:rtl/>
        </w:rPr>
        <w:t>חמש שנים נוספות</w:t>
      </w:r>
      <w:r>
        <w:rPr>
          <w:rFonts w:eastAsia="Calibri"/>
          <w:vertAlign w:val="superscript"/>
          <w:rtl/>
        </w:rPr>
        <w:footnoteReference w:id="36"/>
      </w:r>
      <w:r w:rsidRPr="00E303AD">
        <w:rPr>
          <w:rFonts w:eastAsia="Calibri" w:hint="cs"/>
          <w:rtl/>
        </w:rPr>
        <w:t>.</w:t>
      </w:r>
    </w:p>
    <w:p w:rsidR="00562836" w:rsidRPr="00E303AD" w:rsidP="00E303AD">
      <w:pPr>
        <w:spacing w:line="269" w:lineRule="auto"/>
        <w:rPr>
          <w:rFonts w:eastAsia="Calibri"/>
          <w:rtl/>
        </w:rPr>
      </w:pPr>
    </w:p>
    <w:p w:rsidR="00E303AD" w:rsidRPr="00E303AD" w:rsidP="00E303AD">
      <w:pPr>
        <w:keepNext/>
        <w:keepLines/>
        <w:spacing w:line="269" w:lineRule="auto"/>
        <w:outlineLvl w:val="2"/>
        <w:rPr>
          <w:rFonts w:eastAsia="Times New Roman"/>
          <w:bCs/>
          <w:szCs w:val="28"/>
          <w:u w:val="single"/>
          <w:rtl/>
        </w:rPr>
      </w:pPr>
      <w:bookmarkStart w:id="20" w:name="_Toc221474962"/>
      <w:bookmarkStart w:id="21" w:name="_Toc221475106"/>
      <w:bookmarkStart w:id="22" w:name="_Toc224808274"/>
      <w:bookmarkStart w:id="23" w:name="_Toc232696557"/>
      <w:r w:rsidRPr="00E303AD">
        <w:rPr>
          <w:rFonts w:eastAsia="Times New Roman" w:hint="cs"/>
          <w:bCs/>
          <w:szCs w:val="28"/>
          <w:u w:val="single"/>
          <w:rtl/>
        </w:rPr>
        <w:t>פעולות הביקורת</w:t>
      </w:r>
      <w:bookmarkEnd w:id="20"/>
      <w:bookmarkEnd w:id="21"/>
      <w:bookmarkEnd w:id="22"/>
      <w:bookmarkEnd w:id="23"/>
    </w:p>
    <w:p w:rsidR="00E303AD" w:rsidRPr="00E303AD" w:rsidP="00E303AD">
      <w:pPr>
        <w:spacing w:line="269" w:lineRule="auto"/>
        <w:ind w:left="-567"/>
        <w:rPr>
          <w:rFonts w:eastAsia="Calibri"/>
          <w:szCs w:val="20"/>
          <w:rtl/>
        </w:rPr>
      </w:pPr>
      <w:r w:rsidRPr="00E303AD">
        <w:rPr>
          <w:rFonts w:eastAsia="Calibri"/>
          <w:szCs w:val="20"/>
        </w:rPr>
        <w:t xml:space="preserve"> </w:t>
      </w:r>
    </w:p>
    <w:p w:rsidR="00E303AD" w:rsidRPr="00E303AD" w:rsidP="00E303AD">
      <w:pPr>
        <w:spacing w:line="269" w:lineRule="auto"/>
        <w:rPr>
          <w:rFonts w:eastAsia="Calibri"/>
          <w:rtl/>
        </w:rPr>
      </w:pPr>
      <w:r w:rsidRPr="00E303AD">
        <w:rPr>
          <w:rFonts w:eastAsia="Calibri" w:hint="cs"/>
          <w:rtl/>
        </w:rPr>
        <w:t xml:space="preserve">בחודשים דצמבר 2024 עד יולי 2025 בדק משרד מבקר המדינה היבטים </w:t>
      </w:r>
      <w:r w:rsidRPr="00E303AD">
        <w:rPr>
          <w:rFonts w:eastAsia="Calibri"/>
          <w:rtl/>
        </w:rPr>
        <w:t xml:space="preserve">במאבק בתופעת </w:t>
      </w:r>
      <w:r w:rsidRPr="00E303AD">
        <w:rPr>
          <w:rFonts w:eastAsia="Calibri" w:hint="cs"/>
          <w:rtl/>
        </w:rPr>
        <w:t>הסחר בבני אדם לצורכי מין ובתופעת הזנות</w:t>
      </w:r>
      <w:r w:rsidRPr="00E303AD">
        <w:rPr>
          <w:rFonts w:eastAsia="Calibri"/>
          <w:rtl/>
        </w:rPr>
        <w:t xml:space="preserve">. </w:t>
      </w:r>
      <w:r w:rsidRPr="00E303AD">
        <w:rPr>
          <w:rFonts w:eastAsia="Calibri" w:hint="cs"/>
          <w:rtl/>
        </w:rPr>
        <w:t xml:space="preserve">בביקורת נבחנו פעולות מערכת </w:t>
      </w:r>
      <w:r w:rsidRPr="00E303AD">
        <w:rPr>
          <w:rFonts w:eastAsia="Calibri"/>
          <w:rtl/>
        </w:rPr>
        <w:t>אכיפ</w:t>
      </w:r>
      <w:r w:rsidRPr="00E303AD">
        <w:rPr>
          <w:rFonts w:eastAsia="Calibri" w:hint="cs"/>
          <w:rtl/>
        </w:rPr>
        <w:t>ת החוק לצמצום תופעת הזנות</w:t>
      </w:r>
      <w:r>
        <w:rPr>
          <w:rFonts w:eastAsia="Calibri"/>
          <w:vertAlign w:val="superscript"/>
          <w:rtl/>
        </w:rPr>
        <w:footnoteReference w:id="37"/>
      </w:r>
      <w:r w:rsidRPr="00E303AD">
        <w:rPr>
          <w:rFonts w:eastAsia="Calibri" w:hint="cs"/>
          <w:rtl/>
        </w:rPr>
        <w:t xml:space="preserve"> ולטיפול בעבירות סחר בבני אדם </w:t>
      </w:r>
      <w:r w:rsidRPr="00E303AD">
        <w:rPr>
          <w:rFonts w:eastAsia="Calibri" w:hint="eastAsia"/>
          <w:rtl/>
        </w:rPr>
        <w:t>למטרות</w:t>
      </w:r>
      <w:r w:rsidRPr="00E303AD">
        <w:rPr>
          <w:rFonts w:eastAsia="Calibri" w:hint="cs"/>
          <w:rtl/>
        </w:rPr>
        <w:t xml:space="preserve"> זנות; תהליך קבלת ההחלטות בנוגע לאשרות השהייה בישראל הניתנות לקורבנות סחר בבני אדם </w:t>
      </w:r>
      <w:r w:rsidRPr="00E303AD">
        <w:rPr>
          <w:rFonts w:eastAsia="Calibri" w:hint="eastAsia"/>
          <w:rtl/>
        </w:rPr>
        <w:t>למטר</w:t>
      </w:r>
      <w:r w:rsidRPr="00E303AD">
        <w:rPr>
          <w:rFonts w:eastAsia="Calibri" w:hint="cs"/>
          <w:rtl/>
        </w:rPr>
        <w:t>ו</w:t>
      </w:r>
      <w:r w:rsidRPr="00E303AD">
        <w:rPr>
          <w:rFonts w:eastAsia="Calibri" w:hint="eastAsia"/>
          <w:rtl/>
        </w:rPr>
        <w:t>ת</w:t>
      </w:r>
      <w:r w:rsidRPr="00E303AD">
        <w:rPr>
          <w:rFonts w:eastAsia="Calibri"/>
          <w:rtl/>
        </w:rPr>
        <w:t xml:space="preserve"> </w:t>
      </w:r>
      <w:r w:rsidRPr="00E303AD">
        <w:rPr>
          <w:rFonts w:eastAsia="Calibri" w:hint="cs"/>
          <w:rtl/>
        </w:rPr>
        <w:t>זנות על ידי רשות האוכלוסין; שיתוף הפעולה והתיאום בין הגורמים הממשלתיים הרלוונטיים.</w:t>
      </w:r>
      <w:r w:rsidRPr="00E303AD">
        <w:rPr>
          <w:rFonts w:eastAsia="Calibri"/>
          <w:rtl/>
        </w:rPr>
        <w:t xml:space="preserve"> </w:t>
      </w:r>
      <w:r w:rsidRPr="00E303AD">
        <w:rPr>
          <w:rFonts w:eastAsia="Calibri" w:hint="eastAsia"/>
          <w:rtl/>
        </w:rPr>
        <w:t>כל</w:t>
      </w:r>
      <w:r w:rsidRPr="00E303AD">
        <w:rPr>
          <w:rFonts w:eastAsia="Calibri"/>
          <w:rtl/>
        </w:rPr>
        <w:t xml:space="preserve"> זאת על רקע המגמות המשתנות </w:t>
      </w:r>
      <w:r w:rsidRPr="00E303AD">
        <w:rPr>
          <w:rFonts w:eastAsia="Calibri" w:hint="eastAsia"/>
          <w:rtl/>
        </w:rPr>
        <w:t>בנוגע</w:t>
      </w:r>
      <w:r w:rsidRPr="00E303AD">
        <w:rPr>
          <w:rFonts w:eastAsia="Calibri"/>
          <w:rtl/>
        </w:rPr>
        <w:t xml:space="preserve"> </w:t>
      </w:r>
      <w:r w:rsidRPr="00E303AD">
        <w:rPr>
          <w:rFonts w:eastAsia="Calibri" w:hint="eastAsia"/>
          <w:rtl/>
        </w:rPr>
        <w:t>לתופעות</w:t>
      </w:r>
      <w:r w:rsidRPr="00E303AD">
        <w:rPr>
          <w:rFonts w:eastAsia="Calibri"/>
          <w:rtl/>
        </w:rPr>
        <w:t xml:space="preserve"> </w:t>
      </w:r>
      <w:r w:rsidRPr="00E303AD">
        <w:rPr>
          <w:rFonts w:eastAsia="Calibri" w:hint="eastAsia"/>
          <w:rtl/>
        </w:rPr>
        <w:t>הזנות</w:t>
      </w:r>
      <w:r w:rsidRPr="00E303AD">
        <w:rPr>
          <w:rFonts w:eastAsia="Calibri"/>
          <w:rtl/>
        </w:rPr>
        <w:t xml:space="preserve"> </w:t>
      </w:r>
      <w:r w:rsidRPr="00E303AD">
        <w:rPr>
          <w:rFonts w:eastAsia="Calibri" w:hint="eastAsia"/>
          <w:rtl/>
        </w:rPr>
        <w:t>והסחר</w:t>
      </w:r>
      <w:r w:rsidRPr="00E303AD">
        <w:rPr>
          <w:rFonts w:eastAsia="Calibri"/>
          <w:rtl/>
        </w:rPr>
        <w:t xml:space="preserve"> </w:t>
      </w:r>
      <w:r w:rsidRPr="00E303AD">
        <w:rPr>
          <w:rFonts w:eastAsia="Calibri" w:hint="eastAsia"/>
          <w:rtl/>
        </w:rPr>
        <w:t>בבני</w:t>
      </w:r>
      <w:r w:rsidRPr="00E303AD">
        <w:rPr>
          <w:rFonts w:eastAsia="Calibri"/>
          <w:rtl/>
        </w:rPr>
        <w:t xml:space="preserve"> </w:t>
      </w:r>
      <w:r w:rsidRPr="00E303AD">
        <w:rPr>
          <w:rFonts w:eastAsia="Calibri" w:hint="eastAsia"/>
          <w:rtl/>
        </w:rPr>
        <w:t>אדם</w:t>
      </w:r>
      <w:r w:rsidRPr="00E303AD">
        <w:rPr>
          <w:rFonts w:eastAsia="Calibri"/>
          <w:rtl/>
        </w:rPr>
        <w:t xml:space="preserve">. בכך </w:t>
      </w:r>
      <w:r w:rsidRPr="00E303AD">
        <w:rPr>
          <w:rFonts w:eastAsia="Calibri" w:hint="eastAsia"/>
          <w:rtl/>
        </w:rPr>
        <w:t>נועדה</w:t>
      </w:r>
      <w:r w:rsidRPr="00E303AD">
        <w:rPr>
          <w:rFonts w:eastAsia="Calibri"/>
          <w:rtl/>
        </w:rPr>
        <w:t xml:space="preserve"> </w:t>
      </w:r>
      <w:r w:rsidRPr="00E303AD">
        <w:rPr>
          <w:rFonts w:eastAsia="Calibri" w:hint="eastAsia"/>
          <w:rtl/>
        </w:rPr>
        <w:t>הביקורת</w:t>
      </w:r>
      <w:r w:rsidRPr="00E303AD">
        <w:rPr>
          <w:rFonts w:eastAsia="Calibri"/>
          <w:rtl/>
        </w:rPr>
        <w:t xml:space="preserve"> לסייע ב</w:t>
      </w:r>
      <w:r w:rsidRPr="00E303AD">
        <w:rPr>
          <w:rFonts w:eastAsia="Calibri" w:hint="eastAsia"/>
          <w:rtl/>
        </w:rPr>
        <w:t>גיבוש</w:t>
      </w:r>
      <w:r w:rsidRPr="00E303AD">
        <w:rPr>
          <w:rFonts w:eastAsia="Calibri"/>
          <w:rtl/>
        </w:rPr>
        <w:t xml:space="preserve"> צעדים מערכתיים שיבטיחו הגנה אפקטיבית על כבוד האדם ועל זכויות האדם של כלל הנפגעות והנפגעים מתופע</w:t>
      </w:r>
      <w:r w:rsidRPr="00E303AD">
        <w:rPr>
          <w:rFonts w:eastAsia="Calibri" w:hint="eastAsia"/>
          <w:rtl/>
        </w:rPr>
        <w:t>ות</w:t>
      </w:r>
      <w:r w:rsidRPr="00E303AD">
        <w:rPr>
          <w:rFonts w:eastAsia="Calibri"/>
          <w:rtl/>
        </w:rPr>
        <w:t xml:space="preserve"> </w:t>
      </w:r>
      <w:r w:rsidRPr="00E303AD">
        <w:rPr>
          <w:rFonts w:eastAsia="Calibri" w:hint="eastAsia"/>
          <w:rtl/>
        </w:rPr>
        <w:t>הסחר</w:t>
      </w:r>
      <w:r w:rsidRPr="00E303AD">
        <w:rPr>
          <w:rFonts w:eastAsia="Calibri"/>
          <w:rtl/>
        </w:rPr>
        <w:t xml:space="preserve"> </w:t>
      </w:r>
      <w:r w:rsidRPr="00E303AD">
        <w:rPr>
          <w:rFonts w:eastAsia="Calibri" w:hint="eastAsia"/>
          <w:rtl/>
        </w:rPr>
        <w:t>בבני</w:t>
      </w:r>
      <w:r w:rsidRPr="00E303AD">
        <w:rPr>
          <w:rFonts w:eastAsia="Calibri"/>
          <w:rtl/>
        </w:rPr>
        <w:t xml:space="preserve"> </w:t>
      </w:r>
      <w:r w:rsidRPr="00E303AD">
        <w:rPr>
          <w:rFonts w:eastAsia="Calibri" w:hint="eastAsia"/>
          <w:rtl/>
        </w:rPr>
        <w:t>אדם</w:t>
      </w:r>
      <w:r w:rsidRPr="00E303AD">
        <w:rPr>
          <w:rFonts w:eastAsia="Calibri"/>
          <w:rtl/>
        </w:rPr>
        <w:t xml:space="preserve"> </w:t>
      </w:r>
      <w:r w:rsidRPr="00E303AD">
        <w:rPr>
          <w:rFonts w:eastAsia="Calibri" w:hint="eastAsia"/>
          <w:rtl/>
        </w:rPr>
        <w:t>והזנות</w:t>
      </w:r>
      <w:r w:rsidRPr="00E303AD">
        <w:rPr>
          <w:rFonts w:eastAsia="Calibri"/>
        </w:rPr>
        <w:t>.</w:t>
      </w:r>
    </w:p>
    <w:p w:rsidR="00E303AD" w:rsidRPr="00E303AD" w:rsidP="00E303AD">
      <w:pPr>
        <w:spacing w:line="269" w:lineRule="auto"/>
        <w:ind w:left="-567"/>
        <w:rPr>
          <w:rFonts w:eastAsia="Calibri"/>
          <w:szCs w:val="20"/>
          <w:rtl/>
        </w:rPr>
      </w:pPr>
      <w:r w:rsidRPr="00E303AD">
        <w:rPr>
          <w:rFonts w:eastAsia="Calibri"/>
          <w:szCs w:val="20"/>
        </w:rPr>
        <w:t xml:space="preserve"> </w:t>
      </w:r>
    </w:p>
    <w:p w:rsidR="00E303AD" w:rsidRPr="00E303AD" w:rsidP="00E303AD">
      <w:pPr>
        <w:spacing w:line="269" w:lineRule="auto"/>
        <w:rPr>
          <w:rFonts w:eastAsia="Calibri"/>
          <w:rtl/>
        </w:rPr>
      </w:pPr>
      <w:r w:rsidRPr="00E303AD">
        <w:rPr>
          <w:rFonts w:eastAsia="Calibri" w:hint="cs"/>
          <w:rtl/>
        </w:rPr>
        <w:t>הביקורת בוצעה במשרד המשפטים, במשטרה וברשות האוכלוסין. בדיקות השלמה נעשו במשרד הרווחה ובמשרד הבריאות. התקיים ביקור במקלט לקורבנות סחר בבני אדם, במרפאת לוינסקי של משרד הבריאות ובנמל התעופה בן גוריון; התקיימו שיחות עם נשים שורדות זנות ועם קורבן סחר בבני אדם</w:t>
      </w:r>
      <w:r>
        <w:rPr>
          <w:rFonts w:eastAsia="Calibri"/>
          <w:vertAlign w:val="superscript"/>
          <w:rtl/>
        </w:rPr>
        <w:footnoteReference w:id="38"/>
      </w:r>
      <w:r w:rsidRPr="00E303AD">
        <w:rPr>
          <w:rFonts w:eastAsia="Calibri" w:hint="cs"/>
          <w:rtl/>
        </w:rPr>
        <w:t>; והתקיימו פגישות עם חוקרים במכון ברוקדייל ועם נציגים מארגוני המגזר השלישי העוסקים בתחומים אלה. ל</w:t>
      </w:r>
      <w:r w:rsidRPr="00E303AD">
        <w:rPr>
          <w:rFonts w:eastAsia="Calibri"/>
          <w:rtl/>
        </w:rPr>
        <w:t>צד ביקורת זו מבצע משרד מבקר המדינה ביקורת נוספת הבוחנת היבטים אחרים הנוגעים להתמודדות הרשויות המקומיות וגופי שלטון מרכזי נוספים כמו משרד הרווחה ומשרד הבריאות עם תופעת הזנות</w:t>
      </w:r>
      <w:r w:rsidRPr="00E303AD">
        <w:rPr>
          <w:rFonts w:eastAsia="Calibri" w:hint="cs"/>
          <w:rtl/>
        </w:rPr>
        <w:t xml:space="preserve">. </w:t>
      </w:r>
    </w:p>
    <w:p w:rsidR="00E303AD" w:rsidRPr="00E303AD" w:rsidP="00E303AD">
      <w:pPr>
        <w:spacing w:line="269" w:lineRule="auto"/>
        <w:rPr>
          <w:rFonts w:eastAsia="Calibri"/>
          <w:rtl/>
        </w:rPr>
      </w:pPr>
    </w:p>
    <w:p w:rsidR="00E303AD" w:rsidRPr="00E303AD" w:rsidP="00E303AD">
      <w:pPr>
        <w:spacing w:line="269" w:lineRule="auto"/>
        <w:rPr>
          <w:rFonts w:eastAsia="Calibri"/>
          <w:rtl/>
        </w:rPr>
      </w:pPr>
      <w:r w:rsidRPr="00E303AD">
        <w:rPr>
          <w:rFonts w:eastAsia="Calibri"/>
          <w:noProof/>
        </w:rPr>
        <w:drawing>
          <wp:inline distT="0" distB="0" distL="0" distR="0">
            <wp:extent cx="5220335" cy="970280"/>
            <wp:effectExtent l="0" t="0" r="0" b="127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8"/>
                    <a:stretch>
                      <a:fillRect/>
                    </a:stretch>
                  </pic:blipFill>
                  <pic:spPr>
                    <a:xfrm>
                      <a:off x="0" y="0"/>
                      <a:ext cx="5220335" cy="970280"/>
                    </a:xfrm>
                    <a:prstGeom prst="rect">
                      <a:avLst/>
                    </a:prstGeom>
                  </pic:spPr>
                </pic:pic>
              </a:graphicData>
            </a:graphic>
          </wp:inline>
        </w:drawing>
      </w:r>
      <w:r w:rsidRPr="00E303AD">
        <w:rPr>
          <w:rFonts w:ascii="Almoni Tzar ML v5 AAA" w:eastAsia="Calibri" w:hAnsi="Almoni Tzar ML v5 AAA" w:cs="Almoni Tzar ML v5 AAA"/>
          <w:noProof/>
          <w:sz w:val="28"/>
          <w:szCs w:val="28"/>
          <w:rtl/>
        </w:rPr>
        <mc:AlternateContent>
          <mc:Choice Requires="wpg">
            <w:drawing>
              <wp:anchor distT="0" distB="0" distL="114300" distR="114300" simplePos="0" relativeHeight="251658240" behindDoc="0" locked="0" layoutInCell="1" allowOverlap="1">
                <wp:simplePos x="0" y="0"/>
                <wp:positionH relativeFrom="column">
                  <wp:posOffset>7404735</wp:posOffset>
                </wp:positionH>
                <wp:positionV relativeFrom="paragraph">
                  <wp:posOffset>0</wp:posOffset>
                </wp:positionV>
                <wp:extent cx="271463" cy="266700"/>
                <wp:effectExtent l="0" t="0" r="0" b="0"/>
                <wp:wrapNone/>
                <wp:docPr id="14" name="קבוצה 22"/>
                <wp:cNvGraphicFramePr/>
                <a:graphic xmlns:a="http://schemas.openxmlformats.org/drawingml/2006/main">
                  <a:graphicData uri="http://schemas.microsoft.com/office/word/2010/wordprocessingGroup">
                    <wpg:wgp xmlns:wpg="http://schemas.microsoft.com/office/word/2010/wordprocessingGroup">
                      <wpg:cNvGrpSpPr/>
                      <wpg:grpSpPr>
                        <a:xfrm>
                          <a:off x="0" y="0"/>
                          <a:ext cx="271463" cy="266700"/>
                          <a:chOff x="0" y="0"/>
                          <a:chExt cx="1781175" cy="1781175"/>
                        </a:xfrm>
                      </wpg:grpSpPr>
                      <pic:pic xmlns:pic="http://schemas.openxmlformats.org/drawingml/2006/picture">
                        <pic:nvPicPr>
                          <pic:cNvPr id="15" name="תמונה 15"/>
                          <pic:cNvPicPr>
                            <a:picLocks noChangeAspect="1"/>
                          </pic:cNvPicPr>
                        </pic:nvPicPr>
                        <pic:blipFill>
                          <a:blip xmlns:r="http://schemas.openxmlformats.org/officeDocument/2006/relationships" r:embed="rId9">
                            <a:clrChange>
                              <a:clrFrom>
                                <a:srgbClr val="FFFFFF"/>
                              </a:clrFrom>
                              <a:clrTo>
                                <a:srgbClr val="FFFFFF">
                                  <a:alpha val="0"/>
                                </a:srgbClr>
                              </a:clrTo>
                            </a:clrChange>
                          </a:blip>
                          <a:stretch>
                            <a:fillRect/>
                          </a:stretch>
                        </pic:blipFill>
                        <pic:spPr>
                          <a:xfrm>
                            <a:off x="0" y="0"/>
                            <a:ext cx="1781175" cy="1781175"/>
                          </a:xfrm>
                          <a:prstGeom prst="rect">
                            <a:avLst/>
                          </a:prstGeom>
                        </pic:spPr>
                      </pic:pic>
                      <pic:pic xmlns:pic="http://schemas.openxmlformats.org/drawingml/2006/picture">
                        <pic:nvPicPr>
                          <pic:cNvPr id="17" name="תמונה 17"/>
                          <pic:cNvPicPr>
                            <a:picLocks noChangeAspect="1"/>
                          </pic:cNvPicPr>
                        </pic:nvPicPr>
                        <pic:blipFill>
                          <a:blip xmlns:r="http://schemas.openxmlformats.org/officeDocument/2006/relationships" r:embed="rId10"/>
                          <a:srcRect l="16969" t="20795" r="16969" b="20795"/>
                          <a:stretch>
                            <a:fillRect/>
                          </a:stretch>
                        </pic:blipFill>
                        <pic:spPr>
                          <a:xfrm>
                            <a:off x="302249" y="371444"/>
                            <a:ext cx="1176676" cy="104039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קבוצה 22" o:spid="_x0000_s1025" style="width:21.4pt;height:21pt;margin-top:0;margin-left:583.05pt;mso-height-relative:margin;mso-width-relative:margin;position:absolute;z-index:251659264" coordsize="17811,17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5" o:spid="_x0000_s1026" type="#_x0000_t75" style="width:17811;height:17811;mso-wrap-style:square;position:absolute;visibility:visible">
                  <v:imagedata r:id="rId9" o:title="" chromakey="white"/>
                </v:shape>
                <v:shape id="תמונה 17" o:spid="_x0000_s1027" type="#_x0000_t75" style="width:11767;height:10404;left:3022;mso-wrap-style:square;position:absolute;top:3714;visibility:visible">
                  <v:imagedata r:id="rId10" o:title="" croptop="13628f" cropbottom="13628f" cropleft="11121f" cropright="11121f"/>
                </v:shape>
              </v:group>
            </w:pict>
          </mc:Fallback>
        </mc:AlternateContent>
      </w:r>
    </w:p>
    <w:p w:rsidR="00562836" w:rsidP="00522B30">
      <w:pPr>
        <w:spacing w:line="269" w:lineRule="auto"/>
        <w:rPr>
          <w:rFonts w:eastAsia="Calibri"/>
          <w:rtl/>
        </w:rPr>
      </w:pPr>
      <w:bookmarkStart w:id="24" w:name="_Toc221474963"/>
      <w:bookmarkStart w:id="25" w:name="_Toc224808275"/>
      <w:bookmarkStart w:id="26" w:name="_Toc232696558"/>
      <w:bookmarkEnd w:id="3"/>
    </w:p>
    <w:p w:rsidR="00205877" w:rsidRPr="00522B30" w:rsidP="00522B30">
      <w:pPr>
        <w:spacing w:line="269" w:lineRule="auto"/>
        <w:rPr>
          <w:rFonts w:eastAsia="Calibri"/>
          <w:rtl/>
        </w:rPr>
      </w:pPr>
    </w:p>
    <w:p w:rsidR="00E303AD" w:rsidRPr="00E303AD" w:rsidP="00E303AD">
      <w:pPr>
        <w:keepNext/>
        <w:keepLines/>
        <w:spacing w:line="269" w:lineRule="auto"/>
        <w:jc w:val="center"/>
        <w:outlineLvl w:val="1"/>
        <w:rPr>
          <w:rFonts w:eastAsia="Times New Roman"/>
          <w:bCs/>
          <w:szCs w:val="32"/>
          <w:rtl/>
        </w:rPr>
      </w:pPr>
      <w:r w:rsidRPr="00E303AD">
        <w:rPr>
          <w:rFonts w:eastAsia="Times New Roman" w:hint="cs"/>
          <w:bCs/>
          <w:szCs w:val="32"/>
          <w:rtl/>
        </w:rPr>
        <w:t>אכיפת חוק איסור צריכת זנות</w:t>
      </w:r>
      <w:bookmarkEnd w:id="24"/>
      <w:bookmarkEnd w:id="25"/>
      <w:bookmarkEnd w:id="26"/>
    </w:p>
    <w:p w:rsidR="00E303AD" w:rsidRPr="00E303AD" w:rsidP="00E303AD">
      <w:pPr>
        <w:spacing w:line="269" w:lineRule="auto"/>
        <w:ind w:left="-567"/>
        <w:rPr>
          <w:rFonts w:eastAsia="Calibri"/>
          <w:szCs w:val="20"/>
          <w:rtl/>
        </w:rPr>
      </w:pPr>
      <w:r w:rsidRPr="00E303AD">
        <w:rPr>
          <w:rFonts w:eastAsia="Calibri"/>
          <w:szCs w:val="20"/>
        </w:rPr>
        <w:t xml:space="preserve"> </w:t>
      </w:r>
    </w:p>
    <w:p w:rsidR="00E303AD" w:rsidRPr="00E303AD" w:rsidP="00E303AD">
      <w:pPr>
        <w:spacing w:line="269" w:lineRule="auto"/>
        <w:rPr>
          <w:rFonts w:eastAsia="Calibri"/>
          <w:rtl/>
        </w:rPr>
      </w:pPr>
      <w:r w:rsidRPr="00E303AD">
        <w:rPr>
          <w:rFonts w:eastAsia="Calibri" w:hint="cs"/>
          <w:rtl/>
        </w:rPr>
        <w:t xml:space="preserve">תופעת הזנות בישראל עוררה במשך השנים מחלוקות חברתיות ומשפטיות. ממחקרים ומעדויות בנושא עולה שרבים מהאנשים במעגל הזנות חווים ניצול, פגיעות גופניות ונפשיות, ולעיתים אף </w:t>
      </w:r>
      <w:r w:rsidRPr="00E303AD">
        <w:rPr>
          <w:rFonts w:eastAsia="Calibri" w:hint="eastAsia"/>
          <w:rtl/>
        </w:rPr>
        <w:t>נפגעים</w:t>
      </w:r>
      <w:r w:rsidRPr="00E303AD">
        <w:rPr>
          <w:rFonts w:eastAsia="Calibri"/>
          <w:rtl/>
        </w:rPr>
        <w:t xml:space="preserve"> </w:t>
      </w:r>
      <w:r w:rsidRPr="00E303AD">
        <w:rPr>
          <w:rFonts w:eastAsia="Calibri" w:hint="eastAsia"/>
          <w:rtl/>
        </w:rPr>
        <w:t>מתופעות</w:t>
      </w:r>
      <w:r w:rsidRPr="00E303AD">
        <w:rPr>
          <w:rFonts w:eastAsia="Calibri" w:hint="cs"/>
          <w:rtl/>
        </w:rPr>
        <w:t xml:space="preserve"> חמורות נלוות כדוגמת סרסרות, סחר בבני אדם ושידול קטינים לעסוק בזנות</w:t>
      </w:r>
      <w:r>
        <w:rPr>
          <w:rFonts w:eastAsia="Calibri"/>
          <w:vertAlign w:val="superscript"/>
          <w:rtl/>
        </w:rPr>
        <w:footnoteReference w:id="39"/>
      </w:r>
      <w:r w:rsidRPr="00E303AD">
        <w:rPr>
          <w:rFonts w:eastAsia="Calibri" w:hint="cs"/>
          <w:rtl/>
        </w:rPr>
        <w:t xml:space="preserve">. אומנם </w:t>
      </w:r>
      <w:r w:rsidRPr="00E303AD">
        <w:rPr>
          <w:rFonts w:eastAsia="Calibri"/>
          <w:rtl/>
        </w:rPr>
        <w:t>גם</w:t>
      </w:r>
      <w:r w:rsidRPr="00E303AD">
        <w:rPr>
          <w:rFonts w:eastAsia="Calibri" w:hint="cs"/>
          <w:rtl/>
        </w:rPr>
        <w:t xml:space="preserve"> בעבר המדינה ראתה</w:t>
      </w:r>
      <w:r w:rsidRPr="00E303AD">
        <w:rPr>
          <w:rFonts w:eastAsia="Calibri"/>
          <w:rtl/>
        </w:rPr>
        <w:t xml:space="preserve"> </w:t>
      </w:r>
      <w:r w:rsidRPr="00E303AD">
        <w:rPr>
          <w:rFonts w:eastAsia="Calibri" w:hint="cs"/>
          <w:rtl/>
        </w:rPr>
        <w:t>ב</w:t>
      </w:r>
      <w:r w:rsidRPr="00E303AD">
        <w:rPr>
          <w:rFonts w:eastAsia="Calibri"/>
          <w:rtl/>
        </w:rPr>
        <w:t>זנות</w:t>
      </w:r>
      <w:r w:rsidRPr="00E303AD">
        <w:rPr>
          <w:rFonts w:eastAsia="Calibri" w:hint="cs"/>
          <w:rtl/>
        </w:rPr>
        <w:t xml:space="preserve"> </w:t>
      </w:r>
      <w:r w:rsidRPr="00E303AD">
        <w:rPr>
          <w:rFonts w:eastAsia="Calibri"/>
          <w:rtl/>
        </w:rPr>
        <w:t>תופעה פוגענית ושלילית</w:t>
      </w:r>
      <w:r w:rsidRPr="00E303AD">
        <w:rPr>
          <w:rFonts w:eastAsia="Calibri" w:hint="cs"/>
          <w:rtl/>
        </w:rPr>
        <w:t>,</w:t>
      </w:r>
      <w:r w:rsidRPr="00E303AD">
        <w:rPr>
          <w:rFonts w:eastAsia="Calibri"/>
          <w:rtl/>
        </w:rPr>
        <w:t xml:space="preserve"> </w:t>
      </w:r>
      <w:r w:rsidRPr="00E303AD">
        <w:rPr>
          <w:rFonts w:eastAsia="Calibri" w:hint="cs"/>
          <w:rtl/>
        </w:rPr>
        <w:t>ו</w:t>
      </w:r>
      <w:r w:rsidRPr="00E303AD">
        <w:rPr>
          <w:rFonts w:eastAsia="Calibri"/>
          <w:rtl/>
        </w:rPr>
        <w:t xml:space="preserve">חוק </w:t>
      </w:r>
      <w:r w:rsidRPr="00E303AD">
        <w:rPr>
          <w:rFonts w:eastAsia="Calibri" w:hint="cs"/>
          <w:rtl/>
        </w:rPr>
        <w:t xml:space="preserve">העונשין </w:t>
      </w:r>
      <w:r w:rsidRPr="00E303AD">
        <w:rPr>
          <w:rFonts w:eastAsia="Calibri"/>
          <w:rtl/>
        </w:rPr>
        <w:t xml:space="preserve">הפליל את הגורמים המחוללים </w:t>
      </w:r>
      <w:r w:rsidRPr="00E303AD">
        <w:rPr>
          <w:rFonts w:eastAsia="Calibri" w:hint="cs"/>
          <w:rtl/>
        </w:rPr>
        <w:t>אותה ואסר על הפעלת בתי בושת, על סרסרות ועל סחר בנשים, אך עד לחקיקת חוק איסור צריכת זנות בשנת 2019 לא היה איסור על עצם צריכת הזנות</w:t>
      </w:r>
      <w:r>
        <w:rPr>
          <w:rFonts w:eastAsia="Calibri"/>
          <w:vertAlign w:val="superscript"/>
          <w:rtl/>
        </w:rPr>
        <w:footnoteReference w:id="40"/>
      </w:r>
      <w:r w:rsidRPr="00E303AD">
        <w:rPr>
          <w:rFonts w:eastAsia="Calibri" w:hint="cs"/>
          <w:rtl/>
        </w:rPr>
        <w:t xml:space="preserve">. </w:t>
      </w:r>
      <w:r w:rsidRPr="00E303AD">
        <w:rPr>
          <w:rFonts w:eastAsia="Calibri"/>
          <w:rtl/>
        </w:rPr>
        <w:t>ההתפתחות העקבית וההדרגתית של החקיקה והמדיניות הממשלתית</w:t>
      </w:r>
      <w:r w:rsidRPr="00E303AD">
        <w:rPr>
          <w:rFonts w:eastAsia="Calibri" w:hint="cs"/>
          <w:rtl/>
        </w:rPr>
        <w:t>, שעיקריה מתוארים בתרשים 1 לעיל,</w:t>
      </w:r>
      <w:r w:rsidRPr="00E303AD">
        <w:rPr>
          <w:rFonts w:eastAsia="Calibri"/>
          <w:rtl/>
        </w:rPr>
        <w:t xml:space="preserve"> נובעת משינוי גישה </w:t>
      </w:r>
      <w:r w:rsidRPr="00E303AD">
        <w:rPr>
          <w:rFonts w:eastAsia="Calibri" w:hint="cs"/>
          <w:rtl/>
        </w:rPr>
        <w:t>בנוגע</w:t>
      </w:r>
      <w:r w:rsidRPr="00E303AD">
        <w:rPr>
          <w:rFonts w:eastAsia="Calibri"/>
          <w:rtl/>
        </w:rPr>
        <w:t xml:space="preserve"> לאופן המאבק האפקטיבי בתופעה, בהתאם לשיטות ו</w:t>
      </w:r>
      <w:r w:rsidRPr="00E303AD">
        <w:rPr>
          <w:rFonts w:eastAsia="Calibri" w:hint="cs"/>
          <w:rtl/>
        </w:rPr>
        <w:t>ל</w:t>
      </w:r>
      <w:r w:rsidRPr="00E303AD">
        <w:rPr>
          <w:rFonts w:eastAsia="Calibri"/>
          <w:rtl/>
        </w:rPr>
        <w:t>גישות המשפטיות המקובלות ברחבי העולם.</w:t>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szCs w:val="20"/>
        </w:rPr>
        <w:t xml:space="preserve"> </w:t>
      </w:r>
    </w:p>
    <w:p w:rsidR="00E303AD" w:rsidRPr="00E303AD" w:rsidP="00E303AD">
      <w:pPr>
        <w:spacing w:line="269" w:lineRule="auto"/>
        <w:rPr>
          <w:rFonts w:eastAsia="Calibri"/>
          <w:rtl/>
        </w:rPr>
      </w:pPr>
      <w:r w:rsidRPr="00E303AD">
        <w:rPr>
          <w:rFonts w:eastAsia="Calibri" w:hint="cs"/>
          <w:rtl/>
        </w:rPr>
        <w:t>מדינות שונות נבדלות ביניהן מבחינת ה</w:t>
      </w:r>
      <w:r w:rsidRPr="00E303AD">
        <w:rPr>
          <w:rFonts w:eastAsia="Calibri"/>
          <w:rtl/>
        </w:rPr>
        <w:t>מדיניות המשפטית</w:t>
      </w:r>
      <w:r w:rsidRPr="00E303AD">
        <w:rPr>
          <w:rFonts w:eastAsia="Calibri" w:hint="cs"/>
          <w:rtl/>
        </w:rPr>
        <w:t xml:space="preserve"> </w:t>
      </w:r>
      <w:r w:rsidRPr="00E303AD">
        <w:rPr>
          <w:rFonts w:eastAsia="Calibri"/>
          <w:rtl/>
        </w:rPr>
        <w:t>בנוגע לזנות</w:t>
      </w:r>
      <w:r w:rsidRPr="00E303AD">
        <w:rPr>
          <w:rFonts w:eastAsia="Calibri" w:hint="cs"/>
          <w:rtl/>
        </w:rPr>
        <w:t xml:space="preserve">, ומדיניותן </w:t>
      </w:r>
      <w:r w:rsidRPr="00E303AD">
        <w:rPr>
          <w:rFonts w:eastAsia="Calibri"/>
          <w:rtl/>
        </w:rPr>
        <w:t xml:space="preserve">נעה על פני רצף שבין לגליזציה מלאה להפללה מוחלטת. במסגרת מודל הלגליזציה </w:t>
      </w:r>
      <w:r w:rsidRPr="00E303AD">
        <w:rPr>
          <w:rFonts w:eastAsia="Calibri" w:hint="cs"/>
          <w:rtl/>
        </w:rPr>
        <w:t xml:space="preserve">יש </w:t>
      </w:r>
      <w:r w:rsidRPr="00E303AD">
        <w:rPr>
          <w:rFonts w:eastAsia="Calibri"/>
          <w:rtl/>
        </w:rPr>
        <w:t>הבחנה בין מדינות שמסדירות באופן רשמי את תחום הזנות</w:t>
      </w:r>
      <w:r w:rsidRPr="00E303AD">
        <w:rPr>
          <w:rFonts w:eastAsia="Calibri" w:hint="cs"/>
          <w:rtl/>
        </w:rPr>
        <w:t xml:space="preserve"> ומתירות את צריכתה ואת העיסוק בה (גרמניה והולנד),</w:t>
      </w:r>
      <w:r w:rsidRPr="00E303AD">
        <w:rPr>
          <w:rFonts w:eastAsia="Calibri"/>
          <w:rtl/>
        </w:rPr>
        <w:t xml:space="preserve"> לבין מדינות שבהן הזנות מותרת אך אינה מוסדרת כלל או מוסדרת באופן חלקי, לדוגמה באמצעות איסור על הפעלת בתי בושת</w:t>
      </w:r>
      <w:r w:rsidRPr="00E303AD">
        <w:rPr>
          <w:rFonts w:eastAsia="Calibri" w:hint="cs"/>
          <w:rtl/>
        </w:rPr>
        <w:t xml:space="preserve"> (בלגיה ופולין)</w:t>
      </w:r>
      <w:r w:rsidRPr="00E303AD">
        <w:rPr>
          <w:rFonts w:eastAsia="Calibri"/>
          <w:rtl/>
        </w:rPr>
        <w:t xml:space="preserve">. לעומת זאת, מודל ההפללה כולל גישות שונות, </w:t>
      </w:r>
      <w:r w:rsidRPr="00E303AD">
        <w:rPr>
          <w:rFonts w:eastAsia="Calibri" w:hint="cs"/>
          <w:rtl/>
        </w:rPr>
        <w:t>ו</w:t>
      </w:r>
      <w:r w:rsidRPr="00E303AD">
        <w:rPr>
          <w:rFonts w:eastAsia="Calibri"/>
          <w:rtl/>
        </w:rPr>
        <w:t xml:space="preserve">בהן הפללת העוסקים בזנות, הפללת הלקוחות </w:t>
      </w:r>
      <w:r w:rsidRPr="00E303AD">
        <w:rPr>
          <w:rFonts w:eastAsia="Calibri" w:hint="cs"/>
          <w:rtl/>
        </w:rPr>
        <w:t xml:space="preserve">- </w:t>
      </w:r>
      <w:r w:rsidRPr="00E303AD">
        <w:rPr>
          <w:rFonts w:eastAsia="Calibri"/>
          <w:rtl/>
        </w:rPr>
        <w:t>כפי שנהוג במודל הנורדי</w:t>
      </w:r>
      <w:r w:rsidRPr="00E303AD">
        <w:rPr>
          <w:rFonts w:eastAsia="Calibri" w:hint="cs"/>
          <w:rtl/>
        </w:rPr>
        <w:t xml:space="preserve"> (שוודיה)</w:t>
      </w:r>
      <w:r w:rsidRPr="00E303AD">
        <w:rPr>
          <w:rFonts w:eastAsia="Calibri"/>
          <w:rtl/>
        </w:rPr>
        <w:t>, או הפללה של שני הצדדים גם יחד</w:t>
      </w:r>
      <w:r w:rsidRPr="00E303AD">
        <w:rPr>
          <w:rFonts w:eastAsia="Calibri" w:hint="cs"/>
          <w:rtl/>
        </w:rPr>
        <w:t>. מודלים אלה מייצגים תפיסות שונות לגבי הערך המוגן שנפגע (המוסר הציבורי או ההגנה על הנמצאים במעגל הזנות)</w:t>
      </w:r>
      <w:r>
        <w:rPr>
          <w:rFonts w:eastAsia="Calibri"/>
          <w:vertAlign w:val="superscript"/>
          <w:rtl/>
        </w:rPr>
        <w:footnoteReference w:id="41"/>
      </w:r>
      <w:r w:rsidRPr="00E303AD">
        <w:rPr>
          <w:rFonts w:eastAsia="Calibri"/>
          <w:rtl/>
        </w:rPr>
        <w:t>.</w:t>
      </w:r>
    </w:p>
    <w:p w:rsidR="00E303AD" w:rsidRPr="00E303AD" w:rsidP="00E303AD">
      <w:pPr>
        <w:spacing w:line="269" w:lineRule="auto"/>
        <w:ind w:left="-567"/>
        <w:rPr>
          <w:rFonts w:eastAsia="Calibri"/>
          <w:szCs w:val="20"/>
          <w:rtl/>
        </w:rPr>
      </w:pPr>
      <w:r w:rsidRPr="00E303AD">
        <w:rPr>
          <w:rFonts w:eastAsia="Calibri"/>
          <w:szCs w:val="20"/>
        </w:rPr>
        <w:t xml:space="preserve"> </w:t>
      </w:r>
    </w:p>
    <w:p w:rsidR="00E303AD" w:rsidRPr="00E303AD" w:rsidP="00E303AD">
      <w:pPr>
        <w:spacing w:line="269" w:lineRule="auto"/>
        <w:rPr>
          <w:rFonts w:eastAsia="Calibri"/>
          <w:rtl/>
        </w:rPr>
      </w:pPr>
      <w:r w:rsidRPr="00E303AD">
        <w:rPr>
          <w:rFonts w:eastAsia="Calibri" w:hint="cs"/>
          <w:rtl/>
        </w:rPr>
        <w:t>המודל הנורדי</w:t>
      </w:r>
      <w:r w:rsidRPr="00E303AD">
        <w:rPr>
          <w:rFonts w:eastAsia="Calibri"/>
          <w:rtl/>
        </w:rPr>
        <w:t xml:space="preserve"> שימש </w:t>
      </w:r>
      <w:r w:rsidRPr="00E303AD">
        <w:rPr>
          <w:rFonts w:eastAsia="Calibri" w:hint="cs"/>
          <w:rtl/>
        </w:rPr>
        <w:t xml:space="preserve">עבור ישראל </w:t>
      </w:r>
      <w:r w:rsidRPr="00E303AD">
        <w:rPr>
          <w:rFonts w:eastAsia="Calibri"/>
          <w:rtl/>
        </w:rPr>
        <w:t>השראה לחקיקת חוק איסור צריכת זנות</w:t>
      </w:r>
      <w:r w:rsidRPr="00E303AD">
        <w:rPr>
          <w:rFonts w:eastAsia="Calibri" w:hint="cs"/>
          <w:rtl/>
        </w:rPr>
        <w:t xml:space="preserve">, הקובע, בין היתר, כי תושת ענישה מינהלית על אדם הצורך מעשה זנות או הנמצא במקום המשמש, באופן מלא או חלקי, למעשי זנות, לשם צריכת מעשה זנות, אלא אם כן הוכח אחרת. </w:t>
      </w:r>
    </w:p>
    <w:p w:rsidR="00E303AD" w:rsidRPr="00E303AD" w:rsidP="00E303AD">
      <w:pPr>
        <w:spacing w:line="269" w:lineRule="auto"/>
        <w:ind w:left="-567"/>
        <w:rPr>
          <w:rFonts w:eastAsia="Calibri"/>
          <w:szCs w:val="20"/>
          <w:rtl/>
        </w:rPr>
      </w:pPr>
      <w:r w:rsidRPr="00E303AD">
        <w:rPr>
          <w:rFonts w:eastAsia="Calibri"/>
          <w:szCs w:val="20"/>
        </w:rPr>
        <w:t xml:space="preserve"> </w:t>
      </w:r>
    </w:p>
    <w:p w:rsidR="00E303AD" w:rsidRPr="00E303AD" w:rsidP="00E303AD">
      <w:pPr>
        <w:spacing w:line="269" w:lineRule="auto"/>
        <w:rPr>
          <w:rFonts w:eastAsia="Calibri"/>
          <w:rtl/>
        </w:rPr>
      </w:pPr>
      <w:r w:rsidRPr="00E303AD">
        <w:rPr>
          <w:rFonts w:eastAsia="Calibri" w:hint="cs"/>
          <w:rtl/>
        </w:rPr>
        <w:t xml:space="preserve">מטרתו המוצהרת של החוק היא להוביל </w:t>
      </w:r>
      <w:r w:rsidRPr="00E303AD">
        <w:rPr>
          <w:rFonts w:eastAsia="Calibri"/>
          <w:rtl/>
        </w:rPr>
        <w:t>לצמצום תופעת הזנות בישראל</w:t>
      </w:r>
      <w:r w:rsidRPr="00E303AD">
        <w:rPr>
          <w:rFonts w:eastAsia="Calibri" w:hint="cs"/>
          <w:rtl/>
        </w:rPr>
        <w:t>. זאת,</w:t>
      </w:r>
      <w:r w:rsidRPr="00E303AD">
        <w:rPr>
          <w:rFonts w:eastAsia="Calibri"/>
          <w:rtl/>
        </w:rPr>
        <w:t xml:space="preserve"> כחלק ממהלך משולב הכולל </w:t>
      </w:r>
      <w:r w:rsidRPr="00E303AD">
        <w:rPr>
          <w:rFonts w:eastAsia="Calibri" w:hint="cs"/>
          <w:rtl/>
        </w:rPr>
        <w:t xml:space="preserve">שירותי </w:t>
      </w:r>
      <w:r w:rsidRPr="00E303AD">
        <w:rPr>
          <w:rFonts w:eastAsia="Calibri"/>
          <w:rtl/>
        </w:rPr>
        <w:t xml:space="preserve">חינוך, הסברה, טיפול ושיקום </w:t>
      </w:r>
      <w:r w:rsidRPr="00E303AD">
        <w:rPr>
          <w:rFonts w:eastAsia="Calibri" w:hint="cs"/>
          <w:rtl/>
        </w:rPr>
        <w:t xml:space="preserve">עבור </w:t>
      </w:r>
      <w:r w:rsidRPr="00E303AD">
        <w:rPr>
          <w:rFonts w:eastAsia="Calibri"/>
          <w:rtl/>
        </w:rPr>
        <w:t>אוכלוסיות בזנות. החוק מבוסס על ההכרה במאפייניה הפוגעניים של הזנות ובנזקים החברתיים, הבריאותיים והנפשיים הנלווים לה</w:t>
      </w:r>
      <w:r w:rsidRPr="00E303AD">
        <w:rPr>
          <w:rFonts w:eastAsia="Calibri" w:hint="cs"/>
          <w:rtl/>
        </w:rPr>
        <w:t>. תשומת הלב ממוקדת באחריות צרכן הזנות, מתוך שאיפה לשינוי נורמות חברתיות ולהפחתת הביקוש לשירותי זנות</w:t>
      </w:r>
      <w:r>
        <w:rPr>
          <w:rFonts w:eastAsia="Calibri"/>
          <w:vertAlign w:val="superscript"/>
          <w:rtl/>
        </w:rPr>
        <w:footnoteReference w:id="42"/>
      </w:r>
      <w:r w:rsidRPr="00E303AD">
        <w:rPr>
          <w:rFonts w:eastAsia="Calibri" w:hint="cs"/>
          <w:rtl/>
        </w:rPr>
        <w:t xml:space="preserve">. ביסוד החוק עומדת ההנחה שצרכני זנות הם הכוח המניע של תופעת הזנות, וגם אם פגיעתם בנשים קטנה, לכאורה, יחסית לפגיעתם של סרסורים, מחזיקי בתי הבושת ומנהליהם, הרי שהפגיעה בנשים בזנות היא פגיעה מצטברת, ולצרכנים יש חלק נכבד בנזקים הנגרמים בגינה. </w:t>
      </w:r>
    </w:p>
    <w:p w:rsidR="00E303AD" w:rsidRPr="00E303AD" w:rsidP="00E303AD">
      <w:pPr>
        <w:spacing w:line="269" w:lineRule="auto"/>
        <w:rPr>
          <w:rFonts w:eastAsia="Calibri"/>
          <w:rtl/>
        </w:rPr>
      </w:pPr>
    </w:p>
    <w:p w:rsidR="00E303AD" w:rsidRPr="00E303AD" w:rsidP="00E303AD">
      <w:pPr>
        <w:spacing w:line="269" w:lineRule="auto"/>
        <w:rPr>
          <w:rFonts w:eastAsia="Calibri"/>
          <w:rtl/>
        </w:rPr>
      </w:pPr>
      <w:r w:rsidRPr="00E303AD">
        <w:rPr>
          <w:rFonts w:eastAsia="Calibri"/>
          <w:noProof/>
        </w:rPr>
        <w:drawing>
          <wp:inline distT="0" distB="0" distL="0" distR="0">
            <wp:extent cx="5220335" cy="970915"/>
            <wp:effectExtent l="0" t="0" r="0" b="635"/>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11"/>
                    <a:stretch>
                      <a:fillRect/>
                    </a:stretch>
                  </pic:blipFill>
                  <pic:spPr>
                    <a:xfrm>
                      <a:off x="0" y="0"/>
                      <a:ext cx="5220335" cy="970915"/>
                    </a:xfrm>
                    <a:prstGeom prst="rect">
                      <a:avLst/>
                    </a:prstGeom>
                  </pic:spPr>
                </pic:pic>
              </a:graphicData>
            </a:graphic>
          </wp:inline>
        </w:drawing>
      </w:r>
    </w:p>
    <w:p w:rsidR="00E303AD" w:rsidRPr="00E303AD" w:rsidP="00E303AD">
      <w:pPr>
        <w:spacing w:line="269" w:lineRule="auto"/>
        <w:ind w:right="426"/>
        <w:rPr>
          <w:rFonts w:eastAsia="Calibri"/>
          <w:rtl/>
        </w:rPr>
      </w:pPr>
    </w:p>
    <w:p w:rsidR="00E303AD" w:rsidRPr="00E303AD" w:rsidP="00E303AD">
      <w:pPr>
        <w:keepNext/>
        <w:keepLines/>
        <w:spacing w:line="269" w:lineRule="auto"/>
        <w:outlineLvl w:val="2"/>
        <w:rPr>
          <w:rFonts w:eastAsia="Times New Roman"/>
          <w:bCs/>
          <w:szCs w:val="28"/>
          <w:u w:val="single"/>
          <w:rtl/>
        </w:rPr>
      </w:pPr>
      <w:bookmarkStart w:id="28" w:name="_Toc221474964"/>
      <w:bookmarkStart w:id="29" w:name="_Toc224808276"/>
      <w:bookmarkStart w:id="30" w:name="_Toc232696559"/>
      <w:r w:rsidRPr="00E303AD">
        <w:rPr>
          <w:rFonts w:eastAsia="Times New Roman" w:hint="cs"/>
          <w:bCs/>
          <w:szCs w:val="28"/>
          <w:u w:val="single"/>
          <w:rtl/>
        </w:rPr>
        <w:t>חוק איסור צריכת זנות</w:t>
      </w:r>
      <w:bookmarkEnd w:id="28"/>
      <w:bookmarkEnd w:id="29"/>
      <w:bookmarkEnd w:id="30"/>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לפי</w:t>
      </w:r>
      <w:r w:rsidRPr="00E303AD">
        <w:rPr>
          <w:rFonts w:eastAsia="Calibri"/>
          <w:rtl/>
        </w:rPr>
        <w:t xml:space="preserve"> חוק איסור צריכת זנות, הענישה כלפי צרכני זנות מתבצעת בעיקר באמצעות קנסות מ</w:t>
      </w:r>
      <w:r w:rsidRPr="00E303AD">
        <w:rPr>
          <w:rFonts w:eastAsia="Calibri" w:hint="cs"/>
          <w:rtl/>
        </w:rPr>
        <w:t>י</w:t>
      </w:r>
      <w:r w:rsidRPr="00E303AD">
        <w:rPr>
          <w:rFonts w:eastAsia="Calibri"/>
          <w:rtl/>
        </w:rPr>
        <w:t>נהליים</w:t>
      </w:r>
      <w:r w:rsidRPr="00E303AD">
        <w:rPr>
          <w:rFonts w:eastAsia="Calibri" w:hint="cs"/>
          <w:rtl/>
        </w:rPr>
        <w:t xml:space="preserve"> (להלן - קנסות)</w:t>
      </w:r>
      <w:r w:rsidRPr="00E303AD">
        <w:rPr>
          <w:rFonts w:eastAsia="Calibri"/>
          <w:rtl/>
        </w:rPr>
        <w:t xml:space="preserve">: בגין </w:t>
      </w:r>
      <w:r w:rsidRPr="00E303AD">
        <w:rPr>
          <w:rFonts w:eastAsia="Calibri" w:hint="cs"/>
          <w:rtl/>
        </w:rPr>
        <w:t>ה</w:t>
      </w:r>
      <w:r w:rsidRPr="00E303AD">
        <w:rPr>
          <w:rFonts w:eastAsia="Calibri"/>
          <w:rtl/>
        </w:rPr>
        <w:t xml:space="preserve">עבירה </w:t>
      </w:r>
      <w:r w:rsidRPr="00E303AD">
        <w:rPr>
          <w:rFonts w:eastAsia="Calibri" w:hint="cs"/>
          <w:rtl/>
        </w:rPr>
        <w:t>ה</w:t>
      </w:r>
      <w:r w:rsidRPr="00E303AD">
        <w:rPr>
          <w:rFonts w:eastAsia="Calibri"/>
          <w:rtl/>
        </w:rPr>
        <w:t>ראשונה מוטל קנס בסך 2,000 ש"ח, וב</w:t>
      </w:r>
      <w:r w:rsidRPr="00E303AD">
        <w:rPr>
          <w:rFonts w:eastAsia="Calibri" w:hint="cs"/>
          <w:rtl/>
        </w:rPr>
        <w:t xml:space="preserve">גין </w:t>
      </w:r>
      <w:r w:rsidRPr="00E303AD">
        <w:rPr>
          <w:rFonts w:eastAsia="Calibri"/>
          <w:rtl/>
        </w:rPr>
        <w:t xml:space="preserve">עבירה חוזרת הקנס מוכפל ל-4,000 ש"ח. </w:t>
      </w:r>
      <w:r w:rsidRPr="00E303AD">
        <w:rPr>
          <w:rFonts w:eastAsia="Calibri" w:hint="cs"/>
          <w:rtl/>
        </w:rPr>
        <w:t>כאשר מדובר ב</w:t>
      </w:r>
      <w:r w:rsidRPr="00E303AD">
        <w:rPr>
          <w:rFonts w:eastAsia="Calibri"/>
          <w:rtl/>
        </w:rPr>
        <w:t>עבירות חוזרות ונשנות</w:t>
      </w:r>
      <w:r w:rsidRPr="00E303AD">
        <w:rPr>
          <w:rFonts w:eastAsia="Calibri" w:hint="cs"/>
          <w:rtl/>
        </w:rPr>
        <w:t xml:space="preserve"> שהתבצעו יותר משלוש פעמים</w:t>
      </w:r>
      <w:r w:rsidRPr="00E303AD">
        <w:rPr>
          <w:rFonts w:eastAsia="Calibri"/>
          <w:rtl/>
        </w:rPr>
        <w:t xml:space="preserve"> או בנסיבות מחמירות, </w:t>
      </w:r>
      <w:r w:rsidRPr="00E303AD">
        <w:rPr>
          <w:rFonts w:eastAsia="Calibri" w:hint="cs"/>
          <w:rtl/>
        </w:rPr>
        <w:t>יש לשקול</w:t>
      </w:r>
      <w:r w:rsidRPr="00E303AD">
        <w:rPr>
          <w:rFonts w:eastAsia="Calibri"/>
          <w:rtl/>
        </w:rPr>
        <w:t xml:space="preserve"> </w:t>
      </w:r>
      <w:r w:rsidRPr="00E303AD">
        <w:rPr>
          <w:rFonts w:eastAsia="Calibri" w:hint="cs"/>
          <w:rtl/>
        </w:rPr>
        <w:t>הגשת</w:t>
      </w:r>
      <w:r w:rsidRPr="00E303AD">
        <w:rPr>
          <w:rFonts w:eastAsia="Calibri"/>
          <w:rtl/>
        </w:rPr>
        <w:t xml:space="preserve"> כתב אישום פלילי</w:t>
      </w:r>
      <w:r>
        <w:rPr>
          <w:rFonts w:eastAsia="Calibri"/>
          <w:vertAlign w:val="superscript"/>
          <w:rtl/>
        </w:rPr>
        <w:footnoteReference w:id="43"/>
      </w:r>
      <w:r w:rsidRPr="00E303AD">
        <w:rPr>
          <w:rFonts w:eastAsia="Calibri"/>
          <w:rtl/>
        </w:rPr>
        <w:t xml:space="preserve">, </w:t>
      </w:r>
      <w:r w:rsidRPr="00E303AD">
        <w:rPr>
          <w:rFonts w:eastAsia="Calibri" w:hint="cs"/>
          <w:rtl/>
        </w:rPr>
        <w:t>ו</w:t>
      </w:r>
      <w:r w:rsidRPr="00E303AD">
        <w:rPr>
          <w:rFonts w:eastAsia="Calibri"/>
          <w:rtl/>
        </w:rPr>
        <w:t>במסגרתו רשאי בית</w:t>
      </w:r>
      <w:r w:rsidRPr="00E303AD">
        <w:rPr>
          <w:rFonts w:eastAsia="Calibri" w:hint="cs"/>
          <w:rtl/>
        </w:rPr>
        <w:t xml:space="preserve"> </w:t>
      </w:r>
      <w:r w:rsidRPr="00E303AD">
        <w:rPr>
          <w:rFonts w:eastAsia="Calibri"/>
          <w:rtl/>
        </w:rPr>
        <w:t xml:space="preserve">המשפט להטיל קנס כספי </w:t>
      </w:r>
      <w:r w:rsidRPr="00E303AD">
        <w:rPr>
          <w:rFonts w:eastAsia="Calibri" w:hint="cs"/>
          <w:rtl/>
        </w:rPr>
        <w:t>בסכום מרבי של</w:t>
      </w:r>
      <w:r w:rsidRPr="00E303AD">
        <w:rPr>
          <w:rFonts w:eastAsia="Calibri"/>
          <w:rtl/>
        </w:rPr>
        <w:t xml:space="preserve"> 75,300 ש"ח.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כמו כן</w:t>
      </w:r>
      <w:r w:rsidRPr="00E303AD">
        <w:rPr>
          <w:rFonts w:eastAsia="Calibri"/>
          <w:rtl/>
        </w:rPr>
        <w:t xml:space="preserve">, החוק מאפשר להמיר את הקנס בסדנה חינוכית-טיפולית שמטרתה להעלות </w:t>
      </w:r>
      <w:r w:rsidRPr="00E303AD">
        <w:rPr>
          <w:rFonts w:eastAsia="Calibri" w:hint="cs"/>
          <w:rtl/>
        </w:rPr>
        <w:t>את ה</w:t>
      </w:r>
      <w:r w:rsidRPr="00E303AD">
        <w:rPr>
          <w:rFonts w:eastAsia="Calibri"/>
          <w:rtl/>
        </w:rPr>
        <w:t xml:space="preserve">מודעות לנזקי הזנות ולמנוע </w:t>
      </w:r>
      <w:r w:rsidRPr="00E303AD">
        <w:rPr>
          <w:rFonts w:eastAsia="Calibri" w:hint="cs"/>
          <w:rtl/>
        </w:rPr>
        <w:t xml:space="preserve">את </w:t>
      </w:r>
      <w:r w:rsidRPr="00E303AD">
        <w:rPr>
          <w:rFonts w:eastAsia="Calibri"/>
          <w:rtl/>
        </w:rPr>
        <w:t xml:space="preserve">הישנות העבירה. </w:t>
      </w:r>
      <w:r w:rsidRPr="00E303AD">
        <w:rPr>
          <w:rFonts w:eastAsia="Calibri" w:hint="cs"/>
          <w:rtl/>
        </w:rPr>
        <w:t xml:space="preserve">יצוין כי </w:t>
      </w:r>
      <w:r w:rsidRPr="00E303AD">
        <w:rPr>
          <w:rFonts w:eastAsia="Calibri"/>
          <w:rtl/>
        </w:rPr>
        <w:t>צריכת זנות מקטין</w:t>
      </w:r>
      <w:r w:rsidRPr="00E303AD">
        <w:rPr>
          <w:rFonts w:eastAsia="Calibri" w:hint="cs"/>
          <w:rtl/>
        </w:rPr>
        <w:t xml:space="preserve"> או מקטינה</w:t>
      </w:r>
      <w:r w:rsidRPr="00E303AD">
        <w:rPr>
          <w:rFonts w:eastAsia="Calibri"/>
          <w:rtl/>
        </w:rPr>
        <w:t xml:space="preserve"> </w:t>
      </w:r>
      <w:r w:rsidRPr="00E303AD">
        <w:rPr>
          <w:rFonts w:eastAsia="Calibri" w:hint="cs"/>
          <w:rtl/>
        </w:rPr>
        <w:t xml:space="preserve">היא </w:t>
      </w:r>
      <w:r w:rsidRPr="00E303AD">
        <w:rPr>
          <w:rFonts w:eastAsia="Calibri"/>
          <w:rtl/>
        </w:rPr>
        <w:t>עבירה פלילית חמורה שעונשה עד חמש שנות מאסר</w:t>
      </w:r>
      <w:r>
        <w:rPr>
          <w:rFonts w:eastAsia="Calibri"/>
          <w:vertAlign w:val="superscript"/>
          <w:rtl/>
        </w:rPr>
        <w:footnoteReference w:id="44"/>
      </w:r>
      <w:r w:rsidRPr="00E303AD">
        <w:rPr>
          <w:rFonts w:eastAsia="Calibri"/>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לצד חקיקת חוק איסור צריכת זנות גיבשה המשטרה נוהל ייעודי אשר מנחה את יחידות המשטרה כיצד לאכוף בפועל את החוק וקובע את המסגרת הארגונית והמבצעית ליישום החוק (להלן - נוהל אכיפת חוק איסור צריכת זנות). הנוהל נכנס לתוקף במאי 2021</w:t>
      </w:r>
      <w:r>
        <w:rPr>
          <w:rFonts w:eastAsia="Calibri"/>
          <w:vertAlign w:val="superscript"/>
          <w:rtl/>
        </w:rPr>
        <w:footnoteReference w:id="45"/>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כאמור, ביולי 2020 חוקק החוק כהוראת שעה למשך חמש שנים, כדי לאפשר בחינה שיטתית של השפעתו על היקף תופעת הזנות ועל רווחתן של האוכלוסיות המצויות במעגל הזנות ושל אופן אכיפתו</w:t>
      </w:r>
      <w:r>
        <w:rPr>
          <w:rFonts w:eastAsia="Calibri"/>
          <w:vertAlign w:val="superscript"/>
          <w:rtl/>
        </w:rPr>
        <w:footnoteReference w:id="46"/>
      </w:r>
      <w:r w:rsidRPr="00E303AD">
        <w:rPr>
          <w:rFonts w:eastAsia="Calibri" w:hint="cs"/>
          <w:rtl/>
        </w:rPr>
        <w:t xml:space="preserve">. </w:t>
      </w:r>
      <w:r w:rsidRPr="00E303AD">
        <w:rPr>
          <w:rFonts w:eastAsia="Calibri"/>
          <w:rtl/>
        </w:rPr>
        <w:t xml:space="preserve">בתקופה זו יישום החוק </w:t>
      </w:r>
      <w:r w:rsidRPr="00E303AD">
        <w:rPr>
          <w:rFonts w:eastAsia="Calibri" w:hint="cs"/>
          <w:rtl/>
        </w:rPr>
        <w:t>לווה, כאמור, ב</w:t>
      </w:r>
      <w:r w:rsidRPr="00E303AD">
        <w:rPr>
          <w:rFonts w:eastAsia="Calibri"/>
          <w:rtl/>
        </w:rPr>
        <w:t>מחקר שמטרתו</w:t>
      </w:r>
      <w:r w:rsidRPr="00E303AD">
        <w:rPr>
          <w:rFonts w:eastAsia="Calibri" w:hint="cs"/>
          <w:rtl/>
        </w:rPr>
        <w:t>, כפי שהוגדרה בחוק,</w:t>
      </w:r>
      <w:r w:rsidRPr="00E303AD">
        <w:rPr>
          <w:rFonts w:eastAsia="Calibri"/>
          <w:rtl/>
        </w:rPr>
        <w:t xml:space="preserve"> הייתה להעריך את האפקטיביות של ההסדרים שנקבעו ולבחון את הצורך בהמשך </w:t>
      </w:r>
      <w:r w:rsidRPr="00E303AD">
        <w:rPr>
          <w:rFonts w:eastAsia="Calibri" w:hint="cs"/>
          <w:rtl/>
        </w:rPr>
        <w:t xml:space="preserve">יישום </w:t>
      </w:r>
      <w:r w:rsidRPr="00E303AD">
        <w:rPr>
          <w:rFonts w:eastAsia="Calibri"/>
          <w:rtl/>
        </w:rPr>
        <w:t>ההסדר או בשינויים עתידיים</w:t>
      </w:r>
      <w:r>
        <w:rPr>
          <w:rFonts w:eastAsia="Calibri"/>
          <w:vertAlign w:val="superscript"/>
          <w:rtl/>
        </w:rPr>
        <w:footnoteReference w:id="47"/>
      </w:r>
      <w:r w:rsidRPr="00E303AD">
        <w:rPr>
          <w:rFonts w:eastAsia="Calibri" w:hint="cs"/>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בפברואר 2025</w:t>
      </w:r>
      <w:r w:rsidRPr="00E303AD">
        <w:rPr>
          <w:rFonts w:eastAsia="Calibri" w:hint="cs"/>
          <w:rtl/>
        </w:rPr>
        <w:t xml:space="preserve"> פרסם שר המשפטים את תזכיר החוק להערות הציבור והכריז כי החוק ייקבע כהסדר</w:t>
      </w:r>
      <w:r w:rsidRPr="00E303AD">
        <w:rPr>
          <w:rFonts w:eastAsia="Calibri"/>
          <w:rtl/>
        </w:rPr>
        <w:t xml:space="preserve"> קבוע, </w:t>
      </w:r>
      <w:r w:rsidRPr="00E303AD">
        <w:rPr>
          <w:rFonts w:eastAsia="Calibri" w:hint="cs"/>
          <w:rtl/>
        </w:rPr>
        <w:t>כי ה</w:t>
      </w:r>
      <w:r w:rsidRPr="00E303AD">
        <w:rPr>
          <w:rFonts w:eastAsia="Calibri"/>
          <w:rtl/>
        </w:rPr>
        <w:t>אכיפה במישור המ</w:t>
      </w:r>
      <w:r w:rsidRPr="00E303AD">
        <w:rPr>
          <w:rFonts w:eastAsia="Calibri" w:hint="cs"/>
          <w:rtl/>
        </w:rPr>
        <w:t>י</w:t>
      </w:r>
      <w:r w:rsidRPr="00E303AD">
        <w:rPr>
          <w:rFonts w:eastAsia="Calibri"/>
          <w:rtl/>
        </w:rPr>
        <w:t xml:space="preserve">נהלי </w:t>
      </w:r>
      <w:r w:rsidRPr="00E303AD">
        <w:rPr>
          <w:rFonts w:eastAsia="Calibri" w:hint="cs"/>
          <w:rtl/>
        </w:rPr>
        <w:t xml:space="preserve">תמשיך להתבצע </w:t>
      </w:r>
      <w:r w:rsidRPr="00E303AD">
        <w:rPr>
          <w:rFonts w:eastAsia="Calibri"/>
          <w:rtl/>
        </w:rPr>
        <w:t>באמצעות קנסות</w:t>
      </w:r>
      <w:r w:rsidRPr="00E303AD">
        <w:rPr>
          <w:rFonts w:eastAsia="Calibri" w:hint="cs"/>
          <w:rtl/>
        </w:rPr>
        <w:t xml:space="preserve"> וכי יימשך</w:t>
      </w:r>
      <w:r w:rsidRPr="00E303AD">
        <w:rPr>
          <w:rFonts w:eastAsia="Calibri"/>
          <w:rtl/>
        </w:rPr>
        <w:t xml:space="preserve"> </w:t>
      </w:r>
      <w:r w:rsidRPr="00E303AD">
        <w:rPr>
          <w:rFonts w:eastAsia="Calibri" w:hint="cs"/>
          <w:rtl/>
        </w:rPr>
        <w:t>ה</w:t>
      </w:r>
      <w:r w:rsidRPr="00E303AD">
        <w:rPr>
          <w:rFonts w:eastAsia="Calibri"/>
          <w:rtl/>
        </w:rPr>
        <w:t xml:space="preserve">ליווי </w:t>
      </w:r>
      <w:r w:rsidRPr="00E303AD">
        <w:rPr>
          <w:rFonts w:eastAsia="Calibri" w:hint="cs"/>
          <w:rtl/>
        </w:rPr>
        <w:t>ה</w:t>
      </w:r>
      <w:r w:rsidRPr="00E303AD">
        <w:rPr>
          <w:rFonts w:eastAsia="Calibri"/>
          <w:rtl/>
        </w:rPr>
        <w:t>מקצועי של יישום החוק</w:t>
      </w:r>
      <w:r>
        <w:rPr>
          <w:rFonts w:eastAsia="Calibri"/>
          <w:vertAlign w:val="superscript"/>
          <w:rtl/>
        </w:rPr>
        <w:footnoteReference w:id="48"/>
      </w:r>
      <w:r w:rsidRPr="00E303AD">
        <w:rPr>
          <w:rFonts w:eastAsia="Calibri" w:hint="cs"/>
          <w:rtl/>
        </w:rPr>
        <w:t>. זאת,</w:t>
      </w:r>
      <w:r w:rsidRPr="00E303AD">
        <w:rPr>
          <w:rFonts w:eastAsia="Calibri"/>
          <w:rtl/>
        </w:rPr>
        <w:t xml:space="preserve"> לאחר היוועצות </w:t>
      </w:r>
      <w:r w:rsidRPr="00E303AD">
        <w:rPr>
          <w:rFonts w:eastAsia="Calibri" w:hint="cs"/>
          <w:rtl/>
        </w:rPr>
        <w:t>ב</w:t>
      </w:r>
      <w:r w:rsidRPr="00E303AD">
        <w:rPr>
          <w:rFonts w:eastAsia="Calibri"/>
          <w:rtl/>
        </w:rPr>
        <w:t xml:space="preserve">גורמים המקצועיים, </w:t>
      </w:r>
      <w:r w:rsidRPr="00E303AD">
        <w:rPr>
          <w:rFonts w:eastAsia="Calibri" w:hint="cs"/>
          <w:rtl/>
        </w:rPr>
        <w:t>ב</w:t>
      </w:r>
      <w:r w:rsidRPr="00E303AD">
        <w:rPr>
          <w:rFonts w:eastAsia="Calibri"/>
          <w:rtl/>
        </w:rPr>
        <w:t>נציגי</w:t>
      </w:r>
      <w:r w:rsidRPr="00E303AD">
        <w:rPr>
          <w:rFonts w:eastAsia="Calibri" w:hint="cs"/>
          <w:rtl/>
        </w:rPr>
        <w:t>ם</w:t>
      </w:r>
      <w:r w:rsidRPr="00E303AD">
        <w:rPr>
          <w:rFonts w:eastAsia="Calibri"/>
          <w:rtl/>
        </w:rPr>
        <w:t xml:space="preserve"> </w:t>
      </w:r>
      <w:r w:rsidRPr="00E303AD">
        <w:rPr>
          <w:rFonts w:eastAsia="Calibri" w:hint="cs"/>
          <w:rtl/>
        </w:rPr>
        <w:t>מ</w:t>
      </w:r>
      <w:r w:rsidRPr="00E303AD">
        <w:rPr>
          <w:rFonts w:eastAsia="Calibri"/>
          <w:rtl/>
        </w:rPr>
        <w:t>החברה האזרחית ו</w:t>
      </w:r>
      <w:r w:rsidRPr="00E303AD">
        <w:rPr>
          <w:rFonts w:eastAsia="Calibri" w:hint="cs"/>
          <w:rtl/>
        </w:rPr>
        <w:t>מה</w:t>
      </w:r>
      <w:r w:rsidRPr="00E303AD">
        <w:rPr>
          <w:rFonts w:eastAsia="Calibri"/>
          <w:rtl/>
        </w:rPr>
        <w:t xml:space="preserve">אוכלוסיות בזנות, </w:t>
      </w:r>
      <w:r w:rsidRPr="00E303AD">
        <w:rPr>
          <w:rFonts w:eastAsia="Calibri" w:hint="cs"/>
          <w:rtl/>
        </w:rPr>
        <w:t>וכן בשים לב ל</w:t>
      </w:r>
      <w:r w:rsidRPr="00E303AD">
        <w:rPr>
          <w:rFonts w:eastAsia="Calibri"/>
          <w:rtl/>
        </w:rPr>
        <w:t xml:space="preserve">המלצות </w:t>
      </w:r>
      <w:r w:rsidRPr="00E303AD">
        <w:rPr>
          <w:rFonts w:eastAsia="Calibri" w:hint="cs"/>
          <w:rtl/>
        </w:rPr>
        <w:t>המחקר המלווה.</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u w:val="single"/>
          <w:rtl/>
        </w:rPr>
      </w:pPr>
      <w:r w:rsidRPr="00E303AD">
        <w:rPr>
          <w:rFonts w:eastAsia="Calibri" w:hint="cs"/>
          <w:rtl/>
        </w:rPr>
        <w:t xml:space="preserve">בסופו של דבר, </w:t>
      </w:r>
      <w:r w:rsidRPr="00E303AD">
        <w:rPr>
          <w:rFonts w:eastAsia="Calibri"/>
          <w:rtl/>
        </w:rPr>
        <w:t xml:space="preserve">בתום תקופת </w:t>
      </w:r>
      <w:r w:rsidRPr="00E303AD">
        <w:rPr>
          <w:rFonts w:eastAsia="Calibri" w:hint="cs"/>
          <w:rtl/>
        </w:rPr>
        <w:t xml:space="preserve">תחולתה של </w:t>
      </w:r>
      <w:r w:rsidRPr="00E303AD">
        <w:rPr>
          <w:rFonts w:eastAsia="Calibri"/>
          <w:rtl/>
        </w:rPr>
        <w:t xml:space="preserve">הוראת השעה, ולאחר בחינת ממצאי המחקר המלווה, </w:t>
      </w:r>
      <w:r w:rsidRPr="00E303AD">
        <w:rPr>
          <w:rFonts w:eastAsia="Calibri" w:hint="cs"/>
          <w:rtl/>
        </w:rPr>
        <w:t>החליטה הכנסת</w:t>
      </w:r>
      <w:r w:rsidRPr="00E303AD">
        <w:rPr>
          <w:rFonts w:eastAsia="Calibri"/>
          <w:rtl/>
        </w:rPr>
        <w:t xml:space="preserve"> </w:t>
      </w:r>
      <w:r w:rsidRPr="00E303AD">
        <w:rPr>
          <w:rFonts w:eastAsia="Calibri" w:hint="cs"/>
          <w:rtl/>
        </w:rPr>
        <w:t>ביוני 2025 על המשך תחולתה של הוראת השעה לחמש שנים נוספות</w:t>
      </w:r>
      <w:r>
        <w:rPr>
          <w:rFonts w:eastAsia="Calibri"/>
          <w:vertAlign w:val="superscript"/>
          <w:rtl/>
        </w:rPr>
        <w:footnoteReference w:id="49"/>
      </w:r>
      <w:r w:rsidRPr="00E303AD">
        <w:rPr>
          <w:rFonts w:eastAsia="Calibri" w:hint="cs"/>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משרד מבקר המדינה בחן היבטים הנוגעים לאכיפת חוק איסור צריכת זנות על ידי המשטרה בשנים האחרונות. </w:t>
      </w:r>
    </w:p>
    <w:p w:rsidR="00E303AD" w:rsidRPr="00E303AD" w:rsidP="00E303AD">
      <w:pPr>
        <w:spacing w:line="269" w:lineRule="auto"/>
        <w:rPr>
          <w:rFonts w:eastAsia="Calibri"/>
          <w:rtl/>
        </w:rPr>
      </w:pPr>
    </w:p>
    <w:p w:rsidR="00E303AD" w:rsidRPr="00E303AD" w:rsidP="00E303AD">
      <w:pPr>
        <w:keepNext/>
        <w:keepLines/>
        <w:spacing w:line="269" w:lineRule="auto"/>
        <w:outlineLvl w:val="3"/>
        <w:rPr>
          <w:rFonts w:eastAsia="Times New Roman"/>
          <w:bCs/>
          <w:szCs w:val="26"/>
          <w:rtl/>
        </w:rPr>
      </w:pPr>
      <w:bookmarkStart w:id="31" w:name="_Toc221474965"/>
      <w:bookmarkStart w:id="32" w:name="_Toc224808277"/>
      <w:bookmarkStart w:id="33" w:name="_Hlk215387039"/>
      <w:r w:rsidRPr="00E303AD">
        <w:rPr>
          <w:rFonts w:eastAsia="Times New Roman" w:hint="cs"/>
          <w:bCs/>
          <w:szCs w:val="26"/>
          <w:rtl/>
        </w:rPr>
        <w:t>מגמות בפעולות המשטרה לאכיפת חוק איסור צריכת זנות</w:t>
      </w:r>
      <w:bookmarkEnd w:id="31"/>
      <w:bookmarkEnd w:id="32"/>
      <w:r w:rsidRPr="00E303AD">
        <w:rPr>
          <w:rFonts w:eastAsia="Times New Roman" w:hint="cs"/>
          <w:bCs/>
          <w:szCs w:val="26"/>
          <w:rtl/>
        </w:rPr>
        <w:t xml:space="preserve"> </w:t>
      </w:r>
    </w:p>
    <w:p w:rsidR="00E303AD" w:rsidRPr="00E303AD" w:rsidP="00E303AD">
      <w:pPr>
        <w:spacing w:line="269" w:lineRule="auto"/>
        <w:rPr>
          <w:rFonts w:eastAsia="Calibri"/>
          <w:rtl/>
        </w:rPr>
      </w:pPr>
    </w:p>
    <w:p w:rsidR="00E303AD" w:rsidRPr="00E303AD" w:rsidP="00E303AD">
      <w:pPr>
        <w:keepNext/>
        <w:keepLines/>
        <w:spacing w:line="269" w:lineRule="auto"/>
        <w:outlineLvl w:val="4"/>
        <w:rPr>
          <w:rFonts w:eastAsia="Times New Roman"/>
          <w:bCs/>
          <w:spacing w:val="40"/>
          <w:rtl/>
        </w:rPr>
      </w:pPr>
      <w:bookmarkStart w:id="34" w:name="_Toc221474966"/>
      <w:r w:rsidRPr="00E303AD">
        <w:rPr>
          <w:rFonts w:eastAsia="Times New Roman" w:hint="cs"/>
          <w:bCs/>
          <w:spacing w:val="40"/>
          <w:rtl/>
        </w:rPr>
        <w:t>האכיפה בפריסה ארצית</w:t>
      </w:r>
      <w:bookmarkEnd w:id="34"/>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המשטרה היא האמונה על אכיפת חוק איסור צריכת זנות מעת קביעתו כהוראת שעה בשנת 2020. כאמור, </w:t>
      </w:r>
      <w:bookmarkStart w:id="35" w:name="_Hlk223617790"/>
      <w:r w:rsidRPr="00E303AD">
        <w:rPr>
          <w:rFonts w:eastAsia="Calibri" w:hint="cs"/>
          <w:rtl/>
        </w:rPr>
        <w:t>האכיפה מוסדרת בנוהל אכיפת חוק איסור צריכת זנות</w:t>
      </w:r>
      <w:r>
        <w:rPr>
          <w:rFonts w:eastAsia="Calibri"/>
          <w:vertAlign w:val="superscript"/>
          <w:rtl/>
        </w:rPr>
        <w:footnoteReference w:id="50"/>
      </w:r>
      <w:r w:rsidRPr="00E303AD">
        <w:rPr>
          <w:rFonts w:eastAsia="Calibri" w:hint="cs"/>
          <w:rtl/>
        </w:rPr>
        <w:t>. ככלל, פעולות האכיפה באות לידי ביטוי בהטלת קנסות על צרכני הזנות</w:t>
      </w:r>
      <w:bookmarkEnd w:id="35"/>
      <w:r>
        <w:rPr>
          <w:rFonts w:eastAsia="Calibri"/>
          <w:vertAlign w:val="superscript"/>
          <w:rtl/>
        </w:rPr>
        <w:footnoteReference w:id="51"/>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jc w:val="center"/>
        <w:rPr>
          <w:rFonts w:eastAsia="Calibri"/>
          <w:b/>
          <w:bCs/>
        </w:rPr>
      </w:pPr>
      <w:bookmarkStart w:id="36" w:name="_Hlk233723472"/>
      <w:r w:rsidRPr="00E303AD">
        <w:rPr>
          <w:rFonts w:eastAsia="Calibri" w:hint="cs"/>
          <w:rtl/>
        </w:rPr>
        <w:t>תרשים 2:</w:t>
      </w:r>
      <w:r w:rsidRPr="00E303AD">
        <w:rPr>
          <w:rFonts w:eastAsia="Calibri" w:hint="cs"/>
          <w:b/>
          <w:bCs/>
          <w:rtl/>
        </w:rPr>
        <w:t xml:space="preserve"> מספר הקנסות שהטילה המשטרה בגין צריכת זנות, 2021 - 2025</w:t>
      </w:r>
    </w:p>
    <w:p w:rsidR="00E303AD" w:rsidRPr="00E303AD" w:rsidP="00E303AD">
      <w:pPr>
        <w:spacing w:line="269" w:lineRule="auto"/>
        <w:jc w:val="center"/>
        <w:rPr>
          <w:rFonts w:eastAsia="Calibri"/>
          <w:sz w:val="18"/>
          <w:szCs w:val="22"/>
          <w:rtl/>
        </w:rPr>
      </w:pPr>
      <w:r w:rsidRPr="00E303AD">
        <w:rPr>
          <w:rFonts w:eastAsia="Calibri"/>
          <w:noProof/>
        </w:rPr>
        <w:drawing>
          <wp:inline distT="0" distB="0" distL="0" distR="0">
            <wp:extent cx="5220335" cy="2366026"/>
            <wp:effectExtent l="0" t="0" r="0" b="0"/>
            <wp:docPr id="69" name="תמונה 69" descr="תרשים קו המתאר מגמה של נתונים מספריים על פני חמש שנים, מ-2021 עד 2025. להלן פירוט הנתונים המוצגים בתרשים:&#10;&#10;שנת 2021: 1,591.&#10;&#10;שנת 2022:  3,004&#10;&#10;שנת 2023:  902.&#10;&#10;שנת 2024:  378&#10;&#10;שנת 2025:  1,061.&#10;&#10;תיאור המגמה: התרשים מראה עלייה חדה משנת 2021 לשיא בשנת 2022. לאחר מכן, ישנה ירידה תלולה שנמשכת עד לשפל בשנת 2024. לבסוף, נראית התאוששות חלקית עם עלייה בערך בשנת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xmlns:r="http://schemas.openxmlformats.org/officeDocument/2006/relationships" r:embed="rId12"/>
                    <a:srcRect t="22245"/>
                    <a:stretch>
                      <a:fillRect/>
                    </a:stretch>
                  </pic:blipFill>
                  <pic:spPr bwMode="auto">
                    <a:xfrm>
                      <a:off x="0" y="0"/>
                      <a:ext cx="5220335" cy="236602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303AD" w:rsidRPr="00E303AD" w:rsidP="00E303AD">
      <w:pPr>
        <w:spacing w:line="269" w:lineRule="auto"/>
        <w:jc w:val="left"/>
        <w:rPr>
          <w:rFonts w:eastAsia="Calibri"/>
          <w:szCs w:val="20"/>
          <w:rtl/>
        </w:rPr>
      </w:pPr>
      <w:r w:rsidRPr="00E303AD">
        <w:rPr>
          <w:rFonts w:eastAsia="Calibri" w:hint="cs"/>
          <w:szCs w:val="20"/>
          <w:rtl/>
        </w:rPr>
        <w:t xml:space="preserve">על פי קובצי נתונים מהמשטרה, בעיבוד משרד מבקר המדינה. </w:t>
      </w:r>
    </w:p>
    <w:bookmarkEnd w:id="36"/>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r w:rsidRPr="00E303AD">
        <w:rPr>
          <w:rFonts w:eastAsia="Calibri" w:hint="cs"/>
          <w:b/>
          <w:bCs/>
          <w:rtl/>
        </w:rPr>
        <w:t xml:space="preserve">מהתרשים עולה כי בין שנת 2021 לשנת 2022 חל גידול בשיעור של כ-89% (מ-1,591 ל-3,004) במספר הקנסות שהטילה המשטרה בגין צריכת זנות, אך בין שנת 2022 לשנת 2023 חלה ירידה חדה בשיעור של כ-70% במספר הקנסות (מ-3,004 ל-902). מגמת הירידה במספר הקנסות נמשכה, ומשנת 2023 עד שנת 2024 חלה ירידה נוספת בשיעור של כ-58% (מ-902 ל-378). יש מקום לבחון נתונים אלה על רקע ההערכה </w:t>
      </w:r>
      <w:bookmarkStart w:id="37" w:name="_Hlk222295587"/>
      <w:r w:rsidRPr="00E303AD">
        <w:rPr>
          <w:rFonts w:eastAsia="Calibri" w:hint="cs"/>
          <w:b/>
          <w:bCs/>
          <w:rtl/>
        </w:rPr>
        <w:t>ש</w:t>
      </w:r>
      <w:r w:rsidRPr="00E303AD">
        <w:rPr>
          <w:rFonts w:eastAsia="Calibri"/>
          <w:b/>
          <w:bCs/>
          <w:rtl/>
        </w:rPr>
        <w:t>כ-12,000 איש נמצאים במעגל הזנות בישראל</w:t>
      </w:r>
      <w:bookmarkEnd w:id="37"/>
      <w:r w:rsidRPr="00E303AD">
        <w:rPr>
          <w:rFonts w:eastAsia="Calibri" w:hint="cs"/>
          <w:b/>
          <w:bCs/>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r w:rsidRPr="00E303AD">
        <w:rPr>
          <w:rFonts w:eastAsia="Calibri" w:hint="eastAsia"/>
          <w:b/>
          <w:bCs/>
          <w:rtl/>
        </w:rPr>
        <w:t>מנתונים</w:t>
      </w:r>
      <w:r w:rsidRPr="00E303AD">
        <w:rPr>
          <w:rFonts w:eastAsia="Calibri"/>
          <w:b/>
          <w:bCs/>
          <w:rtl/>
        </w:rPr>
        <w:t xml:space="preserve"> </w:t>
      </w:r>
      <w:r w:rsidRPr="00E303AD">
        <w:rPr>
          <w:rFonts w:eastAsia="Calibri" w:hint="eastAsia"/>
          <w:b/>
          <w:bCs/>
          <w:rtl/>
        </w:rPr>
        <w:t>שמסרה</w:t>
      </w:r>
      <w:r w:rsidRPr="00E303AD">
        <w:rPr>
          <w:rFonts w:eastAsia="Calibri"/>
          <w:b/>
          <w:bCs/>
          <w:rtl/>
        </w:rPr>
        <w:t xml:space="preserve"> </w:t>
      </w:r>
      <w:r w:rsidRPr="00E303AD">
        <w:rPr>
          <w:rFonts w:eastAsia="Calibri" w:hint="eastAsia"/>
          <w:b/>
          <w:bCs/>
          <w:rtl/>
        </w:rPr>
        <w:t>המשטרה</w:t>
      </w:r>
      <w:r w:rsidRPr="00E303AD">
        <w:rPr>
          <w:rFonts w:eastAsia="Calibri"/>
          <w:b/>
          <w:bCs/>
          <w:rtl/>
        </w:rPr>
        <w:t xml:space="preserve"> </w:t>
      </w:r>
      <w:r w:rsidRPr="00E303AD">
        <w:rPr>
          <w:rFonts w:eastAsia="Calibri" w:hint="eastAsia"/>
          <w:b/>
          <w:bCs/>
          <w:rtl/>
        </w:rPr>
        <w:t>לאחר</w:t>
      </w:r>
      <w:r w:rsidRPr="00E303AD">
        <w:rPr>
          <w:rFonts w:eastAsia="Calibri"/>
          <w:b/>
          <w:bCs/>
          <w:rtl/>
        </w:rPr>
        <w:t xml:space="preserve"> </w:t>
      </w:r>
      <w:r w:rsidRPr="00E303AD">
        <w:rPr>
          <w:rFonts w:eastAsia="Calibri" w:hint="eastAsia"/>
          <w:b/>
          <w:bCs/>
          <w:rtl/>
        </w:rPr>
        <w:t>סיום</w:t>
      </w:r>
      <w:r w:rsidRPr="00E303AD">
        <w:rPr>
          <w:rFonts w:eastAsia="Calibri"/>
          <w:b/>
          <w:bCs/>
          <w:rtl/>
        </w:rPr>
        <w:t xml:space="preserve"> </w:t>
      </w:r>
      <w:r w:rsidRPr="00E303AD">
        <w:rPr>
          <w:rFonts w:eastAsia="Calibri" w:hint="eastAsia"/>
          <w:b/>
          <w:bCs/>
          <w:rtl/>
        </w:rPr>
        <w:t>הביקורת</w:t>
      </w:r>
      <w:r w:rsidRPr="00E303AD">
        <w:rPr>
          <w:rFonts w:eastAsia="Calibri"/>
          <w:b/>
          <w:bCs/>
          <w:rtl/>
        </w:rPr>
        <w:t xml:space="preserve">, </w:t>
      </w:r>
      <w:r w:rsidRPr="00E303AD">
        <w:rPr>
          <w:rFonts w:eastAsia="Calibri" w:hint="eastAsia"/>
          <w:b/>
          <w:bCs/>
          <w:rtl/>
        </w:rPr>
        <w:t>בפברואר</w:t>
      </w:r>
      <w:r w:rsidRPr="00E303AD">
        <w:rPr>
          <w:rFonts w:eastAsia="Calibri"/>
          <w:b/>
          <w:bCs/>
          <w:rtl/>
        </w:rPr>
        <w:t xml:space="preserve"> 2026, עולה כי בשנת 2025 </w:t>
      </w:r>
      <w:r w:rsidRPr="00E303AD">
        <w:rPr>
          <w:rFonts w:eastAsia="Calibri" w:hint="eastAsia"/>
          <w:b/>
          <w:bCs/>
          <w:rtl/>
        </w:rPr>
        <w:t>חל</w:t>
      </w:r>
      <w:r w:rsidRPr="00E303AD">
        <w:rPr>
          <w:rFonts w:eastAsia="Calibri"/>
          <w:b/>
          <w:bCs/>
          <w:rtl/>
        </w:rPr>
        <w:t xml:space="preserve"> גידול </w:t>
      </w:r>
      <w:r w:rsidRPr="00E303AD">
        <w:rPr>
          <w:rFonts w:eastAsia="Calibri" w:hint="cs"/>
          <w:b/>
          <w:bCs/>
          <w:rtl/>
        </w:rPr>
        <w:t>ניכר</w:t>
      </w:r>
      <w:r w:rsidRPr="00E303AD">
        <w:rPr>
          <w:rFonts w:eastAsia="Calibri"/>
          <w:b/>
          <w:bCs/>
          <w:rtl/>
        </w:rPr>
        <w:t xml:space="preserve"> ב</w:t>
      </w:r>
      <w:r w:rsidRPr="00E303AD">
        <w:rPr>
          <w:rFonts w:eastAsia="Calibri" w:hint="eastAsia"/>
          <w:b/>
          <w:bCs/>
          <w:rtl/>
        </w:rPr>
        <w:t>מספר</w:t>
      </w:r>
      <w:r w:rsidRPr="00E303AD">
        <w:rPr>
          <w:rFonts w:eastAsia="Calibri"/>
          <w:b/>
          <w:bCs/>
          <w:rtl/>
        </w:rPr>
        <w:t xml:space="preserve"> </w:t>
      </w:r>
      <w:r w:rsidRPr="00E303AD">
        <w:rPr>
          <w:rFonts w:eastAsia="Calibri" w:hint="eastAsia"/>
          <w:b/>
          <w:bCs/>
          <w:rtl/>
        </w:rPr>
        <w:t>הקנסות</w:t>
      </w:r>
      <w:r w:rsidRPr="00E303AD">
        <w:rPr>
          <w:rFonts w:eastAsia="Calibri"/>
          <w:b/>
          <w:bCs/>
          <w:rtl/>
        </w:rPr>
        <w:t xml:space="preserve"> </w:t>
      </w:r>
      <w:r w:rsidRPr="00E303AD">
        <w:rPr>
          <w:rFonts w:eastAsia="Calibri" w:hint="eastAsia"/>
          <w:b/>
          <w:bCs/>
          <w:rtl/>
        </w:rPr>
        <w:t>שהטיל</w:t>
      </w:r>
      <w:r w:rsidRPr="00E303AD">
        <w:rPr>
          <w:rFonts w:eastAsia="Calibri" w:hint="cs"/>
          <w:b/>
          <w:bCs/>
          <w:rtl/>
        </w:rPr>
        <w:t>ה</w:t>
      </w:r>
      <w:r w:rsidRPr="00E303AD">
        <w:rPr>
          <w:rFonts w:eastAsia="Calibri"/>
          <w:b/>
          <w:bCs/>
          <w:rtl/>
        </w:rPr>
        <w:t xml:space="preserve"> המשטרה </w:t>
      </w:r>
      <w:r w:rsidRPr="00E303AD">
        <w:rPr>
          <w:rFonts w:eastAsia="Calibri" w:hint="eastAsia"/>
          <w:b/>
          <w:bCs/>
          <w:rtl/>
        </w:rPr>
        <w:t>בגין</w:t>
      </w:r>
      <w:r w:rsidRPr="00E303AD">
        <w:rPr>
          <w:rFonts w:eastAsia="Calibri"/>
          <w:b/>
          <w:bCs/>
          <w:rtl/>
        </w:rPr>
        <w:t xml:space="preserve"> צריכת </w:t>
      </w:r>
      <w:r w:rsidRPr="00E303AD">
        <w:rPr>
          <w:rFonts w:eastAsia="Calibri" w:hint="eastAsia"/>
          <w:b/>
          <w:bCs/>
          <w:rtl/>
        </w:rPr>
        <w:t>זנות</w:t>
      </w:r>
      <w:r w:rsidRPr="00E303AD">
        <w:rPr>
          <w:rFonts w:eastAsia="Calibri"/>
          <w:b/>
          <w:bCs/>
          <w:rtl/>
        </w:rPr>
        <w:t xml:space="preserve"> </w:t>
      </w:r>
      <w:r w:rsidRPr="00E303AD">
        <w:rPr>
          <w:rFonts w:eastAsia="Calibri" w:hint="cs"/>
          <w:b/>
          <w:bCs/>
          <w:rtl/>
        </w:rPr>
        <w:t>יחסית לשנת 2024, ומספרם הסתכם ב-</w:t>
      </w:r>
      <w:r w:rsidRPr="00E303AD">
        <w:rPr>
          <w:rFonts w:eastAsia="Calibri"/>
          <w:b/>
          <w:bCs/>
          <w:rtl/>
        </w:rPr>
        <w:t xml:space="preserve">1,061.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במהלך הביקורת מסרה המשטרה כי הפחתת היקף האכיפה נבעה מסגירת בתי בושת, שהיו מוקד לצריכת זנות, בעיקר בתחנת שרת, ומהפניית משאבים לטיפול בנושאים הקשורים למלחמת חרבות ברזל והמשימות המרובות של גורמי האכיפה מאז החל מצב החירום הלאומי. עם זאת, מנתוני התרשים עולה כי הפחתת שיעור הקנסות התרחשה עובר לפרוץ המלחמה. מגמת ההפחתה בהיקף האכיפה, שחלה עוד לפני פרוץ המלחמה, אף באה לידי ביטוי בדיונים שהתקיימו במשרד המשפטים בהשתתפות נציגי המשטרה בשנת 2024. בדצמבר 2024 התרה המשנה ליועצת המשפטית לממשלה ומנהל מערך ייעוץ וחקיקה במשרד המשפטים במכתב לראש אגף החקירות והמודיעין במשטרה (להלן - אח"ם) על ההפחתה הניכרת בהיקף אכיפת החוק ועל כך שיש מחוזות ותחנות שלא ביצעו כלל אכיפה בתחום. עוד צוין במכתב האמור כי בגין האכיפה המצומצמת של החוק לא נוצר שינוי של ממש במצב בשטח, וכי יש לבחון דרכים למתן עדיפות גבוהה, ככל האפשר, לאכיפה בתחום.</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במחקר המלווה ניתן ביטוי לטענה נוספת של המשטרה ולפיה אחד הגורמים להפחתת היקף האכיפה הוא המחסור בכוח אדם ייעודי לצורך כך. ב</w:t>
      </w:r>
      <w:r w:rsidRPr="00E303AD">
        <w:rPr>
          <w:rFonts w:eastAsia="Calibri"/>
          <w:rtl/>
        </w:rPr>
        <w:t xml:space="preserve">מחקר </w:t>
      </w:r>
      <w:r w:rsidRPr="00E303AD">
        <w:rPr>
          <w:rFonts w:eastAsia="Calibri" w:hint="cs"/>
          <w:rtl/>
        </w:rPr>
        <w:t xml:space="preserve">צוין גם כי על המשטרה מוטל </w:t>
      </w:r>
      <w:r w:rsidRPr="00E303AD">
        <w:rPr>
          <w:rFonts w:eastAsia="Calibri"/>
          <w:rtl/>
        </w:rPr>
        <w:t xml:space="preserve">עומס משימות </w:t>
      </w:r>
      <w:r w:rsidRPr="00E303AD">
        <w:rPr>
          <w:rFonts w:eastAsia="Calibri" w:hint="cs"/>
          <w:rtl/>
        </w:rPr>
        <w:t>כבד,</w:t>
      </w:r>
      <w:r w:rsidRPr="00E303AD">
        <w:rPr>
          <w:rFonts w:eastAsia="Calibri"/>
          <w:rtl/>
        </w:rPr>
        <w:t xml:space="preserve"> וכי </w:t>
      </w:r>
      <w:r w:rsidRPr="00E303AD">
        <w:rPr>
          <w:rFonts w:eastAsia="Calibri" w:hint="cs"/>
          <w:rtl/>
        </w:rPr>
        <w:t xml:space="preserve">מצבת כוח האדם </w:t>
      </w:r>
      <w:r w:rsidRPr="00E303AD">
        <w:rPr>
          <w:rFonts w:eastAsia="Calibri"/>
          <w:rtl/>
        </w:rPr>
        <w:t xml:space="preserve">בתחנות המשטרה </w:t>
      </w:r>
      <w:r w:rsidRPr="00E303AD">
        <w:rPr>
          <w:rFonts w:eastAsia="Calibri" w:hint="cs"/>
          <w:rtl/>
        </w:rPr>
        <w:t>מתאפיינת ב</w:t>
      </w:r>
      <w:r w:rsidRPr="00E303AD">
        <w:rPr>
          <w:rFonts w:eastAsia="Calibri"/>
          <w:rtl/>
        </w:rPr>
        <w:t>תת</w:t>
      </w:r>
      <w:r w:rsidRPr="00E303AD">
        <w:rPr>
          <w:rFonts w:eastAsia="Calibri" w:hint="cs"/>
          <w:rtl/>
        </w:rPr>
        <w:t>-</w:t>
      </w:r>
      <w:r w:rsidRPr="00E303AD">
        <w:rPr>
          <w:rFonts w:eastAsia="Calibri"/>
          <w:rtl/>
        </w:rPr>
        <w:t>תקינה ו</w:t>
      </w:r>
      <w:r w:rsidRPr="00E303AD">
        <w:rPr>
          <w:rFonts w:eastAsia="Calibri" w:hint="cs"/>
          <w:rtl/>
        </w:rPr>
        <w:t xml:space="preserve">באיוש חלקי של </w:t>
      </w:r>
      <w:r w:rsidRPr="00E303AD">
        <w:rPr>
          <w:rFonts w:eastAsia="Calibri"/>
          <w:rtl/>
        </w:rPr>
        <w:t xml:space="preserve">תקנים, </w:t>
      </w:r>
      <w:r w:rsidRPr="00E303AD">
        <w:rPr>
          <w:rFonts w:eastAsia="Calibri" w:hint="cs"/>
          <w:rtl/>
        </w:rPr>
        <w:t xml:space="preserve">והדבר מקשה את ביצועה של </w:t>
      </w:r>
      <w:r w:rsidRPr="00E303AD">
        <w:rPr>
          <w:rFonts w:eastAsia="Calibri"/>
          <w:rtl/>
        </w:rPr>
        <w:t>אכיפה יזומה</w:t>
      </w:r>
      <w:r w:rsidRPr="00E303AD">
        <w:rPr>
          <w:rFonts w:eastAsia="Calibri"/>
        </w:rPr>
        <w:t>.</w:t>
      </w:r>
      <w:r w:rsidRPr="00E303AD">
        <w:rPr>
          <w:rFonts w:eastAsia="Calibri" w:hint="cs"/>
          <w:rtl/>
        </w:rPr>
        <w:t xml:space="preserve"> מסקנות אלו הועלו גם במסמך של רח"ט חקירות שבו צוינו העניינים הבאים: </w:t>
      </w:r>
      <w:r w:rsidRPr="00E303AD">
        <w:rPr>
          <w:rFonts w:eastAsia="Calibri"/>
          <w:rtl/>
        </w:rPr>
        <w:t xml:space="preserve">האכיפה הפלילית </w:t>
      </w:r>
      <w:r w:rsidRPr="00E303AD">
        <w:rPr>
          <w:rFonts w:eastAsia="Calibri" w:hint="cs"/>
          <w:rtl/>
        </w:rPr>
        <w:t>ב</w:t>
      </w:r>
      <w:r w:rsidRPr="00E303AD">
        <w:rPr>
          <w:rFonts w:eastAsia="Calibri"/>
          <w:rtl/>
        </w:rPr>
        <w:t xml:space="preserve">בתי בושת אינה </w:t>
      </w:r>
      <w:r w:rsidRPr="00E303AD">
        <w:rPr>
          <w:rFonts w:eastAsia="Calibri" w:hint="cs"/>
          <w:rtl/>
        </w:rPr>
        <w:t>נכללת בסדרי העדיפויות של המשטרה;</w:t>
      </w:r>
      <w:r w:rsidRPr="00E303AD">
        <w:rPr>
          <w:rFonts w:eastAsia="Calibri"/>
          <w:rtl/>
        </w:rPr>
        <w:t xml:space="preserve"> </w:t>
      </w:r>
      <w:r w:rsidRPr="00E303AD">
        <w:rPr>
          <w:rFonts w:eastAsia="Calibri" w:hint="cs"/>
          <w:rtl/>
        </w:rPr>
        <w:t xml:space="preserve">לנוכח </w:t>
      </w:r>
      <w:r w:rsidRPr="00E303AD">
        <w:rPr>
          <w:rFonts w:eastAsia="Calibri"/>
          <w:rtl/>
        </w:rPr>
        <w:t xml:space="preserve">עומסי </w:t>
      </w:r>
      <w:r w:rsidRPr="00E303AD">
        <w:rPr>
          <w:rFonts w:eastAsia="Calibri" w:hint="cs"/>
          <w:rtl/>
        </w:rPr>
        <w:t>ה</w:t>
      </w:r>
      <w:r w:rsidRPr="00E303AD">
        <w:rPr>
          <w:rFonts w:eastAsia="Calibri"/>
          <w:rtl/>
        </w:rPr>
        <w:t>משימות ו</w:t>
      </w:r>
      <w:r w:rsidRPr="00E303AD">
        <w:rPr>
          <w:rFonts w:eastAsia="Calibri" w:hint="cs"/>
          <w:rtl/>
        </w:rPr>
        <w:t>ה</w:t>
      </w:r>
      <w:r w:rsidRPr="00E303AD">
        <w:rPr>
          <w:rFonts w:eastAsia="Calibri"/>
          <w:rtl/>
        </w:rPr>
        <w:t xml:space="preserve">מחסור בכוח אדם, נדרשים מפקדים </w:t>
      </w:r>
      <w:r w:rsidRPr="00E303AD">
        <w:rPr>
          <w:rFonts w:eastAsia="Calibri" w:hint="cs"/>
          <w:rtl/>
        </w:rPr>
        <w:t>לתת עדיפות ל</w:t>
      </w:r>
      <w:r w:rsidRPr="00E303AD">
        <w:rPr>
          <w:rFonts w:eastAsia="Calibri"/>
          <w:rtl/>
        </w:rPr>
        <w:t>תחומי פעילות אחרים, ו</w:t>
      </w:r>
      <w:r w:rsidRPr="00E303AD">
        <w:rPr>
          <w:rFonts w:eastAsia="Calibri" w:hint="cs"/>
          <w:rtl/>
        </w:rPr>
        <w:t>ב</w:t>
      </w:r>
      <w:r w:rsidRPr="00E303AD">
        <w:rPr>
          <w:rFonts w:eastAsia="Calibri"/>
          <w:rtl/>
        </w:rPr>
        <w:t xml:space="preserve">פועל תחום הזנות אינו </w:t>
      </w:r>
      <w:r w:rsidRPr="00E303AD">
        <w:rPr>
          <w:rFonts w:eastAsia="Calibri" w:hint="cs"/>
          <w:rtl/>
        </w:rPr>
        <w:t xml:space="preserve">נמצא </w:t>
      </w:r>
      <w:r w:rsidRPr="00E303AD">
        <w:rPr>
          <w:rFonts w:eastAsia="Calibri"/>
          <w:rtl/>
        </w:rPr>
        <w:t>במוקד הפעילות המחוזית והארצית</w:t>
      </w:r>
      <w:r w:rsidRPr="00E303AD">
        <w:rPr>
          <w:rFonts w:eastAsia="Calibri" w:hint="cs"/>
          <w:rtl/>
        </w:rPr>
        <w:t>;</w:t>
      </w:r>
      <w:r w:rsidRPr="00E303AD">
        <w:rPr>
          <w:rFonts w:eastAsia="Calibri"/>
          <w:rtl/>
        </w:rPr>
        <w:t xml:space="preserve"> </w:t>
      </w:r>
      <w:r w:rsidRPr="00E303AD">
        <w:rPr>
          <w:rFonts w:eastAsia="Calibri" w:hint="cs"/>
          <w:rtl/>
        </w:rPr>
        <w:t>בשל אי-מתן עדיפות ל</w:t>
      </w:r>
      <w:r w:rsidRPr="00E303AD">
        <w:rPr>
          <w:rFonts w:eastAsia="Calibri"/>
          <w:rtl/>
        </w:rPr>
        <w:t xml:space="preserve">פעולות האכיפה בתחום זה </w:t>
      </w:r>
      <w:r w:rsidRPr="00E303AD">
        <w:rPr>
          <w:rFonts w:eastAsia="Calibri" w:hint="cs"/>
          <w:rtl/>
        </w:rPr>
        <w:t xml:space="preserve">הן </w:t>
      </w:r>
      <w:r w:rsidRPr="00E303AD">
        <w:rPr>
          <w:rFonts w:eastAsia="Calibri"/>
          <w:rtl/>
        </w:rPr>
        <w:t xml:space="preserve">מתבצעות במידה מוגבלת </w:t>
      </w:r>
      <w:r w:rsidRPr="00E303AD">
        <w:rPr>
          <w:rFonts w:eastAsia="Calibri" w:hint="cs"/>
          <w:rtl/>
        </w:rPr>
        <w:t>ובהתאם ל</w:t>
      </w:r>
      <w:r w:rsidRPr="00E303AD">
        <w:rPr>
          <w:rFonts w:eastAsia="Calibri"/>
          <w:rtl/>
        </w:rPr>
        <w:t>הזדמנויות נקודתיות בלב</w:t>
      </w:r>
      <w:r w:rsidRPr="00E303AD">
        <w:rPr>
          <w:rFonts w:eastAsia="Calibri" w:hint="cs"/>
          <w:rtl/>
        </w:rPr>
        <w:t>ד; ו</w:t>
      </w:r>
      <w:r w:rsidRPr="00E303AD">
        <w:rPr>
          <w:rFonts w:eastAsia="Calibri"/>
          <w:rtl/>
        </w:rPr>
        <w:t>אף שהומל</w:t>
      </w:r>
      <w:r w:rsidRPr="00E303AD">
        <w:rPr>
          <w:rFonts w:eastAsia="Calibri" w:hint="cs"/>
          <w:rtl/>
        </w:rPr>
        <w:t>ץ על "</w:t>
      </w:r>
      <w:r w:rsidRPr="00E303AD">
        <w:rPr>
          <w:rFonts w:eastAsia="Calibri"/>
          <w:rtl/>
        </w:rPr>
        <w:t>צביעת</w:t>
      </w:r>
      <w:r w:rsidRPr="00E303AD">
        <w:rPr>
          <w:rFonts w:eastAsia="Calibri" w:hint="cs"/>
          <w:rtl/>
        </w:rPr>
        <w:t>"</w:t>
      </w:r>
      <w:r w:rsidRPr="00E303AD">
        <w:rPr>
          <w:rFonts w:eastAsia="Calibri"/>
          <w:rtl/>
        </w:rPr>
        <w:t xml:space="preserve"> תקנים ייעודיים ליישום החוק, קשיי איוש מתמשכים מונעים מתן מענה מלא </w:t>
      </w:r>
      <w:r w:rsidRPr="00E303AD">
        <w:rPr>
          <w:rFonts w:eastAsia="Calibri" w:hint="cs"/>
          <w:rtl/>
        </w:rPr>
        <w:t xml:space="preserve">על מצוקת </w:t>
      </w:r>
      <w:r w:rsidRPr="00E303AD">
        <w:rPr>
          <w:rFonts w:eastAsia="Calibri"/>
          <w:rtl/>
        </w:rPr>
        <w:t>כוח האדם</w:t>
      </w:r>
      <w:r w:rsidRPr="00E303AD">
        <w:rPr>
          <w:rFonts w:eastAsia="Calibri"/>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בתשובת המשטרה למשרד מבקר המדינה מאפריל 2026 (להלן - תשובת המשטרה) צוין כי </w:t>
      </w:r>
      <w:r w:rsidRPr="00E303AD">
        <w:rPr>
          <w:rFonts w:eastAsia="Calibri"/>
          <w:rtl/>
        </w:rPr>
        <w:t xml:space="preserve">מגמת </w:t>
      </w:r>
      <w:r w:rsidRPr="00E303AD">
        <w:rPr>
          <w:rFonts w:eastAsia="Calibri" w:hint="cs"/>
          <w:rtl/>
        </w:rPr>
        <w:t>ה</w:t>
      </w:r>
      <w:r w:rsidRPr="00E303AD">
        <w:rPr>
          <w:rFonts w:eastAsia="Calibri"/>
          <w:rtl/>
        </w:rPr>
        <w:t>עלייה ב</w:t>
      </w:r>
      <w:r w:rsidRPr="00E303AD">
        <w:rPr>
          <w:rFonts w:eastAsia="Calibri" w:hint="cs"/>
          <w:rtl/>
        </w:rPr>
        <w:t>היקף ה</w:t>
      </w:r>
      <w:r w:rsidRPr="00E303AD">
        <w:rPr>
          <w:rFonts w:eastAsia="Calibri"/>
          <w:rtl/>
        </w:rPr>
        <w:t>אכיפה בשנת 2025</w:t>
      </w:r>
      <w:r w:rsidRPr="00E303AD">
        <w:rPr>
          <w:rFonts w:eastAsia="Calibri" w:hint="cs"/>
          <w:rtl/>
        </w:rPr>
        <w:t xml:space="preserve"> היא על רקע הצבת</w:t>
      </w:r>
      <w:r w:rsidRPr="00E303AD">
        <w:rPr>
          <w:rFonts w:eastAsia="Calibri"/>
          <w:rtl/>
        </w:rPr>
        <w:t xml:space="preserve"> יעדי ראש אח״</w:t>
      </w:r>
      <w:r w:rsidRPr="00E303AD">
        <w:rPr>
          <w:rFonts w:eastAsia="Calibri" w:hint="cs"/>
          <w:rtl/>
        </w:rPr>
        <w:t>ם</w:t>
      </w:r>
      <w:r w:rsidRPr="00E303AD">
        <w:rPr>
          <w:rFonts w:eastAsia="Calibri"/>
          <w:rtl/>
        </w:rPr>
        <w:t xml:space="preserve"> בתחום. במסגרת פעולות האכיפה פועלת </w:t>
      </w:r>
      <w:r w:rsidRPr="00E303AD">
        <w:rPr>
          <w:rFonts w:eastAsia="Calibri" w:hint="cs"/>
          <w:rtl/>
        </w:rPr>
        <w:t>ה</w:t>
      </w:r>
      <w:r w:rsidRPr="00E303AD">
        <w:rPr>
          <w:rFonts w:eastAsia="Calibri"/>
          <w:rtl/>
        </w:rPr>
        <w:t>משטר</w:t>
      </w:r>
      <w:r w:rsidRPr="00E303AD">
        <w:rPr>
          <w:rFonts w:eastAsia="Calibri" w:hint="cs"/>
          <w:rtl/>
        </w:rPr>
        <w:t>ה</w:t>
      </w:r>
      <w:r w:rsidRPr="00E303AD">
        <w:rPr>
          <w:rFonts w:eastAsia="Calibri"/>
          <w:rtl/>
        </w:rPr>
        <w:t xml:space="preserve"> </w:t>
      </w:r>
      <w:r w:rsidRPr="00E303AD">
        <w:rPr>
          <w:rFonts w:eastAsia="Calibri" w:hint="cs"/>
          <w:rtl/>
        </w:rPr>
        <w:t xml:space="preserve">גם </w:t>
      </w:r>
      <w:r w:rsidRPr="00E303AD">
        <w:rPr>
          <w:rFonts w:eastAsia="Calibri"/>
          <w:rtl/>
        </w:rPr>
        <w:t>לסגירת בתי בושת באמצעות צווים מ</w:t>
      </w:r>
      <w:r w:rsidRPr="00E303AD">
        <w:rPr>
          <w:rFonts w:eastAsia="Calibri" w:hint="cs"/>
          <w:rtl/>
        </w:rPr>
        <w:t>י</w:t>
      </w:r>
      <w:r w:rsidRPr="00E303AD">
        <w:rPr>
          <w:rFonts w:eastAsia="Calibri"/>
          <w:rtl/>
        </w:rPr>
        <w:t>נהלי</w:t>
      </w:r>
      <w:r w:rsidRPr="00E303AD">
        <w:rPr>
          <w:rFonts w:eastAsia="Calibri" w:hint="cs"/>
          <w:rtl/>
        </w:rPr>
        <w:t>י</w:t>
      </w:r>
      <w:r w:rsidRPr="00E303AD">
        <w:rPr>
          <w:rFonts w:eastAsia="Calibri"/>
          <w:rtl/>
        </w:rPr>
        <w:t>ם</w:t>
      </w:r>
      <w:r w:rsidRPr="00E303AD">
        <w:rPr>
          <w:rFonts w:eastAsia="Calibri" w:hint="cs"/>
          <w:rtl/>
        </w:rPr>
        <w:t xml:space="preserve">. מעבר לכך, </w:t>
      </w:r>
      <w:r w:rsidRPr="00E303AD">
        <w:rPr>
          <w:rFonts w:eastAsia="Calibri"/>
          <w:rtl/>
        </w:rPr>
        <w:t xml:space="preserve">בימים אלו מתנהלות </w:t>
      </w:r>
      <w:r w:rsidRPr="00E303AD">
        <w:rPr>
          <w:rFonts w:eastAsia="Calibri" w:hint="cs"/>
          <w:rtl/>
        </w:rPr>
        <w:t>כמה</w:t>
      </w:r>
      <w:r w:rsidRPr="00E303AD">
        <w:rPr>
          <w:rFonts w:eastAsia="Calibri"/>
          <w:rtl/>
        </w:rPr>
        <w:t xml:space="preserve"> פרשיות ב</w:t>
      </w:r>
      <w:r w:rsidRPr="00E303AD">
        <w:rPr>
          <w:rFonts w:eastAsia="Calibri" w:hint="cs"/>
          <w:rtl/>
        </w:rPr>
        <w:t>כמה</w:t>
      </w:r>
      <w:r w:rsidRPr="00E303AD">
        <w:rPr>
          <w:rFonts w:eastAsia="Calibri"/>
          <w:rtl/>
        </w:rPr>
        <w:t xml:space="preserve"> מחוזות ברחבי הארץ, בעבירות החזקת מקום לשם זנות, סחר בבני אדם וסרסרות.</w:t>
      </w:r>
      <w:r w:rsidRPr="00E303AD">
        <w:rPr>
          <w:rFonts w:eastAsia="Calibri" w:hint="cs"/>
          <w:rtl/>
        </w:rPr>
        <w:t xml:space="preserve"> </w:t>
      </w:r>
      <w:r w:rsidRPr="00E303AD">
        <w:rPr>
          <w:rFonts w:eastAsia="Calibri"/>
          <w:rtl/>
        </w:rPr>
        <w:t>בשנים 202</w:t>
      </w:r>
      <w:r w:rsidRPr="00E303AD">
        <w:rPr>
          <w:rFonts w:eastAsia="Calibri" w:hint="cs"/>
          <w:rtl/>
        </w:rPr>
        <w:t xml:space="preserve">5 </w:t>
      </w:r>
      <w:r w:rsidRPr="00E303AD">
        <w:rPr>
          <w:rFonts w:eastAsia="Calibri"/>
          <w:rtl/>
        </w:rPr>
        <w:t>-</w:t>
      </w:r>
      <w:r w:rsidRPr="00E303AD">
        <w:rPr>
          <w:rFonts w:eastAsia="Calibri" w:hint="cs"/>
          <w:rtl/>
        </w:rPr>
        <w:t xml:space="preserve"> </w:t>
      </w:r>
      <w:r w:rsidRPr="00E303AD">
        <w:rPr>
          <w:rFonts w:eastAsia="Calibri"/>
          <w:rtl/>
        </w:rPr>
        <w:t>202</w:t>
      </w:r>
      <w:r w:rsidRPr="00E303AD">
        <w:rPr>
          <w:rFonts w:eastAsia="Calibri" w:hint="cs"/>
          <w:rtl/>
        </w:rPr>
        <w:t>6</w:t>
      </w:r>
      <w:r w:rsidRPr="00E303AD">
        <w:rPr>
          <w:rFonts w:eastAsia="Calibri"/>
          <w:rtl/>
        </w:rPr>
        <w:t xml:space="preserve"> נושא מתן דוחות לצרכני זנות נקבע כיעד ר</w:t>
      </w:r>
      <w:r w:rsidRPr="00E303AD">
        <w:rPr>
          <w:rFonts w:eastAsia="Calibri" w:hint="cs"/>
          <w:rtl/>
        </w:rPr>
        <w:t>אש</w:t>
      </w:r>
      <w:r w:rsidRPr="00E303AD">
        <w:rPr>
          <w:rFonts w:eastAsia="Calibri"/>
          <w:rtl/>
        </w:rPr>
        <w:t xml:space="preserve"> אח״</w:t>
      </w:r>
      <w:r w:rsidRPr="00E303AD">
        <w:rPr>
          <w:rFonts w:eastAsia="Calibri" w:hint="cs"/>
          <w:rtl/>
        </w:rPr>
        <w:t>ם</w:t>
      </w:r>
      <w:r w:rsidRPr="00E303AD">
        <w:rPr>
          <w:rFonts w:eastAsia="Calibri"/>
          <w:rtl/>
        </w:rPr>
        <w:t xml:space="preserve"> ל</w:t>
      </w:r>
      <w:r w:rsidRPr="00E303AD">
        <w:rPr>
          <w:rFonts w:eastAsia="Calibri" w:hint="cs"/>
          <w:rtl/>
        </w:rPr>
        <w:t>כמה</w:t>
      </w:r>
      <w:r w:rsidRPr="00E303AD">
        <w:rPr>
          <w:rFonts w:eastAsia="Calibri"/>
          <w:rtl/>
        </w:rPr>
        <w:t xml:space="preserve"> תחנות משטרה, בכפוף למיפוי </w:t>
      </w:r>
      <w:r w:rsidRPr="00E303AD">
        <w:rPr>
          <w:rFonts w:eastAsia="Calibri" w:hint="cs"/>
          <w:rtl/>
        </w:rPr>
        <w:t xml:space="preserve">המשטרתי של </w:t>
      </w:r>
      <w:r w:rsidRPr="00E303AD">
        <w:rPr>
          <w:rFonts w:eastAsia="Calibri"/>
          <w:rtl/>
        </w:rPr>
        <w:t xml:space="preserve">אתרי זנות.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בתשובת המשרד לביטחון לאומי למשרד מבקר המדינה ממאי 2026 (להלן - תשובת המשרד לבל"ם) צוין כי </w:t>
      </w:r>
      <w:r w:rsidRPr="00E303AD">
        <w:rPr>
          <w:rFonts w:eastAsia="Calibri"/>
          <w:rtl/>
        </w:rPr>
        <w:t>ב</w:t>
      </w:r>
      <w:r w:rsidRPr="00E303AD">
        <w:rPr>
          <w:rFonts w:eastAsia="Calibri" w:hint="cs"/>
          <w:rtl/>
        </w:rPr>
        <w:t>שנת</w:t>
      </w:r>
      <w:r w:rsidRPr="00E303AD">
        <w:rPr>
          <w:rFonts w:eastAsia="Calibri"/>
          <w:rtl/>
        </w:rPr>
        <w:t xml:space="preserve"> 2025 חלה עלי</w:t>
      </w:r>
      <w:r w:rsidRPr="00E303AD">
        <w:rPr>
          <w:rFonts w:eastAsia="Calibri" w:hint="cs"/>
          <w:rtl/>
        </w:rPr>
        <w:t>י</w:t>
      </w:r>
      <w:r w:rsidRPr="00E303AD">
        <w:rPr>
          <w:rFonts w:eastAsia="Calibri"/>
          <w:rtl/>
        </w:rPr>
        <w:t xml:space="preserve">ה </w:t>
      </w:r>
      <w:r w:rsidRPr="00E303AD">
        <w:rPr>
          <w:rFonts w:eastAsia="Calibri" w:hint="cs"/>
          <w:rtl/>
        </w:rPr>
        <w:t>ניכרת</w:t>
      </w:r>
      <w:r w:rsidRPr="00E303AD">
        <w:rPr>
          <w:rFonts w:eastAsia="Calibri"/>
          <w:rtl/>
        </w:rPr>
        <w:t xml:space="preserve"> </w:t>
      </w:r>
      <w:r w:rsidRPr="00E303AD">
        <w:rPr>
          <w:rFonts w:eastAsia="Calibri" w:hint="cs"/>
          <w:rtl/>
        </w:rPr>
        <w:t>במספר הקנסות שהוטלו על</w:t>
      </w:r>
      <w:r w:rsidRPr="00E303AD">
        <w:rPr>
          <w:rFonts w:eastAsia="Calibri"/>
          <w:rtl/>
        </w:rPr>
        <w:t xml:space="preserve"> צרכני זנות</w:t>
      </w:r>
      <w:r w:rsidRPr="00E303AD">
        <w:rPr>
          <w:rFonts w:eastAsia="Calibri" w:hint="cs"/>
          <w:rtl/>
        </w:rPr>
        <w:t>, וכי מגמת העלייה נמשכת גם בשנת 2026</w:t>
      </w:r>
      <w:r w:rsidRPr="00E303AD">
        <w:rPr>
          <w:rFonts w:eastAsia="Calibri"/>
          <w:rtl/>
        </w:rPr>
        <w:t xml:space="preserve">. </w:t>
      </w:r>
      <w:r w:rsidRPr="00E303AD">
        <w:rPr>
          <w:rFonts w:eastAsia="Calibri" w:hint="cs"/>
          <w:rtl/>
        </w:rPr>
        <w:t>עוד צוין כי הסיבות ל</w:t>
      </w:r>
      <w:r w:rsidRPr="00E303AD">
        <w:rPr>
          <w:rFonts w:eastAsia="Calibri"/>
          <w:rtl/>
        </w:rPr>
        <w:t>ירידה ב</w:t>
      </w:r>
      <w:r w:rsidRPr="00E303AD">
        <w:rPr>
          <w:rFonts w:eastAsia="Calibri" w:hint="cs"/>
          <w:rtl/>
        </w:rPr>
        <w:t>מספר הקנסות</w:t>
      </w:r>
      <w:r w:rsidRPr="00E303AD">
        <w:rPr>
          <w:rFonts w:eastAsia="Calibri"/>
          <w:rtl/>
        </w:rPr>
        <w:t xml:space="preserve"> בשנים</w:t>
      </w:r>
      <w:r w:rsidRPr="00E303AD">
        <w:rPr>
          <w:rFonts w:eastAsia="Calibri" w:hint="cs"/>
          <w:rtl/>
        </w:rPr>
        <w:t xml:space="preserve"> 2023 - 2024</w:t>
      </w:r>
      <w:r w:rsidRPr="00E303AD">
        <w:rPr>
          <w:rFonts w:eastAsia="Calibri"/>
          <w:rtl/>
        </w:rPr>
        <w:t xml:space="preserve"> </w:t>
      </w:r>
      <w:r w:rsidRPr="00E303AD">
        <w:rPr>
          <w:rFonts w:eastAsia="Calibri" w:hint="cs"/>
          <w:rtl/>
        </w:rPr>
        <w:t xml:space="preserve">הן, בעיקר, </w:t>
      </w:r>
      <w:r w:rsidRPr="00E303AD">
        <w:rPr>
          <w:rFonts w:eastAsia="Calibri"/>
          <w:rtl/>
        </w:rPr>
        <w:t xml:space="preserve">שינוי בהתנהגות הצרכנים </w:t>
      </w:r>
      <w:r w:rsidRPr="00E303AD">
        <w:rPr>
          <w:rFonts w:eastAsia="Calibri" w:hint="cs"/>
          <w:rtl/>
        </w:rPr>
        <w:t>בשל</w:t>
      </w:r>
      <w:r w:rsidRPr="00E303AD">
        <w:rPr>
          <w:rFonts w:eastAsia="Calibri"/>
          <w:rtl/>
        </w:rPr>
        <w:t xml:space="preserve"> </w:t>
      </w:r>
      <w:r w:rsidRPr="00E303AD">
        <w:rPr>
          <w:rFonts w:eastAsia="Calibri" w:hint="cs"/>
          <w:rtl/>
        </w:rPr>
        <w:t>ה</w:t>
      </w:r>
      <w:r w:rsidRPr="00E303AD">
        <w:rPr>
          <w:rFonts w:eastAsia="Calibri"/>
          <w:rtl/>
        </w:rPr>
        <w:t xml:space="preserve">אכיפה </w:t>
      </w:r>
      <w:r w:rsidRPr="00E303AD">
        <w:rPr>
          <w:rFonts w:eastAsia="Calibri" w:hint="cs"/>
          <w:rtl/>
        </w:rPr>
        <w:t>המוגברת</w:t>
      </w:r>
      <w:r w:rsidRPr="00E303AD">
        <w:rPr>
          <w:rFonts w:eastAsia="Calibri"/>
          <w:rtl/>
        </w:rPr>
        <w:t xml:space="preserve"> בשנת 2022, שאופיינה במעבר לדירות מסתור ולזירות זנות אחרות</w:t>
      </w:r>
      <w:r w:rsidRPr="00E303AD">
        <w:rPr>
          <w:rFonts w:eastAsia="Calibri" w:hint="cs"/>
          <w:rtl/>
        </w:rPr>
        <w:t>;</w:t>
      </w:r>
      <w:r w:rsidRPr="00E303AD">
        <w:rPr>
          <w:rFonts w:eastAsia="Calibri"/>
          <w:rtl/>
        </w:rPr>
        <w:t xml:space="preserve"> עומסי משימות של </w:t>
      </w:r>
      <w:r w:rsidRPr="00E303AD">
        <w:rPr>
          <w:rFonts w:eastAsia="Calibri" w:hint="cs"/>
          <w:rtl/>
        </w:rPr>
        <w:t>ה</w:t>
      </w:r>
      <w:r w:rsidRPr="00E303AD">
        <w:rPr>
          <w:rFonts w:eastAsia="Calibri"/>
          <w:rtl/>
        </w:rPr>
        <w:t>משטר</w:t>
      </w:r>
      <w:r w:rsidRPr="00E303AD">
        <w:rPr>
          <w:rFonts w:eastAsia="Calibri" w:hint="cs"/>
          <w:rtl/>
        </w:rPr>
        <w:t xml:space="preserve">ה </w:t>
      </w:r>
      <w:r w:rsidRPr="00E303AD">
        <w:rPr>
          <w:rFonts w:eastAsia="Calibri"/>
          <w:rtl/>
        </w:rPr>
        <w:t>לצד מחסור בכוח אדם ופרוץ מלחמת חרבות ברזל</w:t>
      </w:r>
      <w:r w:rsidRPr="00E303AD">
        <w:rPr>
          <w:rFonts w:eastAsia="Calibri" w:hint="cs"/>
          <w:rtl/>
        </w:rPr>
        <w:t>,</w:t>
      </w:r>
      <w:r w:rsidRPr="00E303AD">
        <w:rPr>
          <w:rFonts w:eastAsia="Calibri"/>
          <w:rtl/>
        </w:rPr>
        <w:t xml:space="preserve"> שהובילה למצב חירום לאומי.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shd w:val="clear" w:color="auto" w:fill="FFFFFF"/>
          <w:rtl/>
        </w:rPr>
      </w:pPr>
      <w:r w:rsidRPr="00E303AD">
        <w:rPr>
          <w:rFonts w:eastAsia="Calibri" w:hint="cs"/>
          <w:b/>
          <w:bCs/>
          <w:rtl/>
        </w:rPr>
        <w:t xml:space="preserve">ההפחתה בהיקף פעילות המשטרה </w:t>
      </w:r>
      <w:r w:rsidRPr="00E303AD">
        <w:rPr>
          <w:rFonts w:eastAsia="Calibri" w:hint="cs"/>
          <w:b/>
          <w:bCs/>
          <w:shd w:val="clear" w:color="auto" w:fill="FFFFFF"/>
          <w:rtl/>
        </w:rPr>
        <w:t xml:space="preserve">לאכיפת חוק איסור צריכת זנות, שהחלה בשנת 2023 והמשיכה בפעילות דלה ומצומצמת בשנת 2024, מעוררת חשש לתת-אכיפה. היא מעוררת קושי בייחוד לנוכח העובדה שהתופעה מתאפיינת בפגיעה בכבוד האדם, וכן לנוכח העובדה שמדובר באכיפה שמחויבת בחוק ונובעת גם מהתחייבויותיה הבין-לאומיות של ישראל. הגידול במספר הקנסות שהוטלו בשנת 2025 מעודד וראוי לציינו לחיוב, אך מספרם עדיין קטן בהרבה ממספר הקנסות שהוטלו בשנת 2022, </w:t>
      </w:r>
      <w:bookmarkStart w:id="38" w:name="_Hlk222991087"/>
      <w:r w:rsidRPr="00E303AD">
        <w:rPr>
          <w:rFonts w:eastAsia="Calibri" w:hint="cs"/>
          <w:b/>
          <w:bCs/>
          <w:shd w:val="clear" w:color="auto" w:fill="FFFFFF"/>
          <w:rtl/>
        </w:rPr>
        <w:t xml:space="preserve">כשנה לאחר חקיקת החוק (הפחתה של כ-65%). </w:t>
      </w:r>
      <w:bookmarkEnd w:id="38"/>
    </w:p>
    <w:p w:rsidR="00E303AD" w:rsidRPr="00E303AD" w:rsidP="00E303AD">
      <w:pPr>
        <w:spacing w:line="269" w:lineRule="auto"/>
        <w:ind w:left="-567"/>
        <w:rPr>
          <w:rFonts w:eastAsia="Calibri"/>
          <w:szCs w:val="20"/>
          <w:shd w:val="clear" w:color="auto" w:fill="FFFFFF"/>
          <w:rtl/>
        </w:rPr>
      </w:pPr>
      <w:r w:rsidRPr="00E303AD">
        <w:rPr>
          <w:rFonts w:eastAsia="Calibri" w:hint="cs"/>
          <w:szCs w:val="20"/>
          <w:shd w:val="clear" w:color="auto" w:fill="FFFFFF"/>
          <w:rtl/>
        </w:rPr>
        <w:t xml:space="preserve"> </w:t>
      </w:r>
    </w:p>
    <w:p w:rsidR="00E303AD" w:rsidRPr="00E303AD" w:rsidP="00E303AD">
      <w:pPr>
        <w:spacing w:line="269" w:lineRule="auto"/>
        <w:rPr>
          <w:rFonts w:eastAsia="Calibri"/>
          <w:b/>
          <w:bCs/>
          <w:rtl/>
        </w:rPr>
      </w:pPr>
      <w:r w:rsidRPr="00E303AD">
        <w:rPr>
          <w:rFonts w:eastAsia="Calibri" w:hint="cs"/>
          <w:b/>
          <w:bCs/>
          <w:shd w:val="clear" w:color="auto" w:fill="FFFFFF"/>
          <w:rtl/>
        </w:rPr>
        <w:t>על המשטרה</w:t>
      </w:r>
      <w:r w:rsidRPr="00E303AD">
        <w:rPr>
          <w:rFonts w:eastAsia="Calibri" w:hint="cs"/>
          <w:b/>
          <w:bCs/>
          <w:rtl/>
        </w:rPr>
        <w:t xml:space="preserve"> לנקוט פעולות להגברת אכיפה יעילה</w:t>
      </w:r>
      <w:r w:rsidRPr="00E303AD">
        <w:rPr>
          <w:rFonts w:eastAsia="Calibri"/>
          <w:b/>
          <w:bCs/>
          <w:rtl/>
        </w:rPr>
        <w:t xml:space="preserve"> ועקבית </w:t>
      </w:r>
      <w:r w:rsidRPr="00E303AD">
        <w:rPr>
          <w:rFonts w:eastAsia="Calibri" w:hint="cs"/>
          <w:b/>
          <w:bCs/>
          <w:rtl/>
        </w:rPr>
        <w:t>כדי לחזק</w:t>
      </w:r>
      <w:r w:rsidRPr="00E303AD">
        <w:rPr>
          <w:rFonts w:eastAsia="Calibri"/>
          <w:b/>
          <w:bCs/>
          <w:rtl/>
        </w:rPr>
        <w:t xml:space="preserve"> את ההרתעה </w:t>
      </w:r>
      <w:r w:rsidRPr="00E303AD">
        <w:rPr>
          <w:rFonts w:eastAsia="Calibri" w:hint="cs"/>
          <w:b/>
          <w:bCs/>
          <w:rtl/>
        </w:rPr>
        <w:t>ולסייע</w:t>
      </w:r>
      <w:r w:rsidRPr="00E303AD">
        <w:rPr>
          <w:rFonts w:eastAsia="Calibri"/>
          <w:b/>
          <w:bCs/>
          <w:rtl/>
        </w:rPr>
        <w:t xml:space="preserve"> בהשגת תכליות החוק</w:t>
      </w:r>
      <w:r w:rsidRPr="00E303AD">
        <w:rPr>
          <w:rFonts w:eastAsia="Calibri" w:hint="cs"/>
          <w:b/>
          <w:bCs/>
          <w:rtl/>
        </w:rPr>
        <w:t xml:space="preserve"> לאיסור צריכת זנות.</w:t>
      </w:r>
    </w:p>
    <w:p w:rsidR="00E303AD" w:rsidRPr="00E303AD" w:rsidP="00E303AD">
      <w:pPr>
        <w:keepNext/>
        <w:keepLines/>
        <w:spacing w:line="269" w:lineRule="auto"/>
        <w:outlineLvl w:val="4"/>
        <w:rPr>
          <w:rFonts w:eastAsia="Times New Roman"/>
          <w:bCs/>
          <w:spacing w:val="40"/>
          <w:rtl/>
        </w:rPr>
      </w:pPr>
      <w:bookmarkStart w:id="39" w:name="_Toc221474967"/>
      <w:r w:rsidRPr="00E303AD">
        <w:rPr>
          <w:rFonts w:eastAsia="Times New Roman" w:hint="cs"/>
          <w:bCs/>
          <w:spacing w:val="40"/>
          <w:rtl/>
        </w:rPr>
        <w:t>האכיפה בחלוקה למחוזות ולתחנות</w:t>
      </w:r>
      <w:bookmarkEnd w:id="39"/>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numPr>
          <w:ilvl w:val="0"/>
          <w:numId w:val="19"/>
        </w:numPr>
        <w:spacing w:line="269" w:lineRule="auto"/>
        <w:ind w:left="312"/>
        <w:contextualSpacing/>
        <w:rPr>
          <w:rFonts w:eastAsia="Calibri"/>
        </w:rPr>
      </w:pPr>
      <w:r w:rsidRPr="00E303AD">
        <w:rPr>
          <w:rFonts w:eastAsia="Calibri" w:hint="cs"/>
          <w:rtl/>
        </w:rPr>
        <w:t xml:space="preserve">על פי </w:t>
      </w:r>
      <w:r w:rsidRPr="00E303AD">
        <w:rPr>
          <w:rFonts w:ascii="David" w:eastAsia="Calibri" w:hAnsi="David" w:hint="cs"/>
          <w:rtl/>
        </w:rPr>
        <w:t xml:space="preserve">המחקר המלווה ותמונת המודיעין של אח"ם, תופעת הזנות מתאפיינת בפריסה ארצית, אף שבכל אחד מהמחוזות היקפיה שונים. בהתאם לנוהל אכיפת חוק איסור צריכת זנות, על כלל המחוזות והתחנות לפעול לצמצום תופעת הזנות ולאכיפת החוק, בין היתר באמצעות הטלת קנסות על מפרי החוק. </w:t>
      </w:r>
    </w:p>
    <w:p w:rsidR="00E303AD" w:rsidRPr="00E303AD" w:rsidP="00E303AD">
      <w:pPr>
        <w:spacing w:line="269" w:lineRule="auto"/>
        <w:ind w:left="-567"/>
        <w:rPr>
          <w:rFonts w:eastAsia="Calibri"/>
          <w:szCs w:val="20"/>
          <w:rtl/>
        </w:rPr>
      </w:pPr>
    </w:p>
    <w:p w:rsidR="00E303AD" w:rsidRPr="00E303AD" w:rsidP="00E303AD">
      <w:pPr>
        <w:keepNext/>
        <w:keepLines/>
        <w:spacing w:line="269" w:lineRule="auto"/>
        <w:ind w:left="312"/>
        <w:jc w:val="center"/>
        <w:rPr>
          <w:rFonts w:eastAsia="Calibri"/>
          <w:b/>
          <w:bCs/>
          <w:rtl/>
        </w:rPr>
      </w:pPr>
      <w:bookmarkStart w:id="40" w:name="_Hlk209945784"/>
      <w:r w:rsidRPr="00E303AD">
        <w:rPr>
          <w:rFonts w:eastAsia="Calibri" w:hint="cs"/>
          <w:rtl/>
        </w:rPr>
        <w:t>תרשים 3:</w:t>
      </w:r>
      <w:r w:rsidRPr="00E303AD">
        <w:rPr>
          <w:rFonts w:eastAsia="Calibri" w:hint="cs"/>
          <w:b/>
          <w:bCs/>
          <w:rtl/>
        </w:rPr>
        <w:t xml:space="preserve"> מספר הקנסות שהוטלו על צרכני הזנות לפי מחוזות, </w:t>
      </w:r>
    </w:p>
    <w:p w:rsidR="00E303AD" w:rsidRPr="00E303AD" w:rsidP="00E303AD">
      <w:pPr>
        <w:keepNext/>
        <w:keepLines/>
        <w:spacing w:line="269" w:lineRule="auto"/>
        <w:ind w:left="312"/>
        <w:jc w:val="center"/>
        <w:rPr>
          <w:rFonts w:eastAsia="Calibri"/>
          <w:b/>
          <w:bCs/>
          <w:rtl/>
        </w:rPr>
      </w:pPr>
      <w:r w:rsidRPr="00E303AD">
        <w:rPr>
          <w:rFonts w:eastAsia="Calibri" w:hint="cs"/>
          <w:b/>
          <w:bCs/>
          <w:rtl/>
        </w:rPr>
        <w:t xml:space="preserve">2021 - 2025 </w:t>
      </w:r>
    </w:p>
    <w:p w:rsidR="00E303AD" w:rsidRPr="00E303AD" w:rsidP="00E303AD">
      <w:pPr>
        <w:spacing w:line="269" w:lineRule="auto"/>
        <w:ind w:left="-1"/>
        <w:jc w:val="center"/>
        <w:rPr>
          <w:rFonts w:eastAsia="Calibri"/>
          <w:sz w:val="18"/>
          <w:szCs w:val="22"/>
          <w:rtl/>
        </w:rPr>
      </w:pPr>
      <w:r w:rsidRPr="00E303AD">
        <w:rPr>
          <w:rFonts w:eastAsia="Calibri"/>
          <w:noProof/>
        </w:rPr>
        <w:drawing>
          <wp:inline distT="0" distB="0" distL="0" distR="0">
            <wp:extent cx="5219315" cy="3463936"/>
            <wp:effectExtent l="0" t="0" r="635" b="3175"/>
            <wp:docPr id="26" name="תמונה 26" descr="תרשים עמודות מקובץ המציג התפלגות של נתונים מספריים לפי מחוזות ולאורך השנים 2021 עד 2025. כל קבוצת עמודות מייצגת מחוז, וכל עמודה בקבוצה מייצגת שנה אחרת. להלן פירוט הנתונים המוצגים בתרשים:&#10;&#10;מחוז דרום:&#10;&#10;2021: 13&#10;&#10;2022: 1&#10;&#10;2023: 1&#10;&#10;2024: 0&#10;&#10;2025: 4&#10;&#10;מחוז חוף:&#10;&#10;2021: 545&#10;&#10;2022: 87&#10;&#10;2023: 179&#10;&#10;2024: 183&#10;&#10;2025: 150&#10;&#10;מחוז ירושלים:&#10;&#10;2021: 1&#10;&#10;2022: 0&#10;&#10;2023: 4&#10;&#10;2024: 0&#10;&#10;2025: 0&#10;&#10;מחוז מרכז:&#10;&#10;2021: 226&#10;&#10;2022: 1,384&#10;&#10;2023: 128&#10;&#10;2024: 17&#10;&#10;2025: 396&#10;&#10;מחוז צפון:&#10;&#10;2021: 4&#10;&#10;2022: 0&#10;&#10;2023: 1&#10;&#10;2024: 0&#10;&#10;2025: 15&#10;&#10;מחוז ש&quot;י:&#10;&#10;2021: 0&#10;&#10;2022: 0&#10;&#10;2023: 4&#10;&#10;2024: 0&#10;&#10;2025: 0&#10;&#10;מחוז תל אביב:&#10;&#10;2021: 802&#10;&#10;2022: 1,532&#10;&#10;2023: 585&#10;&#10;2024: 178&#10;&#10;2025: 49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13"/>
                    <a:srcRect t="16491"/>
                    <a:stretch>
                      <a:fillRect/>
                    </a:stretch>
                  </pic:blipFill>
                  <pic:spPr bwMode="auto">
                    <a:xfrm>
                      <a:off x="0" y="0"/>
                      <a:ext cx="5220335" cy="346461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303AD" w:rsidRPr="00E303AD" w:rsidP="00E303AD">
      <w:pPr>
        <w:spacing w:line="269" w:lineRule="auto"/>
        <w:jc w:val="left"/>
        <w:rPr>
          <w:rFonts w:eastAsia="Calibri"/>
          <w:szCs w:val="20"/>
          <w:rtl/>
        </w:rPr>
      </w:pPr>
      <w:r w:rsidRPr="00E303AD">
        <w:rPr>
          <w:rFonts w:eastAsia="Calibri" w:hint="cs"/>
          <w:szCs w:val="20"/>
          <w:rtl/>
        </w:rPr>
        <w:t xml:space="preserve">על פי קובצי נתונים מהמשטרה, בעיבוד משרד מבקר המדינה. </w:t>
      </w:r>
    </w:p>
    <w:bookmarkEnd w:id="40"/>
    <w:p w:rsidR="00E303AD" w:rsidRPr="00E303AD" w:rsidP="00E303AD">
      <w:pPr>
        <w:spacing w:line="269" w:lineRule="auto"/>
        <w:ind w:left="-567"/>
        <w:rPr>
          <w:rFonts w:eastAsia="Calibri"/>
          <w:szCs w:val="20"/>
          <w:rtl/>
        </w:rPr>
      </w:pPr>
    </w:p>
    <w:p w:rsidR="00E303AD" w:rsidRPr="00E303AD" w:rsidP="00E303AD">
      <w:pPr>
        <w:spacing w:line="269" w:lineRule="auto"/>
        <w:ind w:left="312"/>
        <w:rPr>
          <w:rFonts w:eastAsia="Calibri"/>
          <w:b/>
          <w:bCs/>
          <w:rtl/>
        </w:rPr>
      </w:pPr>
      <w:r w:rsidRPr="00E303AD">
        <w:rPr>
          <w:rFonts w:eastAsia="Calibri" w:hint="cs"/>
          <w:b/>
          <w:bCs/>
          <w:rtl/>
        </w:rPr>
        <w:t xml:space="preserve">מהתרשים עולה כי מחוזות המשטרה נבדלים ביניהם במידה ניכרת בפעולותיהם לאכיפת חוק איסור צריכת זנות. בשנים 2021 - 2025 </w:t>
      </w:r>
      <w:bookmarkStart w:id="41" w:name="_Hlk223018894"/>
      <w:r w:rsidRPr="00E303AD">
        <w:rPr>
          <w:rFonts w:eastAsia="Calibri" w:hint="cs"/>
          <w:b/>
          <w:bCs/>
          <w:rtl/>
        </w:rPr>
        <w:t xml:space="preserve">פעילות האכיפה של ארבעה מתוך שבעה מחוזות הייתה אפסית ולכל היותר דלה מאוד (מספר הקנסות שהוטלו בהם היה מזערי), ובפועל </w:t>
      </w:r>
      <w:r w:rsidR="00205877">
        <w:rPr>
          <w:rFonts w:eastAsia="Calibri"/>
          <w:b/>
          <w:bCs/>
          <w:rtl/>
        </w:rPr>
        <w:br/>
      </w:r>
      <w:r w:rsidRPr="00E303AD">
        <w:rPr>
          <w:rFonts w:eastAsia="Calibri" w:hint="cs"/>
          <w:b/>
          <w:bCs/>
          <w:rtl/>
        </w:rPr>
        <w:t>כ-99% מכלל הקנסות שהטילה המשטרה בשנים אלה הוטלו על ידי שלושה מחוזות בלבד:</w:t>
      </w:r>
      <w:r w:rsidRPr="00E303AD">
        <w:rPr>
          <w:rFonts w:eastAsia="Calibri" w:hint="cs"/>
          <w:b/>
          <w:bCs/>
        </w:rPr>
        <w:t xml:space="preserve"> </w:t>
      </w:r>
      <w:r w:rsidRPr="00E303AD">
        <w:rPr>
          <w:rFonts w:eastAsia="Calibri" w:hint="cs"/>
          <w:b/>
          <w:bCs/>
          <w:rtl/>
        </w:rPr>
        <w:t xml:space="preserve">תל אביב, מרכז וחוף. הפער האמור בין המחוזות נובע, בין היתר, מההבדלים בהיקף </w:t>
      </w:r>
      <w:bookmarkEnd w:id="41"/>
      <w:r w:rsidRPr="00E303AD">
        <w:rPr>
          <w:rFonts w:eastAsia="Calibri" w:hint="cs"/>
          <w:b/>
          <w:bCs/>
          <w:rtl/>
        </w:rPr>
        <w:t xml:space="preserve">התופעה באזורים שונים בארץ, אולם העובדה שבארבעה מחוזות בארץ - צפון, דרום, ירושלים וש"י - מתבצעת אכיפה בשיעור אפסי מחייבת בחינה.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ind w:left="312"/>
        <w:rPr>
          <w:rFonts w:eastAsia="Calibri"/>
          <w:rtl/>
        </w:rPr>
      </w:pPr>
      <w:r w:rsidRPr="00E303AD">
        <w:rPr>
          <w:rFonts w:eastAsia="Calibri" w:hint="cs"/>
          <w:rtl/>
        </w:rPr>
        <w:t xml:space="preserve">בתשובת המשטרה צוין כי </w:t>
      </w:r>
      <w:r w:rsidRPr="00E303AD">
        <w:rPr>
          <w:rFonts w:eastAsia="Calibri"/>
          <w:rtl/>
        </w:rPr>
        <w:t>בשנים 2021</w:t>
      </w:r>
      <w:r w:rsidRPr="00E303AD">
        <w:rPr>
          <w:rFonts w:eastAsia="Calibri" w:hint="cs"/>
          <w:rtl/>
        </w:rPr>
        <w:t xml:space="preserve"> </w:t>
      </w:r>
      <w:r w:rsidRPr="00E303AD">
        <w:rPr>
          <w:rFonts w:eastAsia="Calibri"/>
          <w:rtl/>
        </w:rPr>
        <w:t>-</w:t>
      </w:r>
      <w:r w:rsidRPr="00E303AD">
        <w:rPr>
          <w:rFonts w:eastAsia="Calibri" w:hint="cs"/>
          <w:rtl/>
        </w:rPr>
        <w:t xml:space="preserve"> </w:t>
      </w:r>
      <w:r w:rsidRPr="00E303AD">
        <w:rPr>
          <w:rFonts w:eastAsia="Calibri"/>
          <w:rtl/>
        </w:rPr>
        <w:t xml:space="preserve">2025 </w:t>
      </w:r>
      <w:r w:rsidRPr="00E303AD">
        <w:rPr>
          <w:rFonts w:eastAsia="Calibri" w:hint="cs"/>
          <w:rtl/>
        </w:rPr>
        <w:t>שיעורי</w:t>
      </w:r>
      <w:r w:rsidRPr="00E303AD">
        <w:rPr>
          <w:rFonts w:eastAsia="Calibri"/>
          <w:rtl/>
        </w:rPr>
        <w:t xml:space="preserve"> הקנסות שניתנו במחוזות צפון, דרום, ירושלים וש״י </w:t>
      </w:r>
      <w:r w:rsidRPr="00E303AD">
        <w:rPr>
          <w:rFonts w:eastAsia="Calibri" w:hint="cs"/>
          <w:rtl/>
        </w:rPr>
        <w:t xml:space="preserve">אכן </w:t>
      </w:r>
      <w:r w:rsidRPr="00E303AD">
        <w:rPr>
          <w:rFonts w:eastAsia="Calibri"/>
          <w:rtl/>
        </w:rPr>
        <w:t>היו מזעריים</w:t>
      </w:r>
      <w:r w:rsidRPr="00E303AD">
        <w:rPr>
          <w:rFonts w:eastAsia="Calibri" w:hint="cs"/>
          <w:rtl/>
        </w:rPr>
        <w:t>, אך</w:t>
      </w:r>
      <w:r w:rsidRPr="00E303AD">
        <w:rPr>
          <w:rFonts w:eastAsia="Calibri"/>
          <w:rtl/>
        </w:rPr>
        <w:t xml:space="preserve"> ניתן לומר כי </w:t>
      </w:r>
      <w:r w:rsidRPr="00E303AD">
        <w:rPr>
          <w:rFonts w:eastAsia="Calibri" w:hint="cs"/>
          <w:rtl/>
        </w:rPr>
        <w:t xml:space="preserve">מאז </w:t>
      </w:r>
      <w:r w:rsidRPr="00E303AD">
        <w:rPr>
          <w:rFonts w:eastAsia="Calibri"/>
          <w:rtl/>
        </w:rPr>
        <w:t>חל שיפור בחלק מן המחוזות. ל</w:t>
      </w:r>
      <w:r w:rsidRPr="00E303AD">
        <w:rPr>
          <w:rFonts w:eastAsia="Calibri" w:hint="cs"/>
          <w:rtl/>
        </w:rPr>
        <w:t xml:space="preserve">משל, </w:t>
      </w:r>
      <w:bookmarkStart w:id="42" w:name="_Hlk232599841"/>
      <w:r w:rsidRPr="00E303AD">
        <w:rPr>
          <w:rFonts w:eastAsia="Calibri" w:hint="cs"/>
          <w:rtl/>
        </w:rPr>
        <w:t xml:space="preserve">בשנת 2026, מחודש ינואר </w:t>
      </w:r>
      <w:r w:rsidRPr="00E303AD">
        <w:rPr>
          <w:rFonts w:eastAsia="Calibri"/>
          <w:rtl/>
        </w:rPr>
        <w:t xml:space="preserve">עד </w:t>
      </w:r>
      <w:r w:rsidRPr="00E303AD">
        <w:rPr>
          <w:rFonts w:eastAsia="Calibri" w:hint="cs"/>
          <w:rtl/>
        </w:rPr>
        <w:t>חודש אפריל הוטלו ב</w:t>
      </w:r>
      <w:r w:rsidRPr="00E303AD">
        <w:rPr>
          <w:rFonts w:eastAsia="Calibri"/>
          <w:rtl/>
        </w:rPr>
        <w:t xml:space="preserve">מחוז דרום 175 </w:t>
      </w:r>
      <w:r w:rsidRPr="00E303AD">
        <w:rPr>
          <w:rFonts w:eastAsia="Calibri" w:hint="cs"/>
          <w:rtl/>
        </w:rPr>
        <w:t>קנסות</w:t>
      </w:r>
      <w:r w:rsidRPr="00E303AD">
        <w:rPr>
          <w:rFonts w:eastAsia="Calibri"/>
          <w:rtl/>
        </w:rPr>
        <w:t xml:space="preserve"> זנות</w:t>
      </w:r>
      <w:r w:rsidRPr="00E303AD">
        <w:rPr>
          <w:rFonts w:eastAsia="Calibri" w:hint="cs"/>
          <w:rtl/>
        </w:rPr>
        <w:t xml:space="preserve"> </w:t>
      </w:r>
      <w:r w:rsidRPr="00E303AD">
        <w:rPr>
          <w:rFonts w:eastAsia="Calibri"/>
          <w:rtl/>
        </w:rPr>
        <w:t xml:space="preserve">לעומת </w:t>
      </w:r>
      <w:r w:rsidRPr="00E303AD">
        <w:rPr>
          <w:rFonts w:eastAsia="Calibri" w:hint="cs"/>
          <w:rtl/>
        </w:rPr>
        <w:t>ארבעה</w:t>
      </w:r>
      <w:r w:rsidRPr="00E303AD">
        <w:rPr>
          <w:rFonts w:eastAsia="Calibri"/>
          <w:rtl/>
        </w:rPr>
        <w:t xml:space="preserve"> </w:t>
      </w:r>
      <w:r w:rsidRPr="00E303AD">
        <w:rPr>
          <w:rFonts w:eastAsia="Calibri" w:hint="cs"/>
          <w:rtl/>
        </w:rPr>
        <w:t xml:space="preserve">קנסות שהוטלו בו </w:t>
      </w:r>
      <w:r w:rsidRPr="00E303AD">
        <w:rPr>
          <w:rFonts w:eastAsia="Calibri"/>
          <w:rtl/>
        </w:rPr>
        <w:t>בשנת 2025</w:t>
      </w:r>
      <w:r w:rsidRPr="00E303AD">
        <w:rPr>
          <w:rFonts w:eastAsia="Calibri" w:hint="cs"/>
          <w:rtl/>
        </w:rPr>
        <w:t xml:space="preserve"> כולה</w:t>
      </w:r>
      <w:r w:rsidRPr="00E303AD">
        <w:rPr>
          <w:rFonts w:eastAsia="Calibri"/>
          <w:rtl/>
        </w:rPr>
        <w:t>.</w:t>
      </w:r>
      <w:bookmarkEnd w:id="42"/>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numPr>
          <w:ilvl w:val="0"/>
          <w:numId w:val="19"/>
        </w:numPr>
        <w:spacing w:line="269" w:lineRule="auto"/>
        <w:ind w:left="312"/>
        <w:contextualSpacing/>
        <w:rPr>
          <w:rFonts w:eastAsia="Calibri"/>
          <w:rtl/>
        </w:rPr>
      </w:pPr>
      <w:r w:rsidRPr="00E303AD">
        <w:rPr>
          <w:rFonts w:eastAsia="Calibri" w:hint="cs"/>
          <w:rtl/>
        </w:rPr>
        <w:t xml:space="preserve">משרד מבקר המדינה הרחיב את הבדיקה לעניין פריסת פעולות האכיפה של המשטרה גם לרובד התחנות: </w:t>
      </w:r>
    </w:p>
    <w:p w:rsidR="00E303AD" w:rsidRPr="00E303AD" w:rsidP="00E303AD">
      <w:pPr>
        <w:spacing w:line="269" w:lineRule="auto"/>
        <w:rPr>
          <w:rFonts w:eastAsia="Calibri"/>
          <w:rtl/>
        </w:rPr>
      </w:pPr>
    </w:p>
    <w:p w:rsidR="00E303AD" w:rsidRPr="00E303AD" w:rsidP="00E303AD">
      <w:pPr>
        <w:keepNext/>
        <w:keepLines/>
        <w:spacing w:line="269" w:lineRule="auto"/>
        <w:ind w:left="312"/>
        <w:jc w:val="center"/>
        <w:rPr>
          <w:rFonts w:eastAsia="Calibri"/>
          <w:b/>
          <w:bCs/>
          <w:rtl/>
        </w:rPr>
      </w:pPr>
      <w:bookmarkStart w:id="43" w:name="_Hlk209945806"/>
      <w:r w:rsidRPr="00E303AD">
        <w:rPr>
          <w:rFonts w:eastAsia="Calibri" w:hint="cs"/>
          <w:rtl/>
        </w:rPr>
        <w:t>תרשים 4:</w:t>
      </w:r>
      <w:r w:rsidRPr="00E303AD">
        <w:rPr>
          <w:rFonts w:eastAsia="Calibri" w:hint="cs"/>
          <w:b/>
          <w:bCs/>
          <w:rtl/>
        </w:rPr>
        <w:t xml:space="preserve"> </w:t>
      </w:r>
      <w:bookmarkStart w:id="44" w:name="_Hlk214454239"/>
      <w:r w:rsidRPr="00E303AD">
        <w:rPr>
          <w:rFonts w:eastAsia="Calibri" w:hint="cs"/>
          <w:b/>
          <w:bCs/>
          <w:rtl/>
        </w:rPr>
        <w:t>מספר הקנסות שהוטלו על צרכני הזנות לפי תחנות משטרה</w:t>
      </w:r>
      <w:r>
        <w:rPr>
          <w:rFonts w:eastAsia="Calibri"/>
          <w:b/>
          <w:bCs/>
          <w:vertAlign w:val="superscript"/>
          <w:rtl/>
        </w:rPr>
        <w:footnoteReference w:id="52"/>
      </w:r>
      <w:r w:rsidRPr="00E303AD">
        <w:rPr>
          <w:rFonts w:eastAsia="Calibri" w:hint="cs"/>
          <w:b/>
          <w:bCs/>
          <w:rtl/>
        </w:rPr>
        <w:t xml:space="preserve">, </w:t>
      </w:r>
    </w:p>
    <w:p w:rsidR="00E303AD" w:rsidRPr="00E303AD" w:rsidP="00E303AD">
      <w:pPr>
        <w:spacing w:line="269" w:lineRule="auto"/>
        <w:ind w:left="312"/>
        <w:jc w:val="center"/>
        <w:rPr>
          <w:rFonts w:eastAsia="Calibri"/>
          <w:b/>
          <w:bCs/>
          <w:rtl/>
        </w:rPr>
      </w:pPr>
      <w:r w:rsidRPr="00E303AD">
        <w:rPr>
          <w:rFonts w:eastAsia="Calibri" w:hint="cs"/>
          <w:b/>
          <w:bCs/>
          <w:rtl/>
        </w:rPr>
        <w:t>2021 - 2025</w:t>
      </w:r>
    </w:p>
    <w:bookmarkEnd w:id="44"/>
    <w:p w:rsidR="00E303AD" w:rsidRPr="00E303AD" w:rsidP="00E303AD">
      <w:pPr>
        <w:spacing w:line="269" w:lineRule="auto"/>
        <w:ind w:left="-1"/>
        <w:jc w:val="center"/>
        <w:rPr>
          <w:rFonts w:eastAsia="Calibri"/>
          <w:sz w:val="16"/>
          <w:szCs w:val="20"/>
          <w:rtl/>
        </w:rPr>
      </w:pPr>
      <w:r w:rsidRPr="00E303AD">
        <w:rPr>
          <w:rFonts w:eastAsia="Calibri"/>
          <w:noProof/>
        </w:rPr>
        <w:drawing>
          <wp:inline distT="0" distB="0" distL="0" distR="0">
            <wp:extent cx="5220335" cy="2849245"/>
            <wp:effectExtent l="0" t="0" r="0" b="8255"/>
            <wp:docPr id="24" name="תמונה 24" descr="תרשים עמודות אנכי. להלן פירוט הנתונים מימין לשמאל:&#10;שדרות: 1&#10;אילת: 1&#10;אשדוד: 1&#10;אשקלון: 2&#10;באר שבע: 14&#10;זבולון: 824&#10;חדרה: 16&#10;חיפה: 84&#10;נשר: 2&#10;משמר הגבול: 123&#10;יס&quot;מ אשר: 20&#10;עכו: 96&#10;לב הבירה: 2&#10;שיטור עירוני ירושלים: 3&#10;יבנה: 2&#10;ראשון לציון: 2,074&#10;ימ&quot;ר ש&quot;י: 4&#10;כרמיאל: 6&#10;סיף: 2&#10;בני ברק: 7&#10;בת ים: 4&#10;שרת: 3,070&#10;המכללה הלאומית לשוטרים: 4&#10;ימ&quot;ר ת&quot;א: 4&#10;חולון: 160&#10;קריית שמונה: 5&#10;שיטור עירוני תל אביב: 159&#10;נהריה: 2&#10;רחובות: 75&#10;בית שאן: 2&#10;נוף הגליל: 8&#10;גלילות: 65&#10;לב תל אביב: 4&#10;תל אביב צפון: 9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14"/>
                    <a:stretch>
                      <a:fillRect/>
                    </a:stretch>
                  </pic:blipFill>
                  <pic:spPr>
                    <a:xfrm>
                      <a:off x="0" y="0"/>
                      <a:ext cx="5220335" cy="2849245"/>
                    </a:xfrm>
                    <a:prstGeom prst="rect">
                      <a:avLst/>
                    </a:prstGeom>
                  </pic:spPr>
                </pic:pic>
              </a:graphicData>
            </a:graphic>
          </wp:inline>
        </w:drawing>
      </w:r>
    </w:p>
    <w:p w:rsidR="00E303AD" w:rsidRPr="00E303AD" w:rsidP="00E303AD">
      <w:pPr>
        <w:spacing w:line="269" w:lineRule="auto"/>
        <w:jc w:val="left"/>
        <w:rPr>
          <w:rFonts w:eastAsia="Calibri"/>
          <w:sz w:val="16"/>
          <w:szCs w:val="20"/>
          <w:rtl/>
        </w:rPr>
      </w:pPr>
      <w:r w:rsidRPr="00E303AD">
        <w:rPr>
          <w:rFonts w:eastAsia="Calibri" w:hint="cs"/>
          <w:sz w:val="16"/>
          <w:szCs w:val="20"/>
          <w:rtl/>
        </w:rPr>
        <w:t>על פי קובצי נתונים מהמשטרה, בעיבוד משרד מבקר המדינה.</w:t>
      </w:r>
    </w:p>
    <w:bookmarkEnd w:id="43"/>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r w:rsidRPr="00E303AD">
        <w:rPr>
          <w:rFonts w:eastAsia="Calibri" w:hint="eastAsia"/>
          <w:b/>
          <w:bCs/>
          <w:rtl/>
        </w:rPr>
        <w:t>נתוני</w:t>
      </w:r>
      <w:r w:rsidRPr="00E303AD">
        <w:rPr>
          <w:rFonts w:eastAsia="Calibri"/>
          <w:b/>
          <w:bCs/>
          <w:rtl/>
        </w:rPr>
        <w:t xml:space="preserve"> המשטרה על מספר </w:t>
      </w:r>
      <w:r w:rsidRPr="00E303AD">
        <w:rPr>
          <w:rFonts w:eastAsia="Calibri" w:hint="eastAsia"/>
          <w:b/>
          <w:bCs/>
          <w:rtl/>
        </w:rPr>
        <w:t>הקנסות</w:t>
      </w:r>
      <w:r w:rsidRPr="00E303AD">
        <w:rPr>
          <w:rFonts w:eastAsia="Calibri"/>
          <w:b/>
          <w:bCs/>
          <w:rtl/>
        </w:rPr>
        <w:t xml:space="preserve"> </w:t>
      </w:r>
      <w:r w:rsidRPr="00E303AD">
        <w:rPr>
          <w:rFonts w:eastAsia="Calibri" w:hint="eastAsia"/>
          <w:b/>
          <w:bCs/>
          <w:rtl/>
        </w:rPr>
        <w:t>ש</w:t>
      </w:r>
      <w:r w:rsidRPr="00E303AD">
        <w:rPr>
          <w:rFonts w:eastAsia="Calibri" w:hint="cs"/>
          <w:b/>
          <w:bCs/>
          <w:rtl/>
        </w:rPr>
        <w:t xml:space="preserve">הוטלו על </w:t>
      </w:r>
      <w:r w:rsidRPr="00E303AD">
        <w:rPr>
          <w:rFonts w:eastAsia="Calibri"/>
          <w:b/>
          <w:bCs/>
          <w:rtl/>
        </w:rPr>
        <w:t xml:space="preserve">צרכני זנות בשנים 2021 </w:t>
      </w:r>
      <w:r w:rsidRPr="00E303AD">
        <w:rPr>
          <w:rFonts w:eastAsia="Calibri" w:hint="cs"/>
          <w:b/>
          <w:bCs/>
          <w:rtl/>
        </w:rPr>
        <w:t xml:space="preserve">- </w:t>
      </w:r>
      <w:r w:rsidRPr="00E303AD">
        <w:rPr>
          <w:rFonts w:eastAsia="Calibri"/>
          <w:b/>
          <w:bCs/>
          <w:rtl/>
        </w:rPr>
        <w:t>202</w:t>
      </w:r>
      <w:r w:rsidRPr="00E303AD">
        <w:rPr>
          <w:rFonts w:eastAsia="Calibri" w:hint="cs"/>
          <w:b/>
          <w:bCs/>
          <w:rtl/>
        </w:rPr>
        <w:t>5</w:t>
      </w:r>
      <w:r w:rsidRPr="00E303AD">
        <w:rPr>
          <w:rFonts w:eastAsia="Calibri"/>
          <w:b/>
          <w:bCs/>
          <w:rtl/>
        </w:rPr>
        <w:t xml:space="preserve"> </w:t>
      </w:r>
      <w:r w:rsidRPr="00E303AD">
        <w:rPr>
          <w:rFonts w:eastAsia="Calibri" w:hint="cs"/>
          <w:b/>
          <w:bCs/>
          <w:rtl/>
        </w:rPr>
        <w:t xml:space="preserve">מעידים </w:t>
      </w:r>
      <w:r w:rsidRPr="00E303AD">
        <w:rPr>
          <w:rFonts w:eastAsia="Calibri"/>
          <w:b/>
          <w:bCs/>
          <w:rtl/>
        </w:rPr>
        <w:t xml:space="preserve">כי </w:t>
      </w:r>
      <w:r w:rsidRPr="00E303AD">
        <w:rPr>
          <w:rFonts w:eastAsia="Calibri" w:hint="eastAsia"/>
          <w:b/>
          <w:bCs/>
          <w:rtl/>
        </w:rPr>
        <w:t>מרביתם</w:t>
      </w:r>
      <w:r w:rsidRPr="00E303AD">
        <w:rPr>
          <w:rFonts w:eastAsia="Calibri"/>
          <w:b/>
          <w:bCs/>
          <w:rtl/>
        </w:rPr>
        <w:t xml:space="preserve"> המוחלט של </w:t>
      </w:r>
      <w:r w:rsidRPr="00E303AD">
        <w:rPr>
          <w:rFonts w:eastAsia="Calibri" w:hint="eastAsia"/>
          <w:b/>
          <w:bCs/>
          <w:rtl/>
        </w:rPr>
        <w:t>הקנסות</w:t>
      </w:r>
      <w:r w:rsidRPr="00E303AD">
        <w:rPr>
          <w:rFonts w:eastAsia="Calibri"/>
          <w:b/>
          <w:bCs/>
          <w:rtl/>
        </w:rPr>
        <w:t xml:space="preserve"> </w:t>
      </w:r>
      <w:r w:rsidRPr="00E303AD">
        <w:rPr>
          <w:rFonts w:eastAsia="Calibri" w:hint="cs"/>
          <w:b/>
          <w:bCs/>
          <w:rtl/>
        </w:rPr>
        <w:t xml:space="preserve">הוטלו על ידי </w:t>
      </w:r>
      <w:r w:rsidRPr="00E303AD">
        <w:rPr>
          <w:rFonts w:eastAsia="Calibri" w:hint="eastAsia"/>
          <w:b/>
          <w:bCs/>
          <w:rtl/>
        </w:rPr>
        <w:t>שלוש</w:t>
      </w:r>
      <w:r w:rsidRPr="00E303AD">
        <w:rPr>
          <w:rFonts w:eastAsia="Calibri" w:hint="cs"/>
          <w:b/>
          <w:bCs/>
          <w:rtl/>
        </w:rPr>
        <w:t xml:space="preserve"> תחנות: זבולון, ראשון לציון ושרת.</w:t>
      </w:r>
    </w:p>
    <w:p w:rsidR="00E303AD" w:rsidRPr="00E303AD" w:rsidP="00E303AD">
      <w:pPr>
        <w:spacing w:line="269" w:lineRule="auto"/>
        <w:ind w:left="-567"/>
        <w:rPr>
          <w:rFonts w:eastAsia="Calibri"/>
          <w:szCs w:val="20"/>
        </w:rPr>
      </w:pPr>
      <w:r w:rsidRPr="00E303AD">
        <w:rPr>
          <w:rFonts w:eastAsia="Calibri" w:hint="cs"/>
          <w:szCs w:val="20"/>
          <w:rtl/>
        </w:rPr>
        <w:t xml:space="preserve"> </w:t>
      </w:r>
    </w:p>
    <w:p w:rsidR="00E303AD" w:rsidRPr="00E303AD" w:rsidP="00E303AD">
      <w:pPr>
        <w:spacing w:line="269" w:lineRule="auto"/>
        <w:rPr>
          <w:rFonts w:eastAsia="Calibri"/>
          <w:b/>
          <w:bCs/>
          <w:rtl/>
        </w:rPr>
      </w:pPr>
      <w:r w:rsidRPr="00E303AD">
        <w:rPr>
          <w:rFonts w:eastAsia="Calibri" w:hint="cs"/>
          <w:b/>
          <w:bCs/>
          <w:rtl/>
        </w:rPr>
        <w:t>עולה אפוא כי פעילות האכיפה המינהלית של המשטרה בשנים 2021 - 2025 בכל הנוגע לחוק איסור צריכת זנות התבססה בעיקרה על שלוש תחנות (</w:t>
      </w:r>
      <w:bookmarkStart w:id="45" w:name="_Hlk224205087"/>
      <w:r w:rsidRPr="00E303AD">
        <w:rPr>
          <w:rFonts w:eastAsia="Calibri" w:hint="eastAsia"/>
          <w:b/>
          <w:bCs/>
          <w:rtl/>
        </w:rPr>
        <w:t>זבולון</w:t>
      </w:r>
      <w:r w:rsidRPr="00E303AD">
        <w:rPr>
          <w:rFonts w:eastAsia="Calibri"/>
          <w:b/>
          <w:bCs/>
          <w:rtl/>
        </w:rPr>
        <w:t xml:space="preserve">, </w:t>
      </w:r>
      <w:r w:rsidRPr="00E303AD">
        <w:rPr>
          <w:rFonts w:eastAsia="Calibri" w:hint="eastAsia"/>
          <w:b/>
          <w:bCs/>
          <w:rtl/>
        </w:rPr>
        <w:t>ראשון</w:t>
      </w:r>
      <w:r w:rsidRPr="00E303AD">
        <w:rPr>
          <w:rFonts w:eastAsia="Calibri"/>
          <w:b/>
          <w:bCs/>
          <w:rtl/>
        </w:rPr>
        <w:t xml:space="preserve"> </w:t>
      </w:r>
      <w:r w:rsidRPr="00E303AD">
        <w:rPr>
          <w:rFonts w:eastAsia="Calibri" w:hint="eastAsia"/>
          <w:b/>
          <w:bCs/>
          <w:rtl/>
        </w:rPr>
        <w:t>לציון</w:t>
      </w:r>
      <w:r w:rsidRPr="00E303AD">
        <w:rPr>
          <w:rFonts w:eastAsia="Calibri"/>
          <w:b/>
          <w:bCs/>
          <w:rtl/>
        </w:rPr>
        <w:t xml:space="preserve"> </w:t>
      </w:r>
      <w:r w:rsidRPr="00E303AD">
        <w:rPr>
          <w:rFonts w:eastAsia="Calibri" w:hint="eastAsia"/>
          <w:b/>
          <w:bCs/>
          <w:rtl/>
        </w:rPr>
        <w:t>ושרת</w:t>
      </w:r>
      <w:bookmarkEnd w:id="45"/>
      <w:r w:rsidRPr="00E303AD">
        <w:rPr>
          <w:rFonts w:eastAsia="Calibri" w:hint="cs"/>
          <w:b/>
          <w:bCs/>
          <w:rtl/>
        </w:rPr>
        <w:t>)</w:t>
      </w:r>
      <w:r w:rsidRPr="00E303AD">
        <w:rPr>
          <w:rFonts w:eastAsia="Calibri"/>
          <w:b/>
          <w:bCs/>
          <w:rtl/>
        </w:rPr>
        <w:t xml:space="preserve"> </w:t>
      </w:r>
      <w:r w:rsidRPr="00E303AD">
        <w:rPr>
          <w:rFonts w:eastAsia="Calibri" w:hint="cs"/>
          <w:b/>
          <w:bCs/>
          <w:rtl/>
        </w:rPr>
        <w:t>מתוך מאות תחנות; מדובר בתחנות הפועלות בשלושה מחוזות (</w:t>
      </w:r>
      <w:r w:rsidRPr="00E303AD">
        <w:rPr>
          <w:rFonts w:eastAsia="Calibri" w:hint="eastAsia"/>
          <w:b/>
          <w:bCs/>
          <w:rtl/>
        </w:rPr>
        <w:t>חוף</w:t>
      </w:r>
      <w:r w:rsidRPr="00E303AD">
        <w:rPr>
          <w:rFonts w:eastAsia="Calibri"/>
          <w:b/>
          <w:bCs/>
          <w:rtl/>
        </w:rPr>
        <w:t xml:space="preserve">, </w:t>
      </w:r>
      <w:r w:rsidRPr="00E303AD">
        <w:rPr>
          <w:rFonts w:eastAsia="Calibri" w:hint="eastAsia"/>
          <w:b/>
          <w:bCs/>
          <w:rtl/>
        </w:rPr>
        <w:t>מרכז</w:t>
      </w:r>
      <w:r w:rsidRPr="00E303AD">
        <w:rPr>
          <w:rFonts w:eastAsia="Calibri"/>
          <w:b/>
          <w:bCs/>
          <w:rtl/>
        </w:rPr>
        <w:t xml:space="preserve"> </w:t>
      </w:r>
      <w:r w:rsidRPr="00E303AD">
        <w:rPr>
          <w:rFonts w:eastAsia="Calibri" w:hint="eastAsia"/>
          <w:b/>
          <w:bCs/>
          <w:rtl/>
        </w:rPr>
        <w:t>ותל</w:t>
      </w:r>
      <w:r w:rsidRPr="00E303AD">
        <w:rPr>
          <w:rFonts w:eastAsia="Calibri"/>
          <w:b/>
          <w:bCs/>
          <w:rtl/>
        </w:rPr>
        <w:t xml:space="preserve"> </w:t>
      </w:r>
      <w:r w:rsidRPr="00E303AD">
        <w:rPr>
          <w:rFonts w:eastAsia="Calibri" w:hint="eastAsia"/>
          <w:b/>
          <w:bCs/>
          <w:rtl/>
        </w:rPr>
        <w:t>אביב</w:t>
      </w:r>
      <w:r w:rsidRPr="00E303AD">
        <w:rPr>
          <w:rFonts w:eastAsia="Calibri" w:hint="cs"/>
          <w:b/>
          <w:bCs/>
          <w:rtl/>
        </w:rPr>
        <w:t>)</w:t>
      </w:r>
      <w:r w:rsidRPr="00E303AD">
        <w:rPr>
          <w:rFonts w:eastAsia="Calibri"/>
          <w:b/>
          <w:bCs/>
          <w:rtl/>
        </w:rPr>
        <w:t xml:space="preserve"> </w:t>
      </w:r>
      <w:r w:rsidRPr="00E303AD">
        <w:rPr>
          <w:rFonts w:eastAsia="Calibri" w:hint="cs"/>
          <w:b/>
          <w:bCs/>
          <w:rtl/>
        </w:rPr>
        <w:t xml:space="preserve">מתוך שבעת מחוזות המשטרה. אף שבשנת 2025 בכמה תחנות חל שיפור מסוים באכיפה, הנתונים מעידים על היעדר עיסוק או עיסוק אפסי של רוב תחנות המשטרה בנושא. </w:t>
      </w:r>
      <w:bookmarkStart w:id="46" w:name="_Hlk223019364"/>
      <w:r w:rsidRPr="00E303AD">
        <w:rPr>
          <w:rFonts w:eastAsia="Calibri" w:hint="cs"/>
          <w:b/>
          <w:bCs/>
          <w:rtl/>
        </w:rPr>
        <w:t>זאת אף שה</w:t>
      </w:r>
      <w:r w:rsidRPr="00E303AD">
        <w:rPr>
          <w:rFonts w:eastAsia="Calibri"/>
          <w:b/>
          <w:bCs/>
          <w:rtl/>
        </w:rPr>
        <w:t xml:space="preserve">נוהל </w:t>
      </w:r>
      <w:r w:rsidRPr="00E303AD">
        <w:rPr>
          <w:rFonts w:eastAsia="Calibri" w:hint="cs"/>
          <w:b/>
          <w:bCs/>
          <w:rtl/>
        </w:rPr>
        <w:t>המשטרתי</w:t>
      </w:r>
      <w:r w:rsidRPr="00E303AD">
        <w:rPr>
          <w:rFonts w:eastAsia="Calibri"/>
          <w:b/>
          <w:bCs/>
          <w:rtl/>
        </w:rPr>
        <w:t xml:space="preserve"> </w:t>
      </w:r>
      <w:r w:rsidRPr="00E303AD">
        <w:rPr>
          <w:rFonts w:eastAsia="Calibri" w:hint="cs"/>
          <w:b/>
          <w:bCs/>
          <w:rtl/>
        </w:rPr>
        <w:t xml:space="preserve">הייעודי </w:t>
      </w:r>
      <w:r w:rsidRPr="00E303AD">
        <w:rPr>
          <w:rFonts w:eastAsia="Calibri"/>
          <w:b/>
          <w:bCs/>
          <w:rtl/>
        </w:rPr>
        <w:t xml:space="preserve">בנושא אכיפת חוק איסור צריכת זנות חל על כלל </w:t>
      </w:r>
      <w:r w:rsidRPr="00E303AD">
        <w:rPr>
          <w:rFonts w:eastAsia="Calibri" w:hint="cs"/>
          <w:b/>
          <w:bCs/>
          <w:rtl/>
        </w:rPr>
        <w:t>ה</w:t>
      </w:r>
      <w:r w:rsidRPr="00E303AD">
        <w:rPr>
          <w:rFonts w:eastAsia="Calibri"/>
          <w:b/>
          <w:bCs/>
          <w:rtl/>
        </w:rPr>
        <w:t>מחוזות ו</w:t>
      </w:r>
      <w:r w:rsidRPr="00E303AD">
        <w:rPr>
          <w:rFonts w:eastAsia="Calibri" w:hint="cs"/>
          <w:b/>
          <w:bCs/>
          <w:rtl/>
        </w:rPr>
        <w:t>ה</w:t>
      </w:r>
      <w:r w:rsidRPr="00E303AD">
        <w:rPr>
          <w:rFonts w:eastAsia="Calibri"/>
          <w:b/>
          <w:bCs/>
          <w:rtl/>
        </w:rPr>
        <w:t xml:space="preserve">תחנות </w:t>
      </w:r>
      <w:r w:rsidRPr="00E303AD">
        <w:rPr>
          <w:rFonts w:eastAsia="Calibri" w:hint="cs"/>
          <w:b/>
          <w:bCs/>
          <w:rtl/>
        </w:rPr>
        <w:t xml:space="preserve">של </w:t>
      </w:r>
      <w:r w:rsidRPr="00E303AD">
        <w:rPr>
          <w:rFonts w:eastAsia="Calibri"/>
          <w:b/>
          <w:bCs/>
          <w:rtl/>
        </w:rPr>
        <w:t>המשטרה, ו</w:t>
      </w:r>
      <w:r w:rsidRPr="00E303AD">
        <w:rPr>
          <w:rFonts w:eastAsia="Calibri" w:hint="cs"/>
          <w:b/>
          <w:bCs/>
          <w:rtl/>
        </w:rPr>
        <w:t xml:space="preserve">אף שהוא </w:t>
      </w:r>
      <w:r w:rsidRPr="00E303AD">
        <w:rPr>
          <w:rFonts w:eastAsia="Calibri"/>
          <w:b/>
          <w:bCs/>
          <w:rtl/>
        </w:rPr>
        <w:t>מיועד ליישום אחיד שאינו תלוי ביוזמה של תחנה בודד</w:t>
      </w:r>
      <w:r w:rsidRPr="00E303AD">
        <w:rPr>
          <w:rFonts w:eastAsia="Calibri" w:hint="cs"/>
          <w:b/>
          <w:bCs/>
          <w:rtl/>
        </w:rPr>
        <w:t>ת. בנסיבות אלה עלולה אף לעלות טענה לאכיפה בררנית</w:t>
      </w:r>
      <w:bookmarkEnd w:id="46"/>
      <w:r>
        <w:rPr>
          <w:rFonts w:eastAsia="Calibri"/>
          <w:b/>
          <w:bCs/>
          <w:vertAlign w:val="superscript"/>
          <w:rtl/>
        </w:rPr>
        <w:footnoteReference w:id="53"/>
      </w:r>
      <w:r w:rsidRPr="00E303AD">
        <w:rPr>
          <w:rFonts w:eastAsia="Calibri" w:hint="cs"/>
          <w:b/>
          <w:b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בתשובת המשטרה צוין כי בשנים 2025 ו-2026 יש</w:t>
      </w:r>
      <w:r w:rsidRPr="00E303AD">
        <w:rPr>
          <w:rFonts w:eastAsia="Calibri"/>
          <w:rtl/>
        </w:rPr>
        <w:t xml:space="preserve"> מגמת על</w:t>
      </w:r>
      <w:r w:rsidRPr="00E303AD">
        <w:rPr>
          <w:rFonts w:eastAsia="Calibri" w:hint="cs"/>
          <w:rtl/>
        </w:rPr>
        <w:t>י</w:t>
      </w:r>
      <w:r w:rsidRPr="00E303AD">
        <w:rPr>
          <w:rFonts w:eastAsia="Calibri"/>
          <w:rtl/>
        </w:rPr>
        <w:t xml:space="preserve">יה </w:t>
      </w:r>
      <w:r w:rsidRPr="00E303AD">
        <w:rPr>
          <w:rFonts w:eastAsia="Calibri" w:hint="cs"/>
          <w:rtl/>
        </w:rPr>
        <w:t>בהטלת</w:t>
      </w:r>
      <w:r w:rsidRPr="00E303AD">
        <w:rPr>
          <w:rFonts w:eastAsia="Calibri"/>
          <w:rtl/>
        </w:rPr>
        <w:t xml:space="preserve"> דוחות </w:t>
      </w:r>
      <w:r w:rsidRPr="00E303AD">
        <w:rPr>
          <w:rFonts w:eastAsia="Calibri" w:hint="cs"/>
          <w:rtl/>
        </w:rPr>
        <w:t xml:space="preserve">בגין צריכת </w:t>
      </w:r>
      <w:r w:rsidRPr="00E303AD">
        <w:rPr>
          <w:rFonts w:eastAsia="Calibri"/>
          <w:rtl/>
        </w:rPr>
        <w:t xml:space="preserve">זנות ביחידות נוספות כגון אשדוד, חיפה, חולון, רחובות, באר שבע, עכו </w:t>
      </w:r>
      <w:r w:rsidRPr="00E303AD">
        <w:rPr>
          <w:rFonts w:eastAsia="Calibri" w:hint="cs"/>
          <w:rtl/>
        </w:rPr>
        <w:t>ו</w:t>
      </w:r>
      <w:r w:rsidRPr="00E303AD">
        <w:rPr>
          <w:rFonts w:eastAsia="Calibri"/>
          <w:rtl/>
        </w:rPr>
        <w:t>נוף הגליל.</w:t>
      </w:r>
      <w:r w:rsidRPr="00E303AD">
        <w:rPr>
          <w:rFonts w:eastAsia="Calibri" w:hint="cs"/>
          <w:rtl/>
        </w:rPr>
        <w:t xml:space="preserve"> </w:t>
      </w:r>
      <w:r w:rsidRPr="00E303AD">
        <w:rPr>
          <w:rFonts w:eastAsia="Calibri"/>
          <w:rtl/>
        </w:rPr>
        <w:t xml:space="preserve">אכיפת איסור צריכת הזנות זוכה לקשב משמעותי מצד פיקוד </w:t>
      </w:r>
      <w:r w:rsidRPr="00E303AD">
        <w:rPr>
          <w:rFonts w:eastAsia="Calibri" w:hint="cs"/>
          <w:rtl/>
        </w:rPr>
        <w:t>ה</w:t>
      </w:r>
      <w:r w:rsidRPr="00E303AD">
        <w:rPr>
          <w:rFonts w:eastAsia="Calibri"/>
          <w:rtl/>
        </w:rPr>
        <w:t>משטר</w:t>
      </w:r>
      <w:r w:rsidRPr="00E303AD">
        <w:rPr>
          <w:rFonts w:eastAsia="Calibri" w:hint="cs"/>
          <w:rtl/>
        </w:rPr>
        <w:t>ה</w:t>
      </w:r>
      <w:r w:rsidRPr="00E303AD">
        <w:rPr>
          <w:rFonts w:eastAsia="Calibri"/>
          <w:rtl/>
        </w:rPr>
        <w:t xml:space="preserve">, </w:t>
      </w:r>
      <w:r w:rsidRPr="00E303AD">
        <w:rPr>
          <w:rFonts w:eastAsia="Calibri" w:hint="cs"/>
          <w:rtl/>
        </w:rPr>
        <w:t>ו</w:t>
      </w:r>
      <w:r w:rsidRPr="00E303AD">
        <w:rPr>
          <w:rFonts w:eastAsia="Calibri"/>
          <w:rtl/>
        </w:rPr>
        <w:t xml:space="preserve">הנושא </w:t>
      </w:r>
      <w:r w:rsidRPr="00E303AD">
        <w:rPr>
          <w:rFonts w:eastAsia="Calibri" w:hint="cs"/>
          <w:rtl/>
        </w:rPr>
        <w:t xml:space="preserve">נקבע </w:t>
      </w:r>
      <w:r w:rsidRPr="00E303AD">
        <w:rPr>
          <w:rFonts w:eastAsia="Calibri"/>
          <w:rtl/>
        </w:rPr>
        <w:t>כאחד מיעדי ר</w:t>
      </w:r>
      <w:r w:rsidRPr="00E303AD">
        <w:rPr>
          <w:rFonts w:eastAsia="Calibri" w:hint="cs"/>
          <w:rtl/>
        </w:rPr>
        <w:t>אש</w:t>
      </w:r>
      <w:r w:rsidRPr="00E303AD">
        <w:rPr>
          <w:rFonts w:eastAsia="Calibri"/>
          <w:rtl/>
        </w:rPr>
        <w:t xml:space="preserve"> אח״</w:t>
      </w:r>
      <w:r w:rsidRPr="00E303AD">
        <w:rPr>
          <w:rFonts w:eastAsia="Calibri" w:hint="cs"/>
          <w:rtl/>
        </w:rPr>
        <w:t>ם</w:t>
      </w:r>
      <w:r w:rsidRPr="00E303AD">
        <w:rPr>
          <w:rFonts w:eastAsia="Calibri"/>
          <w:rtl/>
        </w:rPr>
        <w:t xml:space="preserve"> לשנת העבודה 2026. תחנות המשטרה שבתחו</w:t>
      </w:r>
      <w:r w:rsidRPr="00E303AD">
        <w:rPr>
          <w:rFonts w:eastAsia="Calibri" w:hint="cs"/>
          <w:rtl/>
        </w:rPr>
        <w:t>ם אחריותן</w:t>
      </w:r>
      <w:r w:rsidRPr="00E303AD">
        <w:rPr>
          <w:rFonts w:eastAsia="Calibri"/>
          <w:rtl/>
        </w:rPr>
        <w:t xml:space="preserve"> נפוצה </w:t>
      </w:r>
      <w:r w:rsidRPr="00E303AD">
        <w:rPr>
          <w:rFonts w:eastAsia="Calibri" w:hint="cs"/>
          <w:rtl/>
        </w:rPr>
        <w:t>ה</w:t>
      </w:r>
      <w:r w:rsidRPr="00E303AD">
        <w:rPr>
          <w:rFonts w:eastAsia="Calibri"/>
          <w:rtl/>
        </w:rPr>
        <w:t>תופעה של צריכת זנות נמדדות על פי עמידתן ביעד זה במסגרת ת</w:t>
      </w:r>
      <w:r w:rsidRPr="00E303AD">
        <w:rPr>
          <w:rFonts w:eastAsia="Calibri" w:hint="cs"/>
          <w:rtl/>
        </w:rPr>
        <w:t>ו</w:t>
      </w:r>
      <w:r w:rsidRPr="00E303AD">
        <w:rPr>
          <w:rFonts w:eastAsia="Calibri"/>
          <w:rtl/>
        </w:rPr>
        <w:t>כנית העבודה השנתית, וי</w:t>
      </w:r>
      <w:r w:rsidRPr="00E303AD">
        <w:rPr>
          <w:rFonts w:eastAsia="Calibri" w:hint="cs"/>
          <w:rtl/>
        </w:rPr>
        <w:t>ושם</w:t>
      </w:r>
      <w:r w:rsidRPr="00E303AD">
        <w:rPr>
          <w:rFonts w:eastAsia="Calibri"/>
          <w:rtl/>
        </w:rPr>
        <w:t xml:space="preserve"> דגש </w:t>
      </w:r>
      <w:r w:rsidRPr="00E303AD">
        <w:rPr>
          <w:rFonts w:eastAsia="Calibri" w:hint="cs"/>
          <w:rtl/>
        </w:rPr>
        <w:t>ע</w:t>
      </w:r>
      <w:r w:rsidRPr="00E303AD">
        <w:rPr>
          <w:rFonts w:eastAsia="Calibri"/>
          <w:rtl/>
        </w:rPr>
        <w:t>ל</w:t>
      </w:r>
      <w:r w:rsidRPr="00E303AD">
        <w:rPr>
          <w:rFonts w:eastAsia="Calibri" w:hint="cs"/>
          <w:rtl/>
        </w:rPr>
        <w:t xml:space="preserve"> </w:t>
      </w:r>
      <w:r w:rsidRPr="00E303AD">
        <w:rPr>
          <w:rFonts w:eastAsia="Calibri"/>
          <w:rtl/>
        </w:rPr>
        <w:t>ביצוע אכיפה במחוזות אלו.</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P="00E303AD">
      <w:pPr>
        <w:spacing w:line="269" w:lineRule="auto"/>
        <w:rPr>
          <w:rFonts w:eastAsia="Calibri"/>
          <w:b/>
          <w:bCs/>
          <w:rtl/>
        </w:rPr>
      </w:pPr>
      <w:r w:rsidRPr="00E303AD">
        <w:rPr>
          <w:rFonts w:eastAsia="Calibri" w:hint="cs"/>
          <w:b/>
          <w:bCs/>
          <w:rtl/>
        </w:rPr>
        <w:t xml:space="preserve">על המשטרה להגביר את פעולות האכיפה באמצעות הרחבת היקף הקנסות במחוזות השונים באופן שיבטיח יישום עקבי, יעיל ורחב של החוק. זאת בייחוד נוכח האכיפה המופחתת של חוק איסור צריכת זנות ברמה הארצית, ונוכח העובדה שהאכיפה התבססה בעיקרה על שלוש תחנות משטרה, על אף פריסתה הרחבה של תופעת הזנות. </w:t>
      </w:r>
    </w:p>
    <w:p w:rsidR="000E21EB" w:rsidRPr="00E303AD" w:rsidP="00E303AD">
      <w:pPr>
        <w:spacing w:line="269" w:lineRule="auto"/>
        <w:rPr>
          <w:rFonts w:eastAsia="Calibri"/>
          <w:b/>
          <w:bCs/>
          <w:rtl/>
        </w:rPr>
      </w:pPr>
    </w:p>
    <w:p w:rsidR="00E303AD" w:rsidRPr="00E303AD" w:rsidP="00E303AD">
      <w:pPr>
        <w:spacing w:line="269" w:lineRule="auto"/>
        <w:rPr>
          <w:rFonts w:eastAsia="Calibri"/>
          <w:b/>
          <w:bCs/>
          <w:rtl/>
        </w:rPr>
      </w:pPr>
    </w:p>
    <w:p w:rsidR="00E303AD" w:rsidRPr="00E303AD" w:rsidP="00E303AD">
      <w:pPr>
        <w:spacing w:line="269" w:lineRule="auto"/>
        <w:rPr>
          <w:rFonts w:eastAsia="Calibri"/>
          <w:noProof/>
          <w:rtl/>
        </w:rPr>
      </w:pPr>
    </w:p>
    <w:bookmarkStart w:id="47" w:name="_Toc221474968"/>
    <w:bookmarkStart w:id="48" w:name="_Toc224808278"/>
    <w:bookmarkStart w:id="49" w:name="_Hlk215387253"/>
    <w:bookmarkEnd w:id="33"/>
    <w:p w:rsidR="00FF4F95" w:rsidRPr="00522B30" w:rsidP="00522B30">
      <w:pPr>
        <w:spacing w:line="269" w:lineRule="auto"/>
        <w:rPr>
          <w:rFonts w:eastAsia="Calibri"/>
          <w:rtl/>
        </w:rPr>
      </w:pPr>
      <w:r w:rsidRPr="00522B30">
        <w:rPr>
          <w:rFonts w:eastAsia="Calibri"/>
          <w:noProof/>
          <w:rtl/>
        </w:rPr>
        <mc:AlternateContent>
          <mc:Choice Requires="wpg">
            <w:drawing>
              <wp:anchor distT="0" distB="0" distL="114300" distR="114300" simplePos="0" relativeHeight="251678720" behindDoc="0" locked="0" layoutInCell="1" allowOverlap="1">
                <wp:simplePos x="0" y="0"/>
                <wp:positionH relativeFrom="margin">
                  <wp:align>center</wp:align>
                </wp:positionH>
                <wp:positionV relativeFrom="paragraph">
                  <wp:posOffset>-27940</wp:posOffset>
                </wp:positionV>
                <wp:extent cx="5310505" cy="931517"/>
                <wp:effectExtent l="0" t="0" r="4445" b="2540"/>
                <wp:wrapNone/>
                <wp:docPr id="32" name="קבוצה 32"/>
                <wp:cNvGraphicFramePr/>
                <a:graphic xmlns:a="http://schemas.openxmlformats.org/drawingml/2006/main">
                  <a:graphicData uri="http://schemas.microsoft.com/office/word/2010/wordprocessingGroup">
                    <wpg:wgp xmlns:wpg="http://schemas.microsoft.com/office/word/2010/wordprocessingGroup">
                      <wpg:cNvGrpSpPr/>
                      <wpg:grpSpPr>
                        <a:xfrm>
                          <a:off x="0" y="0"/>
                          <a:ext cx="5310505" cy="931517"/>
                          <a:chOff x="0" y="0"/>
                          <a:chExt cx="5310505" cy="931517"/>
                        </a:xfrm>
                      </wpg:grpSpPr>
                      <pic:pic xmlns:pic="http://schemas.openxmlformats.org/drawingml/2006/picture">
                        <pic:nvPicPr>
                          <pic:cNvPr id="40" name="table">
                            <a:extLst>
                              <a:ext xmlns:a="http://schemas.openxmlformats.org/drawingml/2006/main" uri="{FF2B5EF4-FFF2-40B4-BE49-F238E27FC236}">
                                <a16:creationId xmlns:a16="http://schemas.microsoft.com/office/drawing/2014/main" id="{AFD5C778-BFDA-4355-9D9C-83D67909A2E6}"/>
                              </a:ext>
                            </a:extLst>
                          </pic:cNvPr>
                          <pic:cNvPicPr>
                            <a:picLocks noChangeAspect="1"/>
                          </pic:cNvPicPr>
                        </pic:nvPicPr>
                        <pic:blipFill>
                          <a:blip xmlns:r="http://schemas.openxmlformats.org/officeDocument/2006/relationships" r:embed="rId15"/>
                          <a:srcRect b="12371"/>
                          <a:stretch>
                            <a:fillRect/>
                          </a:stretch>
                        </pic:blipFill>
                        <pic:spPr bwMode="auto">
                          <a:xfrm>
                            <a:off x="0" y="166977"/>
                            <a:ext cx="5310505" cy="764540"/>
                          </a:xfrm>
                          <a:prstGeom prst="rect">
                            <a:avLst/>
                          </a:prstGeom>
                          <a:ln>
                            <a:noFill/>
                          </a:ln>
                          <a:extLst>
                            <a:ext xmlns:a="http://schemas.openxmlformats.org/drawingml/2006/main" uri="{53640926-AAD7-44D8-BBD7-CCE9431645EC}">
                              <a14:shadowObscured xmlns:a14="http://schemas.microsoft.com/office/drawing/2010/main"/>
                            </a:ext>
                          </a:extLst>
                        </pic:spPr>
                      </pic:pic>
                      <wpg:grpSp>
                        <wpg:cNvPr id="10" name="קבוצה 22"/>
                        <wpg:cNvGrpSpPr/>
                        <wpg:grpSpPr>
                          <a:xfrm>
                            <a:off x="2520563" y="0"/>
                            <a:ext cx="271463" cy="266700"/>
                            <a:chOff x="0" y="0"/>
                            <a:chExt cx="1781175" cy="1781175"/>
                          </a:xfrm>
                        </wpg:grpSpPr>
                        <pic:pic xmlns:pic="http://schemas.openxmlformats.org/drawingml/2006/picture">
                          <pic:nvPicPr>
                            <pic:cNvPr id="13" name="תמונה 13"/>
                            <pic:cNvPicPr>
                              <a:picLocks noChangeAspect="1"/>
                            </pic:cNvPicPr>
                          </pic:nvPicPr>
                          <pic:blipFill>
                            <a:blip xmlns:r="http://schemas.openxmlformats.org/officeDocument/2006/relationships" r:embed="rId9">
                              <a:clrChange>
                                <a:clrFrom>
                                  <a:srgbClr val="FFFFFF"/>
                                </a:clrFrom>
                                <a:clrTo>
                                  <a:srgbClr val="FFFFFF">
                                    <a:alpha val="0"/>
                                  </a:srgbClr>
                                </a:clrTo>
                              </a:clrChange>
                            </a:blip>
                            <a:stretch>
                              <a:fillRect/>
                            </a:stretch>
                          </pic:blipFill>
                          <pic:spPr>
                            <a:xfrm>
                              <a:off x="0" y="0"/>
                              <a:ext cx="1781175" cy="1781175"/>
                            </a:xfrm>
                            <a:prstGeom prst="rect">
                              <a:avLst/>
                            </a:prstGeom>
                          </pic:spPr>
                        </pic:pic>
                        <pic:pic xmlns:pic="http://schemas.openxmlformats.org/drawingml/2006/picture">
                          <pic:nvPicPr>
                            <pic:cNvPr id="18" name="תמונה 18"/>
                            <pic:cNvPicPr>
                              <a:picLocks noChangeAspect="1"/>
                            </pic:cNvPicPr>
                          </pic:nvPicPr>
                          <pic:blipFill>
                            <a:blip xmlns:r="http://schemas.openxmlformats.org/officeDocument/2006/relationships" r:embed="rId10"/>
                            <a:srcRect l="16969" t="20795" r="16969" b="20795"/>
                            <a:stretch>
                              <a:fillRect/>
                            </a:stretch>
                          </pic:blipFill>
                          <pic:spPr>
                            <a:xfrm>
                              <a:off x="302249" y="371444"/>
                              <a:ext cx="1176676" cy="1040392"/>
                            </a:xfrm>
                            <a:prstGeom prst="rect">
                              <a:avLst/>
                            </a:prstGeom>
                          </pic:spPr>
                        </pic:pic>
                      </wpg:grpSp>
                    </wpg:wgp>
                  </a:graphicData>
                </a:graphic>
              </wp:anchor>
            </w:drawing>
          </mc:Choice>
          <mc:Fallback>
            <w:pict>
              <v:group id="קבוצה 32" o:spid="_x0000_s1028" style="width:418.15pt;height:73.35pt;margin-top:-2.2pt;margin-left:0;mso-position-horizontal:center;mso-position-horizontal-relative:margin;position:absolute;z-index:251679744" coordsize="53105,9315">
                <v:shape id="table" o:spid="_x0000_s1029" type="#_x0000_t75" style="width:53105;height:7646;mso-wrap-style:square;position:absolute;top:1669;visibility:visible">
                  <v:imagedata r:id="rId15" o:title="" cropbottom="8107f"/>
                </v:shape>
                <v:group id="קבוצה 22" o:spid="_x0000_s1030" style="width:2715;height:2667;left:25205;position:absolute" coordsize="17811,17811">
                  <v:shape id="תמונה 13" o:spid="_x0000_s1031" type="#_x0000_t75" style="width:17811;height:17811;mso-wrap-style:square;position:absolute;visibility:visible">
                    <v:imagedata r:id="rId9" o:title="" chromakey="white"/>
                  </v:shape>
                  <v:shape id="תמונה 18" o:spid="_x0000_s1032" type="#_x0000_t75" style="width:11767;height:10404;left:3022;mso-wrap-style:square;position:absolute;top:3714;visibility:visible">
                    <v:imagedata r:id="rId10" o:title="" croptop="13628f" cropbottom="13628f" cropleft="11121f" cropright="11121f"/>
                  </v:shape>
                </v:group>
                <w10:wrap anchorx="margin"/>
              </v:group>
            </w:pict>
          </mc:Fallback>
        </mc:AlternateContent>
      </w:r>
    </w:p>
    <w:p w:rsidR="00FF4F95" w:rsidRPr="00522B30" w:rsidP="00522B30">
      <w:pPr>
        <w:spacing w:line="269" w:lineRule="auto"/>
        <w:rPr>
          <w:rFonts w:eastAsia="Calibri"/>
          <w:rtl/>
        </w:rPr>
      </w:pPr>
    </w:p>
    <w:p w:rsidR="00FF4F95" w:rsidRPr="00522B30" w:rsidP="00522B30">
      <w:pPr>
        <w:spacing w:line="269" w:lineRule="auto"/>
        <w:rPr>
          <w:rFonts w:eastAsia="Calibri"/>
          <w:rtl/>
        </w:rPr>
      </w:pPr>
    </w:p>
    <w:p w:rsidR="00FF4F95" w:rsidRPr="00522B30" w:rsidP="00522B30">
      <w:pPr>
        <w:spacing w:line="269" w:lineRule="auto"/>
        <w:rPr>
          <w:rFonts w:eastAsia="Calibri"/>
          <w:rtl/>
        </w:rPr>
      </w:pPr>
    </w:p>
    <w:p w:rsidR="00FF4F95" w:rsidRPr="00522B30" w:rsidP="00522B30">
      <w:pPr>
        <w:spacing w:line="269" w:lineRule="auto"/>
        <w:rPr>
          <w:rFonts w:eastAsia="Calibri"/>
          <w:rtl/>
        </w:rPr>
      </w:pPr>
    </w:p>
    <w:p w:rsidR="00FF4F95" w:rsidRPr="00522B30" w:rsidP="00522B30">
      <w:pPr>
        <w:spacing w:line="269" w:lineRule="auto"/>
        <w:rPr>
          <w:rFonts w:eastAsia="Calibri"/>
          <w:rtl/>
        </w:rPr>
      </w:pPr>
    </w:p>
    <w:p w:rsidR="00FF4F95" w:rsidRPr="00522B30" w:rsidP="00522B30">
      <w:pPr>
        <w:spacing w:line="269" w:lineRule="auto"/>
        <w:rPr>
          <w:rFonts w:eastAsia="Calibri"/>
          <w:rtl/>
        </w:rPr>
      </w:pPr>
    </w:p>
    <w:p w:rsidR="00E303AD" w:rsidRPr="00E303AD" w:rsidP="00E303AD">
      <w:pPr>
        <w:keepNext/>
        <w:keepLines/>
        <w:spacing w:line="269" w:lineRule="auto"/>
        <w:outlineLvl w:val="2"/>
        <w:rPr>
          <w:rFonts w:eastAsia="Times New Roman"/>
          <w:bCs/>
          <w:szCs w:val="28"/>
          <w:u w:val="single"/>
          <w:rtl/>
        </w:rPr>
      </w:pPr>
      <w:r w:rsidRPr="00E303AD">
        <w:rPr>
          <w:rFonts w:eastAsia="Times New Roman" w:hint="cs"/>
          <w:bCs/>
          <w:szCs w:val="28"/>
          <w:u w:val="single"/>
          <w:rtl/>
        </w:rPr>
        <w:t>חלוקת</w:t>
      </w:r>
      <w:r w:rsidRPr="00E303AD">
        <w:rPr>
          <w:rFonts w:eastAsia="Times New Roman"/>
          <w:bCs/>
          <w:szCs w:val="28"/>
          <w:u w:val="single"/>
          <w:rtl/>
        </w:rPr>
        <w:t xml:space="preserve"> האחריות </w:t>
      </w:r>
      <w:r w:rsidRPr="00E303AD">
        <w:rPr>
          <w:rFonts w:eastAsia="Times New Roman" w:hint="cs"/>
          <w:bCs/>
          <w:szCs w:val="28"/>
          <w:u w:val="single"/>
          <w:rtl/>
        </w:rPr>
        <w:t>לאכיפת חוק איסור צריכת זנות בהתאם לנוהל לאכיפת החוק</w:t>
      </w:r>
      <w:bookmarkEnd w:id="47"/>
      <w:bookmarkEnd w:id="48"/>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ב</w:t>
      </w:r>
      <w:r w:rsidRPr="00E303AD">
        <w:rPr>
          <w:rFonts w:eastAsia="Calibri"/>
          <w:rtl/>
        </w:rPr>
        <w:t xml:space="preserve">נוהל אכיפת </w:t>
      </w:r>
      <w:r w:rsidRPr="00E303AD">
        <w:rPr>
          <w:rFonts w:eastAsia="Calibri" w:hint="cs"/>
          <w:rtl/>
        </w:rPr>
        <w:t xml:space="preserve">חוק </w:t>
      </w:r>
      <w:r w:rsidRPr="00E303AD">
        <w:rPr>
          <w:rFonts w:eastAsia="Calibri"/>
          <w:rtl/>
        </w:rPr>
        <w:t xml:space="preserve">איסור צריכת </w:t>
      </w:r>
      <w:r w:rsidRPr="00E303AD">
        <w:rPr>
          <w:rFonts w:eastAsia="Calibri" w:hint="cs"/>
          <w:rtl/>
        </w:rPr>
        <w:t>זנות</w:t>
      </w:r>
      <w:r>
        <w:rPr>
          <w:rFonts w:eastAsia="Calibri"/>
          <w:vertAlign w:val="superscript"/>
          <w:rtl/>
        </w:rPr>
        <w:footnoteReference w:id="54"/>
      </w:r>
      <w:r w:rsidRPr="00E303AD">
        <w:rPr>
          <w:rFonts w:eastAsia="Calibri" w:hint="cs"/>
          <w:rtl/>
        </w:rPr>
        <w:t xml:space="preserve"> נקבעה </w:t>
      </w:r>
      <w:r w:rsidRPr="00E303AD">
        <w:rPr>
          <w:rFonts w:eastAsia="Calibri"/>
          <w:rtl/>
        </w:rPr>
        <w:t>מסגרת אחריות ברורה לאכיפה בתחום הזנות, לרבות טיפול בעבירות נלוות כגון הפעלת בתי בושת, סרסרות וסחר בבני אדם. הנוהל מגדיר חלוקת תפקידים בין הרמה הארצית, המחוזית והמרחבית</w:t>
      </w:r>
      <w:r w:rsidRPr="00E303AD">
        <w:rPr>
          <w:rFonts w:eastAsia="Calibri" w:hint="cs"/>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ברמה הארצית</w:t>
      </w:r>
      <w:r w:rsidRPr="00E303AD">
        <w:rPr>
          <w:rFonts w:eastAsia="Calibri" w:hint="cs"/>
          <w:rtl/>
        </w:rPr>
        <w:t xml:space="preserve"> -</w:t>
      </w:r>
      <w:r w:rsidRPr="00E303AD">
        <w:rPr>
          <w:rFonts w:eastAsia="Calibri"/>
          <w:rtl/>
        </w:rPr>
        <w:t xml:space="preserve"> אכיפת החוק בתחום הזנות </w:t>
      </w:r>
      <w:r w:rsidRPr="00E303AD">
        <w:rPr>
          <w:rFonts w:eastAsia="Calibri" w:hint="cs"/>
          <w:rtl/>
        </w:rPr>
        <w:t xml:space="preserve">נחלקת </w:t>
      </w:r>
      <w:r w:rsidRPr="00E303AD">
        <w:rPr>
          <w:rFonts w:eastAsia="Calibri"/>
          <w:rtl/>
        </w:rPr>
        <w:t xml:space="preserve">בין </w:t>
      </w:r>
      <w:r w:rsidRPr="00E303AD">
        <w:rPr>
          <w:rFonts w:eastAsia="Calibri" w:hint="cs"/>
          <w:rtl/>
        </w:rPr>
        <w:t xml:space="preserve">שלוש חטיבות במשטרה: (א) </w:t>
      </w:r>
      <w:r w:rsidRPr="00E303AD">
        <w:rPr>
          <w:rFonts w:eastAsia="Calibri"/>
          <w:rtl/>
        </w:rPr>
        <w:t xml:space="preserve">חטיבת המודיעין, באמצעות קצין הבילוש הארצי; </w:t>
      </w:r>
      <w:r w:rsidRPr="00E303AD">
        <w:rPr>
          <w:rFonts w:eastAsia="Calibri" w:hint="cs"/>
          <w:rtl/>
        </w:rPr>
        <w:t xml:space="preserve">(ב) </w:t>
      </w:r>
      <w:r w:rsidRPr="00E303AD">
        <w:rPr>
          <w:rFonts w:eastAsia="Calibri"/>
          <w:rtl/>
        </w:rPr>
        <w:t xml:space="preserve">חטיבת השיטור, באמצעות מדור סיור האחראי </w:t>
      </w:r>
      <w:r w:rsidRPr="00E303AD">
        <w:rPr>
          <w:rFonts w:eastAsia="Calibri" w:hint="cs"/>
          <w:rtl/>
        </w:rPr>
        <w:t xml:space="preserve">להטלת </w:t>
      </w:r>
      <w:r w:rsidRPr="00E303AD">
        <w:rPr>
          <w:rFonts w:eastAsia="Calibri"/>
          <w:rtl/>
        </w:rPr>
        <w:t>דוחות מ</w:t>
      </w:r>
      <w:r w:rsidRPr="00E303AD">
        <w:rPr>
          <w:rFonts w:eastAsia="Calibri" w:hint="cs"/>
          <w:rtl/>
        </w:rPr>
        <w:t>י</w:t>
      </w:r>
      <w:r w:rsidRPr="00E303AD">
        <w:rPr>
          <w:rFonts w:eastAsia="Calibri"/>
          <w:rtl/>
        </w:rPr>
        <w:t xml:space="preserve">נהליים; </w:t>
      </w:r>
      <w:r w:rsidRPr="00E303AD">
        <w:rPr>
          <w:rFonts w:eastAsia="Calibri" w:hint="cs"/>
          <w:rtl/>
        </w:rPr>
        <w:t xml:space="preserve">(ג) </w:t>
      </w:r>
      <w:r w:rsidRPr="00E303AD">
        <w:rPr>
          <w:rFonts w:eastAsia="Calibri"/>
          <w:rtl/>
        </w:rPr>
        <w:t xml:space="preserve">חטיבת החקירות, באמצעות חוליית סחר בבני אדם, האחראית </w:t>
      </w:r>
      <w:r w:rsidRPr="00E303AD">
        <w:rPr>
          <w:rFonts w:eastAsia="Calibri" w:hint="cs"/>
          <w:rtl/>
        </w:rPr>
        <w:t>ל</w:t>
      </w:r>
      <w:r w:rsidRPr="00E303AD">
        <w:rPr>
          <w:rFonts w:eastAsia="Calibri"/>
          <w:rtl/>
        </w:rPr>
        <w:t xml:space="preserve">תיאום בין כלל הגורמים העוסקים בתחום, </w:t>
      </w:r>
      <w:r w:rsidRPr="00E303AD">
        <w:rPr>
          <w:rFonts w:eastAsia="Calibri" w:hint="cs"/>
          <w:rtl/>
        </w:rPr>
        <w:t>ל</w:t>
      </w:r>
      <w:r w:rsidRPr="00E303AD">
        <w:rPr>
          <w:rFonts w:eastAsia="Calibri"/>
          <w:rtl/>
        </w:rPr>
        <w:t xml:space="preserve">קביעת סטנדרטים מקצועיים, </w:t>
      </w:r>
      <w:r w:rsidRPr="00E303AD">
        <w:rPr>
          <w:rFonts w:eastAsia="Calibri" w:hint="cs"/>
          <w:rtl/>
        </w:rPr>
        <w:t>ל</w:t>
      </w:r>
      <w:r w:rsidRPr="00E303AD">
        <w:rPr>
          <w:rFonts w:eastAsia="Calibri"/>
          <w:rtl/>
        </w:rPr>
        <w:t>מתן חוות דעת ו</w:t>
      </w:r>
      <w:r w:rsidRPr="00E303AD">
        <w:rPr>
          <w:rFonts w:eastAsia="Calibri" w:hint="cs"/>
          <w:rtl/>
        </w:rPr>
        <w:t>ל</w:t>
      </w:r>
      <w:r w:rsidRPr="00E303AD">
        <w:rPr>
          <w:rFonts w:eastAsia="Calibri"/>
          <w:rtl/>
        </w:rPr>
        <w:t>כתיבת הנחיות בתחום החקירות.</w:t>
      </w:r>
    </w:p>
    <w:p w:rsidR="00E303AD" w:rsidRPr="00E303AD" w:rsidP="00E303AD">
      <w:pPr>
        <w:spacing w:line="269" w:lineRule="auto"/>
        <w:ind w:left="-567"/>
        <w:rPr>
          <w:rFonts w:eastAsia="Calibri"/>
          <w:szCs w:val="20"/>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ברמת המחוז</w:t>
      </w:r>
      <w:r w:rsidRPr="00E303AD">
        <w:rPr>
          <w:rFonts w:eastAsia="Calibri" w:hint="cs"/>
          <w:rtl/>
        </w:rPr>
        <w:t xml:space="preserve"> -</w:t>
      </w:r>
      <w:r w:rsidRPr="00E303AD">
        <w:rPr>
          <w:rFonts w:eastAsia="Calibri"/>
          <w:rtl/>
        </w:rPr>
        <w:t xml:space="preserve"> האכיפה מתבצעת בעיקר באמצעות </w:t>
      </w:r>
      <w:r w:rsidRPr="00E303AD">
        <w:rPr>
          <w:rFonts w:eastAsia="Calibri" w:hint="cs"/>
          <w:rtl/>
        </w:rPr>
        <w:t>היחידות המרכזיות (</w:t>
      </w:r>
      <w:r w:rsidRPr="00E303AD">
        <w:rPr>
          <w:rFonts w:eastAsia="Calibri"/>
          <w:rtl/>
        </w:rPr>
        <w:t>ימ"רים</w:t>
      </w:r>
      <w:r w:rsidRPr="00E303AD">
        <w:rPr>
          <w:rFonts w:eastAsia="Calibri" w:hint="cs"/>
          <w:rtl/>
        </w:rPr>
        <w:t>)</w:t>
      </w:r>
      <w:r w:rsidRPr="00E303AD">
        <w:rPr>
          <w:rFonts w:eastAsia="Calibri"/>
          <w:rtl/>
        </w:rPr>
        <w:t xml:space="preserve">, </w:t>
      </w:r>
      <w:r w:rsidRPr="00E303AD">
        <w:rPr>
          <w:rFonts w:eastAsia="Calibri" w:hint="cs"/>
          <w:rtl/>
        </w:rPr>
        <w:t xml:space="preserve">שפעילותן מתבססת על </w:t>
      </w:r>
      <w:r w:rsidRPr="00E303AD">
        <w:rPr>
          <w:rFonts w:eastAsia="Calibri"/>
          <w:rtl/>
        </w:rPr>
        <w:t xml:space="preserve">מידע מוקדם </w:t>
      </w:r>
      <w:r w:rsidRPr="00E303AD">
        <w:rPr>
          <w:rFonts w:eastAsia="Calibri" w:hint="cs"/>
          <w:rtl/>
        </w:rPr>
        <w:t xml:space="preserve">ומתמקדת בעבירות הנלוות לזנות, דוגמת </w:t>
      </w:r>
      <w:r w:rsidRPr="00E303AD">
        <w:rPr>
          <w:rFonts w:eastAsia="Calibri"/>
          <w:rtl/>
        </w:rPr>
        <w:t xml:space="preserve">הפעלת בתי בושת. האכיפה היזומה </w:t>
      </w:r>
      <w:r w:rsidRPr="00E303AD">
        <w:rPr>
          <w:rFonts w:eastAsia="Calibri" w:hint="cs"/>
          <w:rtl/>
        </w:rPr>
        <w:t xml:space="preserve">של החוק בעניין </w:t>
      </w:r>
      <w:r w:rsidRPr="00E303AD">
        <w:rPr>
          <w:rFonts w:eastAsia="Calibri"/>
          <w:rtl/>
        </w:rPr>
        <w:t>צרכני זנות מתמקדת במקומות המשמשים באופן מובהק בתי בושת.</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ברמת המרחב והתחנה</w:t>
      </w:r>
      <w:r w:rsidRPr="00E303AD">
        <w:rPr>
          <w:rFonts w:eastAsia="Calibri" w:hint="cs"/>
          <w:rtl/>
        </w:rPr>
        <w:t xml:space="preserve"> -</w:t>
      </w:r>
      <w:r w:rsidRPr="00E303AD">
        <w:rPr>
          <w:rFonts w:eastAsia="Calibri"/>
          <w:rtl/>
        </w:rPr>
        <w:t xml:space="preserve"> </w:t>
      </w:r>
      <w:r w:rsidRPr="00E303AD">
        <w:rPr>
          <w:rFonts w:eastAsia="Calibri" w:hint="cs"/>
          <w:rtl/>
        </w:rPr>
        <w:t>צוותי בילוש</w:t>
      </w:r>
      <w:r>
        <w:rPr>
          <w:rFonts w:eastAsia="Calibri"/>
          <w:vertAlign w:val="superscript"/>
          <w:rtl/>
        </w:rPr>
        <w:footnoteReference w:id="55"/>
      </w:r>
      <w:r w:rsidRPr="00E303AD">
        <w:rPr>
          <w:rFonts w:eastAsia="Calibri"/>
          <w:rtl/>
        </w:rPr>
        <w:t xml:space="preserve"> בתחנות ובמרחבים האופרטיביים אוכפים את החוק בפעילות ממוקדת בבתי בושת, לרבות בתיאום עם הימ"ר המטפל. באירועים לא יזומים </w:t>
      </w:r>
      <w:r w:rsidRPr="00E303AD">
        <w:rPr>
          <w:rFonts w:eastAsia="Calibri" w:hint="cs"/>
          <w:rtl/>
        </w:rPr>
        <w:t xml:space="preserve">ניתנת </w:t>
      </w:r>
      <w:r w:rsidRPr="00E303AD">
        <w:rPr>
          <w:rFonts w:eastAsia="Calibri"/>
          <w:rtl/>
        </w:rPr>
        <w:t xml:space="preserve">עדיפות לטיפול </w:t>
      </w:r>
      <w:r w:rsidRPr="00E303AD">
        <w:rPr>
          <w:rFonts w:eastAsia="Calibri" w:hint="cs"/>
          <w:rtl/>
        </w:rPr>
        <w:t>צוותי ה</w:t>
      </w:r>
      <w:r w:rsidRPr="00E303AD">
        <w:rPr>
          <w:rFonts w:eastAsia="Calibri"/>
          <w:rtl/>
        </w:rPr>
        <w:t>בילוש</w:t>
      </w:r>
      <w:r w:rsidRPr="00E303AD">
        <w:rPr>
          <w:rFonts w:eastAsia="Calibri" w:hint="cs"/>
          <w:rtl/>
        </w:rPr>
        <w:t>. בהעדר</w:t>
      </w:r>
      <w:r w:rsidRPr="00E303AD">
        <w:rPr>
          <w:rFonts w:eastAsia="Calibri"/>
          <w:rtl/>
        </w:rPr>
        <w:t xml:space="preserve"> צוות בילוש זמין, הטיפול </w:t>
      </w:r>
      <w:r w:rsidRPr="00E303AD">
        <w:rPr>
          <w:rFonts w:eastAsia="Calibri" w:hint="cs"/>
          <w:rtl/>
        </w:rPr>
        <w:t>מ</w:t>
      </w:r>
      <w:r w:rsidRPr="00E303AD">
        <w:rPr>
          <w:rFonts w:eastAsia="Calibri"/>
          <w:rtl/>
        </w:rPr>
        <w:t>ועבר לכוחות הסיור</w:t>
      </w:r>
      <w:r>
        <w:rPr>
          <w:rFonts w:eastAsia="Calibri"/>
          <w:vertAlign w:val="superscript"/>
          <w:rtl/>
        </w:rPr>
        <w:footnoteReference w:id="56"/>
      </w:r>
      <w:r w:rsidRPr="00E303AD">
        <w:rPr>
          <w:rFonts w:eastAsia="Calibri" w:hint="cs"/>
          <w:rtl/>
        </w:rPr>
        <w:t xml:space="preserve">. </w:t>
      </w:r>
      <w:r w:rsidRPr="00E303AD">
        <w:rPr>
          <w:rFonts w:eastAsia="Calibri"/>
          <w:rtl/>
        </w:rPr>
        <w:t>חוקרי התחנות מטפלים בצרכני זנות במסגרת תיקי חקירה אחרים או כאשר נדרשת חקירה בתחנה.</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למרות חלוקת האחריות המפורטת בנוהל המשטרתי, הן </w:t>
      </w:r>
      <w:r w:rsidRPr="00E303AD">
        <w:rPr>
          <w:rFonts w:eastAsia="Calibri"/>
          <w:rtl/>
        </w:rPr>
        <w:t>גורמים במערך הסיור ו</w:t>
      </w:r>
      <w:r w:rsidRPr="00E303AD">
        <w:rPr>
          <w:rFonts w:eastAsia="Calibri" w:hint="cs"/>
          <w:rtl/>
        </w:rPr>
        <w:t xml:space="preserve">הן גורמים במערך </w:t>
      </w:r>
      <w:r w:rsidRPr="00E303AD">
        <w:rPr>
          <w:rFonts w:eastAsia="Calibri"/>
          <w:rtl/>
        </w:rPr>
        <w:t xml:space="preserve">הבילוש ציינו כי הטיפול בתחום </w:t>
      </w:r>
      <w:r w:rsidRPr="00E303AD">
        <w:rPr>
          <w:rFonts w:eastAsia="Calibri" w:hint="cs"/>
          <w:rtl/>
        </w:rPr>
        <w:t>הזנות כלל</w:t>
      </w:r>
      <w:r w:rsidRPr="00E303AD">
        <w:rPr>
          <w:rFonts w:eastAsia="Calibri"/>
          <w:rtl/>
        </w:rPr>
        <w:t xml:space="preserve"> אינו מצוי בליבת תפקידם, וכי בהיעדר גורם מרכז האחראי </w:t>
      </w:r>
      <w:r w:rsidRPr="00E303AD">
        <w:rPr>
          <w:rFonts w:eastAsia="Calibri" w:hint="cs"/>
          <w:rtl/>
        </w:rPr>
        <w:t>ל</w:t>
      </w:r>
      <w:r w:rsidRPr="00E303AD">
        <w:rPr>
          <w:rFonts w:eastAsia="Calibri"/>
          <w:rtl/>
        </w:rPr>
        <w:t>נושא מתקשה המשטרה לקדם טיפול שיטתי, מתמשך ומתואם בזירות אלו</w:t>
      </w:r>
      <w:r w:rsidRPr="00E303AD">
        <w:rPr>
          <w:rFonts w:eastAsia="Calibri" w:hint="cs"/>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bookmarkStart w:id="50" w:name="_Hlk222300054"/>
      <w:r w:rsidRPr="00E303AD">
        <w:rPr>
          <w:rFonts w:eastAsia="Calibri" w:hint="cs"/>
          <w:rtl/>
        </w:rPr>
        <w:t xml:space="preserve">במסמך מדצמבר 2024 של רח"ט חקירות במשטרה לראש אח"ם, שעסק בבחינת פערים לקראת פקיעת תוקפה של הוראת השעה, עלה </w:t>
      </w:r>
      <w:r w:rsidRPr="00E303AD">
        <w:rPr>
          <w:rFonts w:eastAsia="Calibri"/>
          <w:rtl/>
        </w:rPr>
        <w:t xml:space="preserve">פער מובנה בין חלוקת האחריות כפי שנקבעה בנוהל לבין </w:t>
      </w:r>
      <w:r w:rsidRPr="00E303AD">
        <w:rPr>
          <w:rFonts w:eastAsia="Calibri" w:hint="cs"/>
          <w:rtl/>
        </w:rPr>
        <w:t xml:space="preserve">אופן </w:t>
      </w:r>
      <w:r w:rsidRPr="00E303AD">
        <w:rPr>
          <w:rFonts w:eastAsia="Calibri"/>
          <w:rtl/>
        </w:rPr>
        <w:t xml:space="preserve">יישומה בפועל. </w:t>
      </w:r>
      <w:r w:rsidRPr="00E303AD">
        <w:rPr>
          <w:rFonts w:eastAsia="Calibri" w:hint="cs"/>
          <w:rtl/>
        </w:rPr>
        <w:t xml:space="preserve">לפי האמור במסמך, </w:t>
      </w:r>
      <w:r w:rsidRPr="00E303AD">
        <w:rPr>
          <w:rFonts w:eastAsia="Calibri"/>
          <w:rtl/>
        </w:rPr>
        <w:t>מצב שבו הגורמים המוגדרים בנוהל כאחראים</w:t>
      </w:r>
      <w:r w:rsidRPr="00E303AD">
        <w:rPr>
          <w:rFonts w:eastAsia="Calibri" w:hint="cs"/>
          <w:rtl/>
        </w:rPr>
        <w:t xml:space="preserve"> לאכיפה</w:t>
      </w:r>
      <w:r w:rsidRPr="00E303AD">
        <w:rPr>
          <w:rFonts w:eastAsia="Calibri"/>
          <w:rtl/>
        </w:rPr>
        <w:t xml:space="preserve"> </w:t>
      </w:r>
      <w:r w:rsidRPr="00E303AD">
        <w:rPr>
          <w:rFonts w:eastAsia="Calibri" w:hint="cs"/>
          <w:rtl/>
        </w:rPr>
        <w:t xml:space="preserve">(כוחות הבילוש) </w:t>
      </w:r>
      <w:r w:rsidRPr="00E303AD">
        <w:rPr>
          <w:rFonts w:eastAsia="Calibri"/>
          <w:rtl/>
        </w:rPr>
        <w:t>אינם הגורמים המבצעים את האכיפה הלכה למעשה</w:t>
      </w:r>
      <w:r w:rsidRPr="00E303AD">
        <w:rPr>
          <w:rFonts w:eastAsia="Calibri" w:hint="cs"/>
          <w:rtl/>
        </w:rPr>
        <w:t xml:space="preserve"> (כוחות הסיור)</w:t>
      </w:r>
      <w:r w:rsidRPr="00E303AD">
        <w:rPr>
          <w:rFonts w:eastAsia="Calibri"/>
          <w:rtl/>
        </w:rPr>
        <w:t xml:space="preserve"> ואינם נדרשים </w:t>
      </w:r>
      <w:r w:rsidRPr="00E303AD">
        <w:rPr>
          <w:rFonts w:eastAsia="Calibri" w:hint="cs"/>
          <w:rtl/>
        </w:rPr>
        <w:t xml:space="preserve">לתת </w:t>
      </w:r>
      <w:r w:rsidRPr="00E303AD">
        <w:rPr>
          <w:rFonts w:eastAsia="Calibri"/>
          <w:rtl/>
        </w:rPr>
        <w:t xml:space="preserve">דין וחשבון </w:t>
      </w:r>
      <w:r w:rsidRPr="00E303AD">
        <w:rPr>
          <w:rFonts w:eastAsia="Calibri" w:hint="cs"/>
          <w:rtl/>
        </w:rPr>
        <w:t xml:space="preserve">בנוגע </w:t>
      </w:r>
      <w:r w:rsidRPr="00E303AD">
        <w:rPr>
          <w:rFonts w:eastAsia="Calibri"/>
          <w:rtl/>
        </w:rPr>
        <w:t>להיקף האכיפה, לאיכותה ולתוצאותיה</w:t>
      </w:r>
      <w:r w:rsidRPr="00E303AD">
        <w:rPr>
          <w:rFonts w:eastAsia="Calibri" w:hint="cs"/>
          <w:rtl/>
        </w:rPr>
        <w:t xml:space="preserve"> -</w:t>
      </w:r>
      <w:r w:rsidRPr="00E303AD">
        <w:rPr>
          <w:rFonts w:eastAsia="Calibri"/>
          <w:rtl/>
        </w:rPr>
        <w:t xml:space="preserve"> מוביל לטשטוש </w:t>
      </w:r>
      <w:r w:rsidRPr="00E303AD">
        <w:rPr>
          <w:rFonts w:eastAsia="Calibri" w:hint="cs"/>
          <w:rtl/>
        </w:rPr>
        <w:t>גבולות ה</w:t>
      </w:r>
      <w:r w:rsidRPr="00E303AD">
        <w:rPr>
          <w:rFonts w:eastAsia="Calibri"/>
          <w:rtl/>
        </w:rPr>
        <w:t>אחריות</w:t>
      </w:r>
      <w:r w:rsidRPr="00E303AD">
        <w:rPr>
          <w:rFonts w:eastAsia="Calibri" w:hint="cs"/>
          <w:rtl/>
        </w:rPr>
        <w:t xml:space="preserve"> לאכיפה</w:t>
      </w:r>
      <w:r w:rsidRPr="00E303AD">
        <w:rPr>
          <w:rFonts w:eastAsia="Calibri"/>
          <w:rtl/>
        </w:rPr>
        <w:t xml:space="preserve"> ולפגיעה ביכולת </w:t>
      </w:r>
      <w:r w:rsidRPr="00E303AD">
        <w:rPr>
          <w:rFonts w:eastAsia="Calibri" w:hint="cs"/>
          <w:rtl/>
        </w:rPr>
        <w:t xml:space="preserve">לבצעה באופן </w:t>
      </w:r>
      <w:r w:rsidRPr="00E303AD">
        <w:rPr>
          <w:rFonts w:eastAsia="Calibri"/>
          <w:rtl/>
        </w:rPr>
        <w:t>עקבי ומקצועי</w:t>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פער זה </w:t>
      </w:r>
      <w:r w:rsidRPr="00E303AD">
        <w:rPr>
          <w:rFonts w:eastAsia="Calibri"/>
          <w:rtl/>
        </w:rPr>
        <w:t>בא לידי ביטוי, בין היתר, ב</w:t>
      </w:r>
      <w:r w:rsidRPr="00E303AD">
        <w:rPr>
          <w:rFonts w:eastAsia="Calibri" w:hint="cs"/>
          <w:rtl/>
        </w:rPr>
        <w:t xml:space="preserve">אי-נכונות </w:t>
      </w:r>
      <w:r w:rsidRPr="00E303AD">
        <w:rPr>
          <w:rFonts w:eastAsia="Calibri"/>
          <w:rtl/>
        </w:rPr>
        <w:t xml:space="preserve">גורמי הסיור </w:t>
      </w:r>
      <w:r w:rsidRPr="00E303AD">
        <w:rPr>
          <w:rFonts w:eastAsia="Calibri" w:hint="cs"/>
          <w:rtl/>
        </w:rPr>
        <w:t xml:space="preserve">לקדם </w:t>
      </w:r>
      <w:r w:rsidRPr="00E303AD">
        <w:rPr>
          <w:rFonts w:eastAsia="Calibri"/>
          <w:rtl/>
        </w:rPr>
        <w:t>הכשר</w:t>
      </w:r>
      <w:r w:rsidRPr="00E303AD">
        <w:rPr>
          <w:rFonts w:eastAsia="Calibri" w:hint="cs"/>
          <w:rtl/>
        </w:rPr>
        <w:t>ה</w:t>
      </w:r>
      <w:r w:rsidRPr="00E303AD">
        <w:rPr>
          <w:rFonts w:eastAsia="Calibri"/>
          <w:rtl/>
        </w:rPr>
        <w:t xml:space="preserve"> מקצועית ייעודית לשוטרי סיור האוכפים את החוק</w:t>
      </w:r>
      <w:r w:rsidRPr="00E303AD">
        <w:rPr>
          <w:rFonts w:eastAsia="Calibri" w:hint="cs"/>
          <w:rtl/>
        </w:rPr>
        <w:t xml:space="preserve"> ולהשתתף בהכשרה זו, שכן הם </w:t>
      </w:r>
      <w:r w:rsidRPr="00E303AD">
        <w:rPr>
          <w:rFonts w:eastAsia="Calibri"/>
          <w:rtl/>
        </w:rPr>
        <w:t xml:space="preserve">אינם רואים </w:t>
      </w:r>
      <w:r w:rsidRPr="00E303AD">
        <w:rPr>
          <w:rFonts w:eastAsia="Calibri" w:hint="cs"/>
          <w:rtl/>
        </w:rPr>
        <w:t xml:space="preserve">את </w:t>
      </w:r>
      <w:r w:rsidRPr="00E303AD">
        <w:rPr>
          <w:rFonts w:eastAsia="Calibri"/>
          <w:rtl/>
        </w:rPr>
        <w:t>עצמם אחראים לתחום</w:t>
      </w:r>
      <w:r w:rsidRPr="00E303AD">
        <w:rPr>
          <w:rFonts w:eastAsia="Calibri" w:hint="cs"/>
          <w:rtl/>
        </w:rPr>
        <w:t xml:space="preserve"> וחוששים כי קידום </w:t>
      </w:r>
      <w:r w:rsidRPr="00E303AD">
        <w:rPr>
          <w:rFonts w:eastAsia="Calibri"/>
          <w:rtl/>
        </w:rPr>
        <w:t xml:space="preserve">הכשרה כאמור </w:t>
      </w:r>
      <w:r w:rsidRPr="00E303AD">
        <w:rPr>
          <w:rFonts w:eastAsia="Calibri" w:hint="cs"/>
          <w:rtl/>
        </w:rPr>
        <w:t>ייחשב ל</w:t>
      </w:r>
      <w:r w:rsidRPr="00E303AD">
        <w:rPr>
          <w:rFonts w:eastAsia="Calibri"/>
          <w:rtl/>
        </w:rPr>
        <w:t>הסדרה של אחריות שאינה מוגדרת כליבת תפקידם</w:t>
      </w:r>
      <w:r w:rsidRPr="00E303AD">
        <w:rPr>
          <w:rFonts w:eastAsia="Calibri"/>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לפער בין חלוקת האחריות לפי הנוהל לבין יישומה בפועל יש השפעות גם על הליכי איסוף ראיות מהזירות ובהמשך על הליכי החקירה וההעמדה לדין. למשל, גורמי הבילוש הם בעלי ההכשרה </w:t>
      </w:r>
      <w:r w:rsidRPr="00E303AD">
        <w:rPr>
          <w:rFonts w:eastAsia="Calibri" w:hint="cs"/>
          <w:rtl/>
        </w:rPr>
        <w:t>והאחריות לאיסוף ראיות לביצועה של עבירה בזירת זנות ולביצוען של עבירות נוספות הנלוות לזנות, שעשויות להתפתח לכדי פרשיות סחר בבני אדם. עם זאת, רובה המוחלט של אכיפת חוק איסור צריכת זנות בוצעה על ידי שוטרי הסיור, אשר הטילו 99% מכלל הקנסות.</w:t>
      </w:r>
    </w:p>
    <w:bookmarkEnd w:id="50"/>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P="00221641">
      <w:pPr>
        <w:spacing w:line="269" w:lineRule="auto"/>
        <w:rPr>
          <w:rFonts w:eastAsia="Calibri"/>
          <w:szCs w:val="20"/>
          <w:rtl/>
        </w:rPr>
      </w:pPr>
      <w:r w:rsidRPr="00E303AD">
        <w:rPr>
          <w:rFonts w:eastAsia="Calibri" w:hint="cs"/>
          <w:rtl/>
        </w:rPr>
        <w:t>בהתאם לכך הציעה רח"ט חקירות בדצמבר 2024 לוודא כי חלוקת האחריות לאכיפת החוק ברורה וכי היא מיושמת בפועל, וכן הוסיפה כי אם הדבר נדרש יש לגבש מודל חלופי, לשנות את שיטת האכיפה ולהסדיר מחדש את תחומי האחריות תוך תיקון הנוהל בהתאם לכך.</w:t>
      </w:r>
    </w:p>
    <w:p w:rsidR="00522B30" w:rsidRPr="00E303AD" w:rsidP="00221641">
      <w:pPr>
        <w:spacing w:line="269" w:lineRule="auto"/>
        <w:rPr>
          <w:rFonts w:eastAsia="Calibri"/>
          <w:szCs w:val="20"/>
          <w:rtl/>
        </w:rPr>
      </w:pPr>
    </w:p>
    <w:p w:rsidR="00E303AD" w:rsidRPr="00E303AD" w:rsidP="00E303AD">
      <w:pPr>
        <w:spacing w:line="269" w:lineRule="auto"/>
        <w:rPr>
          <w:rFonts w:eastAsia="Calibri"/>
          <w:rtl/>
        </w:rPr>
      </w:pPr>
      <w:r w:rsidRPr="00E303AD">
        <w:rPr>
          <w:rFonts w:eastAsia="Calibri"/>
          <w:b/>
          <w:bCs/>
          <w:rtl/>
        </w:rPr>
        <w:t xml:space="preserve">נוהל המשטרה </w:t>
      </w:r>
      <w:r w:rsidRPr="00E303AD">
        <w:rPr>
          <w:rFonts w:eastAsia="Calibri" w:hint="cs"/>
          <w:b/>
          <w:bCs/>
          <w:rtl/>
        </w:rPr>
        <w:t xml:space="preserve">בנושא אכיפת חוק איסור צריכת זנות </w:t>
      </w:r>
      <w:r w:rsidRPr="00E303AD">
        <w:rPr>
          <w:rFonts w:eastAsia="Calibri"/>
          <w:b/>
          <w:bCs/>
          <w:rtl/>
        </w:rPr>
        <w:t>נועד להבטיח יישום עקבי ויזום של החוק</w:t>
      </w:r>
      <w:r w:rsidRPr="00E303AD">
        <w:rPr>
          <w:rFonts w:eastAsia="Calibri" w:hint="cs"/>
          <w:b/>
          <w:bCs/>
          <w:rtl/>
        </w:rPr>
        <w:t>.</w:t>
      </w:r>
      <w:r w:rsidRPr="00E303AD">
        <w:rPr>
          <w:rFonts w:eastAsia="Calibri"/>
          <w:b/>
          <w:bCs/>
          <w:rtl/>
        </w:rPr>
        <w:t xml:space="preserve"> </w:t>
      </w:r>
      <w:r w:rsidRPr="00E303AD">
        <w:rPr>
          <w:rFonts w:eastAsia="Calibri" w:hint="cs"/>
          <w:b/>
          <w:bCs/>
          <w:rtl/>
        </w:rPr>
        <w:t>ב</w:t>
      </w:r>
      <w:r w:rsidRPr="00E303AD">
        <w:rPr>
          <w:rFonts w:eastAsia="Calibri"/>
          <w:b/>
          <w:bCs/>
          <w:rtl/>
        </w:rPr>
        <w:t xml:space="preserve">נוהל </w:t>
      </w:r>
      <w:r w:rsidRPr="00E303AD">
        <w:rPr>
          <w:rFonts w:eastAsia="Calibri" w:hint="cs"/>
          <w:b/>
          <w:bCs/>
          <w:rtl/>
        </w:rPr>
        <w:t>נקבעה</w:t>
      </w:r>
      <w:r w:rsidRPr="00E303AD">
        <w:rPr>
          <w:rFonts w:eastAsia="Calibri"/>
          <w:b/>
          <w:bCs/>
          <w:rtl/>
        </w:rPr>
        <w:t xml:space="preserve"> חלוקת אחריות </w:t>
      </w:r>
      <w:r w:rsidRPr="00E303AD">
        <w:rPr>
          <w:rFonts w:eastAsia="Calibri" w:hint="cs"/>
          <w:b/>
          <w:bCs/>
          <w:rtl/>
        </w:rPr>
        <w:t xml:space="preserve">מפורטת </w:t>
      </w:r>
      <w:r w:rsidRPr="00E303AD">
        <w:rPr>
          <w:rFonts w:eastAsia="Calibri"/>
          <w:b/>
          <w:bCs/>
          <w:rtl/>
        </w:rPr>
        <w:t>בין גורמי המטה, המחוז והתחנה</w:t>
      </w:r>
      <w:r w:rsidRPr="00E303AD">
        <w:rPr>
          <w:rFonts w:eastAsia="Calibri" w:hint="cs"/>
          <w:b/>
          <w:bCs/>
          <w:rtl/>
        </w:rPr>
        <w:t>. עם זאת,</w:t>
      </w:r>
      <w:r w:rsidRPr="00E303AD">
        <w:rPr>
          <w:rFonts w:eastAsia="Calibri"/>
          <w:b/>
          <w:bCs/>
          <w:rtl/>
        </w:rPr>
        <w:t xml:space="preserve"> </w:t>
      </w:r>
      <w:r w:rsidRPr="00E303AD">
        <w:rPr>
          <w:rFonts w:eastAsia="Calibri" w:hint="cs"/>
          <w:b/>
          <w:bCs/>
          <w:rtl/>
        </w:rPr>
        <w:t>גורמים במשטרה מעידים שהנוהל אינו מיושם, וכי בפועל אין התאמה בין הגורמים המוגדרים כאחראים לאכיפה על פי הנוהל (כוחות הבילוש) לבין הגורמים המבצעים את האכיפה הלכה למעשה (כוחות הסיור), ולפיכך הם אינם רואים את עצמם אחראים לקידום האכיפה, להיקפה ולטיבה.</w:t>
      </w:r>
      <w:r w:rsidRPr="00E303AD">
        <w:rPr>
          <w:rFonts w:eastAsia="Calibri" w:hint="cs"/>
          <w:rtl/>
        </w:rPr>
        <w:t xml:space="preserve"> </w:t>
      </w:r>
      <w:r w:rsidRPr="00E303AD">
        <w:rPr>
          <w:rFonts w:eastAsia="Calibri"/>
          <w:b/>
          <w:bCs/>
          <w:rtl/>
        </w:rPr>
        <w:t>הדבר</w:t>
      </w:r>
      <w:r w:rsidRPr="00E303AD">
        <w:rPr>
          <w:rFonts w:eastAsia="Calibri"/>
          <w:rtl/>
        </w:rPr>
        <w:t xml:space="preserve"> </w:t>
      </w:r>
      <w:r w:rsidRPr="00E303AD">
        <w:rPr>
          <w:rFonts w:eastAsia="Calibri"/>
          <w:b/>
          <w:bCs/>
          <w:rtl/>
        </w:rPr>
        <w:t>עולה גם מפניית</w:t>
      </w:r>
      <w:r w:rsidRPr="00E303AD">
        <w:rPr>
          <w:rFonts w:eastAsia="Calibri" w:hint="cs"/>
          <w:b/>
          <w:bCs/>
          <w:rtl/>
        </w:rPr>
        <w:t>ה</w:t>
      </w:r>
      <w:r w:rsidRPr="00E303AD">
        <w:rPr>
          <w:rFonts w:eastAsia="Calibri"/>
          <w:b/>
          <w:bCs/>
          <w:rtl/>
        </w:rPr>
        <w:t xml:space="preserve"> של רח"ט חקירות במשטרה לראש אח"ם</w:t>
      </w:r>
      <w:r w:rsidRPr="00E303AD">
        <w:rPr>
          <w:rFonts w:eastAsia="Calibri" w:hint="cs"/>
          <w:b/>
          <w:bCs/>
          <w:rtl/>
        </w:rPr>
        <w:t>,</w:t>
      </w:r>
      <w:r w:rsidRPr="00E303AD">
        <w:rPr>
          <w:rFonts w:eastAsia="Calibri"/>
          <w:b/>
          <w:bCs/>
          <w:rtl/>
        </w:rPr>
        <w:t xml:space="preserve"> </w:t>
      </w:r>
      <w:r w:rsidRPr="00E303AD">
        <w:rPr>
          <w:rFonts w:eastAsia="Calibri" w:hint="cs"/>
          <w:b/>
          <w:bCs/>
          <w:rtl/>
        </w:rPr>
        <w:t>ו</w:t>
      </w:r>
      <w:r w:rsidRPr="00E303AD">
        <w:rPr>
          <w:rFonts w:eastAsia="Calibri"/>
          <w:b/>
          <w:bCs/>
          <w:rtl/>
        </w:rPr>
        <w:t xml:space="preserve">לפיה מצב זה מוביל לטשטוש </w:t>
      </w:r>
      <w:r w:rsidRPr="00E303AD">
        <w:rPr>
          <w:rFonts w:eastAsia="Calibri" w:hint="cs"/>
          <w:b/>
          <w:bCs/>
          <w:rtl/>
        </w:rPr>
        <w:t>גבולות ה</w:t>
      </w:r>
      <w:r w:rsidRPr="00E303AD">
        <w:rPr>
          <w:rFonts w:eastAsia="Calibri"/>
          <w:b/>
          <w:bCs/>
          <w:rtl/>
        </w:rPr>
        <w:t>אחריות ולפגיעה ביכולת לבצע אכיפה עקבית ומקצועית. חוסר ההתאמה בא לידי ביטוי, בין היתר, באי-נכונות גורמי הסיור לקדם הכשרה מקצועית ייעודית לשוטרי סיור האוכפים את החוק ולהשתתף בהכשרה זו, והוא משפיע גם על הליכי איסוף ראיות מהזירות ובהמשך על הליכי החקירה וההעמדה לדין.</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r w:rsidRPr="00E303AD">
        <w:rPr>
          <w:rFonts w:eastAsia="Calibri" w:hint="cs"/>
          <w:b/>
          <w:bCs/>
          <w:rtl/>
        </w:rPr>
        <w:t xml:space="preserve">מומלץ למשטרה לוודא כי יש הלימה בין הגדרת תחומי האחריות על פי נוהל האכיפה לבין פעילות הגורמים בשטח. אם יהיה צורך בכך, תגבש המשטרה </w:t>
      </w:r>
      <w:r w:rsidRPr="00E303AD">
        <w:rPr>
          <w:rFonts w:eastAsia="Calibri"/>
          <w:b/>
          <w:bCs/>
          <w:rtl/>
        </w:rPr>
        <w:t xml:space="preserve">מודל הפעלה חלופי, </w:t>
      </w:r>
      <w:r w:rsidRPr="00E303AD">
        <w:rPr>
          <w:rFonts w:eastAsia="Calibri" w:hint="cs"/>
          <w:b/>
          <w:bCs/>
          <w:rtl/>
        </w:rPr>
        <w:t xml:space="preserve">תתאים </w:t>
      </w:r>
      <w:r w:rsidRPr="00E303AD">
        <w:rPr>
          <w:rFonts w:eastAsia="Calibri"/>
          <w:b/>
          <w:bCs/>
          <w:rtl/>
        </w:rPr>
        <w:t>את שיטת האכיפה ו</w:t>
      </w:r>
      <w:r w:rsidRPr="00E303AD">
        <w:rPr>
          <w:rFonts w:eastAsia="Calibri" w:hint="cs"/>
          <w:b/>
          <w:bCs/>
          <w:rtl/>
        </w:rPr>
        <w:t>ת</w:t>
      </w:r>
      <w:r w:rsidRPr="00E303AD">
        <w:rPr>
          <w:rFonts w:eastAsia="Calibri"/>
          <w:b/>
          <w:bCs/>
          <w:rtl/>
        </w:rPr>
        <w:t>עדכן את הנוהל בהתאם</w:t>
      </w:r>
      <w:r w:rsidRPr="00E303AD">
        <w:rPr>
          <w:rFonts w:eastAsia="Calibri" w:hint="cs"/>
          <w:b/>
          <w:bCs/>
          <w:rtl/>
        </w:rPr>
        <w:t xml:space="preserve"> לכך</w:t>
      </w:r>
      <w:r w:rsidRPr="00E303AD">
        <w:rPr>
          <w:rFonts w:eastAsia="Calibri"/>
          <w:b/>
          <w:bCs/>
          <w:rtl/>
        </w:rPr>
        <w:t xml:space="preserve">, </w:t>
      </w:r>
      <w:r w:rsidRPr="00E303AD">
        <w:rPr>
          <w:rFonts w:eastAsia="Calibri" w:hint="cs"/>
          <w:b/>
          <w:bCs/>
          <w:rtl/>
        </w:rPr>
        <w:t xml:space="preserve">ובכלל זה תקבע </w:t>
      </w:r>
      <w:r w:rsidRPr="00E303AD">
        <w:rPr>
          <w:rFonts w:eastAsia="Calibri"/>
          <w:b/>
          <w:bCs/>
          <w:rtl/>
        </w:rPr>
        <w:t xml:space="preserve">גורם אחראי למעקב </w:t>
      </w:r>
      <w:r w:rsidRPr="00E303AD">
        <w:rPr>
          <w:rFonts w:eastAsia="Calibri" w:hint="cs"/>
          <w:b/>
          <w:bCs/>
          <w:rtl/>
        </w:rPr>
        <w:t xml:space="preserve">בנוגע ליישומו.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בתשובת המשטרה צוין כי </w:t>
      </w:r>
      <w:r w:rsidRPr="00E303AD">
        <w:rPr>
          <w:rFonts w:eastAsia="Calibri"/>
          <w:rtl/>
        </w:rPr>
        <w:t>אח״ם</w:t>
      </w:r>
      <w:r w:rsidRPr="00E303AD">
        <w:rPr>
          <w:rFonts w:eastAsia="Calibri" w:hint="cs"/>
          <w:rtl/>
        </w:rPr>
        <w:t xml:space="preserve"> בשיתוף</w:t>
      </w:r>
      <w:r w:rsidRPr="00E303AD">
        <w:rPr>
          <w:rFonts w:eastAsia="Calibri"/>
          <w:rtl/>
        </w:rPr>
        <w:t xml:space="preserve"> אג״ם</w:t>
      </w:r>
      <w:r w:rsidRPr="00E303AD">
        <w:rPr>
          <w:rFonts w:eastAsia="Calibri" w:hint="cs"/>
          <w:rtl/>
        </w:rPr>
        <w:t xml:space="preserve"> יבחנו</w:t>
      </w:r>
      <w:r w:rsidRPr="00E303AD">
        <w:rPr>
          <w:rFonts w:eastAsia="Calibri"/>
          <w:rtl/>
        </w:rPr>
        <w:t xml:space="preserve"> את דיוק הנוהל בנושא באופן שישקף את חלוקת האחריות לאכיפת החוק בין המערכים</w:t>
      </w:r>
      <w:r w:rsidRPr="00E303AD">
        <w:rPr>
          <w:rFonts w:eastAsia="Calibri" w:hint="cs"/>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r w:rsidRPr="00E303AD">
        <w:rPr>
          <w:rFonts w:eastAsia="Calibri" w:hint="cs"/>
          <w:rtl/>
        </w:rPr>
        <w:t xml:space="preserve">בתשובת המשרד לבל"ם נמסר כי הוא </w:t>
      </w:r>
      <w:r w:rsidRPr="00E303AD">
        <w:rPr>
          <w:rFonts w:eastAsia="Calibri"/>
          <w:rtl/>
        </w:rPr>
        <w:t>פועל בשילוב זרועות עם חוליית סחר בבני אדם</w:t>
      </w:r>
      <w:r w:rsidRPr="00E303AD">
        <w:rPr>
          <w:rFonts w:eastAsia="Calibri" w:hint="cs"/>
          <w:rtl/>
        </w:rPr>
        <w:t xml:space="preserve"> </w:t>
      </w:r>
      <w:r w:rsidRPr="00E303AD">
        <w:rPr>
          <w:rFonts w:eastAsia="Calibri"/>
          <w:rtl/>
        </w:rPr>
        <w:t xml:space="preserve">כדי להבטיח </w:t>
      </w:r>
      <w:r w:rsidRPr="00E303AD">
        <w:rPr>
          <w:rFonts w:eastAsia="Calibri" w:hint="cs"/>
          <w:rtl/>
        </w:rPr>
        <w:t>את ה</w:t>
      </w:r>
      <w:r w:rsidRPr="00E303AD">
        <w:rPr>
          <w:rFonts w:eastAsia="Calibri"/>
          <w:rtl/>
        </w:rPr>
        <w:t xml:space="preserve">פעילות </w:t>
      </w:r>
      <w:r w:rsidRPr="00E303AD">
        <w:rPr>
          <w:rFonts w:eastAsia="Calibri" w:hint="cs"/>
          <w:rtl/>
        </w:rPr>
        <w:t>ה</w:t>
      </w:r>
      <w:r w:rsidRPr="00E303AD">
        <w:rPr>
          <w:rFonts w:eastAsia="Calibri"/>
          <w:rtl/>
        </w:rPr>
        <w:t xml:space="preserve">מיטבית של המשטרה בתחום המאבק בסחר </w:t>
      </w:r>
      <w:r w:rsidRPr="00E303AD">
        <w:rPr>
          <w:rFonts w:eastAsia="Calibri" w:hint="cs"/>
          <w:rtl/>
        </w:rPr>
        <w:t xml:space="preserve">בבני אדם </w:t>
      </w:r>
      <w:r w:rsidRPr="00E303AD">
        <w:rPr>
          <w:rFonts w:eastAsia="Calibri"/>
          <w:rtl/>
        </w:rPr>
        <w:t xml:space="preserve">ובזנות, </w:t>
      </w:r>
      <w:r w:rsidRPr="00E303AD">
        <w:rPr>
          <w:rFonts w:eastAsia="Calibri" w:hint="cs"/>
          <w:rtl/>
        </w:rPr>
        <w:t xml:space="preserve">את </w:t>
      </w:r>
      <w:r w:rsidRPr="00E303AD">
        <w:rPr>
          <w:rFonts w:eastAsia="Calibri"/>
          <w:rtl/>
        </w:rPr>
        <w:t>יישום החקיקה ו</w:t>
      </w:r>
      <w:r w:rsidRPr="00E303AD">
        <w:rPr>
          <w:rFonts w:eastAsia="Calibri" w:hint="cs"/>
          <w:rtl/>
        </w:rPr>
        <w:t>את ה</w:t>
      </w:r>
      <w:r w:rsidRPr="00E303AD">
        <w:rPr>
          <w:rFonts w:eastAsia="Calibri"/>
          <w:rtl/>
        </w:rPr>
        <w:t>עמידה ביעדים.</w:t>
      </w:r>
    </w:p>
    <w:p w:rsidR="00E303AD" w:rsidRPr="00E303AD" w:rsidP="00E303AD">
      <w:pPr>
        <w:spacing w:line="269" w:lineRule="auto"/>
        <w:rPr>
          <w:rFonts w:eastAsia="Calibri"/>
          <w:b/>
          <w:bCs/>
          <w:rtl/>
        </w:rPr>
      </w:pPr>
    </w:p>
    <w:p w:rsidR="00E303AD" w:rsidRPr="00E303AD" w:rsidP="00E303AD">
      <w:pPr>
        <w:spacing w:line="269" w:lineRule="auto"/>
        <w:rPr>
          <w:rFonts w:eastAsia="Calibri"/>
          <w:b/>
          <w:bCs/>
          <w:rtl/>
        </w:rPr>
      </w:pPr>
      <w:r w:rsidRPr="00E303AD">
        <w:rPr>
          <w:rFonts w:eastAsia="Calibri"/>
          <w:noProof/>
        </w:rPr>
        <w:drawing>
          <wp:inline distT="0" distB="0" distL="0" distR="0">
            <wp:extent cx="5220335" cy="715010"/>
            <wp:effectExtent l="0" t="0" r="0" b="8890"/>
            <wp:docPr id="71" name="תמונה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xmlns:r="http://schemas.openxmlformats.org/officeDocument/2006/relationships" r:embed="rId16"/>
                    <a:stretch>
                      <a:fillRect/>
                    </a:stretch>
                  </pic:blipFill>
                  <pic:spPr>
                    <a:xfrm>
                      <a:off x="0" y="0"/>
                      <a:ext cx="5220335" cy="715010"/>
                    </a:xfrm>
                    <a:prstGeom prst="rect">
                      <a:avLst/>
                    </a:prstGeom>
                  </pic:spPr>
                </pic:pic>
              </a:graphicData>
            </a:graphic>
          </wp:inline>
        </w:drawing>
      </w:r>
    </w:p>
    <w:p w:rsidR="00E303AD" w:rsidRPr="00E303AD" w:rsidP="00E303AD">
      <w:pPr>
        <w:spacing w:line="269" w:lineRule="auto"/>
        <w:rPr>
          <w:rFonts w:eastAsia="Calibri"/>
          <w:b/>
          <w:bCs/>
          <w:rtl/>
        </w:rPr>
      </w:pPr>
    </w:p>
    <w:p w:rsidR="00E303AD" w:rsidRPr="00E303AD" w:rsidP="00E303AD">
      <w:pPr>
        <w:keepNext/>
        <w:keepLines/>
        <w:spacing w:line="269" w:lineRule="auto"/>
        <w:outlineLvl w:val="3"/>
        <w:rPr>
          <w:rFonts w:eastAsia="Times New Roman"/>
          <w:bCs/>
          <w:szCs w:val="26"/>
          <w:rtl/>
        </w:rPr>
      </w:pPr>
      <w:bookmarkStart w:id="51" w:name="_Toc221474969"/>
      <w:bookmarkStart w:id="52" w:name="_Toc224808279"/>
      <w:bookmarkStart w:id="53" w:name="_Hlk231805196"/>
      <w:bookmarkStart w:id="54" w:name="_Hlk231815508"/>
      <w:bookmarkEnd w:id="49"/>
      <w:r w:rsidRPr="00E303AD">
        <w:rPr>
          <w:rFonts w:eastAsia="Times New Roman" w:hint="cs"/>
          <w:bCs/>
          <w:szCs w:val="26"/>
          <w:rtl/>
        </w:rPr>
        <w:t>שימוש במידע משטרתי ובמקורות מידע נוספים על זירות זנות</w:t>
      </w:r>
      <w:bookmarkEnd w:id="51"/>
      <w:bookmarkEnd w:id="52"/>
      <w:r w:rsidRPr="00E303AD">
        <w:rPr>
          <w:rFonts w:eastAsia="Times New Roman" w:hint="cs"/>
          <w:bCs/>
          <w:szCs w:val="26"/>
          <w:rtl/>
        </w:rPr>
        <w:t xml:space="preserve"> </w:t>
      </w:r>
      <w:bookmarkEnd w:id="53"/>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מיפוי תופעות פשיעה באמצעות איסוף מידע הוא </w:t>
      </w:r>
      <w:r w:rsidRPr="00E303AD">
        <w:rPr>
          <w:rFonts w:eastAsia="Calibri"/>
          <w:rtl/>
        </w:rPr>
        <w:t>כלי מרכזי בגיבוש מדיניות לאומית ובהתוויית פעולות אכיפה, מניעה וטיפול</w:t>
      </w:r>
      <w:r w:rsidRPr="00E303AD">
        <w:rPr>
          <w:rFonts w:eastAsia="Calibri" w:hint="cs"/>
          <w:rtl/>
        </w:rPr>
        <w:t>.</w:t>
      </w:r>
      <w:r w:rsidRPr="00E303AD">
        <w:rPr>
          <w:rFonts w:eastAsia="Calibri"/>
          <w:rtl/>
        </w:rPr>
        <w:t xml:space="preserve"> </w:t>
      </w:r>
      <w:r w:rsidRPr="00E303AD">
        <w:rPr>
          <w:rFonts w:eastAsia="Calibri" w:hint="cs"/>
          <w:rtl/>
        </w:rPr>
        <w:t xml:space="preserve">המיפוי </w:t>
      </w:r>
      <w:r w:rsidRPr="00E303AD">
        <w:rPr>
          <w:rFonts w:eastAsia="Calibri"/>
          <w:rtl/>
        </w:rPr>
        <w:t xml:space="preserve">נדרש לשם קבלת תמונת מצב עדכנית, איתור מגמות משתנות וזיהוי </w:t>
      </w:r>
      <w:r w:rsidRPr="00E303AD">
        <w:rPr>
          <w:rFonts w:eastAsia="Calibri" w:hint="cs"/>
          <w:rtl/>
        </w:rPr>
        <w:t>תחומים</w:t>
      </w:r>
      <w:r w:rsidRPr="00E303AD">
        <w:rPr>
          <w:rFonts w:eastAsia="Calibri"/>
          <w:rtl/>
        </w:rPr>
        <w:t xml:space="preserve"> הדורשים מענה ממוקד. </w:t>
      </w:r>
      <w:r w:rsidRPr="00E303AD">
        <w:rPr>
          <w:rFonts w:eastAsia="Calibri" w:hint="cs"/>
          <w:rtl/>
        </w:rPr>
        <w:t xml:space="preserve">כדי למלא את דרישות חוק איסור צריכת זנות והתקנות מכוחו, מחויבים גופי המדינה, ובראשם המשטרה, </w:t>
      </w:r>
      <w:r w:rsidRPr="00E303AD">
        <w:rPr>
          <w:rFonts w:eastAsia="Calibri"/>
          <w:rtl/>
        </w:rPr>
        <w:t xml:space="preserve">לפעול לצמצום </w:t>
      </w:r>
      <w:r w:rsidRPr="00E303AD">
        <w:rPr>
          <w:rFonts w:eastAsia="Calibri" w:hint="cs"/>
          <w:rtl/>
        </w:rPr>
        <w:t>צריכת</w:t>
      </w:r>
      <w:r w:rsidRPr="00E303AD">
        <w:rPr>
          <w:rFonts w:eastAsia="Calibri"/>
          <w:rtl/>
        </w:rPr>
        <w:t xml:space="preserve"> </w:t>
      </w:r>
      <w:r w:rsidRPr="00E303AD">
        <w:rPr>
          <w:rFonts w:eastAsia="Calibri" w:hint="cs"/>
          <w:rtl/>
        </w:rPr>
        <w:t>ה</w:t>
      </w:r>
      <w:r w:rsidRPr="00E303AD">
        <w:rPr>
          <w:rFonts w:eastAsia="Calibri"/>
          <w:rtl/>
        </w:rPr>
        <w:t xml:space="preserve">זנות ולהגן על נפגעות ונפגעי </w:t>
      </w:r>
      <w:r w:rsidRPr="00E303AD">
        <w:rPr>
          <w:rFonts w:eastAsia="Calibri" w:hint="cs"/>
          <w:rtl/>
        </w:rPr>
        <w:t>ה</w:t>
      </w:r>
      <w:r w:rsidRPr="00E303AD">
        <w:rPr>
          <w:rFonts w:eastAsia="Calibri"/>
          <w:rtl/>
        </w:rPr>
        <w:t>תופעה. בתוך כך, מיפוי שיטתי ומבוסס נתונים מאפשר תכנון ארוך טווח</w:t>
      </w:r>
      <w:r w:rsidRPr="00E303AD">
        <w:rPr>
          <w:rFonts w:eastAsia="Calibri" w:hint="cs"/>
          <w:rtl/>
        </w:rPr>
        <w:t xml:space="preserve">, </w:t>
      </w:r>
      <w:r w:rsidRPr="00E303AD">
        <w:rPr>
          <w:rFonts w:eastAsia="Calibri"/>
          <w:rtl/>
        </w:rPr>
        <w:t>תגובה אפקטיבית, קידום שיתופי פעולה בין-מערכתיים והתאמת מענים לשטח ולצרכים המשתנים</w:t>
      </w:r>
      <w:r w:rsidRPr="00E303AD">
        <w:rPr>
          <w:rFonts w:eastAsia="Calibri"/>
        </w:rPr>
        <w:t>.</w:t>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בהתאם לנוהל אכיפת חוק איסור צריכת זנות, נדרשים המרחבים והתחנות ל</w:t>
      </w:r>
      <w:r w:rsidRPr="00E303AD">
        <w:rPr>
          <w:rFonts w:eastAsia="Calibri" w:hint="cs"/>
          <w:rtl/>
        </w:rPr>
        <w:t>בצע</w:t>
      </w:r>
      <w:r w:rsidRPr="00E303AD">
        <w:rPr>
          <w:rFonts w:eastAsia="Calibri"/>
          <w:rtl/>
        </w:rPr>
        <w:t xml:space="preserve"> אכיפה יזומה, </w:t>
      </w:r>
      <w:r w:rsidRPr="00E303AD">
        <w:rPr>
          <w:rFonts w:eastAsia="Calibri" w:hint="cs"/>
          <w:rtl/>
        </w:rPr>
        <w:t xml:space="preserve">תוך איסוף </w:t>
      </w:r>
      <w:r w:rsidRPr="00E303AD">
        <w:rPr>
          <w:rFonts w:eastAsia="Calibri" w:hint="eastAsia"/>
          <w:rtl/>
        </w:rPr>
        <w:t>מידע</w:t>
      </w:r>
      <w:r w:rsidRPr="00E303AD">
        <w:rPr>
          <w:rFonts w:eastAsia="Calibri" w:hint="cs"/>
          <w:rtl/>
        </w:rPr>
        <w:t xml:space="preserve"> לשם הכוונת </w:t>
      </w:r>
      <w:r w:rsidRPr="00E303AD">
        <w:rPr>
          <w:rFonts w:eastAsia="Calibri"/>
          <w:rtl/>
        </w:rPr>
        <w:t>פעולות האכיפה באופן ממוקד ויעיל</w:t>
      </w:r>
      <w:r>
        <w:rPr>
          <w:rFonts w:eastAsia="Calibri"/>
          <w:vertAlign w:val="superscript"/>
          <w:rtl/>
        </w:rPr>
        <w:footnoteReference w:id="57"/>
      </w:r>
      <w:r w:rsidRPr="00E303AD">
        <w:rPr>
          <w:rFonts w:eastAsia="Calibri" w:hint="cs"/>
          <w:rtl/>
        </w:rPr>
        <w:t xml:space="preserve">. </w:t>
      </w:r>
    </w:p>
    <w:p w:rsidR="00E303AD" w:rsidRPr="00E303AD" w:rsidP="00E303AD">
      <w:pPr>
        <w:spacing w:line="269" w:lineRule="auto"/>
        <w:rPr>
          <w:rFonts w:eastAsia="Calibri"/>
          <w:rtl/>
        </w:rPr>
      </w:pPr>
      <w:r w:rsidRPr="00E303AD">
        <w:rPr>
          <w:rFonts w:eastAsia="Calibri" w:hint="cs"/>
          <w:rtl/>
        </w:rPr>
        <w:t>להלן יפורטו המוקדים שבהם מצוי מידע על זירות זנות:</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Pr>
      </w:pPr>
      <w:bookmarkStart w:id="55" w:name="_Toc221474970"/>
      <w:r w:rsidRPr="00E303AD">
        <w:rPr>
          <w:rFonts w:eastAsia="Times New Roman" w:hint="cs"/>
          <w:bCs/>
          <w:spacing w:val="40"/>
          <w:rtl/>
        </w:rPr>
        <w:t>מיפוי משטרתי של תופעת הזנות:</w:t>
      </w:r>
      <w:bookmarkEnd w:id="55"/>
      <w:r w:rsidRPr="00E303AD">
        <w:rPr>
          <w:rFonts w:eastAsia="Calibri" w:hint="cs"/>
          <w:rtl/>
        </w:rPr>
        <w:t xml:space="preserve"> </w:t>
      </w:r>
      <w:r w:rsidRPr="00E303AD">
        <w:rPr>
          <w:rFonts w:eastAsia="Calibri" w:hint="eastAsia"/>
          <w:rtl/>
        </w:rPr>
        <w:t>המשטרה</w:t>
      </w:r>
      <w:r w:rsidRPr="00E303AD">
        <w:rPr>
          <w:rFonts w:eastAsia="Calibri"/>
          <w:rtl/>
        </w:rPr>
        <w:t xml:space="preserve"> עוסקת באופן שוטף </w:t>
      </w:r>
      <w:r w:rsidRPr="00E303AD">
        <w:rPr>
          <w:rFonts w:eastAsia="Calibri" w:hint="eastAsia"/>
          <w:rtl/>
        </w:rPr>
        <w:t>באיסוף</w:t>
      </w:r>
      <w:r w:rsidRPr="00E303AD">
        <w:rPr>
          <w:rFonts w:eastAsia="Calibri"/>
          <w:rtl/>
        </w:rPr>
        <w:t xml:space="preserve"> מידע </w:t>
      </w:r>
      <w:r w:rsidRPr="00E303AD">
        <w:rPr>
          <w:rFonts w:eastAsia="Calibri" w:hint="cs"/>
          <w:rtl/>
        </w:rPr>
        <w:t xml:space="preserve">בנושא סחר בבני אדם במטרה לזהות </w:t>
      </w:r>
      <w:r w:rsidRPr="00E303AD">
        <w:rPr>
          <w:rFonts w:eastAsia="Calibri"/>
          <w:rtl/>
        </w:rPr>
        <w:t xml:space="preserve">דפוסי פעילות, אזורי סיכון, אוכלוסיות חשופות </w:t>
      </w:r>
      <w:r w:rsidRPr="00E303AD">
        <w:rPr>
          <w:rFonts w:eastAsia="Calibri" w:hint="cs"/>
          <w:rtl/>
        </w:rPr>
        <w:t>ולספק</w:t>
      </w:r>
      <w:r w:rsidRPr="00E303AD">
        <w:rPr>
          <w:rFonts w:eastAsia="Calibri"/>
          <w:rtl/>
        </w:rPr>
        <w:t xml:space="preserve"> תשתית הכרחית לקביעת סדרי עדיפויות </w:t>
      </w:r>
      <w:r w:rsidRPr="00E303AD">
        <w:rPr>
          <w:rFonts w:eastAsia="Calibri" w:hint="cs"/>
          <w:rtl/>
        </w:rPr>
        <w:t>לעניין האכיפה</w:t>
      </w:r>
      <w:r w:rsidRPr="00E303AD">
        <w:rPr>
          <w:rFonts w:eastAsia="Calibri"/>
          <w:rtl/>
        </w:rPr>
        <w:t xml:space="preserve">, לגיבוש מדיניות מונעת, להקצאת משאבים ולהערכת יעילות ההתערבויות הקיימות.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r w:rsidRPr="00E303AD">
        <w:rPr>
          <w:rFonts w:eastAsia="Calibri" w:hint="cs"/>
          <w:rtl/>
        </w:rPr>
        <w:t>בשנת 2023 מופו אתרי זנות ובתי בושת בישראל, וממצאי המיפוי עודכנו בשנת 2024 כדי שתוכנית העבודה של המחוזות לשנת 2025 תתבסס על נתונים מדויקים, בין היתר לצורך אכיפת החוק וטיוב פעילות המשטרה כנגד העבירות הנלוות.</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המיפוי משמש בסיס לכתיבת תוכנית עבודה של המשטרה לצורך אכיפה. המיפוי מתבסס</w:t>
      </w:r>
      <w:r w:rsidRPr="00E303AD">
        <w:rPr>
          <w:rFonts w:eastAsia="Calibri"/>
          <w:rtl/>
        </w:rPr>
        <w:t xml:space="preserve">, </w:t>
      </w:r>
      <w:r w:rsidRPr="00E303AD">
        <w:rPr>
          <w:rFonts w:eastAsia="Calibri" w:hint="eastAsia"/>
          <w:rtl/>
        </w:rPr>
        <w:t>בין</w:t>
      </w:r>
      <w:r w:rsidRPr="00E303AD">
        <w:rPr>
          <w:rFonts w:eastAsia="Calibri"/>
          <w:rtl/>
        </w:rPr>
        <w:t xml:space="preserve"> </w:t>
      </w:r>
      <w:r w:rsidRPr="00E303AD">
        <w:rPr>
          <w:rFonts w:eastAsia="Calibri" w:hint="eastAsia"/>
          <w:rtl/>
        </w:rPr>
        <w:t>היתר</w:t>
      </w:r>
      <w:r w:rsidRPr="00E303AD">
        <w:rPr>
          <w:rFonts w:eastAsia="Calibri"/>
          <w:rtl/>
        </w:rPr>
        <w:t>,</w:t>
      </w:r>
      <w:r w:rsidRPr="00E303AD">
        <w:rPr>
          <w:rFonts w:eastAsia="Calibri" w:hint="cs"/>
          <w:rtl/>
        </w:rPr>
        <w:t xml:space="preserve"> על חקירות, קנסות ודיווחי אזרחים למוקד 100 שהתקבלו בשנת 2024, וכלל </w:t>
      </w:r>
      <w:r w:rsidRPr="00E303AD">
        <w:rPr>
          <w:rFonts w:eastAsia="Calibri" w:hint="eastAsia"/>
          <w:rtl/>
        </w:rPr>
        <w:t>למעלה</w:t>
      </w:r>
      <w:r w:rsidRPr="00E303AD">
        <w:rPr>
          <w:rFonts w:eastAsia="Calibri"/>
          <w:rtl/>
        </w:rPr>
        <w:t xml:space="preserve"> </w:t>
      </w:r>
      <w:r w:rsidR="006E5677">
        <w:rPr>
          <w:rFonts w:eastAsia="Calibri"/>
          <w:rtl/>
        </w:rPr>
        <w:br/>
      </w:r>
      <w:r w:rsidRPr="00E303AD">
        <w:rPr>
          <w:rFonts w:eastAsia="Calibri" w:hint="eastAsia"/>
          <w:rtl/>
        </w:rPr>
        <w:t>מ</w:t>
      </w:r>
      <w:r w:rsidRPr="00E303AD">
        <w:rPr>
          <w:rFonts w:eastAsia="Calibri"/>
          <w:rtl/>
        </w:rPr>
        <w:t>-</w:t>
      </w:r>
      <w:r w:rsidRPr="00E303AD">
        <w:rPr>
          <w:rFonts w:eastAsia="Calibri" w:hint="cs"/>
          <w:rtl/>
        </w:rPr>
        <w:t>1,300 כתובות החשודות (ברמת מהימנות שונה) כזירות זנות, מתוכן מאות (42%) ברמת מהימנות גבוהה ובינונית, הנכללות בגזרת הפעילות של 26 תחנות משטרה</w:t>
      </w:r>
      <w:r w:rsidRPr="00E303AD">
        <w:rPr>
          <w:rFonts w:eastAsia="Calibri"/>
          <w:rtl/>
        </w:rPr>
        <w:t xml:space="preserve">. </w:t>
      </w:r>
      <w:r w:rsidRPr="00E303AD">
        <w:rPr>
          <w:rFonts w:eastAsia="Calibri" w:hint="cs"/>
          <w:rtl/>
        </w:rPr>
        <w:t>למעשה, ב</w:t>
      </w:r>
      <w:r w:rsidRPr="00E303AD">
        <w:rPr>
          <w:rFonts w:eastAsia="Calibri"/>
          <w:rtl/>
        </w:rPr>
        <w:t xml:space="preserve">חלק מהאתרים </w:t>
      </w:r>
      <w:r w:rsidRPr="00E303AD">
        <w:rPr>
          <w:rFonts w:eastAsia="Calibri" w:hint="cs"/>
          <w:rtl/>
        </w:rPr>
        <w:t xml:space="preserve">שהמשטרה זיהתה בהם פעילות הקשורה לזנות עדיין מתבצעת </w:t>
      </w:r>
      <w:r w:rsidRPr="00E303AD">
        <w:rPr>
          <w:rFonts w:eastAsia="Calibri"/>
          <w:rtl/>
        </w:rPr>
        <w:t xml:space="preserve">פעילות חוזרת ונשנית </w:t>
      </w:r>
      <w:r w:rsidRPr="00E303AD">
        <w:rPr>
          <w:rFonts w:eastAsia="Calibri" w:hint="cs"/>
          <w:rtl/>
        </w:rPr>
        <w:t xml:space="preserve">של </w:t>
      </w:r>
      <w:r w:rsidRPr="00E303AD">
        <w:rPr>
          <w:rFonts w:eastAsia="Calibri"/>
          <w:rtl/>
        </w:rPr>
        <w:t>צרכנים</w:t>
      </w:r>
      <w:r w:rsidRPr="00E303AD">
        <w:rPr>
          <w:rFonts w:eastAsia="Calibri"/>
        </w:rPr>
        <w:t>.</w:t>
      </w:r>
      <w:r w:rsidRPr="00E303AD">
        <w:rPr>
          <w:rFonts w:eastAsia="Calibri"/>
          <w:rtl/>
        </w:rPr>
        <w:t xml:space="preserve"> </w:t>
      </w:r>
      <w:r w:rsidRPr="00E303AD">
        <w:rPr>
          <w:rFonts w:eastAsia="Calibri" w:hint="cs"/>
          <w:rtl/>
        </w:rPr>
        <w:t xml:space="preserve">המיפוי כלל ניתוח ששקלל את רמת המהימנות של המידע העומד בבסיסו, בהתאם למקור המידע, ואת היקף התופעה בכל אזור. בהתאם לכך המיפוי הציג מוקדים בולטים של זירות זנות. להלן בתרשים 5 התפלגות הכתובות החשודות כזירות זנות על פי מחוזות, וכן בתרשים 6 שיקוף היחס בין הכתובות החשודות כזירות זנות על פי המיפוי לבין הקנסות שהוטלו על צרכני זנות בשנת 2024 בחלוקה למחוזות. </w:t>
      </w:r>
    </w:p>
    <w:p w:rsidR="00E303AD" w:rsidRPr="00E303AD" w:rsidP="00E303AD">
      <w:pPr>
        <w:spacing w:line="269" w:lineRule="auto"/>
        <w:rPr>
          <w:rFonts w:eastAsia="Calibri"/>
          <w:rtl/>
        </w:rPr>
      </w:pPr>
    </w:p>
    <w:p w:rsidR="00E303AD" w:rsidRPr="00E303AD" w:rsidP="00E303AD">
      <w:pPr>
        <w:spacing w:line="269" w:lineRule="auto"/>
        <w:jc w:val="center"/>
        <w:rPr>
          <w:rFonts w:eastAsia="Calibri"/>
          <w:b/>
          <w:bCs/>
          <w:rtl/>
        </w:rPr>
      </w:pPr>
      <w:r w:rsidRPr="00E303AD">
        <w:rPr>
          <w:rFonts w:eastAsia="Calibri" w:hint="cs"/>
          <w:rtl/>
        </w:rPr>
        <w:t xml:space="preserve">תרשים 5: </w:t>
      </w:r>
      <w:r w:rsidRPr="00E303AD">
        <w:rPr>
          <w:rFonts w:eastAsia="Calibri" w:hint="cs"/>
          <w:b/>
          <w:bCs/>
          <w:rtl/>
        </w:rPr>
        <w:t>התפלגות</w:t>
      </w:r>
      <w:r w:rsidRPr="00E303AD">
        <w:rPr>
          <w:rFonts w:eastAsia="Calibri"/>
          <w:b/>
          <w:bCs/>
          <w:rtl/>
        </w:rPr>
        <w:t xml:space="preserve"> </w:t>
      </w:r>
      <w:r w:rsidRPr="00E303AD">
        <w:rPr>
          <w:rFonts w:eastAsia="Calibri" w:hint="eastAsia"/>
          <w:b/>
          <w:bCs/>
          <w:rtl/>
        </w:rPr>
        <w:t>הכתובות</w:t>
      </w:r>
      <w:r w:rsidRPr="00E303AD">
        <w:rPr>
          <w:rFonts w:eastAsia="Calibri"/>
          <w:b/>
          <w:bCs/>
          <w:rtl/>
        </w:rPr>
        <w:t xml:space="preserve"> </w:t>
      </w:r>
      <w:r w:rsidRPr="00E303AD">
        <w:rPr>
          <w:rFonts w:eastAsia="Calibri" w:hint="eastAsia"/>
          <w:b/>
          <w:bCs/>
          <w:rtl/>
        </w:rPr>
        <w:t>החשודות</w:t>
      </w:r>
      <w:r w:rsidRPr="00E303AD">
        <w:rPr>
          <w:rFonts w:eastAsia="Calibri"/>
          <w:b/>
          <w:bCs/>
          <w:rtl/>
        </w:rPr>
        <w:t xml:space="preserve"> </w:t>
      </w:r>
      <w:r w:rsidRPr="00E303AD">
        <w:rPr>
          <w:rFonts w:eastAsia="Calibri" w:hint="eastAsia"/>
          <w:b/>
          <w:bCs/>
          <w:rtl/>
        </w:rPr>
        <w:t>כזירות</w:t>
      </w:r>
      <w:r w:rsidRPr="00E303AD">
        <w:rPr>
          <w:rFonts w:eastAsia="Calibri"/>
          <w:b/>
          <w:bCs/>
          <w:rtl/>
        </w:rPr>
        <w:t xml:space="preserve"> </w:t>
      </w:r>
      <w:r w:rsidRPr="00E303AD">
        <w:rPr>
          <w:rFonts w:eastAsia="Calibri" w:hint="eastAsia"/>
          <w:b/>
          <w:bCs/>
          <w:rtl/>
        </w:rPr>
        <w:t>זנות</w:t>
      </w:r>
      <w:r w:rsidRPr="00E303AD">
        <w:rPr>
          <w:rFonts w:eastAsia="Calibri"/>
          <w:b/>
          <w:bCs/>
          <w:rtl/>
        </w:rPr>
        <w:t xml:space="preserve"> </w:t>
      </w:r>
      <w:r w:rsidRPr="00E303AD">
        <w:rPr>
          <w:rFonts w:eastAsia="Calibri" w:hint="cs"/>
          <w:b/>
          <w:bCs/>
          <w:rtl/>
        </w:rPr>
        <w:t>על פי</w:t>
      </w:r>
      <w:r w:rsidRPr="00E303AD">
        <w:rPr>
          <w:rFonts w:eastAsia="Calibri"/>
          <w:b/>
          <w:bCs/>
          <w:rtl/>
        </w:rPr>
        <w:t xml:space="preserve"> </w:t>
      </w:r>
      <w:r w:rsidRPr="00E303AD">
        <w:rPr>
          <w:rFonts w:eastAsia="Calibri" w:hint="eastAsia"/>
          <w:b/>
          <w:bCs/>
          <w:rtl/>
        </w:rPr>
        <w:t>מחוזות</w:t>
      </w:r>
      <w:r w:rsidRPr="00E303AD">
        <w:rPr>
          <w:rFonts w:eastAsia="Calibri" w:hint="cs"/>
          <w:rtl/>
        </w:rPr>
        <w:t xml:space="preserve"> </w:t>
      </w:r>
      <w:r w:rsidRPr="00E303AD">
        <w:rPr>
          <w:rFonts w:eastAsia="Calibri"/>
          <w:b/>
          <w:bCs/>
          <w:rtl/>
        </w:rPr>
        <w:t xml:space="preserve">(2024, </w:t>
      </w:r>
      <w:r w:rsidRPr="00E303AD">
        <w:rPr>
          <w:rFonts w:eastAsia="Calibri" w:hint="eastAsia"/>
          <w:b/>
          <w:bCs/>
          <w:rtl/>
        </w:rPr>
        <w:t>באחוזים</w:t>
      </w:r>
      <w:r w:rsidRPr="00E303AD">
        <w:rPr>
          <w:rFonts w:eastAsia="Calibri"/>
          <w:b/>
          <w:bCs/>
          <w:rtl/>
        </w:rPr>
        <w:t>)</w:t>
      </w:r>
    </w:p>
    <w:p w:rsidR="00E303AD" w:rsidRPr="00E303AD" w:rsidP="00E303AD">
      <w:pPr>
        <w:spacing w:line="269" w:lineRule="auto"/>
        <w:jc w:val="center"/>
        <w:rPr>
          <w:rFonts w:eastAsia="Calibri"/>
          <w:rtl/>
        </w:rPr>
      </w:pPr>
      <w:r w:rsidRPr="00E303AD">
        <w:rPr>
          <w:rFonts w:eastAsia="Calibri"/>
          <w:noProof/>
        </w:rPr>
        <w:drawing>
          <wp:inline distT="0" distB="0" distL="0" distR="0">
            <wp:extent cx="3861001" cy="3378200"/>
            <wp:effectExtent l="0" t="0" r="6350" b="0"/>
            <wp:docPr id="43" name="תמונה 43" descr="תרשים טבעת המציג התפלגות באחוזים לפי מחוזות.&#10;&#10;להלן פירוט הנתונים מהגדול לקטן:&#10;&#10;מחוז תל אביב: 39.3%.&#10;&#10;מחוז חוף: 23.5%.&#10;&#10;מחוז מרכז: 15%.&#10;&#10;מחוז דרום: 14.7%.&#10;&#10;מחוז ירושלים: 3.8%.&#10;&#10;מחוז צפון: 3.3%.&#10;&#10;מחוז ש&quot;י: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17"/>
                    <a:stretch>
                      <a:fillRect/>
                    </a:stretch>
                  </pic:blipFill>
                  <pic:spPr>
                    <a:xfrm>
                      <a:off x="0" y="0"/>
                      <a:ext cx="3877974" cy="3393051"/>
                    </a:xfrm>
                    <a:prstGeom prst="rect">
                      <a:avLst/>
                    </a:prstGeom>
                  </pic:spPr>
                </pic:pic>
              </a:graphicData>
            </a:graphic>
          </wp:inline>
        </w:drawing>
      </w:r>
    </w:p>
    <w:p w:rsidR="00E303AD" w:rsidRPr="00E303AD" w:rsidP="00E303AD">
      <w:pPr>
        <w:spacing w:line="269" w:lineRule="auto"/>
        <w:ind w:hanging="1"/>
        <w:jc w:val="left"/>
        <w:rPr>
          <w:rFonts w:eastAsia="Calibri"/>
          <w:b/>
          <w:bCs/>
          <w:rtl/>
        </w:rPr>
      </w:pPr>
      <w:r w:rsidRPr="00E303AD">
        <w:rPr>
          <w:rFonts w:eastAsia="Calibri" w:hint="cs"/>
          <w:szCs w:val="20"/>
          <w:rtl/>
        </w:rPr>
        <w:t>על פי נתוני המשטרה, בעיבוד משרד מבקר המדינה</w:t>
      </w:r>
      <w:r w:rsidRPr="00E303AD">
        <w:rPr>
          <w:rFonts w:eastAsia="Calibri" w:hint="cs"/>
          <w:rtl/>
        </w:rPr>
        <w:t>.</w:t>
      </w:r>
    </w:p>
    <w:p w:rsidR="00E303AD" w:rsidRPr="00E303AD" w:rsidP="00E303AD">
      <w:pPr>
        <w:bidi w:val="0"/>
        <w:spacing w:line="269" w:lineRule="auto"/>
        <w:rPr>
          <w:rFonts w:eastAsia="Calibri"/>
          <w:b/>
          <w:bCs/>
          <w:rtl/>
        </w:rPr>
      </w:pPr>
      <w:bookmarkStart w:id="56" w:name="_Hlk222934916"/>
      <w:bookmarkStart w:id="57" w:name="_Hlk209945956"/>
      <w:r w:rsidRPr="00E303AD">
        <w:rPr>
          <w:rFonts w:eastAsia="Calibri"/>
          <w:b/>
          <w:bCs/>
          <w:rtl/>
        </w:rPr>
        <w:br w:type="page"/>
      </w:r>
    </w:p>
    <w:p w:rsidR="00E303AD" w:rsidRPr="00E303AD" w:rsidP="00E303AD">
      <w:pPr>
        <w:spacing w:line="269" w:lineRule="auto"/>
        <w:jc w:val="center"/>
        <w:rPr>
          <w:rFonts w:eastAsia="Calibri"/>
          <w:b/>
          <w:bCs/>
          <w:rtl/>
        </w:rPr>
      </w:pPr>
      <w:r w:rsidRPr="00E303AD">
        <w:rPr>
          <w:rFonts w:eastAsia="Calibri" w:hint="cs"/>
          <w:rtl/>
        </w:rPr>
        <w:t xml:space="preserve">תרשים 6: </w:t>
      </w:r>
      <w:bookmarkStart w:id="58" w:name="_Hlk223003381"/>
      <w:r w:rsidRPr="00E303AD">
        <w:rPr>
          <w:rFonts w:eastAsia="Calibri" w:hint="eastAsia"/>
          <w:b/>
          <w:bCs/>
          <w:rtl/>
        </w:rPr>
        <w:t>הכתובות</w:t>
      </w:r>
      <w:r w:rsidRPr="00E303AD">
        <w:rPr>
          <w:rFonts w:eastAsia="Calibri"/>
          <w:b/>
          <w:bCs/>
          <w:rtl/>
        </w:rPr>
        <w:t xml:space="preserve"> </w:t>
      </w:r>
      <w:r w:rsidRPr="00E303AD">
        <w:rPr>
          <w:rFonts w:eastAsia="Calibri" w:hint="eastAsia"/>
          <w:b/>
          <w:bCs/>
          <w:rtl/>
        </w:rPr>
        <w:t>החשודות</w:t>
      </w:r>
      <w:r w:rsidRPr="00E303AD">
        <w:rPr>
          <w:rFonts w:eastAsia="Calibri"/>
          <w:b/>
          <w:bCs/>
          <w:rtl/>
        </w:rPr>
        <w:t xml:space="preserve"> </w:t>
      </w:r>
      <w:r w:rsidRPr="00E303AD">
        <w:rPr>
          <w:rFonts w:eastAsia="Calibri" w:hint="eastAsia"/>
          <w:b/>
          <w:bCs/>
          <w:rtl/>
        </w:rPr>
        <w:t>כזירות</w:t>
      </w:r>
      <w:r w:rsidRPr="00E303AD">
        <w:rPr>
          <w:rFonts w:eastAsia="Calibri"/>
          <w:b/>
          <w:bCs/>
          <w:rtl/>
        </w:rPr>
        <w:t xml:space="preserve"> זנות </w:t>
      </w:r>
      <w:r w:rsidR="00F2308B">
        <w:rPr>
          <w:rFonts w:eastAsia="Calibri" w:hint="cs"/>
          <w:b/>
          <w:bCs/>
          <w:rtl/>
        </w:rPr>
        <w:t>לעומת</w:t>
      </w:r>
      <w:r w:rsidRPr="00E303AD" w:rsidR="00F2308B">
        <w:rPr>
          <w:rFonts w:eastAsia="Calibri"/>
          <w:b/>
          <w:bCs/>
          <w:rtl/>
        </w:rPr>
        <w:t xml:space="preserve"> </w:t>
      </w:r>
      <w:r w:rsidRPr="00E303AD">
        <w:rPr>
          <w:rFonts w:eastAsia="Calibri" w:hint="eastAsia"/>
          <w:b/>
          <w:bCs/>
          <w:rtl/>
        </w:rPr>
        <w:t>הקנסות</w:t>
      </w:r>
      <w:r w:rsidRPr="00E303AD">
        <w:rPr>
          <w:rFonts w:eastAsia="Calibri"/>
          <w:b/>
          <w:bCs/>
          <w:rtl/>
        </w:rPr>
        <w:t xml:space="preserve"> </w:t>
      </w:r>
    </w:p>
    <w:p w:rsidR="00E303AD" w:rsidRPr="00E303AD" w:rsidP="00E303AD">
      <w:pPr>
        <w:spacing w:line="269" w:lineRule="auto"/>
        <w:jc w:val="center"/>
        <w:rPr>
          <w:rFonts w:eastAsia="Calibri"/>
          <w:b/>
          <w:bCs/>
          <w:rtl/>
        </w:rPr>
      </w:pPr>
      <w:r w:rsidRPr="00E303AD">
        <w:rPr>
          <w:rFonts w:eastAsia="Calibri" w:hint="eastAsia"/>
          <w:b/>
          <w:bCs/>
          <w:rtl/>
        </w:rPr>
        <w:t>שהוטלו</w:t>
      </w:r>
      <w:r w:rsidRPr="00E303AD">
        <w:rPr>
          <w:rFonts w:eastAsia="Calibri"/>
          <w:b/>
          <w:bCs/>
          <w:rtl/>
        </w:rPr>
        <w:t xml:space="preserve"> על צ</w:t>
      </w:r>
      <w:bookmarkStart w:id="59" w:name="_GoBack"/>
      <w:bookmarkEnd w:id="59"/>
      <w:r w:rsidRPr="00E303AD">
        <w:rPr>
          <w:rFonts w:eastAsia="Calibri"/>
          <w:b/>
          <w:bCs/>
          <w:rtl/>
        </w:rPr>
        <w:t>רכני זנות, 2024</w:t>
      </w:r>
      <w:bookmarkEnd w:id="58"/>
    </w:p>
    <w:p w:rsidR="00E303AD" w:rsidRPr="00E303AD" w:rsidP="00E303AD">
      <w:pPr>
        <w:spacing w:line="269" w:lineRule="auto"/>
        <w:jc w:val="center"/>
        <w:rPr>
          <w:rFonts w:eastAsia="Calibri"/>
          <w:b/>
          <w:bCs/>
          <w:rtl/>
        </w:rPr>
      </w:pPr>
      <w:r w:rsidRPr="00E303AD">
        <w:rPr>
          <w:rFonts w:eastAsia="Calibri"/>
          <w:noProof/>
        </w:rPr>
        <w:drawing>
          <wp:inline distT="0" distB="0" distL="0" distR="0">
            <wp:extent cx="5220335" cy="3195955"/>
            <wp:effectExtent l="0" t="0" r="0" b="4445"/>
            <wp:docPr id="16" name="תמונה 16" descr="תרשים עמודות המבצע השוואה בין הכתובות החשודות כזירות זנות לקנסות שהוטלו על צרכני זנות בשבעת מחוזות המשטרה.&#10;&#10;התרשים מדגיש פער משמעותי בין כמות הכתובות החשודות למספר הקנסות הניתנים. במחוז תל אביב קיים הריכוז הגבוה ביותר של שני המדדים. כמו כן, בארבעה מתוך שבעת המחוזות (צפון, ירושלים, ש&quot;י, דרום) לא הוטלו קנסות כלל, למרות קיומן של כתובות החשודות כזירות ז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18"/>
                    <a:srcRect t="4912"/>
                    <a:stretch>
                      <a:fillRect/>
                    </a:stretch>
                  </pic:blipFill>
                  <pic:spPr bwMode="auto">
                    <a:xfrm>
                      <a:off x="0" y="0"/>
                      <a:ext cx="5220335" cy="319595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303AD" w:rsidRPr="00E303AD" w:rsidP="00E303AD">
      <w:pPr>
        <w:spacing w:line="269" w:lineRule="auto"/>
        <w:rPr>
          <w:rFonts w:eastAsia="Calibri"/>
          <w:b/>
          <w:bCs/>
          <w:rtl/>
        </w:rPr>
      </w:pPr>
      <w:r w:rsidRPr="00E303AD">
        <w:rPr>
          <w:rFonts w:eastAsia="Calibri" w:hint="cs"/>
          <w:szCs w:val="20"/>
          <w:rtl/>
        </w:rPr>
        <w:t>על פי נתונים שהפיקה המשטרה, בעיבוד משרד מבקר המדינה</w:t>
      </w:r>
      <w:r w:rsidRPr="00E303AD">
        <w:rPr>
          <w:rFonts w:eastAsia="Calibri" w:hint="cs"/>
          <w:rtl/>
        </w:rPr>
        <w:t>.</w:t>
      </w:r>
    </w:p>
    <w:bookmarkEnd w:id="56"/>
    <w:bookmarkEnd w:id="57"/>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sz w:val="22"/>
          <w:szCs w:val="22"/>
          <w:rtl/>
        </w:rPr>
      </w:pPr>
      <w:bookmarkStart w:id="60" w:name="_Hlk222300597"/>
      <w:r w:rsidRPr="00E303AD">
        <w:rPr>
          <w:rFonts w:eastAsia="Calibri" w:hint="eastAsia"/>
          <w:b/>
          <w:bCs/>
          <w:rtl/>
        </w:rPr>
        <w:t>בביקורת</w:t>
      </w:r>
      <w:r w:rsidRPr="00E303AD">
        <w:rPr>
          <w:rFonts w:eastAsia="Calibri"/>
          <w:b/>
          <w:bCs/>
          <w:rtl/>
        </w:rPr>
        <w:t xml:space="preserve"> </w:t>
      </w:r>
      <w:r w:rsidRPr="00E303AD">
        <w:rPr>
          <w:rFonts w:eastAsia="Calibri" w:hint="eastAsia"/>
          <w:b/>
          <w:bCs/>
          <w:rtl/>
        </w:rPr>
        <w:t>ע</w:t>
      </w:r>
      <w:r w:rsidRPr="00E303AD">
        <w:rPr>
          <w:rFonts w:eastAsia="Calibri" w:hint="cs"/>
          <w:b/>
          <w:bCs/>
          <w:rtl/>
        </w:rPr>
        <w:t xml:space="preserve">לה כי </w:t>
      </w:r>
      <w:bookmarkStart w:id="61" w:name="_Hlk232332786"/>
      <w:r w:rsidRPr="00E303AD">
        <w:rPr>
          <w:rFonts w:eastAsia="Calibri" w:hint="cs"/>
          <w:b/>
          <w:bCs/>
          <w:rtl/>
        </w:rPr>
        <w:t xml:space="preserve">על אף הצטברותו של מידע על מאות כתובות </w:t>
      </w:r>
      <w:r w:rsidRPr="00E303AD">
        <w:rPr>
          <w:rFonts w:eastAsia="Calibri" w:hint="eastAsia"/>
          <w:b/>
          <w:bCs/>
          <w:rtl/>
        </w:rPr>
        <w:t>החשודות</w:t>
      </w:r>
      <w:r w:rsidRPr="00E303AD">
        <w:rPr>
          <w:rFonts w:eastAsia="Calibri"/>
          <w:b/>
          <w:bCs/>
          <w:rtl/>
        </w:rPr>
        <w:t xml:space="preserve"> </w:t>
      </w:r>
      <w:r w:rsidRPr="00E303AD">
        <w:rPr>
          <w:rFonts w:eastAsia="Calibri" w:hint="eastAsia"/>
          <w:b/>
          <w:bCs/>
          <w:rtl/>
        </w:rPr>
        <w:t>כזירות</w:t>
      </w:r>
      <w:r w:rsidRPr="00E303AD">
        <w:rPr>
          <w:rFonts w:eastAsia="Calibri"/>
          <w:b/>
          <w:bCs/>
          <w:rtl/>
        </w:rPr>
        <w:t xml:space="preserve"> </w:t>
      </w:r>
      <w:r w:rsidRPr="00E303AD">
        <w:rPr>
          <w:rFonts w:eastAsia="Calibri" w:hint="eastAsia"/>
          <w:b/>
          <w:bCs/>
          <w:rtl/>
        </w:rPr>
        <w:t>זנות</w:t>
      </w:r>
      <w:r w:rsidRPr="00E303AD">
        <w:rPr>
          <w:rFonts w:eastAsia="Calibri" w:hint="cs"/>
          <w:b/>
          <w:bCs/>
          <w:rtl/>
        </w:rPr>
        <w:t xml:space="preserve"> במחוזות דרום, ירושלים וצפון - מספר הקנסות שהוטלו בהם היה אפס</w:t>
      </w:r>
      <w:bookmarkEnd w:id="60"/>
      <w:bookmarkEnd w:id="61"/>
      <w:r w:rsidRPr="00E303AD">
        <w:rPr>
          <w:rFonts w:eastAsia="Calibri" w:hint="cs"/>
          <w:b/>
          <w:bCs/>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sz w:val="22"/>
          <w:szCs w:val="22"/>
          <w:rtl/>
        </w:rPr>
      </w:pPr>
      <w:r w:rsidRPr="00E303AD">
        <w:rPr>
          <w:rFonts w:eastAsia="Calibri" w:hint="cs"/>
          <w:rtl/>
        </w:rPr>
        <w:t xml:space="preserve">בתשובת המשטרה צוין כי </w:t>
      </w:r>
      <w:r w:rsidRPr="00E303AD">
        <w:rPr>
          <w:rFonts w:eastAsia="Calibri"/>
          <w:rtl/>
        </w:rPr>
        <w:t>עצם ה</w:t>
      </w:r>
      <w:r w:rsidRPr="00E303AD">
        <w:rPr>
          <w:rFonts w:eastAsia="Calibri" w:hint="cs"/>
          <w:rtl/>
        </w:rPr>
        <w:t>י</w:t>
      </w:r>
      <w:r w:rsidRPr="00E303AD">
        <w:rPr>
          <w:rFonts w:eastAsia="Calibri"/>
          <w:rtl/>
        </w:rPr>
        <w:t>עדר קנסות בגין צריכת זנות או</w:t>
      </w:r>
      <w:r w:rsidRPr="00E303AD">
        <w:rPr>
          <w:rFonts w:eastAsia="Calibri" w:hint="cs"/>
          <w:rtl/>
        </w:rPr>
        <w:t xml:space="preserve"> אי-</w:t>
      </w:r>
      <w:r w:rsidRPr="00E303AD">
        <w:rPr>
          <w:rFonts w:eastAsia="Calibri"/>
          <w:rtl/>
        </w:rPr>
        <w:t>סגירת מקום על רקע קיום פעילות זנות אינ</w:t>
      </w:r>
      <w:r w:rsidRPr="00E303AD">
        <w:rPr>
          <w:rFonts w:eastAsia="Calibri" w:hint="cs"/>
          <w:rtl/>
        </w:rPr>
        <w:t>ם</w:t>
      </w:r>
      <w:r w:rsidRPr="00E303AD">
        <w:rPr>
          <w:rFonts w:eastAsia="Calibri"/>
          <w:rtl/>
        </w:rPr>
        <w:t xml:space="preserve"> אינדיקציה לה</w:t>
      </w:r>
      <w:r w:rsidRPr="00E303AD">
        <w:rPr>
          <w:rFonts w:eastAsia="Calibri" w:hint="cs"/>
          <w:rtl/>
        </w:rPr>
        <w:t>י</w:t>
      </w:r>
      <w:r w:rsidRPr="00E303AD">
        <w:rPr>
          <w:rFonts w:eastAsia="Calibri"/>
          <w:rtl/>
        </w:rPr>
        <w:t>עדר פעילות אכיפה</w:t>
      </w:r>
      <w:r w:rsidRPr="00E303AD">
        <w:rPr>
          <w:rFonts w:eastAsia="Calibri" w:hint="cs"/>
          <w:rtl/>
        </w:rPr>
        <w:t>, שכן</w:t>
      </w:r>
      <w:r w:rsidRPr="00E303AD">
        <w:rPr>
          <w:rFonts w:eastAsia="Calibri"/>
          <w:rtl/>
        </w:rPr>
        <w:t xml:space="preserve"> </w:t>
      </w:r>
      <w:r w:rsidRPr="00E303AD">
        <w:rPr>
          <w:rFonts w:eastAsia="Calibri" w:hint="cs"/>
          <w:rtl/>
        </w:rPr>
        <w:t>י</w:t>
      </w:r>
      <w:r w:rsidRPr="00E303AD">
        <w:rPr>
          <w:rFonts w:eastAsia="Calibri"/>
          <w:rtl/>
        </w:rPr>
        <w:t xml:space="preserve">יתכן שבוצעה </w:t>
      </w:r>
      <w:r w:rsidRPr="00E303AD">
        <w:rPr>
          <w:rFonts w:eastAsia="Calibri" w:hint="cs"/>
          <w:rtl/>
        </w:rPr>
        <w:t xml:space="preserve">פעילות </w:t>
      </w:r>
      <w:r w:rsidRPr="00E303AD">
        <w:rPr>
          <w:rFonts w:eastAsia="Calibri"/>
          <w:rtl/>
        </w:rPr>
        <w:t>אך לא נמצאו ראיות התומכות בחשדות</w:t>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sz w:val="24"/>
          <w:rtl/>
        </w:rPr>
      </w:pPr>
      <w:r w:rsidRPr="00E303AD">
        <w:rPr>
          <w:rFonts w:eastAsia="Calibri" w:hint="eastAsia"/>
          <w:b/>
          <w:bCs/>
          <w:sz w:val="24"/>
          <w:rtl/>
        </w:rPr>
        <w:t>משרד</w:t>
      </w:r>
      <w:r w:rsidRPr="00E303AD">
        <w:rPr>
          <w:rFonts w:eastAsia="Calibri"/>
          <w:b/>
          <w:bCs/>
          <w:sz w:val="24"/>
          <w:rtl/>
        </w:rPr>
        <w:t xml:space="preserve"> </w:t>
      </w:r>
      <w:r w:rsidRPr="00E303AD">
        <w:rPr>
          <w:rFonts w:eastAsia="Calibri" w:hint="eastAsia"/>
          <w:b/>
          <w:bCs/>
          <w:sz w:val="24"/>
          <w:rtl/>
        </w:rPr>
        <w:t>מבקר</w:t>
      </w:r>
      <w:r w:rsidRPr="00E303AD">
        <w:rPr>
          <w:rFonts w:eastAsia="Calibri"/>
          <w:b/>
          <w:bCs/>
          <w:sz w:val="24"/>
          <w:rtl/>
        </w:rPr>
        <w:t xml:space="preserve"> </w:t>
      </w:r>
      <w:r w:rsidRPr="00E303AD">
        <w:rPr>
          <w:rFonts w:eastAsia="Calibri" w:hint="eastAsia"/>
          <w:b/>
          <w:bCs/>
          <w:sz w:val="24"/>
          <w:rtl/>
        </w:rPr>
        <w:t>המדינה</w:t>
      </w:r>
      <w:r w:rsidRPr="00E303AD">
        <w:rPr>
          <w:rFonts w:eastAsia="Calibri" w:hint="cs"/>
          <w:b/>
          <w:bCs/>
          <w:sz w:val="24"/>
          <w:rtl/>
        </w:rPr>
        <w:t xml:space="preserve"> מציין כי בהתאם למיפוי שביצעה המשטרה גם במחוזות דרום, ירושלים וצפון זוהו מוקדי פעילות ענפה של זנות ברמת מהימנות גבוהה, ואף על פי כן לא הוטלו שום קנסות במחוזות אלה, נתון המעלה חשש לכך שפעולות האכיפה שבוצעו בהם אינן בהיקף מספק.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eastAsia"/>
          <w:rtl/>
        </w:rPr>
        <w:t>הטלת</w:t>
      </w:r>
      <w:r w:rsidRPr="00E303AD">
        <w:rPr>
          <w:rFonts w:eastAsia="Calibri"/>
          <w:rtl/>
        </w:rPr>
        <w:t xml:space="preserve"> הקנסות </w:t>
      </w:r>
      <w:r w:rsidRPr="00E303AD">
        <w:rPr>
          <w:rFonts w:eastAsia="Calibri" w:hint="eastAsia"/>
          <w:rtl/>
        </w:rPr>
        <w:t>בשנת</w:t>
      </w:r>
      <w:r w:rsidRPr="00E303AD">
        <w:rPr>
          <w:rFonts w:eastAsia="Calibri"/>
          <w:rtl/>
        </w:rPr>
        <w:t xml:space="preserve"> 2024 </w:t>
      </w:r>
      <w:r w:rsidRPr="00E303AD">
        <w:rPr>
          <w:rFonts w:eastAsia="Calibri" w:hint="eastAsia"/>
          <w:rtl/>
        </w:rPr>
        <w:t>התרכזה</w:t>
      </w:r>
      <w:r w:rsidRPr="00E303AD">
        <w:rPr>
          <w:rFonts w:eastAsia="Calibri"/>
          <w:rtl/>
        </w:rPr>
        <w:t xml:space="preserve">, כאמור, בשלושה מחוזות </w:t>
      </w:r>
      <w:r w:rsidRPr="00E303AD">
        <w:rPr>
          <w:rFonts w:eastAsia="Calibri" w:hint="cs"/>
          <w:rtl/>
        </w:rPr>
        <w:t xml:space="preserve">- תל אביב, מרכז וחוף. משרד מבקר המדינה בחן את אופן חלוקת הקנסות בפילוח לפי תחנות באותם שלושה מחוזות, בהשוואה למספר הזירות שהצטברו נתונים עליהן.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r w:rsidRPr="00E303AD">
        <w:rPr>
          <w:rFonts w:eastAsia="Calibri"/>
          <w:b/>
          <w:bCs/>
          <w:rtl/>
        </w:rPr>
        <w:t xml:space="preserve">ניתוח </w:t>
      </w:r>
      <w:r w:rsidRPr="00E303AD">
        <w:rPr>
          <w:rFonts w:eastAsia="Calibri" w:hint="cs"/>
          <w:b/>
          <w:bCs/>
          <w:rtl/>
        </w:rPr>
        <w:t xml:space="preserve">הנתונים </w:t>
      </w:r>
      <w:r w:rsidRPr="00E303AD">
        <w:rPr>
          <w:rFonts w:eastAsia="Calibri"/>
          <w:b/>
          <w:bCs/>
          <w:rtl/>
        </w:rPr>
        <w:t xml:space="preserve">מלמד כי </w:t>
      </w:r>
      <w:r w:rsidRPr="00E303AD">
        <w:rPr>
          <w:rFonts w:eastAsia="Calibri" w:hint="cs"/>
          <w:b/>
          <w:bCs/>
          <w:rtl/>
        </w:rPr>
        <w:t xml:space="preserve">על אף הצטברותם של נתונים </w:t>
      </w:r>
      <w:r w:rsidRPr="00E303AD">
        <w:rPr>
          <w:rFonts w:eastAsia="Calibri" w:hint="eastAsia"/>
          <w:b/>
          <w:bCs/>
          <w:rtl/>
        </w:rPr>
        <w:t>המצביעים</w:t>
      </w:r>
      <w:r w:rsidRPr="00E303AD">
        <w:rPr>
          <w:rFonts w:eastAsia="Calibri" w:hint="cs"/>
          <w:b/>
          <w:bCs/>
          <w:rtl/>
        </w:rPr>
        <w:t xml:space="preserve"> על חשד לקיומן של זירות זנות ב-26 מתוך 50 התחנות שבמחוזות תל אביב, מרכז וחוף, </w:t>
      </w:r>
      <w:r w:rsidRPr="00E303AD">
        <w:rPr>
          <w:rFonts w:eastAsia="Calibri"/>
          <w:b/>
          <w:bCs/>
          <w:rtl/>
        </w:rPr>
        <w:t xml:space="preserve">האכיפה </w:t>
      </w:r>
      <w:r w:rsidRPr="00E303AD">
        <w:rPr>
          <w:rFonts w:eastAsia="Calibri" w:hint="cs"/>
          <w:b/>
          <w:bCs/>
          <w:rtl/>
        </w:rPr>
        <w:t>של חוק איסור צריכת זנות בשנת 2024 ברוב התחנות שבמחוזות אלה הייתה דלה עד אפסית והיא התבצעה בתחנות בודדות:</w:t>
      </w:r>
      <w:r w:rsidRPr="00E303AD">
        <w:rPr>
          <w:rFonts w:eastAsia="Calibri"/>
          <w:b/>
          <w:b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r w:rsidRPr="00E303AD">
        <w:rPr>
          <w:rFonts w:eastAsia="Calibri" w:hint="eastAsia"/>
          <w:b/>
          <w:bCs/>
          <w:rtl/>
        </w:rPr>
        <w:t>במחוז</w:t>
      </w:r>
      <w:r w:rsidRPr="00E303AD">
        <w:rPr>
          <w:rFonts w:eastAsia="Calibri"/>
          <w:b/>
          <w:bCs/>
          <w:rtl/>
        </w:rPr>
        <w:t xml:space="preserve"> תל אביב - </w:t>
      </w:r>
      <w:r w:rsidRPr="00E303AD">
        <w:rPr>
          <w:rFonts w:eastAsia="Calibri" w:hint="eastAsia"/>
          <w:b/>
          <w:bCs/>
          <w:rtl/>
        </w:rPr>
        <w:t>בתחנה</w:t>
      </w:r>
      <w:r w:rsidRPr="00E303AD">
        <w:rPr>
          <w:rFonts w:eastAsia="Calibri"/>
          <w:b/>
          <w:bCs/>
          <w:rtl/>
        </w:rPr>
        <w:t xml:space="preserve"> </w:t>
      </w:r>
      <w:r w:rsidRPr="00E303AD">
        <w:rPr>
          <w:rFonts w:eastAsia="Calibri" w:hint="eastAsia"/>
          <w:b/>
          <w:bCs/>
          <w:rtl/>
        </w:rPr>
        <w:t>מסוימת</w:t>
      </w:r>
      <w:r w:rsidRPr="00E303AD">
        <w:rPr>
          <w:rFonts w:eastAsia="Calibri" w:hint="cs"/>
          <w:b/>
          <w:bCs/>
          <w:rtl/>
        </w:rPr>
        <w:t xml:space="preserve"> כלל המיפוי נתונים על </w:t>
      </w:r>
      <w:r w:rsidRPr="00E303AD">
        <w:rPr>
          <w:rFonts w:eastAsia="Calibri" w:hint="eastAsia"/>
          <w:b/>
          <w:bCs/>
          <w:rtl/>
        </w:rPr>
        <w:t>עשרות</w:t>
      </w:r>
      <w:r w:rsidRPr="00E303AD">
        <w:rPr>
          <w:rFonts w:eastAsia="Calibri"/>
          <w:b/>
          <w:bCs/>
          <w:rtl/>
        </w:rPr>
        <w:t xml:space="preserve"> </w:t>
      </w:r>
      <w:r w:rsidRPr="00E303AD">
        <w:rPr>
          <w:rFonts w:eastAsia="Calibri" w:hint="cs"/>
          <w:b/>
          <w:bCs/>
          <w:rtl/>
        </w:rPr>
        <w:t>כתובות החשודות כזירות זנות</w:t>
      </w:r>
      <w:r w:rsidRPr="00E303AD">
        <w:rPr>
          <w:rFonts w:eastAsia="Calibri"/>
          <w:b/>
          <w:bCs/>
          <w:rtl/>
        </w:rPr>
        <w:t xml:space="preserve"> אך לא </w:t>
      </w:r>
      <w:r w:rsidRPr="00E303AD">
        <w:rPr>
          <w:rFonts w:eastAsia="Calibri" w:hint="eastAsia"/>
          <w:b/>
          <w:bCs/>
          <w:rtl/>
        </w:rPr>
        <w:t>הוטלו</w:t>
      </w:r>
      <w:r w:rsidRPr="00E303AD">
        <w:rPr>
          <w:rFonts w:eastAsia="Calibri"/>
          <w:b/>
          <w:bCs/>
          <w:rtl/>
        </w:rPr>
        <w:t xml:space="preserve"> בה קנסות כלל</w:t>
      </w:r>
      <w:r>
        <w:rPr>
          <w:rFonts w:eastAsia="Calibri"/>
          <w:b/>
          <w:bCs/>
          <w:vertAlign w:val="superscript"/>
          <w:rtl/>
        </w:rPr>
        <w:footnoteReference w:id="58"/>
      </w:r>
      <w:r w:rsidRPr="00E303AD">
        <w:rPr>
          <w:rFonts w:eastAsia="Calibri"/>
          <w:b/>
          <w:bCs/>
          <w:rtl/>
        </w:rPr>
        <w:t xml:space="preserve">. במחוז מרכז - </w:t>
      </w:r>
      <w:r w:rsidRPr="00E303AD">
        <w:rPr>
          <w:rFonts w:eastAsia="Calibri" w:hint="eastAsia"/>
          <w:b/>
          <w:bCs/>
          <w:rtl/>
        </w:rPr>
        <w:t>בתחנה</w:t>
      </w:r>
      <w:r w:rsidRPr="00E303AD">
        <w:rPr>
          <w:rFonts w:eastAsia="Calibri"/>
          <w:b/>
          <w:bCs/>
          <w:rtl/>
        </w:rPr>
        <w:t xml:space="preserve"> </w:t>
      </w:r>
      <w:r w:rsidRPr="00E303AD">
        <w:rPr>
          <w:rFonts w:eastAsia="Calibri" w:hint="eastAsia"/>
          <w:b/>
          <w:bCs/>
          <w:rtl/>
        </w:rPr>
        <w:t>מסוימת</w:t>
      </w:r>
      <w:r w:rsidRPr="00E303AD">
        <w:rPr>
          <w:rFonts w:eastAsia="Calibri"/>
          <w:b/>
          <w:bCs/>
          <w:rtl/>
        </w:rPr>
        <w:t xml:space="preserve"> </w:t>
      </w:r>
      <w:r w:rsidRPr="00E303AD">
        <w:rPr>
          <w:rFonts w:eastAsia="Calibri" w:hint="cs"/>
          <w:b/>
          <w:bCs/>
          <w:rtl/>
        </w:rPr>
        <w:t>כלל המיפוי נתונים על</w:t>
      </w:r>
      <w:r w:rsidRPr="00E303AD">
        <w:rPr>
          <w:rFonts w:eastAsia="Calibri"/>
          <w:b/>
          <w:bCs/>
          <w:rtl/>
        </w:rPr>
        <w:t xml:space="preserve"> </w:t>
      </w:r>
      <w:r w:rsidRPr="00E303AD">
        <w:rPr>
          <w:rFonts w:eastAsia="Calibri" w:hint="eastAsia"/>
          <w:b/>
          <w:bCs/>
          <w:rtl/>
        </w:rPr>
        <w:t>עשרות</w:t>
      </w:r>
      <w:r w:rsidRPr="00E303AD">
        <w:rPr>
          <w:rFonts w:eastAsia="Calibri"/>
          <w:b/>
          <w:bCs/>
          <w:rtl/>
        </w:rPr>
        <w:t xml:space="preserve"> </w:t>
      </w:r>
      <w:r w:rsidRPr="00E303AD">
        <w:rPr>
          <w:rFonts w:eastAsia="Calibri" w:hint="cs"/>
          <w:b/>
          <w:bCs/>
          <w:rtl/>
        </w:rPr>
        <w:t>כתובות</w:t>
      </w:r>
      <w:r w:rsidRPr="00E303AD">
        <w:rPr>
          <w:rFonts w:eastAsia="Calibri"/>
          <w:b/>
          <w:bCs/>
          <w:rtl/>
        </w:rPr>
        <w:t xml:space="preserve">, אך </w:t>
      </w:r>
      <w:r w:rsidRPr="00E303AD">
        <w:rPr>
          <w:rFonts w:eastAsia="Calibri" w:hint="eastAsia"/>
          <w:b/>
          <w:bCs/>
          <w:rtl/>
        </w:rPr>
        <w:t>הוטלו</w:t>
      </w:r>
      <w:r w:rsidRPr="00E303AD">
        <w:rPr>
          <w:rFonts w:eastAsia="Calibri"/>
          <w:b/>
          <w:bCs/>
          <w:rtl/>
        </w:rPr>
        <w:t xml:space="preserve"> בה רק 17 קנסות, שהם כלל הקנסות שנרשמו באותו מחוז. </w:t>
      </w:r>
      <w:r w:rsidRPr="00E303AD">
        <w:rPr>
          <w:rFonts w:eastAsia="Calibri" w:hint="eastAsia"/>
          <w:b/>
          <w:bCs/>
          <w:rtl/>
        </w:rPr>
        <w:t>במחוז</w:t>
      </w:r>
      <w:r w:rsidRPr="00E303AD">
        <w:rPr>
          <w:rFonts w:eastAsia="Calibri"/>
          <w:b/>
          <w:bCs/>
          <w:rtl/>
        </w:rPr>
        <w:t xml:space="preserve"> חוף - </w:t>
      </w:r>
      <w:r w:rsidRPr="00E303AD">
        <w:rPr>
          <w:rFonts w:eastAsia="Calibri" w:hint="eastAsia"/>
          <w:b/>
          <w:bCs/>
          <w:rtl/>
        </w:rPr>
        <w:t>בתחנה</w:t>
      </w:r>
      <w:r w:rsidRPr="00E303AD">
        <w:rPr>
          <w:rFonts w:eastAsia="Calibri"/>
          <w:b/>
          <w:bCs/>
          <w:rtl/>
        </w:rPr>
        <w:t xml:space="preserve"> </w:t>
      </w:r>
      <w:r w:rsidRPr="00E303AD">
        <w:rPr>
          <w:rFonts w:eastAsia="Calibri" w:hint="eastAsia"/>
          <w:b/>
          <w:bCs/>
          <w:rtl/>
        </w:rPr>
        <w:t>מסוימת</w:t>
      </w:r>
      <w:r w:rsidRPr="00E303AD">
        <w:rPr>
          <w:rFonts w:eastAsia="Calibri"/>
          <w:b/>
          <w:bCs/>
          <w:rtl/>
        </w:rPr>
        <w:t xml:space="preserve">, </w:t>
      </w:r>
      <w:r w:rsidRPr="00E303AD">
        <w:rPr>
          <w:rFonts w:eastAsia="Calibri" w:hint="cs"/>
          <w:b/>
          <w:bCs/>
          <w:rtl/>
        </w:rPr>
        <w:t>ש</w:t>
      </w:r>
      <w:r w:rsidRPr="00E303AD">
        <w:rPr>
          <w:rFonts w:eastAsia="Calibri"/>
          <w:b/>
          <w:bCs/>
          <w:rtl/>
        </w:rPr>
        <w:t xml:space="preserve">בה </w:t>
      </w:r>
      <w:r w:rsidRPr="00E303AD">
        <w:rPr>
          <w:rFonts w:eastAsia="Calibri" w:hint="cs"/>
          <w:b/>
          <w:bCs/>
          <w:rtl/>
        </w:rPr>
        <w:t>כלל המיפוי נתונים על</w:t>
      </w:r>
      <w:r w:rsidRPr="00E303AD">
        <w:rPr>
          <w:rFonts w:eastAsia="Calibri"/>
          <w:b/>
          <w:bCs/>
          <w:rtl/>
        </w:rPr>
        <w:t xml:space="preserve"> </w:t>
      </w:r>
      <w:r w:rsidRPr="00E303AD">
        <w:rPr>
          <w:rFonts w:eastAsia="Calibri" w:hint="eastAsia"/>
          <w:b/>
          <w:bCs/>
          <w:rtl/>
        </w:rPr>
        <w:t>מעל</w:t>
      </w:r>
      <w:r w:rsidRPr="00E303AD">
        <w:rPr>
          <w:rFonts w:eastAsia="Calibri"/>
          <w:b/>
          <w:bCs/>
          <w:rtl/>
        </w:rPr>
        <w:t xml:space="preserve"> 100 </w:t>
      </w:r>
      <w:r w:rsidRPr="00E303AD">
        <w:rPr>
          <w:rFonts w:eastAsia="Calibri" w:hint="cs"/>
          <w:b/>
          <w:bCs/>
          <w:rtl/>
        </w:rPr>
        <w:t>כתובות החשודות כזירות זנות,</w:t>
      </w:r>
      <w:r w:rsidRPr="00E303AD">
        <w:rPr>
          <w:rFonts w:eastAsia="Calibri"/>
          <w:b/>
          <w:bCs/>
          <w:rtl/>
        </w:rPr>
        <w:t xml:space="preserve"> </w:t>
      </w:r>
      <w:r w:rsidRPr="00E303AD">
        <w:rPr>
          <w:rFonts w:eastAsia="Calibri" w:hint="eastAsia"/>
          <w:b/>
          <w:bCs/>
          <w:rtl/>
        </w:rPr>
        <w:t>הוטלו</w:t>
      </w:r>
      <w:r w:rsidRPr="00E303AD">
        <w:rPr>
          <w:rFonts w:eastAsia="Calibri"/>
          <w:b/>
          <w:bCs/>
          <w:rtl/>
        </w:rPr>
        <w:t xml:space="preserve"> ארבעה קנסות בלבד</w:t>
      </w:r>
      <w:r>
        <w:rPr>
          <w:rFonts w:eastAsia="Calibri"/>
          <w:b/>
          <w:bCs/>
          <w:vertAlign w:val="superscript"/>
          <w:rtl/>
        </w:rPr>
        <w:footnoteReference w:id="59"/>
      </w:r>
      <w:r w:rsidRPr="00E303AD">
        <w:rPr>
          <w:rFonts w:eastAsia="Calibri"/>
          <w:b/>
          <w:bCs/>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 xml:space="preserve">במהלך דיון </w:t>
      </w:r>
      <w:r w:rsidRPr="00E303AD">
        <w:rPr>
          <w:rFonts w:eastAsia="Calibri" w:hint="cs"/>
          <w:rtl/>
        </w:rPr>
        <w:t>שהתקיים</w:t>
      </w:r>
      <w:r w:rsidRPr="00E303AD">
        <w:rPr>
          <w:rFonts w:eastAsia="Calibri"/>
          <w:rtl/>
        </w:rPr>
        <w:t xml:space="preserve"> בראשות </w:t>
      </w:r>
      <w:r w:rsidRPr="00E303AD">
        <w:rPr>
          <w:rFonts w:eastAsia="Calibri" w:hint="cs"/>
          <w:rtl/>
        </w:rPr>
        <w:t xml:space="preserve">ראש </w:t>
      </w:r>
      <w:r w:rsidRPr="00E303AD">
        <w:rPr>
          <w:rFonts w:eastAsia="Calibri"/>
          <w:rtl/>
        </w:rPr>
        <w:t>אח</w:t>
      </w:r>
      <w:r w:rsidRPr="00E303AD">
        <w:rPr>
          <w:rFonts w:eastAsia="Calibri" w:hint="cs"/>
          <w:rtl/>
        </w:rPr>
        <w:t>"ם</w:t>
      </w:r>
      <w:r w:rsidRPr="00E303AD">
        <w:rPr>
          <w:rFonts w:eastAsia="Calibri"/>
          <w:rtl/>
        </w:rPr>
        <w:t xml:space="preserve"> בנושא חוק איסור צריכת זנות</w:t>
      </w:r>
      <w:r w:rsidRPr="00E303AD">
        <w:rPr>
          <w:rFonts w:eastAsia="Calibri" w:hint="cs"/>
          <w:rtl/>
        </w:rPr>
        <w:t xml:space="preserve"> ביולי 2024</w:t>
      </w:r>
      <w:r w:rsidRPr="00E303AD">
        <w:rPr>
          <w:rFonts w:eastAsia="Calibri"/>
          <w:rtl/>
        </w:rPr>
        <w:t xml:space="preserve"> עלה כי למשטרה </w:t>
      </w:r>
      <w:r w:rsidRPr="00E303AD">
        <w:rPr>
          <w:rFonts w:eastAsia="Calibri" w:hint="cs"/>
          <w:rtl/>
        </w:rPr>
        <w:t>יש</w:t>
      </w:r>
      <w:r w:rsidRPr="00E303AD">
        <w:rPr>
          <w:rFonts w:eastAsia="Calibri"/>
          <w:rtl/>
        </w:rPr>
        <w:t xml:space="preserve"> </w:t>
      </w:r>
      <w:r w:rsidRPr="00E303AD">
        <w:rPr>
          <w:rFonts w:eastAsia="Calibri" w:hint="eastAsia"/>
          <w:rtl/>
        </w:rPr>
        <w:t>מידע</w:t>
      </w:r>
      <w:r w:rsidRPr="00E303AD">
        <w:rPr>
          <w:rFonts w:eastAsia="Calibri" w:hint="cs"/>
          <w:rtl/>
        </w:rPr>
        <w:t xml:space="preserve"> המאפשר לזהות </w:t>
      </w:r>
      <w:r w:rsidRPr="00E303AD">
        <w:rPr>
          <w:rFonts w:eastAsia="Calibri"/>
          <w:rtl/>
        </w:rPr>
        <w:t xml:space="preserve">מוקדים שבהם מתקיימת תופעת הזנות, </w:t>
      </w:r>
      <w:r w:rsidRPr="00E303AD">
        <w:rPr>
          <w:rFonts w:eastAsia="Calibri" w:hint="cs"/>
          <w:rtl/>
        </w:rPr>
        <w:t xml:space="preserve">ואולם המידע אינו מועבר לכוחות בשטח לצורך צמצום התופעה </w:t>
      </w:r>
      <w:r w:rsidRPr="00E303AD">
        <w:rPr>
          <w:rFonts w:eastAsia="Calibri"/>
          <w:rtl/>
        </w:rPr>
        <w:t>בפועל</w:t>
      </w:r>
      <w:r w:rsidRPr="00E303AD">
        <w:rPr>
          <w:rFonts w:eastAsia="Calibri" w:hint="cs"/>
          <w:rtl/>
        </w:rPr>
        <w:t>.</w:t>
      </w:r>
      <w:r w:rsidRPr="00E303AD">
        <w:rPr>
          <w:rFonts w:eastAsia="Calibri"/>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בתשובתה מסרה המשטרה כי המיפוי הכולל רשימת כתובות החשודות כזירות זנות הועבר למחוזות ומשמש להם המלצה לצורך המשך פעילות מודיעינית, אג"מית וחקירתית.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יצוין כי </w:t>
      </w:r>
      <w:r w:rsidRPr="00E303AD">
        <w:rPr>
          <w:rFonts w:eastAsia="Calibri" w:hint="eastAsia"/>
          <w:rtl/>
        </w:rPr>
        <w:t>תשובת</w:t>
      </w:r>
      <w:r w:rsidRPr="00E303AD">
        <w:rPr>
          <w:rFonts w:eastAsia="Calibri"/>
          <w:rtl/>
        </w:rPr>
        <w:t xml:space="preserve"> </w:t>
      </w:r>
      <w:r w:rsidRPr="00E303AD">
        <w:rPr>
          <w:rFonts w:eastAsia="Calibri" w:hint="eastAsia"/>
          <w:rtl/>
        </w:rPr>
        <w:t>המשטרה</w:t>
      </w:r>
      <w:r w:rsidRPr="00E303AD">
        <w:rPr>
          <w:rFonts w:eastAsia="Calibri"/>
          <w:rtl/>
        </w:rPr>
        <w:t xml:space="preserve">, </w:t>
      </w:r>
      <w:r w:rsidRPr="00E303AD">
        <w:rPr>
          <w:rFonts w:eastAsia="Calibri" w:hint="eastAsia"/>
          <w:rtl/>
        </w:rPr>
        <w:t>שלפיה</w:t>
      </w:r>
      <w:r w:rsidRPr="00E303AD">
        <w:rPr>
          <w:rFonts w:eastAsia="Calibri"/>
          <w:rtl/>
        </w:rPr>
        <w:t xml:space="preserve"> </w:t>
      </w:r>
      <w:r w:rsidRPr="00E303AD">
        <w:rPr>
          <w:rFonts w:eastAsia="Calibri" w:hint="eastAsia"/>
          <w:rtl/>
        </w:rPr>
        <w:t>המיפוי</w:t>
      </w:r>
      <w:r w:rsidRPr="00E303AD">
        <w:rPr>
          <w:rFonts w:eastAsia="Calibri"/>
          <w:rtl/>
        </w:rPr>
        <w:t xml:space="preserve"> </w:t>
      </w:r>
      <w:r w:rsidRPr="00E303AD">
        <w:rPr>
          <w:rFonts w:eastAsia="Calibri" w:hint="cs"/>
          <w:rtl/>
        </w:rPr>
        <w:t>הוא</w:t>
      </w:r>
      <w:r w:rsidRPr="00E303AD">
        <w:rPr>
          <w:rFonts w:eastAsia="Calibri"/>
          <w:rtl/>
        </w:rPr>
        <w:t xml:space="preserve"> </w:t>
      </w:r>
      <w:r w:rsidRPr="00E303AD">
        <w:rPr>
          <w:rFonts w:eastAsia="Calibri" w:hint="eastAsia"/>
          <w:rtl/>
        </w:rPr>
        <w:t>המלצה</w:t>
      </w:r>
      <w:r w:rsidRPr="00E303AD">
        <w:rPr>
          <w:rFonts w:eastAsia="Calibri"/>
          <w:rtl/>
        </w:rPr>
        <w:t xml:space="preserve"> </w:t>
      </w:r>
      <w:r w:rsidRPr="00E303AD">
        <w:rPr>
          <w:rFonts w:eastAsia="Calibri" w:hint="eastAsia"/>
          <w:rtl/>
        </w:rPr>
        <w:t>בלבד</w:t>
      </w:r>
      <w:r w:rsidRPr="00E303AD">
        <w:rPr>
          <w:rFonts w:eastAsia="Calibri"/>
          <w:rtl/>
        </w:rPr>
        <w:t xml:space="preserve">, </w:t>
      </w:r>
      <w:r w:rsidRPr="00E303AD">
        <w:rPr>
          <w:rFonts w:eastAsia="Calibri" w:hint="eastAsia"/>
          <w:rtl/>
        </w:rPr>
        <w:t>אינה</w:t>
      </w:r>
      <w:r w:rsidRPr="00E303AD">
        <w:rPr>
          <w:rFonts w:eastAsia="Calibri"/>
          <w:rtl/>
        </w:rPr>
        <w:t xml:space="preserve"> </w:t>
      </w:r>
      <w:r w:rsidRPr="00E303AD">
        <w:rPr>
          <w:rFonts w:eastAsia="Calibri" w:hint="eastAsia"/>
          <w:rtl/>
        </w:rPr>
        <w:t>מתיישבת</w:t>
      </w:r>
      <w:r w:rsidRPr="00E303AD">
        <w:rPr>
          <w:rFonts w:eastAsia="Calibri" w:hint="cs"/>
          <w:rtl/>
        </w:rPr>
        <w:t xml:space="preserve"> עם התפיסה המשטרתית, ולפיה האכיפה צריכה להיות מבוססת על מידע שמתקבל במשטרה מאפיקים שונים.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r w:rsidRPr="00E303AD">
        <w:rPr>
          <w:rFonts w:eastAsia="Calibri" w:hint="cs"/>
          <w:b/>
          <w:bCs/>
          <w:rtl/>
        </w:rPr>
        <w:t xml:space="preserve">בביקורת עלה כי ממצאי המיפוי </w:t>
      </w:r>
      <w:r w:rsidRPr="00E303AD">
        <w:rPr>
          <w:rFonts w:eastAsia="Calibri" w:hint="eastAsia"/>
          <w:b/>
          <w:bCs/>
          <w:rtl/>
        </w:rPr>
        <w:t>המשטרתי</w:t>
      </w:r>
      <w:r w:rsidRPr="00E303AD">
        <w:rPr>
          <w:rFonts w:eastAsia="Calibri" w:hint="cs"/>
          <w:b/>
          <w:bCs/>
          <w:rtl/>
        </w:rPr>
        <w:t xml:space="preserve"> של זירות זנות </w:t>
      </w:r>
      <w:bookmarkStart w:id="62" w:name="_Hlk232333319"/>
      <w:r w:rsidRPr="00E303AD">
        <w:rPr>
          <w:rFonts w:eastAsia="Calibri" w:hint="cs"/>
          <w:b/>
          <w:bCs/>
          <w:rtl/>
        </w:rPr>
        <w:t>לא הוטמעו בקרב הגורמים שאמורים לעסוק באכיפה בשטח</w:t>
      </w:r>
      <w:bookmarkEnd w:id="62"/>
      <w:r w:rsidRPr="00E303AD">
        <w:rPr>
          <w:rFonts w:eastAsia="Calibri" w:hint="cs"/>
          <w:b/>
          <w:bCs/>
          <w:rtl/>
        </w:rPr>
        <w:t xml:space="preserve">. במבחן התוצאה מיפוי זה של </w:t>
      </w:r>
      <w:r w:rsidRPr="00E303AD">
        <w:rPr>
          <w:rFonts w:eastAsia="Calibri" w:hint="eastAsia"/>
          <w:b/>
          <w:bCs/>
          <w:rtl/>
        </w:rPr>
        <w:t>למעלה</w:t>
      </w:r>
      <w:r w:rsidRPr="00E303AD">
        <w:rPr>
          <w:rFonts w:eastAsia="Calibri"/>
          <w:b/>
          <w:bCs/>
          <w:rtl/>
        </w:rPr>
        <w:t xml:space="preserve"> מ-1,</w:t>
      </w:r>
      <w:r w:rsidRPr="00E303AD">
        <w:rPr>
          <w:rFonts w:eastAsia="Calibri" w:hint="cs"/>
          <w:b/>
          <w:bCs/>
          <w:rtl/>
        </w:rPr>
        <w:t>3</w:t>
      </w:r>
      <w:r w:rsidRPr="00E303AD">
        <w:rPr>
          <w:rFonts w:eastAsia="Calibri"/>
          <w:b/>
          <w:bCs/>
          <w:rtl/>
        </w:rPr>
        <w:t xml:space="preserve">00 </w:t>
      </w:r>
      <w:r w:rsidRPr="00E303AD">
        <w:rPr>
          <w:rFonts w:eastAsia="Calibri" w:hint="cs"/>
          <w:b/>
          <w:bCs/>
          <w:rtl/>
        </w:rPr>
        <w:t xml:space="preserve">זירות זנות ברחבי המדינה, </w:t>
      </w:r>
      <w:bookmarkStart w:id="63" w:name="_Hlk232333378"/>
      <w:r w:rsidRPr="00E303AD">
        <w:rPr>
          <w:rFonts w:eastAsia="Calibri" w:hint="cs"/>
          <w:b/>
          <w:bCs/>
          <w:rtl/>
        </w:rPr>
        <w:t>שמאות מתוכן ברמת מהימנות גבוהה ובינונית</w:t>
      </w:r>
      <w:bookmarkEnd w:id="63"/>
      <w:r w:rsidRPr="00E303AD">
        <w:rPr>
          <w:rFonts w:eastAsia="Calibri" w:hint="cs"/>
          <w:b/>
          <w:bCs/>
          <w:rtl/>
        </w:rPr>
        <w:t xml:space="preserve">, אינו מתורגם ברובו </w:t>
      </w:r>
      <w:bookmarkStart w:id="64" w:name="_Hlk232333473"/>
      <w:r w:rsidRPr="00E303AD">
        <w:rPr>
          <w:rFonts w:eastAsia="Calibri" w:hint="cs"/>
          <w:b/>
          <w:bCs/>
          <w:rtl/>
        </w:rPr>
        <w:t>להטלת קנסות מכוח חוק איסור צריכת זנות</w:t>
      </w:r>
      <w:bookmarkEnd w:id="64"/>
      <w:r w:rsidRPr="00E303AD">
        <w:rPr>
          <w:rFonts w:eastAsia="Calibri" w:hint="cs"/>
          <w:b/>
          <w:bCs/>
          <w:rtl/>
        </w:rPr>
        <w:t xml:space="preserve">. </w:t>
      </w:r>
      <w:bookmarkStart w:id="65" w:name="_Hlk223019762"/>
      <w:r w:rsidRPr="00E303AD">
        <w:rPr>
          <w:rFonts w:eastAsia="Calibri" w:hint="cs"/>
          <w:b/>
          <w:bCs/>
          <w:rtl/>
        </w:rPr>
        <w:t>מ</w:t>
      </w:r>
      <w:r w:rsidRPr="00E303AD">
        <w:rPr>
          <w:rFonts w:eastAsia="Calibri"/>
          <w:b/>
          <w:bCs/>
          <w:rtl/>
        </w:rPr>
        <w:t xml:space="preserve">מצאים אלה </w:t>
      </w:r>
      <w:r w:rsidRPr="00E303AD">
        <w:rPr>
          <w:rFonts w:eastAsia="Calibri" w:hint="cs"/>
          <w:b/>
          <w:bCs/>
          <w:rtl/>
        </w:rPr>
        <w:t xml:space="preserve">מעידים </w:t>
      </w:r>
      <w:r w:rsidRPr="00E303AD">
        <w:rPr>
          <w:rFonts w:eastAsia="Calibri"/>
          <w:b/>
          <w:bCs/>
          <w:rtl/>
        </w:rPr>
        <w:t xml:space="preserve">על פער בין </w:t>
      </w:r>
      <w:r w:rsidRPr="00E303AD">
        <w:rPr>
          <w:rFonts w:eastAsia="Calibri" w:hint="cs"/>
          <w:b/>
          <w:bCs/>
          <w:rtl/>
        </w:rPr>
        <w:t xml:space="preserve">התפיסה המשטרתית ולפיה האכיפה צריכה </w:t>
      </w:r>
      <w:bookmarkStart w:id="66" w:name="_Hlk232334413"/>
      <w:r w:rsidRPr="00E303AD">
        <w:rPr>
          <w:rFonts w:eastAsia="Calibri" w:hint="cs"/>
          <w:b/>
          <w:bCs/>
          <w:rtl/>
        </w:rPr>
        <w:t xml:space="preserve">להיות </w:t>
      </w:r>
      <w:r w:rsidRPr="00E303AD">
        <w:rPr>
          <w:rFonts w:eastAsia="Calibri" w:hint="eastAsia"/>
          <w:b/>
          <w:bCs/>
          <w:rtl/>
        </w:rPr>
        <w:t>מבוססת</w:t>
      </w:r>
      <w:r w:rsidRPr="00E303AD">
        <w:rPr>
          <w:rFonts w:eastAsia="Calibri"/>
          <w:b/>
          <w:bCs/>
          <w:rtl/>
        </w:rPr>
        <w:t xml:space="preserve"> </w:t>
      </w:r>
      <w:r w:rsidRPr="00E303AD">
        <w:rPr>
          <w:rFonts w:eastAsia="Calibri" w:hint="cs"/>
          <w:b/>
          <w:bCs/>
          <w:rtl/>
        </w:rPr>
        <w:t xml:space="preserve">על </w:t>
      </w:r>
      <w:r w:rsidRPr="00E303AD">
        <w:rPr>
          <w:rFonts w:eastAsia="Calibri" w:hint="eastAsia"/>
          <w:b/>
          <w:bCs/>
          <w:rtl/>
        </w:rPr>
        <w:t>מידע</w:t>
      </w:r>
      <w:r w:rsidRPr="00E303AD">
        <w:rPr>
          <w:rFonts w:eastAsia="Calibri"/>
          <w:b/>
          <w:bCs/>
          <w:rtl/>
        </w:rPr>
        <w:t xml:space="preserve"> </w:t>
      </w:r>
      <w:r w:rsidRPr="00E303AD">
        <w:rPr>
          <w:rFonts w:eastAsia="Calibri" w:hint="eastAsia"/>
          <w:b/>
          <w:bCs/>
          <w:rtl/>
        </w:rPr>
        <w:t>ש</w:t>
      </w:r>
      <w:r w:rsidRPr="00E303AD">
        <w:rPr>
          <w:rFonts w:eastAsia="Calibri" w:hint="cs"/>
          <w:b/>
          <w:bCs/>
          <w:rtl/>
        </w:rPr>
        <w:t xml:space="preserve">מתקבל </w:t>
      </w:r>
      <w:r w:rsidRPr="00E303AD">
        <w:rPr>
          <w:rFonts w:eastAsia="Calibri" w:hint="eastAsia"/>
          <w:b/>
          <w:bCs/>
          <w:rtl/>
        </w:rPr>
        <w:t>במשטרה</w:t>
      </w:r>
      <w:r w:rsidRPr="00E303AD">
        <w:rPr>
          <w:rFonts w:eastAsia="Calibri"/>
          <w:b/>
          <w:bCs/>
          <w:rtl/>
        </w:rPr>
        <w:t xml:space="preserve"> </w:t>
      </w:r>
      <w:bookmarkEnd w:id="66"/>
      <w:r w:rsidRPr="00E303AD">
        <w:rPr>
          <w:rFonts w:eastAsia="Calibri" w:hint="cs"/>
          <w:b/>
          <w:bCs/>
          <w:rtl/>
        </w:rPr>
        <w:t>מאפיקים שונים, ו</w:t>
      </w:r>
      <w:r w:rsidRPr="00E303AD">
        <w:rPr>
          <w:rFonts w:eastAsia="Calibri"/>
          <w:b/>
          <w:bCs/>
          <w:rtl/>
        </w:rPr>
        <w:t xml:space="preserve">בין האופן שבו </w:t>
      </w:r>
      <w:r w:rsidRPr="00E303AD">
        <w:rPr>
          <w:rFonts w:eastAsia="Calibri" w:hint="eastAsia"/>
          <w:b/>
          <w:bCs/>
          <w:rtl/>
        </w:rPr>
        <w:t>תפיסה</w:t>
      </w:r>
      <w:r w:rsidRPr="00E303AD">
        <w:rPr>
          <w:rFonts w:eastAsia="Calibri"/>
          <w:b/>
          <w:bCs/>
          <w:rtl/>
        </w:rPr>
        <w:t xml:space="preserve"> זו ממומש</w:t>
      </w:r>
      <w:r w:rsidRPr="00E303AD">
        <w:rPr>
          <w:rFonts w:eastAsia="Calibri" w:hint="eastAsia"/>
          <w:b/>
          <w:bCs/>
          <w:rtl/>
        </w:rPr>
        <w:t>ת</w:t>
      </w:r>
      <w:r w:rsidRPr="00E303AD">
        <w:rPr>
          <w:rFonts w:eastAsia="Calibri"/>
          <w:b/>
          <w:bCs/>
          <w:rtl/>
        </w:rPr>
        <w:t xml:space="preserve"> בפועל לצורך אכיפת החוק.</w:t>
      </w:r>
      <w:r w:rsidRPr="00E303AD">
        <w:rPr>
          <w:rFonts w:eastAsia="Calibri" w:hint="cs"/>
          <w:b/>
          <w:bCs/>
          <w:rtl/>
        </w:rPr>
        <w:t xml:space="preserve"> </w:t>
      </w:r>
    </w:p>
    <w:bookmarkEnd w:id="65"/>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r w:rsidRPr="00E303AD">
        <w:rPr>
          <w:rFonts w:eastAsia="Calibri" w:hint="cs"/>
          <w:b/>
          <w:bCs/>
          <w:rtl/>
        </w:rPr>
        <w:t>מומלץ כי המשטרה תגביר את השימוש במידע העומד לרשותה לצורך פעילות אכיפה ובכך תממש את תכלית החוק לאיסור צריכת זנות.</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bookmarkStart w:id="67" w:name="_Toc221474971"/>
      <w:r w:rsidRPr="00E303AD">
        <w:rPr>
          <w:rFonts w:eastAsia="Times New Roman" w:hint="cs"/>
          <w:bCs/>
          <w:spacing w:val="40"/>
          <w:rtl/>
        </w:rPr>
        <w:t>נתונים המתקבלים ממוקד 100 על "מטרד זנות":</w:t>
      </w:r>
      <w:bookmarkEnd w:id="67"/>
      <w:r w:rsidRPr="00E303AD">
        <w:rPr>
          <w:rFonts w:eastAsia="Calibri" w:hint="cs"/>
          <w:rtl/>
        </w:rPr>
        <w:t xml:space="preserve"> במוקד 100 מתקבלות פניות אזרחים בנוגע לזירות ולמטרדי זנות בערים השונות</w:t>
      </w:r>
      <w:r>
        <w:rPr>
          <w:rFonts w:eastAsia="Times New Roman"/>
          <w:spacing w:val="40"/>
          <w:vertAlign w:val="superscript"/>
          <w:rtl/>
        </w:rPr>
        <w:footnoteReference w:id="60"/>
      </w:r>
      <w:r w:rsidRPr="00E303AD">
        <w:rPr>
          <w:rFonts w:eastAsia="Calibri" w:hint="cs"/>
          <w:rtl/>
        </w:rPr>
        <w:t xml:space="preserve">. </w:t>
      </w:r>
    </w:p>
    <w:p w:rsidR="00E303AD" w:rsidRPr="00E303AD" w:rsidP="00E303AD">
      <w:pPr>
        <w:spacing w:line="269" w:lineRule="auto"/>
        <w:rPr>
          <w:rFonts w:eastAsia="Calibri"/>
          <w:rtl/>
        </w:rPr>
      </w:pPr>
      <w:bookmarkStart w:id="68" w:name="_Hlk209945970"/>
    </w:p>
    <w:p w:rsidR="00E303AD" w:rsidRPr="00E303AD" w:rsidP="00E303AD">
      <w:pPr>
        <w:spacing w:line="269" w:lineRule="auto"/>
        <w:jc w:val="center"/>
        <w:rPr>
          <w:rFonts w:eastAsia="Calibri"/>
          <w:b/>
          <w:bCs/>
          <w:rtl/>
        </w:rPr>
      </w:pPr>
      <w:r w:rsidRPr="00E303AD">
        <w:rPr>
          <w:rFonts w:eastAsia="Calibri" w:hint="cs"/>
          <w:rtl/>
        </w:rPr>
        <w:t>תרשים 7:</w:t>
      </w:r>
      <w:r w:rsidRPr="00E303AD">
        <w:rPr>
          <w:rFonts w:eastAsia="Calibri" w:hint="cs"/>
          <w:b/>
          <w:bCs/>
          <w:rtl/>
        </w:rPr>
        <w:t xml:space="preserve"> מספר הדיווחים שהתקבלו במוקד 100 של המשטרה בגין אירועי "מטרד זנות" בחלוקה למחוזות, 2022 - 2024</w:t>
      </w:r>
    </w:p>
    <w:p w:rsidR="00E303AD" w:rsidRPr="00E303AD" w:rsidP="00E303AD">
      <w:pPr>
        <w:spacing w:line="269" w:lineRule="auto"/>
        <w:jc w:val="center"/>
        <w:rPr>
          <w:rFonts w:eastAsia="Calibri"/>
          <w:noProof/>
        </w:rPr>
      </w:pPr>
      <w:r w:rsidRPr="00E303AD">
        <w:rPr>
          <w:rFonts w:eastAsia="Calibri"/>
          <w:noProof/>
        </w:rPr>
        <w:drawing>
          <wp:inline distT="0" distB="0" distL="0" distR="0">
            <wp:extent cx="5220335" cy="2274570"/>
            <wp:effectExtent l="0" t="0" r="0" b="0"/>
            <wp:docPr id="30" name="תמונה 30" descr="תרשים עמודות מקובץ המציג נתונים מספריים לפי מחוזות, ומשווה בין השנים 2022, 2023 ו-2024. להלן פירוט הנתונים המוצגים בתרשים, לפי סדר המחוזות מימין לשמאל:&#10;מחוז ת&quot;א:&#10;2022: 1,556&#10;2023: 759&#10;2024: 509&#10;&#10;מחוז ש&quot;י:&#10;2022: 1&#10;2023: 2&#10;2024: 2&#10;&#10;מחוז צפון:&#10;2022: 27&#10;2023: 30&#10;2024: 21&#10;&#10;מחוז מרכז:&#10;2022: 76&#10;2023: 90&#10;2024: 78&#10;&#10;מחוז ירושלים:&#10;2022: 7&#10;2023: 8&#10;2024: 10&#10;&#10;מחוז חוף:&#10;2022: 236&#10;2023: 165&#10;2024: 181&#10;&#10;מחוז דרום:&#10;2022: 152&#10;2023: 93&#10;2024: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19"/>
                    <a:stretch>
                      <a:fillRect/>
                    </a:stretch>
                  </pic:blipFill>
                  <pic:spPr>
                    <a:xfrm>
                      <a:off x="0" y="0"/>
                      <a:ext cx="5220335" cy="2274570"/>
                    </a:xfrm>
                    <a:prstGeom prst="rect">
                      <a:avLst/>
                    </a:prstGeom>
                  </pic:spPr>
                </pic:pic>
              </a:graphicData>
            </a:graphic>
          </wp:inline>
        </w:drawing>
      </w:r>
    </w:p>
    <w:p w:rsidR="00E303AD" w:rsidRPr="00E303AD" w:rsidP="00E303AD">
      <w:pPr>
        <w:spacing w:line="269" w:lineRule="auto"/>
        <w:jc w:val="center"/>
        <w:rPr>
          <w:rFonts w:eastAsia="Calibri"/>
          <w:szCs w:val="20"/>
          <w:rtl/>
        </w:rPr>
      </w:pPr>
    </w:p>
    <w:p w:rsidR="00E303AD" w:rsidRPr="00E303AD" w:rsidP="00E303AD">
      <w:pPr>
        <w:spacing w:line="269" w:lineRule="auto"/>
        <w:rPr>
          <w:rFonts w:eastAsia="Calibri"/>
          <w:szCs w:val="20"/>
          <w:rtl/>
        </w:rPr>
      </w:pPr>
      <w:r w:rsidRPr="00E303AD">
        <w:rPr>
          <w:rFonts w:eastAsia="Calibri" w:hint="cs"/>
          <w:szCs w:val="20"/>
          <w:rtl/>
        </w:rPr>
        <w:t>על פי נתונים שהפיקה המשטרה, בעיבוד משרד מבקר המדינה.</w:t>
      </w:r>
    </w:p>
    <w:p w:rsidR="00E303AD" w:rsidRPr="00E303AD" w:rsidP="00E303AD">
      <w:pPr>
        <w:spacing w:line="269" w:lineRule="auto"/>
        <w:ind w:left="-567"/>
        <w:rPr>
          <w:rFonts w:eastAsia="Calibri"/>
          <w:szCs w:val="20"/>
          <w:rtl/>
        </w:rPr>
      </w:pPr>
    </w:p>
    <w:p w:rsidR="00E303AD" w:rsidRPr="00E303AD" w:rsidP="00E303AD">
      <w:pPr>
        <w:spacing w:line="269" w:lineRule="auto"/>
        <w:rPr>
          <w:rFonts w:eastAsia="Calibri"/>
          <w:szCs w:val="20"/>
          <w:rtl/>
        </w:rPr>
      </w:pPr>
      <w:r w:rsidRPr="00E303AD">
        <w:rPr>
          <w:rFonts w:eastAsia="Calibri" w:hint="eastAsia"/>
          <w:rtl/>
        </w:rPr>
        <w:t>יצוין</w:t>
      </w:r>
      <w:r w:rsidRPr="00E303AD">
        <w:rPr>
          <w:rFonts w:eastAsia="Calibri"/>
          <w:rtl/>
        </w:rPr>
        <w:t xml:space="preserve"> כי פניות אזרחים בנוגע לזירות ולמטרדי זנות הן חלק מהנתונים ששימשו את </w:t>
      </w:r>
      <w:r w:rsidRPr="00E303AD">
        <w:rPr>
          <w:rFonts w:eastAsia="Calibri" w:hint="eastAsia"/>
          <w:rtl/>
        </w:rPr>
        <w:t>המשטרה</w:t>
      </w:r>
      <w:r w:rsidRPr="00E303AD">
        <w:rPr>
          <w:rFonts w:eastAsia="Calibri"/>
          <w:rtl/>
        </w:rPr>
        <w:t xml:space="preserve"> לצורך מיפוי תופעת הזנות. </w:t>
      </w:r>
      <w:r w:rsidRPr="00E303AD">
        <w:rPr>
          <w:rFonts w:eastAsia="Calibri" w:hint="eastAsia"/>
          <w:rtl/>
        </w:rPr>
        <w:t>אולם</w:t>
      </w:r>
      <w:r w:rsidRPr="00E303AD">
        <w:rPr>
          <w:rFonts w:eastAsia="Calibri" w:hint="cs"/>
          <w:rtl/>
        </w:rPr>
        <w:t>,</w:t>
      </w:r>
      <w:r w:rsidRPr="00E303AD">
        <w:rPr>
          <w:rFonts w:eastAsia="Calibri"/>
          <w:rtl/>
        </w:rPr>
        <w:t xml:space="preserve"> </w:t>
      </w:r>
      <w:r w:rsidRPr="00E303AD">
        <w:rPr>
          <w:rFonts w:eastAsia="Calibri" w:hint="cs"/>
          <w:rtl/>
        </w:rPr>
        <w:t xml:space="preserve">בשל </w:t>
      </w:r>
      <w:r w:rsidRPr="00E303AD">
        <w:rPr>
          <w:rFonts w:eastAsia="Calibri" w:hint="eastAsia"/>
          <w:rtl/>
        </w:rPr>
        <w:t>תפקידו</w:t>
      </w:r>
      <w:r w:rsidRPr="00E303AD">
        <w:rPr>
          <w:rFonts w:eastAsia="Calibri"/>
          <w:rtl/>
        </w:rPr>
        <w:t xml:space="preserve"> </w:t>
      </w:r>
      <w:r w:rsidRPr="00E303AD">
        <w:rPr>
          <w:rFonts w:eastAsia="Calibri" w:hint="cs"/>
          <w:rtl/>
        </w:rPr>
        <w:t xml:space="preserve">הייחודי </w:t>
      </w:r>
      <w:r w:rsidRPr="00E303AD">
        <w:rPr>
          <w:rFonts w:eastAsia="Calibri" w:hint="eastAsia"/>
          <w:rtl/>
        </w:rPr>
        <w:t>של</w:t>
      </w:r>
      <w:r w:rsidRPr="00E303AD">
        <w:rPr>
          <w:rFonts w:eastAsia="Calibri"/>
          <w:rtl/>
        </w:rPr>
        <w:t xml:space="preserve"> מוקד 100 </w:t>
      </w:r>
      <w:r w:rsidRPr="00E303AD">
        <w:rPr>
          <w:rFonts w:eastAsia="Calibri" w:hint="cs"/>
          <w:rtl/>
        </w:rPr>
        <w:t>ב</w:t>
      </w:r>
      <w:r w:rsidRPr="00E303AD">
        <w:rPr>
          <w:rFonts w:eastAsia="Calibri" w:hint="eastAsia"/>
          <w:rtl/>
        </w:rPr>
        <w:t>קבל</w:t>
      </w:r>
      <w:r w:rsidRPr="00E303AD">
        <w:rPr>
          <w:rFonts w:eastAsia="Calibri" w:hint="cs"/>
          <w:rtl/>
        </w:rPr>
        <w:t>ת</w:t>
      </w:r>
      <w:r w:rsidRPr="00E303AD">
        <w:rPr>
          <w:rFonts w:eastAsia="Calibri"/>
          <w:rtl/>
        </w:rPr>
        <w:t xml:space="preserve"> פניות</w:t>
      </w:r>
      <w:r w:rsidRPr="00E303AD">
        <w:rPr>
          <w:rFonts w:eastAsia="Calibri" w:hint="cs"/>
          <w:rtl/>
        </w:rPr>
        <w:t xml:space="preserve"> ישירות מהאזרחים</w:t>
      </w:r>
      <w:r w:rsidRPr="00E303AD">
        <w:rPr>
          <w:rFonts w:eastAsia="Calibri"/>
          <w:rtl/>
        </w:rPr>
        <w:t xml:space="preserve"> </w:t>
      </w:r>
      <w:r w:rsidRPr="00E303AD">
        <w:rPr>
          <w:rFonts w:eastAsia="Calibri" w:hint="eastAsia"/>
          <w:rtl/>
        </w:rPr>
        <w:t>וב</w:t>
      </w:r>
      <w:r w:rsidRPr="00E303AD">
        <w:rPr>
          <w:rFonts w:eastAsia="Calibri" w:hint="cs"/>
          <w:rtl/>
        </w:rPr>
        <w:t>ניתובן, ב</w:t>
      </w:r>
      <w:r w:rsidRPr="00E303AD">
        <w:rPr>
          <w:rFonts w:eastAsia="Calibri" w:hint="eastAsia"/>
          <w:rtl/>
        </w:rPr>
        <w:t>מקרים</w:t>
      </w:r>
      <w:r w:rsidRPr="00E303AD">
        <w:rPr>
          <w:rFonts w:eastAsia="Calibri"/>
          <w:rtl/>
        </w:rPr>
        <w:t xml:space="preserve"> ה</w:t>
      </w:r>
      <w:r w:rsidRPr="00E303AD">
        <w:rPr>
          <w:rFonts w:eastAsia="Calibri" w:hint="cs"/>
          <w:rtl/>
        </w:rPr>
        <w:t>מתאימים,</w:t>
      </w:r>
      <w:r w:rsidRPr="00E303AD">
        <w:rPr>
          <w:rFonts w:eastAsia="Calibri"/>
          <w:rtl/>
        </w:rPr>
        <w:t xml:space="preserve"> </w:t>
      </w:r>
      <w:r w:rsidRPr="00E303AD">
        <w:rPr>
          <w:rFonts w:eastAsia="Calibri" w:hint="eastAsia"/>
          <w:rtl/>
        </w:rPr>
        <w:t>ל</w:t>
      </w:r>
      <w:r w:rsidRPr="00E303AD">
        <w:rPr>
          <w:rFonts w:eastAsia="Calibri"/>
          <w:rtl/>
        </w:rPr>
        <w:t xml:space="preserve">טיפול ומענה </w:t>
      </w:r>
      <w:r w:rsidRPr="00E303AD">
        <w:rPr>
          <w:rFonts w:eastAsia="Calibri" w:hint="eastAsia"/>
          <w:rtl/>
        </w:rPr>
        <w:t>מידי</w:t>
      </w:r>
      <w:r w:rsidRPr="00E303AD">
        <w:rPr>
          <w:rFonts w:eastAsia="Calibri" w:hint="cs"/>
          <w:rtl/>
        </w:rPr>
        <w:t>ים</w:t>
      </w:r>
      <w:r w:rsidRPr="00E303AD">
        <w:rPr>
          <w:rFonts w:eastAsia="Calibri"/>
          <w:rtl/>
        </w:rPr>
        <w:t xml:space="preserve"> בשטח</w:t>
      </w:r>
      <w:r w:rsidRPr="00E303AD">
        <w:rPr>
          <w:rFonts w:eastAsia="Calibri" w:hint="cs"/>
          <w:rtl/>
        </w:rPr>
        <w:t>,</w:t>
      </w:r>
      <w:r w:rsidRPr="00E303AD">
        <w:rPr>
          <w:rFonts w:eastAsia="Calibri"/>
          <w:rtl/>
        </w:rPr>
        <w:t xml:space="preserve"> </w:t>
      </w:r>
      <w:r w:rsidRPr="00E303AD">
        <w:rPr>
          <w:rFonts w:eastAsia="Calibri" w:hint="cs"/>
          <w:rtl/>
        </w:rPr>
        <w:t xml:space="preserve">ובשל חשיבות הפניות </w:t>
      </w:r>
      <w:r w:rsidRPr="00E303AD">
        <w:rPr>
          <w:rFonts w:eastAsia="Calibri" w:hint="cs"/>
          <w:rtl/>
        </w:rPr>
        <w:t xml:space="preserve">המעידות על הפגיעה מנקודת מבטם של האזרחים, </w:t>
      </w:r>
      <w:r w:rsidRPr="00E303AD">
        <w:rPr>
          <w:rFonts w:eastAsia="Calibri" w:hint="eastAsia"/>
          <w:rtl/>
        </w:rPr>
        <w:t>בחן</w:t>
      </w:r>
      <w:r w:rsidRPr="00E303AD">
        <w:rPr>
          <w:rFonts w:eastAsia="Calibri"/>
          <w:rtl/>
        </w:rPr>
        <w:t xml:space="preserve"> משרד מבקר המדינה </w:t>
      </w:r>
      <w:r w:rsidRPr="00E303AD">
        <w:rPr>
          <w:rFonts w:eastAsia="Calibri" w:hint="cs"/>
          <w:rtl/>
        </w:rPr>
        <w:t xml:space="preserve">את </w:t>
      </w:r>
      <w:r w:rsidRPr="00E303AD">
        <w:rPr>
          <w:rFonts w:eastAsia="Calibri" w:hint="eastAsia"/>
          <w:rtl/>
        </w:rPr>
        <w:t>הנתונים</w:t>
      </w:r>
      <w:r w:rsidRPr="00E303AD">
        <w:rPr>
          <w:rFonts w:eastAsia="Calibri"/>
          <w:rtl/>
        </w:rPr>
        <w:t xml:space="preserve"> </w:t>
      </w:r>
      <w:r w:rsidRPr="00E303AD">
        <w:rPr>
          <w:rFonts w:eastAsia="Calibri" w:hint="cs"/>
          <w:rtl/>
        </w:rPr>
        <w:t xml:space="preserve">על </w:t>
      </w:r>
      <w:r w:rsidRPr="00E303AD">
        <w:rPr>
          <w:rFonts w:eastAsia="Calibri"/>
          <w:rtl/>
        </w:rPr>
        <w:t xml:space="preserve">אודות הדיווחים </w:t>
      </w:r>
      <w:r w:rsidRPr="00E303AD">
        <w:rPr>
          <w:rFonts w:eastAsia="Calibri" w:hint="cs"/>
          <w:rtl/>
        </w:rPr>
        <w:t xml:space="preserve">שהתקבלו במוקד 100 </w:t>
      </w:r>
      <w:r w:rsidRPr="00E303AD">
        <w:rPr>
          <w:rFonts w:eastAsia="Calibri"/>
          <w:rtl/>
        </w:rPr>
        <w:t>ל</w:t>
      </w:r>
      <w:r w:rsidRPr="00E303AD">
        <w:rPr>
          <w:rFonts w:eastAsia="Calibri" w:hint="cs"/>
          <w:rtl/>
        </w:rPr>
        <w:t>עומת</w:t>
      </w:r>
      <w:r w:rsidRPr="00E303AD">
        <w:rPr>
          <w:rFonts w:eastAsia="Calibri"/>
          <w:rtl/>
        </w:rPr>
        <w:t xml:space="preserve"> הקנסות שהוטלו במחוזות שונים, גם במנותק מהמיפוי הכולל </w:t>
      </w:r>
      <w:r w:rsidRPr="00E303AD">
        <w:rPr>
          <w:rFonts w:eastAsia="Calibri" w:hint="cs"/>
          <w:rtl/>
        </w:rPr>
        <w:t>שבוצע במשטרה</w:t>
      </w:r>
      <w:r w:rsidRPr="00E303AD">
        <w:rPr>
          <w:rFonts w:eastAsia="Calibri"/>
          <w:rtl/>
        </w:rPr>
        <w:t>.</w:t>
      </w:r>
    </w:p>
    <w:bookmarkEnd w:id="68"/>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r w:rsidRPr="00E303AD">
        <w:rPr>
          <w:rFonts w:eastAsia="Calibri" w:hint="cs"/>
          <w:b/>
          <w:bCs/>
          <w:rtl/>
        </w:rPr>
        <w:t xml:space="preserve">הנתונים על מספר הדיווחים של אזרחים למוקד 100 לגבי אירועי "מטרד זנות" יכולים לשמש מקור </w:t>
      </w:r>
      <w:r w:rsidRPr="00E303AD">
        <w:rPr>
          <w:rFonts w:eastAsia="Calibri" w:hint="eastAsia"/>
          <w:b/>
          <w:bCs/>
          <w:rtl/>
        </w:rPr>
        <w:t>כשלעצמו</w:t>
      </w:r>
      <w:r w:rsidRPr="00E303AD">
        <w:rPr>
          <w:rFonts w:eastAsia="Calibri" w:hint="cs"/>
          <w:b/>
          <w:bCs/>
          <w:rtl/>
        </w:rPr>
        <w:t xml:space="preserve"> לפעולות אכיפה יזומה ולהטלת קנסות מכוח חוק איסור צריכת זנות. </w:t>
      </w:r>
      <w:bookmarkStart w:id="69" w:name="_Hlk222301968"/>
      <w:r w:rsidRPr="00E303AD">
        <w:rPr>
          <w:rFonts w:eastAsia="Calibri" w:hint="cs"/>
          <w:b/>
          <w:bCs/>
          <w:rtl/>
        </w:rPr>
        <w:t>העובדה כי במחוזות דרום, צפון וירושלים לא הוטלו כלל קנסות בשנת 2024 - אף שבמוקד 100 התקבלו באותה שנה 174 דיווחים על מטרדי זנות במחוזות אלה - מעוררת חשש כי המשטרה אינה משתמשת בדיווחים באופן המיטבי לצורך פעילות אכיפה</w:t>
      </w:r>
      <w:bookmarkEnd w:id="69"/>
      <w:r w:rsidRPr="00E303AD">
        <w:rPr>
          <w:rFonts w:eastAsia="Calibri" w:hint="cs"/>
          <w:b/>
          <w:bCs/>
          <w:rtl/>
        </w:rPr>
        <w:t xml:space="preserve">. הדבר בולט במיוחד במחוז דרום שבו </w:t>
      </w:r>
      <w:r w:rsidRPr="00E303AD">
        <w:rPr>
          <w:rFonts w:eastAsia="Calibri"/>
          <w:b/>
          <w:bCs/>
          <w:rtl/>
        </w:rPr>
        <w:t xml:space="preserve">בשנת 2024 התקבלו 143 </w:t>
      </w:r>
      <w:r w:rsidRPr="00E303AD">
        <w:rPr>
          <w:rFonts w:eastAsia="Calibri" w:hint="cs"/>
          <w:b/>
          <w:bCs/>
          <w:rtl/>
        </w:rPr>
        <w:t>דיווחים של אזרחים</w:t>
      </w:r>
      <w:r w:rsidRPr="00E303AD">
        <w:rPr>
          <w:rFonts w:eastAsia="Calibri"/>
          <w:b/>
          <w:bCs/>
          <w:rtl/>
        </w:rPr>
        <w:t xml:space="preserve"> אך לא </w:t>
      </w:r>
      <w:r w:rsidRPr="00E303AD">
        <w:rPr>
          <w:rFonts w:eastAsia="Calibri" w:hint="cs"/>
          <w:b/>
          <w:bCs/>
          <w:rtl/>
        </w:rPr>
        <w:t>הוטלו</w:t>
      </w:r>
      <w:r w:rsidRPr="00E303AD">
        <w:rPr>
          <w:rFonts w:eastAsia="Calibri"/>
          <w:b/>
          <w:bCs/>
          <w:rtl/>
        </w:rPr>
        <w:t xml:space="preserve"> קנסות</w:t>
      </w:r>
      <w:r w:rsidRPr="00E303AD">
        <w:rPr>
          <w:rFonts w:eastAsia="Calibri" w:hint="cs"/>
          <w:b/>
          <w:bCs/>
          <w:rtl/>
        </w:rPr>
        <w:t xml:space="preserve"> כלל.</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r w:rsidRPr="00E303AD">
        <w:rPr>
          <w:rFonts w:eastAsia="Calibri" w:hint="eastAsia"/>
          <w:b/>
          <w:bCs/>
          <w:rtl/>
        </w:rPr>
        <w:t>החשש</w:t>
      </w:r>
      <w:r w:rsidRPr="00E303AD">
        <w:rPr>
          <w:rFonts w:eastAsia="Calibri"/>
          <w:b/>
          <w:bCs/>
          <w:rtl/>
        </w:rPr>
        <w:t xml:space="preserve"> להיעדר שימוש בדיווחים למוקד 100 כמקור לפעילות אכיפה </w:t>
      </w:r>
      <w:r w:rsidRPr="00E303AD">
        <w:rPr>
          <w:rFonts w:eastAsia="Calibri" w:hint="eastAsia"/>
          <w:b/>
          <w:bCs/>
          <w:rtl/>
        </w:rPr>
        <w:t>בא</w:t>
      </w:r>
      <w:r w:rsidRPr="00E303AD">
        <w:rPr>
          <w:rFonts w:eastAsia="Calibri"/>
          <w:b/>
          <w:bCs/>
          <w:rtl/>
        </w:rPr>
        <w:t xml:space="preserve"> לידי </w:t>
      </w:r>
      <w:r w:rsidRPr="00E303AD">
        <w:rPr>
          <w:rFonts w:eastAsia="Calibri" w:hint="eastAsia"/>
          <w:b/>
          <w:bCs/>
          <w:rtl/>
        </w:rPr>
        <w:t>ביטוי</w:t>
      </w:r>
      <w:r w:rsidRPr="00E303AD">
        <w:rPr>
          <w:rFonts w:eastAsia="Calibri"/>
          <w:b/>
          <w:bCs/>
          <w:rtl/>
        </w:rPr>
        <w:t xml:space="preserve"> </w:t>
      </w:r>
      <w:r w:rsidRPr="00E303AD">
        <w:rPr>
          <w:rFonts w:eastAsia="Calibri" w:hint="cs"/>
          <w:b/>
          <w:bCs/>
          <w:rtl/>
        </w:rPr>
        <w:t xml:space="preserve">גם </w:t>
      </w:r>
      <w:r w:rsidRPr="00E303AD">
        <w:rPr>
          <w:rFonts w:eastAsia="Calibri" w:hint="eastAsia"/>
          <w:b/>
          <w:bCs/>
          <w:rtl/>
        </w:rPr>
        <w:t>בסיכום</w:t>
      </w:r>
      <w:r w:rsidRPr="00E303AD">
        <w:rPr>
          <w:rFonts w:eastAsia="Calibri"/>
          <w:b/>
          <w:bCs/>
          <w:rtl/>
        </w:rPr>
        <w:t xml:space="preserve"> של חטיבת תביעות במשטרה במאי 2023 </w:t>
      </w:r>
      <w:r w:rsidRPr="00E303AD">
        <w:rPr>
          <w:rFonts w:eastAsia="Calibri" w:hint="eastAsia"/>
          <w:b/>
          <w:bCs/>
          <w:rtl/>
        </w:rPr>
        <w:t>ולפיו</w:t>
      </w:r>
      <w:r w:rsidRPr="00E303AD">
        <w:rPr>
          <w:rFonts w:eastAsia="Calibri"/>
          <w:b/>
          <w:bCs/>
          <w:rtl/>
        </w:rPr>
        <w:t xml:space="preserve"> </w:t>
      </w:r>
      <w:r w:rsidRPr="00E303AD">
        <w:rPr>
          <w:rFonts w:eastAsia="Calibri" w:hint="cs"/>
          <w:b/>
          <w:bCs/>
          <w:rtl/>
        </w:rPr>
        <w:t>חלק</w:t>
      </w:r>
      <w:r w:rsidRPr="00E303AD">
        <w:rPr>
          <w:rFonts w:eastAsia="Calibri"/>
          <w:b/>
          <w:bCs/>
          <w:rtl/>
        </w:rPr>
        <w:t xml:space="preserve"> </w:t>
      </w:r>
      <w:r w:rsidRPr="00E303AD">
        <w:rPr>
          <w:rFonts w:eastAsia="Calibri" w:hint="cs"/>
          <w:b/>
          <w:bCs/>
          <w:rtl/>
        </w:rPr>
        <w:t>מ</w:t>
      </w:r>
      <w:r w:rsidRPr="00E303AD">
        <w:rPr>
          <w:rFonts w:eastAsia="Calibri" w:hint="eastAsia"/>
          <w:b/>
          <w:bCs/>
          <w:rtl/>
        </w:rPr>
        <w:t>הדיווחים</w:t>
      </w:r>
      <w:r w:rsidRPr="00E303AD">
        <w:rPr>
          <w:rFonts w:eastAsia="Calibri"/>
          <w:b/>
          <w:bCs/>
          <w:rtl/>
        </w:rPr>
        <w:t xml:space="preserve"> </w:t>
      </w:r>
      <w:r w:rsidRPr="00E303AD">
        <w:rPr>
          <w:rFonts w:eastAsia="Calibri" w:hint="eastAsia"/>
          <w:b/>
          <w:bCs/>
          <w:rtl/>
        </w:rPr>
        <w:t>למוקד</w:t>
      </w:r>
      <w:r w:rsidRPr="00E303AD">
        <w:rPr>
          <w:rFonts w:eastAsia="Calibri"/>
          <w:b/>
          <w:bCs/>
          <w:rtl/>
        </w:rPr>
        <w:t xml:space="preserve"> 100 </w:t>
      </w:r>
      <w:r w:rsidRPr="00E303AD">
        <w:rPr>
          <w:rFonts w:eastAsia="Calibri" w:hint="eastAsia"/>
          <w:b/>
          <w:bCs/>
          <w:rtl/>
        </w:rPr>
        <w:t>אינם</w:t>
      </w:r>
      <w:r w:rsidRPr="00E303AD">
        <w:rPr>
          <w:rFonts w:eastAsia="Calibri"/>
          <w:b/>
          <w:bCs/>
          <w:rtl/>
        </w:rPr>
        <w:t xml:space="preserve"> משמשים בסיס לפעילות מבצעית בשטח</w:t>
      </w:r>
      <w:r w:rsidRPr="00E303AD">
        <w:rPr>
          <w:rFonts w:eastAsia="Calibri" w:hint="cs"/>
          <w:b/>
          <w:bCs/>
          <w:rtl/>
        </w:rPr>
        <w:t xml:space="preserve"> - לאחר קבלתם לא נשלחת </w:t>
      </w:r>
      <w:r w:rsidRPr="00E303AD">
        <w:rPr>
          <w:rFonts w:eastAsia="Calibri"/>
          <w:b/>
          <w:bCs/>
          <w:rtl/>
        </w:rPr>
        <w:t xml:space="preserve">ניידת לאזורים שעליהם דווח, גם </w:t>
      </w:r>
      <w:r w:rsidRPr="00E303AD">
        <w:rPr>
          <w:rFonts w:eastAsia="Calibri" w:hint="eastAsia"/>
          <w:b/>
          <w:bCs/>
          <w:rtl/>
        </w:rPr>
        <w:t>אם</w:t>
      </w:r>
      <w:r w:rsidRPr="00E303AD">
        <w:rPr>
          <w:rFonts w:eastAsia="Calibri"/>
          <w:b/>
          <w:bCs/>
          <w:rtl/>
        </w:rPr>
        <w:t xml:space="preserve"> מדובר באזורים המוכרים כמאופיינים בפעילות זנות.</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b/>
          <w:bCs/>
          <w:rtl/>
        </w:rPr>
        <w:t xml:space="preserve">מומלץ כי המשטרה </w:t>
      </w:r>
      <w:r w:rsidRPr="00E303AD">
        <w:rPr>
          <w:rFonts w:eastAsia="Calibri" w:hint="cs"/>
          <w:b/>
          <w:bCs/>
          <w:rtl/>
        </w:rPr>
        <w:t>תגביר את ה</w:t>
      </w:r>
      <w:r w:rsidRPr="00E303AD">
        <w:rPr>
          <w:rFonts w:eastAsia="Calibri"/>
          <w:b/>
          <w:bCs/>
          <w:rtl/>
        </w:rPr>
        <w:t xml:space="preserve">שימוש </w:t>
      </w:r>
      <w:r w:rsidRPr="00E303AD">
        <w:rPr>
          <w:rFonts w:eastAsia="Calibri" w:hint="cs"/>
          <w:b/>
          <w:bCs/>
          <w:rtl/>
        </w:rPr>
        <w:t xml:space="preserve">בדיווחי </w:t>
      </w:r>
      <w:r w:rsidRPr="00E303AD">
        <w:rPr>
          <w:rFonts w:eastAsia="Calibri"/>
          <w:b/>
          <w:bCs/>
          <w:rtl/>
        </w:rPr>
        <w:t xml:space="preserve">הציבור </w:t>
      </w:r>
      <w:r w:rsidRPr="00E303AD">
        <w:rPr>
          <w:rFonts w:eastAsia="Calibri" w:hint="cs"/>
          <w:b/>
          <w:bCs/>
          <w:rtl/>
        </w:rPr>
        <w:t xml:space="preserve">למוקד 100 </w:t>
      </w:r>
      <w:r w:rsidRPr="00E303AD">
        <w:rPr>
          <w:rFonts w:eastAsia="Calibri"/>
          <w:b/>
          <w:bCs/>
          <w:rtl/>
        </w:rPr>
        <w:t>בנוגע ל</w:t>
      </w:r>
      <w:r w:rsidRPr="00E303AD">
        <w:rPr>
          <w:rFonts w:eastAsia="Calibri" w:hint="cs"/>
          <w:b/>
          <w:bCs/>
          <w:rtl/>
        </w:rPr>
        <w:t>"</w:t>
      </w:r>
      <w:r w:rsidRPr="00E303AD">
        <w:rPr>
          <w:rFonts w:eastAsia="Calibri"/>
          <w:b/>
          <w:bCs/>
          <w:rtl/>
        </w:rPr>
        <w:t>מטרדי זנות</w:t>
      </w:r>
      <w:r w:rsidRPr="00E303AD">
        <w:rPr>
          <w:rFonts w:eastAsia="Calibri" w:hint="cs"/>
          <w:b/>
          <w:bCs/>
          <w:rtl/>
        </w:rPr>
        <w:t>"</w:t>
      </w:r>
      <w:r w:rsidRPr="00E303AD">
        <w:rPr>
          <w:rFonts w:eastAsia="Calibri"/>
          <w:b/>
          <w:bCs/>
          <w:rtl/>
        </w:rPr>
        <w:t xml:space="preserve"> לצורך ניתוח והכוונ</w:t>
      </w:r>
      <w:r w:rsidRPr="00E303AD">
        <w:rPr>
          <w:rFonts w:eastAsia="Calibri" w:hint="cs"/>
          <w:b/>
          <w:bCs/>
          <w:rtl/>
        </w:rPr>
        <w:t>ה של</w:t>
      </w:r>
      <w:r w:rsidRPr="00E303AD">
        <w:rPr>
          <w:rFonts w:eastAsia="Calibri"/>
          <w:b/>
          <w:bCs/>
          <w:rtl/>
        </w:rPr>
        <w:t xml:space="preserve"> פעולות האכיפה. </w:t>
      </w:r>
      <w:r w:rsidRPr="00E303AD">
        <w:rPr>
          <w:rFonts w:eastAsia="Calibri" w:hint="cs"/>
          <w:b/>
          <w:bCs/>
          <w:rtl/>
        </w:rPr>
        <w:t>שימוש ב</w:t>
      </w:r>
      <w:r w:rsidRPr="00E303AD">
        <w:rPr>
          <w:rFonts w:eastAsia="Calibri"/>
          <w:b/>
          <w:bCs/>
          <w:rtl/>
        </w:rPr>
        <w:t xml:space="preserve">מידע </w:t>
      </w:r>
      <w:r w:rsidRPr="00E303AD">
        <w:rPr>
          <w:rFonts w:eastAsia="Calibri" w:hint="cs"/>
          <w:b/>
          <w:bCs/>
          <w:rtl/>
        </w:rPr>
        <w:t xml:space="preserve">לצורך תכנון </w:t>
      </w:r>
      <w:r w:rsidRPr="00E303AD">
        <w:rPr>
          <w:rFonts w:eastAsia="Calibri"/>
          <w:b/>
          <w:bCs/>
          <w:rtl/>
        </w:rPr>
        <w:t xml:space="preserve">פעולות האכיפה יסייע בזיהוי מוקדי </w:t>
      </w:r>
      <w:r w:rsidRPr="00E303AD">
        <w:rPr>
          <w:rFonts w:eastAsia="Calibri" w:hint="cs"/>
          <w:b/>
          <w:bCs/>
          <w:rtl/>
        </w:rPr>
        <w:t xml:space="preserve">הסיכון </w:t>
      </w:r>
      <w:r w:rsidRPr="00E303AD">
        <w:rPr>
          <w:rFonts w:eastAsia="Calibri"/>
          <w:b/>
          <w:bCs/>
          <w:rtl/>
        </w:rPr>
        <w:t>ו</w:t>
      </w:r>
      <w:r w:rsidRPr="00E303AD">
        <w:rPr>
          <w:rFonts w:eastAsia="Calibri" w:hint="cs"/>
          <w:b/>
          <w:bCs/>
          <w:rtl/>
        </w:rPr>
        <w:t>בי</w:t>
      </w:r>
      <w:r w:rsidRPr="00E303AD">
        <w:rPr>
          <w:rFonts w:eastAsia="Calibri"/>
          <w:b/>
          <w:bCs/>
          <w:rtl/>
        </w:rPr>
        <w:t>יעול המשאבים</w:t>
      </w:r>
      <w:r w:rsidRPr="00E303AD">
        <w:rPr>
          <w:rFonts w:eastAsia="Calibri" w:hint="cs"/>
          <w:b/>
          <w:bCs/>
          <w:rtl/>
        </w:rPr>
        <w:t xml:space="preserve">, וכן </w:t>
      </w:r>
      <w:r w:rsidRPr="00E303AD">
        <w:rPr>
          <w:rFonts w:eastAsia="Calibri"/>
          <w:b/>
          <w:bCs/>
          <w:rtl/>
        </w:rPr>
        <w:t xml:space="preserve">יגביר את אמון </w:t>
      </w:r>
      <w:r w:rsidRPr="00E303AD">
        <w:rPr>
          <w:rFonts w:eastAsia="Calibri" w:hint="cs"/>
          <w:b/>
          <w:bCs/>
          <w:rtl/>
        </w:rPr>
        <w:t xml:space="preserve">הציבור במענה המשטרתי על פניות.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בתשובת המשטרה צוין כי לעתים </w:t>
      </w:r>
      <w:r w:rsidRPr="00E303AD">
        <w:rPr>
          <w:rFonts w:eastAsia="Calibri"/>
          <w:rtl/>
        </w:rPr>
        <w:t>לא די ב</w:t>
      </w:r>
      <w:r w:rsidRPr="00E303AD">
        <w:rPr>
          <w:rFonts w:eastAsia="Calibri" w:hint="cs"/>
          <w:rtl/>
        </w:rPr>
        <w:t>נתוני דיווח למוקדי 100</w:t>
      </w:r>
      <w:r w:rsidRPr="00E303AD">
        <w:rPr>
          <w:rFonts w:eastAsia="Calibri"/>
          <w:rtl/>
        </w:rPr>
        <w:t xml:space="preserve"> לצורך ביצוע פעולת אכיפה יזומה. </w:t>
      </w:r>
      <w:r w:rsidRPr="00E303AD">
        <w:rPr>
          <w:rFonts w:eastAsia="Calibri" w:hint="cs"/>
          <w:rtl/>
        </w:rPr>
        <w:t>הערת הביקורת לעניין שליחת ניידות לאזורים שעליהם דווח במוקד 100 תבוא לידי ביטוי בחידוד הנהלים בנושא בקרב יחידות השטח.</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bookmarkStart w:id="70" w:name="_Toc221474972"/>
      <w:r w:rsidRPr="00E303AD">
        <w:rPr>
          <w:rFonts w:eastAsia="Times New Roman" w:hint="cs"/>
          <w:bCs/>
          <w:spacing w:val="40"/>
          <w:rtl/>
        </w:rPr>
        <w:t>מידע על זירות זנות ממרפאות לוינסקי של משרד הבריאות:</w:t>
      </w:r>
      <w:bookmarkEnd w:id="70"/>
      <w:r w:rsidRPr="00E303AD">
        <w:rPr>
          <w:rFonts w:eastAsia="Calibri" w:hint="cs"/>
          <w:rtl/>
        </w:rPr>
        <w:t xml:space="preserve"> </w:t>
      </w:r>
      <w:r w:rsidRPr="00E303AD">
        <w:rPr>
          <w:rFonts w:eastAsia="Calibri"/>
          <w:rtl/>
        </w:rPr>
        <w:t>מרפאות ל</w:t>
      </w:r>
      <w:r w:rsidRPr="00E303AD">
        <w:rPr>
          <w:rFonts w:eastAsia="Calibri" w:hint="cs"/>
          <w:rtl/>
        </w:rPr>
        <w:t>ו</w:t>
      </w:r>
      <w:r w:rsidRPr="00E303AD">
        <w:rPr>
          <w:rFonts w:eastAsia="Calibri"/>
          <w:rtl/>
        </w:rPr>
        <w:t xml:space="preserve">ינסקי </w:t>
      </w:r>
      <w:r w:rsidRPr="00E303AD">
        <w:rPr>
          <w:rFonts w:eastAsia="Calibri" w:hint="cs"/>
          <w:rtl/>
        </w:rPr>
        <w:t xml:space="preserve">של </w:t>
      </w:r>
      <w:r w:rsidRPr="00E303AD">
        <w:rPr>
          <w:rFonts w:eastAsia="Calibri"/>
          <w:rtl/>
        </w:rPr>
        <w:t xml:space="preserve">משרד הבריאות </w:t>
      </w:r>
      <w:r w:rsidRPr="00E303AD">
        <w:rPr>
          <w:rFonts w:eastAsia="Calibri" w:hint="cs"/>
          <w:rtl/>
        </w:rPr>
        <w:t xml:space="preserve">הן מרפאות קהילתיות לאבחון מחלות מין ולטיפול בהן. מרפאות אלה מספקות שירותים רפואיים בחינם ובאופן אנונימי לכל אדם וכן </w:t>
      </w:r>
      <w:r w:rsidRPr="00E303AD">
        <w:rPr>
          <w:rFonts w:eastAsia="Calibri"/>
          <w:rtl/>
        </w:rPr>
        <w:t xml:space="preserve">שירותים רפואיים ייעודיים לאוכלוסיות </w:t>
      </w:r>
      <w:r w:rsidRPr="00E303AD">
        <w:rPr>
          <w:rFonts w:eastAsia="Calibri" w:hint="cs"/>
          <w:rtl/>
        </w:rPr>
        <w:t>על רצף ה</w:t>
      </w:r>
      <w:r w:rsidRPr="00E303AD">
        <w:rPr>
          <w:rFonts w:eastAsia="Calibri"/>
          <w:rtl/>
        </w:rPr>
        <w:t xml:space="preserve">זנות. המרפאות פרוסות באזורים מרכזיים ברחבי הארץ.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 xml:space="preserve">פעילות המרפאות </w:t>
      </w:r>
      <w:r w:rsidRPr="00E303AD">
        <w:rPr>
          <w:rFonts w:eastAsia="Calibri" w:hint="cs"/>
          <w:rtl/>
        </w:rPr>
        <w:t>מתבצעת</w:t>
      </w:r>
      <w:r w:rsidRPr="00E303AD">
        <w:rPr>
          <w:rFonts w:eastAsia="Calibri"/>
          <w:rtl/>
        </w:rPr>
        <w:t xml:space="preserve"> בשתי </w:t>
      </w:r>
      <w:r w:rsidRPr="00E303AD">
        <w:rPr>
          <w:rFonts w:eastAsia="Calibri" w:hint="cs"/>
          <w:rtl/>
        </w:rPr>
        <w:t>מתכונות</w:t>
      </w:r>
      <w:r w:rsidRPr="00E303AD">
        <w:rPr>
          <w:rFonts w:eastAsia="Calibri"/>
          <w:rtl/>
        </w:rPr>
        <w:t>: מרפא</w:t>
      </w:r>
      <w:r w:rsidRPr="00E303AD">
        <w:rPr>
          <w:rFonts w:eastAsia="Calibri" w:hint="cs"/>
          <w:rtl/>
        </w:rPr>
        <w:t>ה</w:t>
      </w:r>
      <w:r w:rsidRPr="00E303AD">
        <w:rPr>
          <w:rFonts w:eastAsia="Calibri"/>
          <w:rtl/>
        </w:rPr>
        <w:t xml:space="preserve"> נייחת ומרפאות ניידות.</w:t>
      </w:r>
      <w:r w:rsidRPr="00E303AD">
        <w:rPr>
          <w:rFonts w:eastAsia="Calibri" w:hint="cs"/>
          <w:rtl/>
        </w:rPr>
        <w:t xml:space="preserve"> </w:t>
      </w:r>
      <w:r w:rsidRPr="00E303AD">
        <w:rPr>
          <w:rFonts w:eastAsia="Calibri"/>
          <w:rtl/>
        </w:rPr>
        <w:t xml:space="preserve">מרפאה ניידת פועלת באזור גאוגרפי מוגדר </w:t>
      </w:r>
      <w:r w:rsidRPr="00E303AD">
        <w:rPr>
          <w:rFonts w:eastAsia="Calibri" w:hint="cs"/>
          <w:rtl/>
        </w:rPr>
        <w:t xml:space="preserve">ומקיימת </w:t>
      </w:r>
      <w:r w:rsidRPr="00E303AD">
        <w:rPr>
          <w:rFonts w:eastAsia="Calibri"/>
          <w:rtl/>
        </w:rPr>
        <w:t xml:space="preserve">סיורים יזומים בזירות שונות, </w:t>
      </w:r>
      <w:r w:rsidRPr="00E303AD">
        <w:rPr>
          <w:rFonts w:eastAsia="Calibri" w:hint="cs"/>
          <w:rtl/>
        </w:rPr>
        <w:t>ו</w:t>
      </w:r>
      <w:r w:rsidRPr="00E303AD">
        <w:rPr>
          <w:rFonts w:eastAsia="Calibri"/>
          <w:rtl/>
        </w:rPr>
        <w:t>בהן בתי בושת, דירות פרטיות, זירות חוץ, מרכזי שיקום, וכן משרדי המרפאה עצמם.</w:t>
      </w:r>
      <w:r w:rsidRPr="00E303AD">
        <w:rPr>
          <w:rFonts w:eastAsia="Calibri" w:hint="cs"/>
          <w:rtl/>
        </w:rPr>
        <w:t xml:space="preserve"> בלוח </w:t>
      </w:r>
      <w:r w:rsidRPr="00E303AD">
        <w:rPr>
          <w:rFonts w:eastAsia="Calibri"/>
          <w:rtl/>
        </w:rPr>
        <w:t xml:space="preserve">להלן </w:t>
      </w:r>
      <w:r w:rsidRPr="00E303AD">
        <w:rPr>
          <w:rFonts w:eastAsia="Calibri" w:hint="cs"/>
          <w:rtl/>
        </w:rPr>
        <w:t xml:space="preserve">יוצגו </w:t>
      </w:r>
      <w:r w:rsidRPr="00E303AD">
        <w:rPr>
          <w:rFonts w:eastAsia="Calibri"/>
          <w:rtl/>
        </w:rPr>
        <w:t>נתוני</w:t>
      </w:r>
      <w:r w:rsidRPr="00E303AD">
        <w:rPr>
          <w:rFonts w:eastAsia="Calibri" w:hint="cs"/>
          <w:rtl/>
        </w:rPr>
        <w:t>ם על</w:t>
      </w:r>
      <w:r w:rsidRPr="00E303AD">
        <w:rPr>
          <w:rFonts w:eastAsia="Calibri"/>
          <w:rtl/>
        </w:rPr>
        <w:t xml:space="preserve"> </w:t>
      </w:r>
      <w:r w:rsidRPr="00E303AD">
        <w:rPr>
          <w:rFonts w:eastAsia="Calibri" w:hint="cs"/>
          <w:rtl/>
        </w:rPr>
        <w:t>מספר המטופלות</w:t>
      </w:r>
      <w:r w:rsidRPr="00E303AD">
        <w:rPr>
          <w:rFonts w:eastAsia="Calibri"/>
          <w:rtl/>
        </w:rPr>
        <w:t xml:space="preserve"> </w:t>
      </w:r>
      <w:r w:rsidRPr="00E303AD">
        <w:rPr>
          <w:rFonts w:eastAsia="Calibri" w:hint="cs"/>
          <w:rtl/>
        </w:rPr>
        <w:t>והמטופלים ב</w:t>
      </w:r>
      <w:r w:rsidRPr="00E303AD">
        <w:rPr>
          <w:rFonts w:eastAsia="Calibri"/>
          <w:rtl/>
        </w:rPr>
        <w:t>מרפאות תל אביב, חיפה ובאר שבע:</w:t>
      </w:r>
    </w:p>
    <w:p w:rsidR="00E303AD" w:rsidRPr="00E303AD" w:rsidP="00E303AD">
      <w:pPr>
        <w:spacing w:line="269" w:lineRule="auto"/>
        <w:rPr>
          <w:rFonts w:eastAsia="Calibri"/>
          <w:rtl/>
        </w:rPr>
      </w:pPr>
      <w:bookmarkStart w:id="71" w:name="_Hlk209945985"/>
    </w:p>
    <w:p w:rsidR="00E303AD" w:rsidRPr="00E303AD" w:rsidP="00E303AD">
      <w:pPr>
        <w:spacing w:line="269" w:lineRule="auto"/>
        <w:ind w:right="-284"/>
        <w:jc w:val="center"/>
        <w:rPr>
          <w:rFonts w:eastAsia="Calibri"/>
          <w:b/>
          <w:bCs/>
          <w:rtl/>
        </w:rPr>
      </w:pPr>
      <w:r w:rsidRPr="00E303AD">
        <w:rPr>
          <w:rFonts w:eastAsia="Calibri" w:hint="cs"/>
          <w:rtl/>
        </w:rPr>
        <w:t>לוח 1:</w:t>
      </w:r>
      <w:r w:rsidRPr="00E303AD">
        <w:rPr>
          <w:rFonts w:eastAsia="Calibri" w:hint="cs"/>
          <w:b/>
          <w:bCs/>
          <w:rtl/>
        </w:rPr>
        <w:t xml:space="preserve"> נתונים על מספר המטופלות והמטופלים במרפאות לוינסקי, </w:t>
      </w:r>
    </w:p>
    <w:p w:rsidR="00E303AD" w:rsidRPr="00E303AD" w:rsidP="00E303AD">
      <w:pPr>
        <w:spacing w:line="269" w:lineRule="auto"/>
        <w:ind w:right="-284"/>
        <w:jc w:val="center"/>
        <w:rPr>
          <w:rFonts w:eastAsia="Calibri"/>
          <w:b/>
          <w:bCs/>
          <w:rtl/>
        </w:rPr>
      </w:pPr>
      <w:r w:rsidRPr="00E303AD">
        <w:rPr>
          <w:rFonts w:eastAsia="Calibri" w:hint="cs"/>
          <w:b/>
          <w:bCs/>
          <w:rtl/>
        </w:rPr>
        <w:t>2023 ו-2024</w:t>
      </w:r>
    </w:p>
    <w:tbl>
      <w:tblPr>
        <w:tblStyle w:val="4-51"/>
        <w:bidiVisual/>
        <w:tblW w:w="0" w:type="auto"/>
        <w:jc w:val="center"/>
        <w:tblLook w:val="04A0"/>
      </w:tblPr>
      <w:tblGrid>
        <w:gridCol w:w="2404"/>
        <w:gridCol w:w="4516"/>
      </w:tblGrid>
      <w:tr w:rsidTr="00E303AD">
        <w:tblPrEx>
          <w:tblW w:w="0" w:type="auto"/>
          <w:jc w:val="center"/>
          <w:tblLook w:val="04A0"/>
        </w:tblPrEx>
        <w:trPr>
          <w:trHeight w:val="224"/>
          <w:jc w:val="center"/>
        </w:trPr>
        <w:tc>
          <w:tcPr>
            <w:tcW w:w="2404" w:type="dxa"/>
          </w:tcPr>
          <w:p w:rsidR="00E303AD" w:rsidRPr="00E303AD" w:rsidP="00E303AD">
            <w:pPr>
              <w:spacing w:line="269" w:lineRule="auto"/>
              <w:rPr>
                <w:rFonts w:eastAsia="Calibri"/>
                <w:sz w:val="22"/>
                <w:szCs w:val="22"/>
                <w:rtl/>
              </w:rPr>
            </w:pPr>
            <w:r w:rsidRPr="00E303AD">
              <w:rPr>
                <w:rFonts w:eastAsia="Calibri" w:hint="cs"/>
                <w:sz w:val="22"/>
                <w:szCs w:val="22"/>
                <w:rtl/>
              </w:rPr>
              <w:t xml:space="preserve"> </w:t>
            </w:r>
            <w:r w:rsidRPr="00E303AD">
              <w:rPr>
                <w:rFonts w:eastAsia="Calibri" w:hint="eastAsia"/>
                <w:sz w:val="22"/>
                <w:szCs w:val="22"/>
                <w:rtl/>
              </w:rPr>
              <w:t>ה</w:t>
            </w:r>
            <w:r w:rsidRPr="00E303AD">
              <w:rPr>
                <w:rFonts w:eastAsia="Calibri" w:hint="cs"/>
                <w:sz w:val="22"/>
                <w:szCs w:val="22"/>
                <w:rtl/>
              </w:rPr>
              <w:t>עיר</w:t>
            </w:r>
          </w:p>
        </w:tc>
        <w:tc>
          <w:tcPr>
            <w:tcW w:w="4516" w:type="dxa"/>
          </w:tcPr>
          <w:p w:rsidR="00E303AD" w:rsidRPr="00E303AD" w:rsidP="00E303AD">
            <w:pPr>
              <w:spacing w:line="269" w:lineRule="auto"/>
              <w:rPr>
                <w:rFonts w:eastAsia="Calibri"/>
                <w:sz w:val="22"/>
                <w:szCs w:val="22"/>
                <w:rtl/>
              </w:rPr>
            </w:pPr>
            <w:r w:rsidRPr="00E303AD">
              <w:rPr>
                <w:rFonts w:eastAsia="Calibri" w:hint="cs"/>
                <w:sz w:val="22"/>
                <w:szCs w:val="22"/>
                <w:rtl/>
              </w:rPr>
              <w:t>מספרם הכולל של המטופלות והמטופלים</w:t>
            </w:r>
          </w:p>
        </w:tc>
      </w:tr>
      <w:tr w:rsidTr="00E303AD">
        <w:tblPrEx>
          <w:tblW w:w="0" w:type="auto"/>
          <w:jc w:val="center"/>
          <w:tblLook w:val="04A0"/>
        </w:tblPrEx>
        <w:trPr>
          <w:trHeight w:val="443"/>
          <w:jc w:val="center"/>
        </w:trPr>
        <w:tc>
          <w:tcPr>
            <w:tcW w:w="2404" w:type="dxa"/>
            <w:vAlign w:val="center"/>
          </w:tcPr>
          <w:p w:rsidR="00E303AD" w:rsidRPr="00E303AD" w:rsidP="00E303AD">
            <w:pPr>
              <w:spacing w:line="269" w:lineRule="auto"/>
              <w:jc w:val="left"/>
              <w:rPr>
                <w:rFonts w:eastAsia="Calibri"/>
                <w:sz w:val="22"/>
                <w:szCs w:val="22"/>
                <w:rtl/>
              </w:rPr>
            </w:pPr>
            <w:r w:rsidRPr="00E303AD">
              <w:rPr>
                <w:rFonts w:eastAsia="Calibri" w:hint="cs"/>
                <w:sz w:val="22"/>
                <w:szCs w:val="22"/>
                <w:rtl/>
              </w:rPr>
              <w:t>ניידת באר שבע (2023)</w:t>
            </w:r>
          </w:p>
        </w:tc>
        <w:tc>
          <w:tcPr>
            <w:tcW w:w="4516" w:type="dxa"/>
            <w:vAlign w:val="center"/>
          </w:tcPr>
          <w:p w:rsidR="00E303AD" w:rsidRPr="00E303AD" w:rsidP="00E303AD">
            <w:pPr>
              <w:spacing w:line="269" w:lineRule="auto"/>
              <w:jc w:val="left"/>
              <w:rPr>
                <w:rFonts w:eastAsia="Calibri"/>
                <w:sz w:val="22"/>
                <w:szCs w:val="22"/>
                <w:rtl/>
              </w:rPr>
            </w:pPr>
            <w:r w:rsidRPr="00E303AD">
              <w:rPr>
                <w:rFonts w:eastAsia="Calibri" w:hint="cs"/>
                <w:sz w:val="22"/>
                <w:szCs w:val="22"/>
                <w:rtl/>
              </w:rPr>
              <w:t>65</w:t>
            </w:r>
          </w:p>
        </w:tc>
      </w:tr>
      <w:tr w:rsidTr="00562836">
        <w:tblPrEx>
          <w:tblW w:w="0" w:type="auto"/>
          <w:jc w:val="center"/>
          <w:tblLook w:val="04A0"/>
        </w:tblPrEx>
        <w:trPr>
          <w:trHeight w:val="334"/>
          <w:jc w:val="center"/>
        </w:trPr>
        <w:tc>
          <w:tcPr>
            <w:tcW w:w="2404" w:type="dxa"/>
            <w:vAlign w:val="center"/>
          </w:tcPr>
          <w:p w:rsidR="00E303AD" w:rsidRPr="00E303AD" w:rsidP="00E303AD">
            <w:pPr>
              <w:spacing w:line="269" w:lineRule="auto"/>
              <w:jc w:val="left"/>
              <w:rPr>
                <w:rFonts w:eastAsia="Calibri"/>
                <w:sz w:val="22"/>
                <w:szCs w:val="22"/>
                <w:rtl/>
              </w:rPr>
            </w:pPr>
            <w:r w:rsidRPr="00E303AD">
              <w:rPr>
                <w:rFonts w:eastAsia="Calibri" w:hint="cs"/>
                <w:sz w:val="22"/>
                <w:szCs w:val="22"/>
                <w:rtl/>
              </w:rPr>
              <w:t>ניידת חיפה (2024)</w:t>
            </w:r>
          </w:p>
        </w:tc>
        <w:tc>
          <w:tcPr>
            <w:tcW w:w="4516" w:type="dxa"/>
            <w:vAlign w:val="center"/>
          </w:tcPr>
          <w:p w:rsidR="00E303AD" w:rsidRPr="00E303AD" w:rsidP="00E303AD">
            <w:pPr>
              <w:spacing w:line="269" w:lineRule="auto"/>
              <w:jc w:val="left"/>
              <w:rPr>
                <w:rFonts w:eastAsia="Calibri"/>
                <w:sz w:val="22"/>
                <w:szCs w:val="22"/>
                <w:rtl/>
              </w:rPr>
            </w:pPr>
            <w:r w:rsidRPr="00E303AD">
              <w:rPr>
                <w:rFonts w:eastAsia="Calibri" w:hint="cs"/>
                <w:sz w:val="22"/>
                <w:szCs w:val="22"/>
                <w:rtl/>
              </w:rPr>
              <w:t>275</w:t>
            </w:r>
          </w:p>
        </w:tc>
      </w:tr>
      <w:tr w:rsidTr="00E303AD">
        <w:tblPrEx>
          <w:tblW w:w="0" w:type="auto"/>
          <w:jc w:val="center"/>
          <w:tblLook w:val="04A0"/>
        </w:tblPrEx>
        <w:trPr>
          <w:trHeight w:val="449"/>
          <w:jc w:val="center"/>
        </w:trPr>
        <w:tc>
          <w:tcPr>
            <w:tcW w:w="2404" w:type="dxa"/>
            <w:vAlign w:val="center"/>
          </w:tcPr>
          <w:p w:rsidR="00E303AD" w:rsidRPr="00E303AD" w:rsidP="00E303AD">
            <w:pPr>
              <w:spacing w:line="269" w:lineRule="auto"/>
              <w:jc w:val="left"/>
              <w:rPr>
                <w:rFonts w:eastAsia="Calibri"/>
                <w:sz w:val="22"/>
                <w:szCs w:val="22"/>
                <w:rtl/>
              </w:rPr>
            </w:pPr>
            <w:r w:rsidRPr="00E303AD">
              <w:rPr>
                <w:rFonts w:eastAsia="Calibri" w:hint="cs"/>
                <w:sz w:val="22"/>
                <w:szCs w:val="22"/>
                <w:rtl/>
              </w:rPr>
              <w:t>ניידת תל אביב (2024)</w:t>
            </w:r>
          </w:p>
        </w:tc>
        <w:tc>
          <w:tcPr>
            <w:tcW w:w="4516" w:type="dxa"/>
            <w:vAlign w:val="center"/>
          </w:tcPr>
          <w:p w:rsidR="00E303AD" w:rsidRPr="00E303AD" w:rsidP="00E303AD">
            <w:pPr>
              <w:spacing w:line="269" w:lineRule="auto"/>
              <w:jc w:val="left"/>
              <w:rPr>
                <w:rFonts w:eastAsia="Calibri"/>
                <w:sz w:val="22"/>
                <w:szCs w:val="22"/>
                <w:rtl/>
              </w:rPr>
            </w:pPr>
            <w:r w:rsidRPr="00E303AD">
              <w:rPr>
                <w:rFonts w:eastAsia="Calibri" w:hint="cs"/>
                <w:sz w:val="22"/>
                <w:szCs w:val="22"/>
                <w:rtl/>
              </w:rPr>
              <w:t>586</w:t>
            </w:r>
          </w:p>
        </w:tc>
      </w:tr>
      <w:tr w:rsidTr="00562836">
        <w:tblPrEx>
          <w:tblW w:w="0" w:type="auto"/>
          <w:jc w:val="center"/>
          <w:tblLook w:val="04A0"/>
        </w:tblPrEx>
        <w:trPr>
          <w:trHeight w:val="554"/>
          <w:jc w:val="center"/>
        </w:trPr>
        <w:tc>
          <w:tcPr>
            <w:tcW w:w="2404" w:type="dxa"/>
            <w:vAlign w:val="center"/>
          </w:tcPr>
          <w:p w:rsidR="00E303AD" w:rsidRPr="00E303AD" w:rsidP="00E303AD">
            <w:pPr>
              <w:spacing w:line="269" w:lineRule="auto"/>
              <w:jc w:val="left"/>
              <w:rPr>
                <w:rFonts w:eastAsia="Calibri"/>
                <w:sz w:val="22"/>
                <w:szCs w:val="22"/>
                <w:rtl/>
              </w:rPr>
            </w:pPr>
            <w:r w:rsidRPr="00E303AD">
              <w:rPr>
                <w:rFonts w:eastAsia="Calibri" w:hint="cs"/>
                <w:sz w:val="22"/>
                <w:szCs w:val="22"/>
                <w:rtl/>
              </w:rPr>
              <w:t>מרפאה נייחת תל אביב (2024)</w:t>
            </w:r>
          </w:p>
        </w:tc>
        <w:tc>
          <w:tcPr>
            <w:tcW w:w="4516" w:type="dxa"/>
            <w:vAlign w:val="center"/>
          </w:tcPr>
          <w:p w:rsidR="00E303AD" w:rsidRPr="00E303AD" w:rsidP="00E303AD">
            <w:pPr>
              <w:spacing w:line="269" w:lineRule="auto"/>
              <w:jc w:val="left"/>
              <w:rPr>
                <w:rFonts w:eastAsia="Calibri"/>
                <w:sz w:val="22"/>
                <w:szCs w:val="22"/>
                <w:rtl/>
              </w:rPr>
            </w:pPr>
            <w:r w:rsidRPr="00E303AD">
              <w:rPr>
                <w:rFonts w:eastAsia="Calibri" w:hint="cs"/>
                <w:sz w:val="22"/>
                <w:szCs w:val="22"/>
                <w:rtl/>
              </w:rPr>
              <w:t>2,527</w:t>
            </w:r>
          </w:p>
        </w:tc>
      </w:tr>
    </w:tbl>
    <w:p w:rsidR="00E303AD" w:rsidRPr="00E303AD" w:rsidP="00E303AD">
      <w:pPr>
        <w:spacing w:line="269" w:lineRule="auto"/>
        <w:ind w:hanging="1"/>
        <w:rPr>
          <w:rFonts w:eastAsia="Calibri"/>
          <w:b/>
          <w:bCs/>
          <w:szCs w:val="20"/>
          <w:rtl/>
        </w:rPr>
      </w:pPr>
      <w:r w:rsidRPr="00E303AD">
        <w:rPr>
          <w:rFonts w:eastAsia="Calibri" w:hint="cs"/>
          <w:szCs w:val="20"/>
          <w:rtl/>
        </w:rPr>
        <w:t>על פי נתונים ממשרד הבריאות, בעיבוד משרד מבקר המדינה</w:t>
      </w:r>
      <w:r w:rsidRPr="00E303AD">
        <w:rPr>
          <w:rFonts w:eastAsia="Calibri" w:hint="cs"/>
          <w:rtl/>
        </w:rPr>
        <w:t>.</w:t>
      </w:r>
      <w:r w:rsidRPr="00E303AD">
        <w:rPr>
          <w:rFonts w:eastAsia="Calibri"/>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bookmarkEnd w:id="71"/>
    <w:p w:rsidR="00E303AD" w:rsidRPr="00E303AD" w:rsidP="00E303AD">
      <w:pPr>
        <w:spacing w:line="269" w:lineRule="auto"/>
        <w:rPr>
          <w:rFonts w:eastAsia="Calibri"/>
          <w:rtl/>
        </w:rPr>
      </w:pPr>
      <w:r w:rsidRPr="00E303AD">
        <w:rPr>
          <w:rFonts w:eastAsia="Calibri"/>
          <w:rtl/>
        </w:rPr>
        <w:t xml:space="preserve">איתור הזירות </w:t>
      </w:r>
      <w:r w:rsidRPr="00E303AD">
        <w:rPr>
          <w:rFonts w:eastAsia="Calibri" w:hint="cs"/>
          <w:rtl/>
        </w:rPr>
        <w:t xml:space="preserve">על ידי המרפאות </w:t>
      </w:r>
      <w:r w:rsidRPr="00E303AD">
        <w:rPr>
          <w:rFonts w:eastAsia="Calibri"/>
          <w:rtl/>
        </w:rPr>
        <w:t>מתבצע בשני אפיקים עיקריים: דיווחים המתקבלים מ</w:t>
      </w:r>
      <w:r w:rsidRPr="00E303AD">
        <w:rPr>
          <w:rFonts w:eastAsia="Calibri" w:hint="cs"/>
          <w:rtl/>
        </w:rPr>
        <w:t>א</w:t>
      </w:r>
      <w:r w:rsidRPr="00E303AD">
        <w:rPr>
          <w:rFonts w:eastAsia="Calibri"/>
          <w:rtl/>
        </w:rPr>
        <w:t xml:space="preserve">נשים </w:t>
      </w:r>
      <w:r w:rsidRPr="00E303AD">
        <w:rPr>
          <w:rFonts w:eastAsia="Calibri" w:hint="cs"/>
          <w:rtl/>
        </w:rPr>
        <w:t>על רצף ה</w:t>
      </w:r>
      <w:r w:rsidRPr="00E303AD">
        <w:rPr>
          <w:rFonts w:eastAsia="Calibri"/>
          <w:rtl/>
        </w:rPr>
        <w:t xml:space="preserve">זנות, וכן מידע שמועבר באמצעות משרד חקירות פרטי, </w:t>
      </w:r>
      <w:r w:rsidRPr="00E303AD">
        <w:rPr>
          <w:rFonts w:eastAsia="Calibri" w:hint="cs"/>
          <w:rtl/>
        </w:rPr>
        <w:t>ש</w:t>
      </w:r>
      <w:r w:rsidRPr="00E303AD">
        <w:rPr>
          <w:rFonts w:eastAsia="Calibri"/>
          <w:rtl/>
        </w:rPr>
        <w:t>ע</w:t>
      </w:r>
      <w:r w:rsidRPr="00E303AD">
        <w:rPr>
          <w:rFonts w:eastAsia="Calibri" w:hint="cs"/>
          <w:rtl/>
        </w:rPr>
        <w:t>י</w:t>
      </w:r>
      <w:r w:rsidRPr="00E303AD">
        <w:rPr>
          <w:rFonts w:eastAsia="Calibri"/>
          <w:rtl/>
        </w:rPr>
        <w:t>מו מתקשר משרד הבריאות לצורך חשיפה יזומה של זירות</w:t>
      </w:r>
      <w:r w:rsidRPr="00E303AD">
        <w:rPr>
          <w:rFonts w:eastAsia="Calibri" w:hint="cs"/>
          <w:rtl/>
        </w:rPr>
        <w:t xml:space="preserve"> זנות</w:t>
      </w:r>
      <w:r w:rsidRPr="00E303AD">
        <w:rPr>
          <w:rFonts w:eastAsia="Calibri"/>
          <w:rtl/>
        </w:rPr>
        <w:t xml:space="preserve"> ומתן מענה טיפולי בשטח</w:t>
      </w:r>
      <w:r>
        <w:rPr>
          <w:rFonts w:eastAsia="Calibri"/>
          <w:vertAlign w:val="superscript"/>
          <w:rtl/>
        </w:rPr>
        <w:footnoteReference w:id="61"/>
      </w:r>
      <w:r w:rsidRPr="00E303AD">
        <w:rPr>
          <w:rFonts w:eastAsia="Calibri"/>
          <w:rtl/>
        </w:rPr>
        <w:t>.</w:t>
      </w:r>
    </w:p>
    <w:p w:rsidR="00E303AD" w:rsidRPr="00E303AD" w:rsidP="00C85FAB">
      <w:pPr>
        <w:spacing w:line="269" w:lineRule="auto"/>
        <w:rPr>
          <w:rFonts w:eastAsia="Calibri"/>
          <w:rtl/>
        </w:rPr>
      </w:pPr>
      <w:r w:rsidRPr="00E303AD">
        <w:rPr>
          <w:rFonts w:eastAsia="Calibri" w:hint="cs"/>
          <w:rtl/>
        </w:rPr>
        <w:t>יצוין כי ה</w:t>
      </w:r>
      <w:r w:rsidRPr="00E303AD">
        <w:rPr>
          <w:rFonts w:eastAsia="Calibri"/>
          <w:rtl/>
        </w:rPr>
        <w:t>שינויים בדפוסי הפע</w:t>
      </w:r>
      <w:r w:rsidRPr="00E303AD">
        <w:rPr>
          <w:rFonts w:eastAsia="Calibri" w:hint="cs"/>
          <w:rtl/>
        </w:rPr>
        <w:t>ולה</w:t>
      </w:r>
      <w:r w:rsidRPr="00E303AD">
        <w:rPr>
          <w:rFonts w:eastAsia="Calibri"/>
          <w:rtl/>
        </w:rPr>
        <w:t xml:space="preserve"> בזנות </w:t>
      </w:r>
      <w:r w:rsidRPr="00E303AD">
        <w:rPr>
          <w:rFonts w:eastAsia="Calibri" w:hint="cs"/>
          <w:rtl/>
        </w:rPr>
        <w:t>והגידול</w:t>
      </w:r>
      <w:r w:rsidRPr="00E303AD">
        <w:rPr>
          <w:rFonts w:eastAsia="Calibri"/>
          <w:rtl/>
        </w:rPr>
        <w:t xml:space="preserve"> בהיקף הזנות המקוונת, אשר מתקיימת לרוב </w:t>
      </w:r>
      <w:r w:rsidRPr="00E303AD">
        <w:rPr>
          <w:rFonts w:eastAsia="Calibri" w:hint="cs"/>
          <w:rtl/>
        </w:rPr>
        <w:t xml:space="preserve">במקומות </w:t>
      </w:r>
      <w:r w:rsidRPr="00E303AD">
        <w:rPr>
          <w:rFonts w:eastAsia="Calibri"/>
          <w:rtl/>
        </w:rPr>
        <w:t xml:space="preserve">משתנים ולא </w:t>
      </w:r>
      <w:r w:rsidRPr="00E303AD">
        <w:rPr>
          <w:rFonts w:eastAsia="Calibri" w:hint="cs"/>
          <w:rtl/>
        </w:rPr>
        <w:t>ב</w:t>
      </w:r>
      <w:r w:rsidRPr="00E303AD">
        <w:rPr>
          <w:rFonts w:eastAsia="Calibri"/>
          <w:rtl/>
        </w:rPr>
        <w:t>זירה פיזית קבועה</w:t>
      </w:r>
      <w:r w:rsidRPr="00E303AD">
        <w:rPr>
          <w:rFonts w:eastAsia="Calibri" w:hint="cs"/>
          <w:rtl/>
        </w:rPr>
        <w:t>,</w:t>
      </w:r>
      <w:r w:rsidRPr="00E303AD">
        <w:rPr>
          <w:rFonts w:eastAsia="Calibri" w:hint="cs"/>
          <w:rtl/>
        </w:rPr>
        <w:t xml:space="preserve"> </w:t>
      </w:r>
      <w:r w:rsidRPr="00E303AD">
        <w:rPr>
          <w:rFonts w:eastAsia="Calibri" w:hint="cs"/>
          <w:rtl/>
        </w:rPr>
        <w:t xml:space="preserve">הובילו לעלייה במספר המטופלות והמטופלים המגיעים למשרדי המרפאות בהשוואה לאלו המקבלים שירותים רפואיים בזירות בשטח.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 xml:space="preserve">ביקורת </w:t>
      </w:r>
      <w:r w:rsidRPr="00E303AD">
        <w:rPr>
          <w:rFonts w:eastAsia="Calibri" w:hint="cs"/>
          <w:rtl/>
        </w:rPr>
        <w:t xml:space="preserve">פנים שביצע המשרד לביטחון לאומי בשנת </w:t>
      </w:r>
      <w:r w:rsidRPr="00E303AD">
        <w:rPr>
          <w:rFonts w:eastAsia="Calibri"/>
          <w:rtl/>
        </w:rPr>
        <w:t xml:space="preserve">2022 </w:t>
      </w:r>
      <w:r w:rsidRPr="00E303AD">
        <w:rPr>
          <w:rFonts w:eastAsia="Calibri" w:hint="cs"/>
          <w:rtl/>
        </w:rPr>
        <w:t xml:space="preserve">בנושא "אכיפת חוק איסור צריכת זנות על ידי משטרת ישראל" </w:t>
      </w:r>
      <w:r w:rsidRPr="00E303AD">
        <w:rPr>
          <w:rFonts w:eastAsia="Calibri"/>
          <w:rtl/>
        </w:rPr>
        <w:t xml:space="preserve">העלתה </w:t>
      </w:r>
      <w:r w:rsidRPr="00E303AD">
        <w:rPr>
          <w:rFonts w:eastAsia="Calibri" w:hint="cs"/>
          <w:rtl/>
        </w:rPr>
        <w:t>בעיה ב</w:t>
      </w:r>
      <w:r w:rsidRPr="00E303AD">
        <w:rPr>
          <w:rFonts w:eastAsia="Calibri"/>
          <w:rtl/>
        </w:rPr>
        <w:t xml:space="preserve">שיתוף </w:t>
      </w:r>
      <w:r w:rsidRPr="00E303AD">
        <w:rPr>
          <w:rFonts w:eastAsia="Calibri" w:hint="cs"/>
          <w:rtl/>
        </w:rPr>
        <w:t>ה</w:t>
      </w:r>
      <w:r w:rsidRPr="00E303AD">
        <w:rPr>
          <w:rFonts w:eastAsia="Calibri"/>
          <w:rtl/>
        </w:rPr>
        <w:t xml:space="preserve">מידע בין המשטרה </w:t>
      </w:r>
      <w:r w:rsidRPr="00E303AD">
        <w:rPr>
          <w:rFonts w:eastAsia="Calibri" w:hint="cs"/>
          <w:rtl/>
        </w:rPr>
        <w:t>ו</w:t>
      </w:r>
      <w:r w:rsidRPr="00E303AD">
        <w:rPr>
          <w:rFonts w:eastAsia="Calibri"/>
          <w:rtl/>
        </w:rPr>
        <w:t xml:space="preserve">בין הגורמים הנוספים הפועלים לצמצום צריכת הזנות, </w:t>
      </w:r>
      <w:r w:rsidRPr="00E303AD">
        <w:rPr>
          <w:rFonts w:eastAsia="Calibri" w:hint="cs"/>
          <w:rtl/>
        </w:rPr>
        <w:t xml:space="preserve">ובהם </w:t>
      </w:r>
      <w:r w:rsidRPr="00E303AD">
        <w:rPr>
          <w:rFonts w:eastAsia="Calibri"/>
          <w:rtl/>
        </w:rPr>
        <w:t>משרד הבריאות.</w:t>
      </w:r>
      <w:r w:rsidRPr="00E303AD">
        <w:rPr>
          <w:rFonts w:eastAsia="Calibri" w:hint="cs"/>
          <w:rtl/>
        </w:rPr>
        <w:t xml:space="preserve"> מהביקורת עלה כי</w:t>
      </w:r>
      <w:r w:rsidRPr="00E303AD">
        <w:rPr>
          <w:rFonts w:eastAsia="Calibri"/>
          <w:rtl/>
        </w:rPr>
        <w:t xml:space="preserve"> המידע שנאסף ב</w:t>
      </w:r>
      <w:r w:rsidRPr="00E303AD">
        <w:rPr>
          <w:rFonts w:eastAsia="Calibri" w:hint="cs"/>
          <w:rtl/>
        </w:rPr>
        <w:t>מרפאות לוינסקי</w:t>
      </w:r>
      <w:r w:rsidRPr="00E303AD">
        <w:rPr>
          <w:rFonts w:eastAsia="Calibri"/>
          <w:rtl/>
        </w:rPr>
        <w:t xml:space="preserve"> עשוי לשמש </w:t>
      </w:r>
      <w:r w:rsidRPr="00E303AD">
        <w:rPr>
          <w:rFonts w:eastAsia="Calibri" w:hint="cs"/>
          <w:rtl/>
        </w:rPr>
        <w:t xml:space="preserve">את המשטרה </w:t>
      </w:r>
      <w:r w:rsidRPr="00E303AD">
        <w:rPr>
          <w:rFonts w:eastAsia="Calibri"/>
          <w:rtl/>
        </w:rPr>
        <w:t>לאכיפת החוק.</w:t>
      </w:r>
      <w:r w:rsidRPr="00E303AD">
        <w:rPr>
          <w:rFonts w:eastAsia="Calibri" w:hint="cs"/>
          <w:rtl/>
        </w:rPr>
        <w:t xml:space="preserve"> </w:t>
      </w:r>
      <w:r w:rsidRPr="00E303AD">
        <w:rPr>
          <w:rFonts w:eastAsia="Calibri"/>
          <w:rtl/>
        </w:rPr>
        <w:t xml:space="preserve">המשטרה אף ציינה </w:t>
      </w:r>
      <w:r w:rsidRPr="00E303AD">
        <w:rPr>
          <w:rFonts w:eastAsia="Calibri" w:hint="cs"/>
          <w:rtl/>
        </w:rPr>
        <w:t xml:space="preserve">במסגרת ביקורת הפנים </w:t>
      </w:r>
      <w:r w:rsidRPr="00E303AD">
        <w:rPr>
          <w:rFonts w:eastAsia="Calibri"/>
          <w:rtl/>
        </w:rPr>
        <w:t xml:space="preserve">כי אין מניעה </w:t>
      </w:r>
      <w:r w:rsidRPr="00E303AD">
        <w:rPr>
          <w:rFonts w:eastAsia="Calibri" w:hint="cs"/>
          <w:rtl/>
        </w:rPr>
        <w:t xml:space="preserve">שהגורמים האמורים יעבירו ביניהם </w:t>
      </w:r>
      <w:r w:rsidRPr="00E303AD">
        <w:rPr>
          <w:rFonts w:eastAsia="Calibri"/>
          <w:rtl/>
        </w:rPr>
        <w:t xml:space="preserve">מידע המותר לעיון הציבור. לפיכך, </w:t>
      </w:r>
      <w:r w:rsidRPr="00E303AD">
        <w:rPr>
          <w:rFonts w:eastAsia="Calibri" w:hint="cs"/>
          <w:rtl/>
        </w:rPr>
        <w:t xml:space="preserve">הומלץ לגבש </w:t>
      </w:r>
      <w:r w:rsidRPr="00E303AD">
        <w:rPr>
          <w:rFonts w:eastAsia="Calibri"/>
          <w:rtl/>
        </w:rPr>
        <w:t xml:space="preserve">מתווה מוסכם להעברת מידע רלוונטי בין הגורמים השונים, תוך </w:t>
      </w:r>
      <w:r w:rsidRPr="00E303AD">
        <w:rPr>
          <w:rFonts w:eastAsia="Calibri" w:hint="cs"/>
          <w:rtl/>
        </w:rPr>
        <w:t xml:space="preserve">הגנה על </w:t>
      </w:r>
      <w:r w:rsidRPr="00E303AD">
        <w:rPr>
          <w:rFonts w:eastAsia="Calibri"/>
          <w:rtl/>
        </w:rPr>
        <w:t>פרטיות המידע.</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במסגרת ביקורת משרד מבקר המדינה עלה כי לעיתים מרפאת לוינסקי בתל אביב ומחוז תל אביב של המשטרה שיתפו ביניהם מידע על מוקדי צריכת זנות ודירות המשמשות זירות זנות.</w:t>
      </w:r>
      <w:r w:rsidRPr="00E303AD">
        <w:rPr>
          <w:rFonts w:eastAsia="Calibri" w:hint="cs"/>
          <w:sz w:val="16"/>
          <w:szCs w:val="20"/>
          <w:rtl/>
        </w:rPr>
        <w:t xml:space="preserve"> </w:t>
      </w:r>
      <w:r w:rsidRPr="00E303AD">
        <w:rPr>
          <w:rFonts w:eastAsia="Calibri"/>
          <w:rtl/>
        </w:rPr>
        <w:t>יוזמה דומה הוצגה במחוז ירושלים</w:t>
      </w:r>
      <w:r w:rsidRPr="00E303AD">
        <w:rPr>
          <w:rFonts w:eastAsia="Calibri" w:hint="cs"/>
          <w:rtl/>
        </w:rPr>
        <w:t>,</w:t>
      </w:r>
      <w:r w:rsidRPr="00E303AD">
        <w:rPr>
          <w:rFonts w:eastAsia="Calibri"/>
          <w:rtl/>
        </w:rPr>
        <w:t xml:space="preserve"> מתוך כוונה ליישמה גם בתחומי המחוז</w:t>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bookmarkStart w:id="73" w:name="_Hlk222303518"/>
      <w:r w:rsidRPr="00E303AD">
        <w:rPr>
          <w:rFonts w:eastAsia="Calibri" w:hint="cs"/>
          <w:b/>
          <w:bCs/>
          <w:rtl/>
        </w:rPr>
        <w:t>בביקורת עלה כי שיתוף מידע בין משרד הבריאות ובין המשטרה בנוגע למוקדי הזנות שמאתרות מרפאות לוינסקי (בלא לחשוף את שמות המעורבים) יכול לסייע למשטרה בפעולתה לאכיפת חוק איסור צריכת זנות, אך הוא נעשה באופן חלקי וראשוני בלבד במחוזות תל אביב וירושלים, ואינו מיושם בכלל מחוזות המשטרה שבהן פועלות מרפאות לוינסקי</w:t>
      </w:r>
      <w:bookmarkEnd w:id="73"/>
      <w:r w:rsidRPr="00E303AD">
        <w:rPr>
          <w:rFonts w:eastAsia="Calibri" w:hint="cs"/>
          <w:b/>
          <w:bCs/>
          <w:rtl/>
        </w:rPr>
        <w:t xml:space="preserve">. כך עלה גם בביקורת פנים של המשרד לביטחון לאומי משנת 2022.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r w:rsidRPr="00E303AD">
        <w:rPr>
          <w:rFonts w:eastAsia="Calibri"/>
          <w:b/>
          <w:bCs/>
          <w:rtl/>
        </w:rPr>
        <w:t xml:space="preserve">מומלץ כי המשטרה ומשרד הבריאות יבחנו את האפשרות </w:t>
      </w:r>
      <w:r w:rsidRPr="00E303AD">
        <w:rPr>
          <w:rFonts w:eastAsia="Calibri" w:hint="cs"/>
          <w:b/>
          <w:bCs/>
          <w:rtl/>
        </w:rPr>
        <w:t>לתיאום ו</w:t>
      </w:r>
      <w:r w:rsidRPr="00E303AD">
        <w:rPr>
          <w:rFonts w:eastAsia="Calibri"/>
          <w:b/>
          <w:bCs/>
          <w:rtl/>
        </w:rPr>
        <w:t xml:space="preserve">לשיתוף מידע </w:t>
      </w:r>
      <w:r w:rsidRPr="00E303AD">
        <w:rPr>
          <w:rFonts w:eastAsia="Calibri" w:hint="cs"/>
          <w:b/>
          <w:bCs/>
          <w:rtl/>
        </w:rPr>
        <w:t xml:space="preserve">ביניהם לשם איתור זירות זנות ולשם אכיפת החוק, ובכלל זה לשיתוף מידע המצטבר במרפאות לוינסקי, תוך הגנה על פרטיות המידע של המטופלים והמטופלות.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r w:rsidRPr="00E303AD">
        <w:rPr>
          <w:rFonts w:eastAsia="Calibri" w:hint="cs"/>
          <w:rtl/>
        </w:rPr>
        <w:t xml:space="preserve">בתשובה שמסר משרד הבריאות למשרד מבקר המדינה באפריל 2026 צוין כי </w:t>
      </w:r>
      <w:r w:rsidRPr="00E303AD">
        <w:rPr>
          <w:rFonts w:eastAsia="Calibri"/>
          <w:rtl/>
        </w:rPr>
        <w:t>שיתוף פעולה בין הגורמים הוא חשוב ואף הכרחי במאבק בתופעת הזנות והסחר בבני אדם.</w:t>
      </w:r>
      <w:r w:rsidRPr="00E303AD">
        <w:rPr>
          <w:rFonts w:eastAsia="Calibri" w:hint="cs"/>
          <w:rtl/>
        </w:rPr>
        <w:t xml:space="preserve"> </w:t>
      </w:r>
      <w:r w:rsidRPr="00E303AD">
        <w:rPr>
          <w:rFonts w:eastAsia="Calibri"/>
          <w:rtl/>
        </w:rPr>
        <w:t xml:space="preserve">עם זאת, </w:t>
      </w:r>
      <w:r w:rsidRPr="00E303AD">
        <w:rPr>
          <w:rFonts w:eastAsia="Calibri" w:hint="cs"/>
          <w:rtl/>
        </w:rPr>
        <w:t>כדי</w:t>
      </w:r>
      <w:r w:rsidRPr="00E303AD">
        <w:rPr>
          <w:rFonts w:eastAsia="Calibri"/>
          <w:rtl/>
        </w:rPr>
        <w:t xml:space="preserve"> לאפשר לצוותי המרפאות והניידות להמשיך בעבודתם ולשמר את האמון של הנשים</w:t>
      </w:r>
      <w:r w:rsidRPr="00E303AD">
        <w:rPr>
          <w:rFonts w:eastAsia="Calibri" w:hint="cs"/>
          <w:rtl/>
        </w:rPr>
        <w:t xml:space="preserve"> </w:t>
      </w:r>
      <w:r w:rsidRPr="00E303AD">
        <w:rPr>
          <w:rFonts w:eastAsia="Calibri"/>
          <w:rtl/>
        </w:rPr>
        <w:t>הפונות אליהם, יש להקפיד כי שיתוף המידע יתבצע בחוכמה, ברגישות ובדיסקרטיות</w:t>
      </w:r>
      <w:r w:rsidRPr="00E303AD">
        <w:rPr>
          <w:rFonts w:eastAsia="Calibri" w:hint="cs"/>
          <w:rtl/>
        </w:rPr>
        <w:t xml:space="preserve">. עוד צוין כי </w:t>
      </w:r>
      <w:r w:rsidRPr="00E303AD">
        <w:rPr>
          <w:rFonts w:eastAsia="Calibri"/>
          <w:rtl/>
        </w:rPr>
        <w:t xml:space="preserve">מאז ביצוע הביקורת התקיימה עבודת המשך </w:t>
      </w:r>
      <w:r w:rsidRPr="00E303AD">
        <w:rPr>
          <w:rFonts w:eastAsia="Calibri" w:hint="cs"/>
          <w:rtl/>
        </w:rPr>
        <w:t xml:space="preserve">של </w:t>
      </w:r>
      <w:r w:rsidRPr="00E303AD">
        <w:rPr>
          <w:rFonts w:eastAsia="Calibri"/>
          <w:rtl/>
        </w:rPr>
        <w:t>הצוות הבי</w:t>
      </w:r>
      <w:r w:rsidRPr="00E303AD">
        <w:rPr>
          <w:rFonts w:eastAsia="Calibri" w:hint="cs"/>
          <w:rtl/>
        </w:rPr>
        <w:t>ן-</w:t>
      </w:r>
      <w:r w:rsidRPr="00E303AD">
        <w:rPr>
          <w:rFonts w:eastAsia="Calibri"/>
          <w:rtl/>
        </w:rPr>
        <w:t>משרדי למאבק בזנות</w:t>
      </w:r>
      <w:r w:rsidRPr="00E303AD">
        <w:rPr>
          <w:rFonts w:eastAsia="Calibri" w:hint="cs"/>
          <w:rtl/>
        </w:rPr>
        <w:t>, ו</w:t>
      </w:r>
      <w:r w:rsidRPr="00E303AD">
        <w:rPr>
          <w:rFonts w:eastAsia="Calibri"/>
          <w:rtl/>
        </w:rPr>
        <w:t>במסגרת</w:t>
      </w:r>
      <w:r w:rsidRPr="00E303AD">
        <w:rPr>
          <w:rFonts w:eastAsia="Calibri" w:hint="cs"/>
          <w:rtl/>
        </w:rPr>
        <w:t>ה</w:t>
      </w:r>
      <w:r w:rsidRPr="00E303AD">
        <w:rPr>
          <w:rFonts w:eastAsia="Calibri"/>
          <w:rtl/>
        </w:rPr>
        <w:t xml:space="preserve"> מנהלת מרפאת לוינסקי </w:t>
      </w:r>
      <w:r w:rsidRPr="00E303AD">
        <w:rPr>
          <w:rFonts w:eastAsia="Calibri" w:hint="cs"/>
          <w:rtl/>
        </w:rPr>
        <w:t>ו</w:t>
      </w:r>
      <w:r w:rsidRPr="00E303AD">
        <w:rPr>
          <w:rFonts w:eastAsia="Calibri"/>
          <w:rtl/>
        </w:rPr>
        <w:t>נציגי מטה</w:t>
      </w:r>
      <w:r w:rsidRPr="00E303AD">
        <w:rPr>
          <w:rFonts w:eastAsia="Calibri" w:hint="cs"/>
          <w:rtl/>
        </w:rPr>
        <w:t xml:space="preserve"> </w:t>
      </w:r>
      <w:r w:rsidRPr="00E303AD">
        <w:rPr>
          <w:rFonts w:eastAsia="Calibri"/>
          <w:rtl/>
        </w:rPr>
        <w:t>משטרת ישראל השתתפ</w:t>
      </w:r>
      <w:r w:rsidRPr="00E303AD">
        <w:rPr>
          <w:rFonts w:eastAsia="Calibri" w:hint="cs"/>
          <w:rtl/>
        </w:rPr>
        <w:t>ו בפגישה ש</w:t>
      </w:r>
      <w:r w:rsidRPr="00E303AD">
        <w:rPr>
          <w:rFonts w:eastAsia="Calibri"/>
          <w:rtl/>
        </w:rPr>
        <w:t>בה נדונו לקחים מה</w:t>
      </w:r>
      <w:r w:rsidRPr="00E303AD">
        <w:rPr>
          <w:rFonts w:eastAsia="Calibri" w:hint="cs"/>
          <w:rtl/>
        </w:rPr>
        <w:t>ה</w:t>
      </w:r>
      <w:r w:rsidRPr="00E303AD">
        <w:rPr>
          <w:rFonts w:eastAsia="Calibri"/>
          <w:rtl/>
        </w:rPr>
        <w:t xml:space="preserve">תנהלות </w:t>
      </w:r>
      <w:r w:rsidRPr="00E303AD">
        <w:rPr>
          <w:rFonts w:eastAsia="Calibri" w:hint="cs"/>
          <w:rtl/>
        </w:rPr>
        <w:t>ה</w:t>
      </w:r>
      <w:r w:rsidRPr="00E303AD">
        <w:rPr>
          <w:rFonts w:eastAsia="Calibri"/>
          <w:rtl/>
        </w:rPr>
        <w:t>קודמת והוצגו מודלים לשיתוף פעולה עתידי הכולל</w:t>
      </w:r>
      <w:r w:rsidRPr="00E303AD">
        <w:rPr>
          <w:rFonts w:eastAsia="Calibri" w:hint="cs"/>
          <w:rtl/>
        </w:rPr>
        <w:t xml:space="preserve"> </w:t>
      </w:r>
      <w:r w:rsidRPr="00E303AD">
        <w:rPr>
          <w:rFonts w:eastAsia="Calibri"/>
          <w:rtl/>
        </w:rPr>
        <w:t xml:space="preserve">היערכות משולבת של </w:t>
      </w:r>
      <w:r w:rsidRPr="00E303AD">
        <w:rPr>
          <w:rFonts w:eastAsia="Calibri" w:hint="cs"/>
          <w:rtl/>
        </w:rPr>
        <w:t>ה</w:t>
      </w:r>
      <w:r w:rsidRPr="00E303AD">
        <w:rPr>
          <w:rFonts w:eastAsia="Calibri"/>
          <w:rtl/>
        </w:rPr>
        <w:t>משטרה, רשויות מקומיות ומשרד הרווחה</w:t>
      </w:r>
      <w:r w:rsidRPr="00E303AD">
        <w:rPr>
          <w:rFonts w:eastAsia="Calibri" w:hint="cs"/>
          <w:rtl/>
        </w:rPr>
        <w:t xml:space="preserve"> למאבק בתופעה.</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בתשובת המשטרה צוין כי בסוף שנת 2025 </w:t>
      </w:r>
      <w:r w:rsidRPr="00E303AD">
        <w:rPr>
          <w:rFonts w:eastAsia="Calibri"/>
          <w:rtl/>
        </w:rPr>
        <w:t>חוזק הקשר בין נציגת משרד הבריאות לר</w:t>
      </w:r>
      <w:r w:rsidRPr="00E303AD">
        <w:rPr>
          <w:rFonts w:eastAsia="Calibri" w:hint="cs"/>
          <w:rtl/>
        </w:rPr>
        <w:t>אש</w:t>
      </w:r>
      <w:r w:rsidRPr="00E303AD">
        <w:rPr>
          <w:rFonts w:eastAsia="Calibri"/>
          <w:rtl/>
        </w:rPr>
        <w:t xml:space="preserve"> חו</w:t>
      </w:r>
      <w:r w:rsidRPr="00E303AD">
        <w:rPr>
          <w:rFonts w:eastAsia="Calibri" w:hint="cs"/>
          <w:rtl/>
        </w:rPr>
        <w:t>ליית</w:t>
      </w:r>
      <w:r w:rsidRPr="00E303AD">
        <w:rPr>
          <w:rFonts w:eastAsia="Calibri"/>
          <w:rtl/>
        </w:rPr>
        <w:t xml:space="preserve"> סחר</w:t>
      </w:r>
      <w:r w:rsidRPr="00E303AD">
        <w:rPr>
          <w:rFonts w:eastAsia="Calibri" w:hint="cs"/>
          <w:rtl/>
        </w:rPr>
        <w:t xml:space="preserve"> בבני אדם. האחרונה מצויה</w:t>
      </w:r>
      <w:r w:rsidRPr="00E303AD">
        <w:rPr>
          <w:rFonts w:eastAsia="Calibri"/>
          <w:rtl/>
        </w:rPr>
        <w:t xml:space="preserve"> </w:t>
      </w:r>
      <w:r w:rsidRPr="00E303AD">
        <w:rPr>
          <w:rFonts w:eastAsia="Calibri" w:hint="cs"/>
          <w:rtl/>
        </w:rPr>
        <w:t>ב</w:t>
      </w:r>
      <w:r w:rsidRPr="00E303AD">
        <w:rPr>
          <w:rFonts w:eastAsia="Calibri"/>
          <w:rtl/>
        </w:rPr>
        <w:t xml:space="preserve">קשר </w:t>
      </w:r>
      <w:r w:rsidRPr="00E303AD">
        <w:rPr>
          <w:rFonts w:eastAsia="Calibri" w:hint="cs"/>
          <w:rtl/>
        </w:rPr>
        <w:t>גם עם</w:t>
      </w:r>
      <w:r w:rsidRPr="00E303AD">
        <w:rPr>
          <w:rFonts w:eastAsia="Calibri"/>
          <w:rtl/>
        </w:rPr>
        <w:t xml:space="preserve"> נציגי מרפאת לוינסקי</w:t>
      </w:r>
      <w:r w:rsidRPr="00E303AD">
        <w:rPr>
          <w:rFonts w:eastAsia="Calibri" w:hint="cs"/>
          <w:rtl/>
        </w:rPr>
        <w:t>.</w:t>
      </w:r>
      <w:r w:rsidRPr="00E303AD">
        <w:rPr>
          <w:rFonts w:eastAsia="Calibri"/>
          <w:rtl/>
        </w:rPr>
        <w:t xml:space="preserve"> גורמי אח״</w:t>
      </w:r>
      <w:r w:rsidRPr="00E303AD">
        <w:rPr>
          <w:rFonts w:eastAsia="Calibri" w:hint="cs"/>
          <w:rtl/>
        </w:rPr>
        <w:t>ם</w:t>
      </w:r>
      <w:r w:rsidRPr="00E303AD">
        <w:rPr>
          <w:rFonts w:eastAsia="Calibri"/>
          <w:rtl/>
        </w:rPr>
        <w:t xml:space="preserve"> (חטיבת המודיעין) </w:t>
      </w:r>
      <w:r w:rsidRPr="00E303AD">
        <w:rPr>
          <w:rFonts w:eastAsia="Calibri" w:hint="cs"/>
          <w:rtl/>
        </w:rPr>
        <w:t xml:space="preserve">יבחנו את הנושא </w:t>
      </w:r>
      <w:r w:rsidRPr="00E303AD">
        <w:rPr>
          <w:rFonts w:eastAsia="Calibri"/>
          <w:rtl/>
        </w:rPr>
        <w:t xml:space="preserve">עם נציגי משרד הבריאות המחזיקים במידע </w:t>
      </w:r>
      <w:r w:rsidRPr="00E303AD">
        <w:rPr>
          <w:rFonts w:eastAsia="Calibri" w:hint="cs"/>
          <w:rtl/>
        </w:rPr>
        <w:t xml:space="preserve">על </w:t>
      </w:r>
      <w:r w:rsidRPr="00E303AD">
        <w:rPr>
          <w:rFonts w:eastAsia="Calibri"/>
          <w:rtl/>
        </w:rPr>
        <w:t xml:space="preserve">אתרי הזנות. </w:t>
      </w:r>
      <w:r w:rsidRPr="00E303AD">
        <w:rPr>
          <w:rFonts w:eastAsia="Calibri" w:hint="cs"/>
          <w:rtl/>
        </w:rPr>
        <w:t>גם בתשובת המשרד לבל"ם צוין כי הוא יפעל לקדם את השיח בין הגורמים השונים.</w:t>
      </w:r>
    </w:p>
    <w:p w:rsidR="00E303AD" w:rsidRPr="00E303AD" w:rsidP="00E303AD">
      <w:pPr>
        <w:spacing w:line="269" w:lineRule="auto"/>
        <w:rPr>
          <w:rFonts w:eastAsia="Calibri"/>
          <w:b/>
          <w:bCs/>
          <w:rtl/>
        </w:rPr>
      </w:pPr>
    </w:p>
    <w:p w:rsidR="00E303AD" w:rsidRPr="00E303AD" w:rsidP="00E303AD">
      <w:pPr>
        <w:spacing w:line="269" w:lineRule="auto"/>
        <w:rPr>
          <w:rFonts w:eastAsia="Calibri"/>
          <w:b/>
          <w:bCs/>
          <w:rtl/>
        </w:rPr>
      </w:pPr>
      <w:r w:rsidRPr="00E303AD">
        <w:rPr>
          <w:rFonts w:eastAsia="Calibri"/>
          <w:noProof/>
        </w:rPr>
        <w:drawing>
          <wp:inline distT="0" distB="0" distL="0" distR="0">
            <wp:extent cx="5220335" cy="1122680"/>
            <wp:effectExtent l="0" t="0" r="0" b="1270"/>
            <wp:docPr id="72" name="תמונה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xmlns:r="http://schemas.openxmlformats.org/officeDocument/2006/relationships" r:embed="rId20"/>
                    <a:stretch>
                      <a:fillRect/>
                    </a:stretch>
                  </pic:blipFill>
                  <pic:spPr>
                    <a:xfrm>
                      <a:off x="0" y="0"/>
                      <a:ext cx="5220335" cy="1122680"/>
                    </a:xfrm>
                    <a:prstGeom prst="rect">
                      <a:avLst/>
                    </a:prstGeom>
                  </pic:spPr>
                </pic:pic>
              </a:graphicData>
            </a:graphic>
          </wp:inline>
        </w:drawing>
      </w:r>
    </w:p>
    <w:p w:rsidR="00E303AD" w:rsidRPr="00E303AD" w:rsidP="00E303AD">
      <w:pPr>
        <w:bidi w:val="0"/>
        <w:spacing w:line="269" w:lineRule="auto"/>
        <w:rPr>
          <w:rFonts w:eastAsia="Times New Roman"/>
          <w:bCs/>
          <w:szCs w:val="26"/>
          <w:rtl/>
        </w:rPr>
      </w:pPr>
      <w:bookmarkStart w:id="74" w:name="_Toc221474973"/>
      <w:r w:rsidRPr="00E303AD">
        <w:rPr>
          <w:rFonts w:eastAsia="Times New Roman"/>
          <w:bCs/>
          <w:szCs w:val="26"/>
          <w:rtl/>
        </w:rPr>
        <w:br w:type="page"/>
      </w:r>
    </w:p>
    <w:p w:rsidR="00E303AD" w:rsidRPr="00E303AD" w:rsidP="00E303AD">
      <w:pPr>
        <w:keepNext/>
        <w:keepLines/>
        <w:spacing w:line="269" w:lineRule="auto"/>
        <w:outlineLvl w:val="2"/>
        <w:rPr>
          <w:rFonts w:eastAsia="Times New Roman"/>
          <w:bCs/>
          <w:szCs w:val="28"/>
          <w:u w:val="single"/>
          <w:rtl/>
        </w:rPr>
      </w:pPr>
      <w:bookmarkStart w:id="75" w:name="_Toc224808280"/>
      <w:r w:rsidRPr="00E303AD">
        <w:rPr>
          <w:rFonts w:eastAsia="Times New Roman" w:hint="cs"/>
          <w:bCs/>
          <w:szCs w:val="28"/>
          <w:u w:val="single"/>
          <w:rtl/>
        </w:rPr>
        <w:t>יעדי האכיפה של חוק איסור צריכת זנות</w:t>
      </w:r>
      <w:bookmarkEnd w:id="74"/>
      <w:bookmarkEnd w:id="75"/>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כאמור, חוק איסור צריכת זנות נקבע כהוראת שעה בשנת 2020 לתקופה של חמש שנים, ומטרתו להביא לצמצום תופעת הזנות מתוך הכרה במאפייניה הפוגעניים של הזנות ובנזקים הכרוכים בה. בהוראת השעה נקבע כי החוק יעמוד בתוקפו עד יולי 2025, ובתקופה זו ייבחנו אופן יישומו ומידת השפעתו על השגת המטרות שהוגדרו.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פעילות המשטרה בתקופת הוראת השעה חיונית, בין היתר, לצורך בחינת אפקטיביות החוק עם פקיעת תוקפה של הוראת השעה. על כך עמד גם המשנה ליועצת המשפטית לממשלה במכתבו לראש אח"ם מדצמבר 2024 - במכתב זה הוא ביקש כי </w:t>
      </w:r>
      <w:r w:rsidRPr="00E303AD">
        <w:rPr>
          <w:rFonts w:eastAsia="Calibri"/>
          <w:rtl/>
        </w:rPr>
        <w:t xml:space="preserve">לקראת פקיעת </w:t>
      </w:r>
      <w:r w:rsidRPr="00E303AD">
        <w:rPr>
          <w:rFonts w:eastAsia="Calibri" w:hint="cs"/>
          <w:rtl/>
        </w:rPr>
        <w:t xml:space="preserve">תוקפה של </w:t>
      </w:r>
      <w:r w:rsidRPr="00E303AD">
        <w:rPr>
          <w:rFonts w:eastAsia="Calibri"/>
          <w:rtl/>
        </w:rPr>
        <w:t xml:space="preserve">הוראת השעה ביולי 2025 ייבחנו דרכים </w:t>
      </w:r>
      <w:r w:rsidRPr="00E303AD">
        <w:rPr>
          <w:rFonts w:eastAsia="Calibri" w:hint="cs"/>
          <w:rtl/>
        </w:rPr>
        <w:t>למתן עדיפות גבוהה ככל האפשר</w:t>
      </w:r>
      <w:r w:rsidRPr="00E303AD">
        <w:rPr>
          <w:rFonts w:eastAsia="Calibri"/>
          <w:rtl/>
        </w:rPr>
        <w:t xml:space="preserve"> </w:t>
      </w:r>
      <w:r w:rsidRPr="00E303AD">
        <w:rPr>
          <w:rFonts w:eastAsia="Calibri" w:hint="cs"/>
          <w:rtl/>
        </w:rPr>
        <w:t>ל</w:t>
      </w:r>
      <w:r w:rsidRPr="00E303AD">
        <w:rPr>
          <w:rFonts w:eastAsia="Calibri"/>
          <w:rtl/>
        </w:rPr>
        <w:t>אכיפה בתחום</w:t>
      </w:r>
      <w:r w:rsidRPr="00E303AD">
        <w:rPr>
          <w:rFonts w:eastAsia="Calibri" w:hint="cs"/>
          <w:rtl/>
        </w:rPr>
        <w:t xml:space="preserve"> הזנות</w:t>
      </w:r>
      <w:r w:rsidRPr="00E303AD">
        <w:rPr>
          <w:rFonts w:eastAsia="Calibri"/>
          <w:rtl/>
        </w:rPr>
        <w:t xml:space="preserve">. </w:t>
      </w:r>
      <w:r w:rsidRPr="00E303AD">
        <w:rPr>
          <w:rFonts w:eastAsia="Calibri" w:hint="cs"/>
          <w:rtl/>
        </w:rPr>
        <w:t>הדבר נועד להביא לצמצום</w:t>
      </w:r>
      <w:r w:rsidRPr="00E303AD">
        <w:rPr>
          <w:rFonts w:eastAsia="Calibri"/>
          <w:rtl/>
        </w:rPr>
        <w:t xml:space="preserve"> התופעה </w:t>
      </w:r>
      <w:r w:rsidRPr="00E303AD">
        <w:rPr>
          <w:rFonts w:eastAsia="Calibri" w:hint="cs"/>
          <w:rtl/>
        </w:rPr>
        <w:t>ולאפשר קבלת</w:t>
      </w:r>
      <w:r w:rsidRPr="00E303AD">
        <w:rPr>
          <w:rFonts w:eastAsia="Calibri"/>
          <w:rtl/>
        </w:rPr>
        <w:t xml:space="preserve"> </w:t>
      </w:r>
      <w:r w:rsidRPr="00E303AD">
        <w:rPr>
          <w:rFonts w:eastAsia="Calibri" w:hint="cs"/>
          <w:rtl/>
        </w:rPr>
        <w:t xml:space="preserve">החלטה </w:t>
      </w:r>
      <w:r w:rsidRPr="00E303AD">
        <w:rPr>
          <w:rFonts w:eastAsia="Calibri"/>
          <w:rtl/>
        </w:rPr>
        <w:t>מבוססת לגבי המשך החקיקה</w:t>
      </w:r>
      <w:r w:rsidRPr="00E303AD">
        <w:rPr>
          <w:rFonts w:eastAsia="Calibri" w:hint="cs"/>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numPr>
          <w:ilvl w:val="0"/>
          <w:numId w:val="22"/>
        </w:numPr>
        <w:spacing w:line="269" w:lineRule="auto"/>
        <w:ind w:left="312"/>
        <w:contextualSpacing/>
        <w:rPr>
          <w:rFonts w:eastAsia="Calibri"/>
          <w:rtl/>
        </w:rPr>
      </w:pPr>
      <w:bookmarkStart w:id="76" w:name="_Hlk218778726"/>
      <w:bookmarkStart w:id="77" w:name="_Hlk215386950"/>
      <w:r w:rsidRPr="00E303AD">
        <w:rPr>
          <w:rFonts w:eastAsia="Calibri"/>
          <w:rtl/>
        </w:rPr>
        <w:t>במסגרת תהליך התכנון השנתי קובע א</w:t>
      </w:r>
      <w:r w:rsidRPr="00E303AD">
        <w:rPr>
          <w:rFonts w:eastAsia="Calibri" w:hint="cs"/>
          <w:rtl/>
        </w:rPr>
        <w:t xml:space="preserve">ח"ם </w:t>
      </w:r>
      <w:r w:rsidRPr="00E303AD">
        <w:rPr>
          <w:rFonts w:eastAsia="Calibri"/>
          <w:rtl/>
        </w:rPr>
        <w:t>יעדי אכיפה ארציים (</w:t>
      </w:r>
      <w:r w:rsidRPr="00E303AD">
        <w:rPr>
          <w:rFonts w:eastAsia="Calibri" w:hint="cs"/>
          <w:rtl/>
        </w:rPr>
        <w:t xml:space="preserve">להלן - </w:t>
      </w:r>
      <w:r w:rsidRPr="00E303AD">
        <w:rPr>
          <w:rFonts w:eastAsia="Calibri"/>
          <w:rtl/>
        </w:rPr>
        <w:t xml:space="preserve">יעדי אח"ם) המבוססים על </w:t>
      </w:r>
      <w:r w:rsidRPr="00E303AD">
        <w:rPr>
          <w:rFonts w:eastAsia="Calibri" w:hint="cs"/>
          <w:rtl/>
        </w:rPr>
        <w:t>תמונת המודיעין</w:t>
      </w:r>
      <w:r w:rsidRPr="00E303AD">
        <w:rPr>
          <w:rFonts w:eastAsia="Calibri"/>
          <w:rtl/>
        </w:rPr>
        <w:t xml:space="preserve"> של איומי הפשיעה והסדר הציבורי. יעדים אלה נועדו למקד את פעילות המשטרה במטרות-העל שקבע המפכ"ל ולהתמודד עם אתגרי השעה בהיבטי </w:t>
      </w:r>
      <w:r w:rsidRPr="00E303AD">
        <w:rPr>
          <w:rFonts w:eastAsia="Calibri" w:hint="cs"/>
          <w:rtl/>
        </w:rPr>
        <w:t>ה</w:t>
      </w:r>
      <w:r w:rsidRPr="00E303AD">
        <w:rPr>
          <w:rFonts w:eastAsia="Calibri"/>
          <w:rtl/>
        </w:rPr>
        <w:t xml:space="preserve">אכיפה, </w:t>
      </w:r>
      <w:r w:rsidRPr="00E303AD">
        <w:rPr>
          <w:rFonts w:eastAsia="Calibri" w:hint="cs"/>
          <w:rtl/>
        </w:rPr>
        <w:t>ה</w:t>
      </w:r>
      <w:r w:rsidRPr="00E303AD">
        <w:rPr>
          <w:rFonts w:eastAsia="Calibri"/>
          <w:rtl/>
        </w:rPr>
        <w:t>סיכול ו</w:t>
      </w:r>
      <w:r w:rsidRPr="00E303AD">
        <w:rPr>
          <w:rFonts w:eastAsia="Calibri" w:hint="cs"/>
          <w:rtl/>
        </w:rPr>
        <w:t>ה</w:t>
      </w:r>
      <w:r w:rsidRPr="00E303AD">
        <w:rPr>
          <w:rFonts w:eastAsia="Calibri"/>
          <w:rtl/>
        </w:rPr>
        <w:t>מניעה.</w:t>
      </w:r>
      <w:r w:rsidRPr="00E303AD">
        <w:rPr>
          <w:rFonts w:eastAsia="Calibri" w:hint="cs"/>
          <w:rtl/>
        </w:rPr>
        <w:t xml:space="preserve"> תמונת המודיעין כוללת גם מידע על בתי בושת וזירות זנות באזור שבתחום אחריותן של תחנות המשטרה.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ind w:left="312"/>
        <w:rPr>
          <w:rFonts w:eastAsia="Calibri"/>
          <w:b/>
          <w:bCs/>
          <w:rtl/>
        </w:rPr>
      </w:pPr>
      <w:r w:rsidRPr="00E303AD">
        <w:rPr>
          <w:rFonts w:eastAsia="Calibri"/>
          <w:rtl/>
        </w:rPr>
        <w:t xml:space="preserve">במהלך דיון </w:t>
      </w:r>
      <w:r w:rsidRPr="00E303AD">
        <w:rPr>
          <w:rFonts w:eastAsia="Calibri" w:hint="cs"/>
          <w:rtl/>
        </w:rPr>
        <w:t>שהתקיים</w:t>
      </w:r>
      <w:r w:rsidRPr="00E303AD">
        <w:rPr>
          <w:rFonts w:eastAsia="Calibri"/>
          <w:rtl/>
        </w:rPr>
        <w:t xml:space="preserve"> בראשות ר</w:t>
      </w:r>
      <w:r w:rsidRPr="00E303AD">
        <w:rPr>
          <w:rFonts w:eastAsia="Calibri" w:hint="cs"/>
          <w:rtl/>
        </w:rPr>
        <w:t>אש</w:t>
      </w:r>
      <w:r w:rsidRPr="00E303AD">
        <w:rPr>
          <w:rFonts w:eastAsia="Calibri"/>
          <w:rtl/>
        </w:rPr>
        <w:t xml:space="preserve"> אח</w:t>
      </w:r>
      <w:r w:rsidRPr="00E303AD">
        <w:rPr>
          <w:rFonts w:eastAsia="Calibri" w:hint="cs"/>
          <w:rtl/>
        </w:rPr>
        <w:t>"ם</w:t>
      </w:r>
      <w:r w:rsidRPr="00E303AD">
        <w:rPr>
          <w:rFonts w:eastAsia="Calibri"/>
          <w:rtl/>
        </w:rPr>
        <w:t xml:space="preserve"> בנושא חוק איסור צריכת זנות</w:t>
      </w:r>
      <w:r w:rsidRPr="00E303AD">
        <w:rPr>
          <w:rFonts w:eastAsia="Calibri" w:hint="cs"/>
          <w:rtl/>
        </w:rPr>
        <w:t xml:space="preserve"> ביולי 2024</w:t>
      </w:r>
      <w:r w:rsidRPr="00E303AD">
        <w:rPr>
          <w:rFonts w:eastAsia="Calibri"/>
          <w:rtl/>
        </w:rPr>
        <w:t xml:space="preserve"> עלה כי </w:t>
      </w:r>
      <w:r w:rsidRPr="00E303AD">
        <w:rPr>
          <w:rFonts w:eastAsia="Calibri" w:hint="cs"/>
          <w:rtl/>
        </w:rPr>
        <w:t xml:space="preserve">יש </w:t>
      </w:r>
      <w:r w:rsidRPr="00E303AD">
        <w:rPr>
          <w:rFonts w:eastAsia="Calibri"/>
          <w:rtl/>
        </w:rPr>
        <w:t>למשטרה</w:t>
      </w:r>
      <w:r w:rsidRPr="00E303AD">
        <w:rPr>
          <w:rFonts w:eastAsia="Calibri" w:hint="cs"/>
          <w:rtl/>
        </w:rPr>
        <w:t xml:space="preserve"> מידע שאפשר ללמוד ממנו</w:t>
      </w:r>
      <w:r w:rsidRPr="00E303AD">
        <w:rPr>
          <w:rFonts w:eastAsia="Calibri"/>
          <w:rtl/>
        </w:rPr>
        <w:t xml:space="preserve"> על מוקדים שבהם מתקיימת תופעת הזנות</w:t>
      </w:r>
      <w:r w:rsidRPr="00E303AD">
        <w:rPr>
          <w:rFonts w:eastAsia="Calibri" w:hint="cs"/>
          <w:rtl/>
        </w:rPr>
        <w:t xml:space="preserve">, וכי </w:t>
      </w:r>
      <w:r w:rsidRPr="00E303AD">
        <w:rPr>
          <w:rFonts w:eastAsia="Calibri"/>
          <w:rtl/>
        </w:rPr>
        <w:t xml:space="preserve">פעולות האכיפה </w:t>
      </w:r>
      <w:r w:rsidRPr="00E303AD">
        <w:rPr>
          <w:rFonts w:eastAsia="Calibri" w:hint="cs"/>
          <w:rtl/>
        </w:rPr>
        <w:t xml:space="preserve">בנושא </w:t>
      </w:r>
      <w:r w:rsidRPr="00E303AD">
        <w:rPr>
          <w:rFonts w:eastAsia="Calibri"/>
          <w:rtl/>
        </w:rPr>
        <w:t>אינן מורכבות מ</w:t>
      </w:r>
      <w:r w:rsidRPr="00E303AD">
        <w:rPr>
          <w:rFonts w:eastAsia="Calibri" w:hint="cs"/>
          <w:rtl/>
        </w:rPr>
        <w:t>ה</w:t>
      </w:r>
      <w:r w:rsidRPr="00E303AD">
        <w:rPr>
          <w:rFonts w:eastAsia="Calibri"/>
          <w:rtl/>
        </w:rPr>
        <w:t xml:space="preserve">בחינה </w:t>
      </w:r>
      <w:r w:rsidRPr="00E303AD">
        <w:rPr>
          <w:rFonts w:eastAsia="Calibri" w:hint="cs"/>
          <w:rtl/>
        </w:rPr>
        <w:t>ה</w:t>
      </w:r>
      <w:r w:rsidRPr="00E303AD">
        <w:rPr>
          <w:rFonts w:eastAsia="Calibri"/>
          <w:rtl/>
        </w:rPr>
        <w:t>מקצועית</w:t>
      </w:r>
      <w:r w:rsidRPr="00E303AD">
        <w:rPr>
          <w:rFonts w:eastAsia="Calibri" w:hint="cs"/>
          <w:rtl/>
        </w:rPr>
        <w:t>, אך הוא</w:t>
      </w:r>
      <w:r w:rsidRPr="00E303AD">
        <w:rPr>
          <w:rFonts w:eastAsia="Calibri"/>
          <w:rtl/>
        </w:rPr>
        <w:t xml:space="preserve"> בתחתית סדר העדיפויות</w:t>
      </w:r>
      <w:r w:rsidRPr="00E303AD">
        <w:rPr>
          <w:rFonts w:eastAsia="Calibri" w:hint="cs"/>
          <w:rtl/>
        </w:rPr>
        <w:t xml:space="preserve"> של המשטרה. זאת,</w:t>
      </w:r>
      <w:r w:rsidRPr="00E303AD">
        <w:rPr>
          <w:rFonts w:eastAsia="Calibri"/>
          <w:rtl/>
        </w:rPr>
        <w:t xml:space="preserve"> אף שידוע כי תופעת הזנות לא נעלמה, ו</w:t>
      </w:r>
      <w:r w:rsidRPr="00E303AD">
        <w:rPr>
          <w:rFonts w:eastAsia="Calibri" w:hint="cs"/>
          <w:rtl/>
        </w:rPr>
        <w:t xml:space="preserve">כי </w:t>
      </w:r>
      <w:r w:rsidRPr="00E303AD">
        <w:rPr>
          <w:rFonts w:eastAsia="Calibri"/>
          <w:rtl/>
        </w:rPr>
        <w:t>מכוני ליווי ובתי בושת ממשיכים לפעול</w:t>
      </w:r>
      <w:r w:rsidRPr="00E303AD">
        <w:rPr>
          <w:rFonts w:eastAsia="Calibri" w:hint="cs"/>
          <w:rtl/>
        </w:rPr>
        <w:t xml:space="preserve"> כעניין שבשגרה</w:t>
      </w:r>
      <w:r w:rsidRPr="00E303AD">
        <w:rPr>
          <w:rFonts w:eastAsia="Calibri"/>
          <w:rtl/>
        </w:rPr>
        <w:t>.</w:t>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ind w:left="312"/>
        <w:rPr>
          <w:rFonts w:eastAsia="Calibri"/>
          <w:rtl/>
        </w:rPr>
      </w:pPr>
      <w:r w:rsidRPr="00E303AD">
        <w:rPr>
          <w:rFonts w:eastAsia="Calibri" w:hint="cs"/>
          <w:rtl/>
        </w:rPr>
        <w:t>בדיון</w:t>
      </w:r>
      <w:r w:rsidRPr="00E303AD">
        <w:rPr>
          <w:rFonts w:eastAsia="Calibri"/>
          <w:rtl/>
        </w:rPr>
        <w:t xml:space="preserve"> נקבע כי יש להגדיר יעדים ברורים</w:t>
      </w:r>
      <w:r w:rsidRPr="00E303AD">
        <w:rPr>
          <w:rFonts w:eastAsia="Calibri" w:hint="cs"/>
          <w:rtl/>
        </w:rPr>
        <w:t xml:space="preserve"> לאכיפה</w:t>
      </w:r>
      <w:r w:rsidRPr="00E303AD">
        <w:rPr>
          <w:rFonts w:eastAsia="Calibri"/>
          <w:rtl/>
        </w:rPr>
        <w:t xml:space="preserve">, וכי </w:t>
      </w:r>
      <w:r w:rsidRPr="00E303AD">
        <w:rPr>
          <w:rFonts w:eastAsia="Calibri" w:hint="cs"/>
          <w:rtl/>
        </w:rPr>
        <w:t>אם המשטרה תפנה לנושא אפילו תשומת לב מועטה, עשוי לחול גידול</w:t>
      </w:r>
      <w:r w:rsidRPr="00E303AD">
        <w:rPr>
          <w:rFonts w:eastAsia="Calibri"/>
          <w:rtl/>
        </w:rPr>
        <w:t xml:space="preserve"> </w:t>
      </w:r>
      <w:r w:rsidRPr="00E303AD">
        <w:rPr>
          <w:rFonts w:eastAsia="Calibri" w:hint="cs"/>
          <w:rtl/>
        </w:rPr>
        <w:t>ניכר</w:t>
      </w:r>
      <w:r w:rsidRPr="00E303AD">
        <w:rPr>
          <w:rFonts w:eastAsia="Calibri"/>
          <w:rtl/>
        </w:rPr>
        <w:t xml:space="preserve"> בהיקף האכיפה, הן בשטח והן במרחב המקוון.</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ind w:left="312"/>
        <w:rPr>
          <w:rFonts w:eastAsia="Calibri"/>
          <w:rtl/>
        </w:rPr>
      </w:pPr>
      <w:r w:rsidRPr="00E303AD">
        <w:rPr>
          <w:rFonts w:eastAsia="Calibri" w:hint="cs"/>
          <w:rtl/>
        </w:rPr>
        <w:t>במסמך של ראש חוליית סחר בבני אדם מפברואר 2025 צוין כי "</w:t>
      </w:r>
      <w:r w:rsidRPr="00E303AD">
        <w:rPr>
          <w:rFonts w:ascii="David" w:eastAsia="Calibri" w:hAnsi="David" w:hint="cs"/>
          <w:rtl/>
        </w:rPr>
        <w:t>מתוך ראיית חשיבות החוק, אשר תוקפו יוארך בחודש יולי הקרוב [2025], וכן לאור ההיבטים הבין-לאומיים של המאבק בזנות, הוחלט על יעדי אכיפה בתחום זה. יצוין כי זהות התחנות והיקף האכיפה נקבעו בהתבסס על תמונת המודיעין".</w:t>
      </w:r>
      <w:r w:rsidRPr="00E303AD">
        <w:rPr>
          <w:rFonts w:eastAsia="Calibri" w:hint="cs"/>
          <w:rtl/>
        </w:rPr>
        <w:t xml:space="preserve"> בהתאם לכך, ובמסגרת תוכנית המדידה השנתית "בראשית", קבע ראש אח"ם יעדים בנוגע למספר הקנסות שיוטלו בחלק מתחנות המשטרה בשנת 2025.</w:t>
      </w:r>
    </w:p>
    <w:bookmarkEnd w:id="76"/>
    <w:bookmarkEnd w:id="77"/>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ind w:left="312"/>
        <w:rPr>
          <w:rFonts w:eastAsia="Calibri"/>
          <w:b/>
          <w:bCs/>
          <w:rtl/>
        </w:rPr>
      </w:pPr>
      <w:bookmarkStart w:id="78" w:name="_Hlk215386984"/>
      <w:r w:rsidRPr="00E303AD">
        <w:rPr>
          <w:rFonts w:eastAsia="Calibri" w:hint="cs"/>
          <w:b/>
          <w:bCs/>
          <w:rtl/>
        </w:rPr>
        <w:t>אף שהוראת השעה לעניין חוק איסור צריכת זנות נכנסה לתוקפה ביולי 2020, הביקורת העלתה כי עד שנת 2025 המשטרה לא קבעה יעדים (יעדי אח"ם ארציים) בנוגע למספר הקנסות שיוטלו בגין צריכת זנות בהתאם לחוק. זאת אף שחשוב, דווקא בתקופת הביניים שבה חלה הוראת השעה, לשים דגש על יישום הוראות החוק באופן שיאפשר לבחון את השפעתו לקראת ההחלטה בדבר הארכת תוקפו. בסוף שנת 2024 נקבעו יעדים בנוגע למספר הקנסות שיוטלו בגין צריכת זנות בשנת 2025. ואכן, בשנת 2025 חל גידול של ממש במספר הקנסות, אשר להערכת המשטרה עצמה נובע, בין היתר, מהצבת יעדי אח"ם.</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ind w:left="312"/>
        <w:rPr>
          <w:rFonts w:eastAsia="Calibri"/>
          <w:rtl/>
        </w:rPr>
      </w:pPr>
      <w:r w:rsidRPr="00E303AD">
        <w:rPr>
          <w:rFonts w:eastAsia="Calibri" w:hint="cs"/>
          <w:rtl/>
        </w:rPr>
        <w:t xml:space="preserve">בתשובת המשטרה צוין כי </w:t>
      </w:r>
      <w:r w:rsidRPr="00E303AD">
        <w:rPr>
          <w:rFonts w:eastAsia="Calibri"/>
          <w:rtl/>
        </w:rPr>
        <w:t xml:space="preserve">אכיפת </w:t>
      </w:r>
      <w:r w:rsidRPr="00E303AD">
        <w:rPr>
          <w:rFonts w:eastAsia="Calibri" w:hint="cs"/>
          <w:rtl/>
        </w:rPr>
        <w:t>ה</w:t>
      </w:r>
      <w:r w:rsidRPr="00E303AD">
        <w:rPr>
          <w:rFonts w:eastAsia="Calibri"/>
          <w:rtl/>
        </w:rPr>
        <w:t xml:space="preserve">איסור </w:t>
      </w:r>
      <w:r w:rsidRPr="00E303AD">
        <w:rPr>
          <w:rFonts w:eastAsia="Calibri" w:hint="cs"/>
          <w:rtl/>
        </w:rPr>
        <w:t xml:space="preserve">על </w:t>
      </w:r>
      <w:r w:rsidRPr="00E303AD">
        <w:rPr>
          <w:rFonts w:eastAsia="Calibri"/>
          <w:rtl/>
        </w:rPr>
        <w:t xml:space="preserve">צריכת הזנות </w:t>
      </w:r>
      <w:r w:rsidRPr="00E303AD">
        <w:rPr>
          <w:rFonts w:eastAsia="Calibri" w:hint="eastAsia"/>
          <w:rtl/>
        </w:rPr>
        <w:t>קיב</w:t>
      </w:r>
      <w:r w:rsidRPr="00E303AD">
        <w:rPr>
          <w:rFonts w:eastAsia="Calibri" w:hint="cs"/>
          <w:rtl/>
        </w:rPr>
        <w:t xml:space="preserve">לה </w:t>
      </w:r>
      <w:r w:rsidRPr="00E303AD">
        <w:rPr>
          <w:rFonts w:eastAsia="Calibri"/>
          <w:rtl/>
        </w:rPr>
        <w:t>ביטוי בקביעת הנושא כאחד מיעדי ר</w:t>
      </w:r>
      <w:r w:rsidRPr="00E303AD">
        <w:rPr>
          <w:rFonts w:eastAsia="Calibri" w:hint="cs"/>
          <w:rtl/>
        </w:rPr>
        <w:t>אש</w:t>
      </w:r>
      <w:r w:rsidRPr="00E303AD">
        <w:rPr>
          <w:rFonts w:eastAsia="Calibri"/>
          <w:rtl/>
        </w:rPr>
        <w:t xml:space="preserve"> אח</w:t>
      </w:r>
      <w:r w:rsidRPr="00E303AD">
        <w:rPr>
          <w:rFonts w:eastAsia="Calibri" w:hint="cs"/>
          <w:rtl/>
        </w:rPr>
        <w:t>"ם</w:t>
      </w:r>
      <w:r w:rsidRPr="00E303AD">
        <w:rPr>
          <w:rFonts w:eastAsia="Calibri"/>
          <w:rtl/>
        </w:rPr>
        <w:t xml:space="preserve"> בשנת העבודה 2025</w:t>
      </w:r>
      <w:r w:rsidRPr="00E303AD">
        <w:rPr>
          <w:rFonts w:eastAsia="Calibri" w:hint="cs"/>
          <w:rtl/>
        </w:rPr>
        <w:t>, קביעה</w:t>
      </w:r>
      <w:r w:rsidRPr="00E303AD">
        <w:rPr>
          <w:rFonts w:eastAsia="Calibri"/>
          <w:rtl/>
        </w:rPr>
        <w:t xml:space="preserve"> </w:t>
      </w:r>
      <w:r w:rsidRPr="00E303AD">
        <w:rPr>
          <w:rFonts w:eastAsia="Calibri" w:hint="cs"/>
          <w:rtl/>
        </w:rPr>
        <w:t>שעדיין תקפה</w:t>
      </w:r>
      <w:r w:rsidRPr="00E303AD">
        <w:rPr>
          <w:rFonts w:eastAsia="Calibri"/>
          <w:rtl/>
        </w:rPr>
        <w:t xml:space="preserve"> גם בשנת 2026. </w:t>
      </w:r>
      <w:r w:rsidRPr="00E303AD">
        <w:rPr>
          <w:rFonts w:eastAsia="Calibri" w:hint="cs"/>
          <w:rtl/>
        </w:rPr>
        <w:t xml:space="preserve">תחנות </w:t>
      </w:r>
      <w:r w:rsidRPr="00E303AD">
        <w:rPr>
          <w:rFonts w:eastAsia="Calibri"/>
          <w:rtl/>
        </w:rPr>
        <w:t xml:space="preserve">המשטרה </w:t>
      </w:r>
      <w:r w:rsidRPr="00E303AD">
        <w:rPr>
          <w:rFonts w:eastAsia="Calibri" w:hint="cs"/>
          <w:rtl/>
        </w:rPr>
        <w:t xml:space="preserve">שבתחום אחריותן </w:t>
      </w:r>
      <w:r w:rsidRPr="00E303AD">
        <w:rPr>
          <w:rFonts w:eastAsia="Calibri"/>
          <w:rtl/>
        </w:rPr>
        <w:t>נפוצה תופעת צריכת זנות נמדדות על</w:t>
      </w:r>
      <w:r w:rsidRPr="00E303AD">
        <w:rPr>
          <w:rFonts w:eastAsia="Calibri" w:hint="cs"/>
          <w:rtl/>
        </w:rPr>
        <w:t xml:space="preserve"> </w:t>
      </w:r>
      <w:r w:rsidRPr="00E303AD">
        <w:rPr>
          <w:rFonts w:eastAsia="Calibri"/>
          <w:rtl/>
        </w:rPr>
        <w:t>פי עמידתן ביעד זה במסגרת ת</w:t>
      </w:r>
      <w:r w:rsidRPr="00E303AD">
        <w:rPr>
          <w:rFonts w:eastAsia="Calibri" w:hint="cs"/>
          <w:rtl/>
        </w:rPr>
        <w:t>ו</w:t>
      </w:r>
      <w:r w:rsidRPr="00E303AD">
        <w:rPr>
          <w:rFonts w:eastAsia="Calibri"/>
          <w:rtl/>
        </w:rPr>
        <w:t xml:space="preserve">כנית העבודה השנתית. המטרה, למקד </w:t>
      </w:r>
      <w:r w:rsidRPr="00E303AD">
        <w:rPr>
          <w:rFonts w:eastAsia="Calibri" w:hint="cs"/>
          <w:rtl/>
        </w:rPr>
        <w:t xml:space="preserve">את </w:t>
      </w:r>
      <w:r w:rsidRPr="00E303AD">
        <w:rPr>
          <w:rFonts w:eastAsia="Calibri"/>
          <w:rtl/>
        </w:rPr>
        <w:t xml:space="preserve">מאמצי האכיפה </w:t>
      </w:r>
      <w:r w:rsidRPr="00E303AD">
        <w:rPr>
          <w:rFonts w:eastAsia="Calibri" w:hint="cs"/>
          <w:rtl/>
        </w:rPr>
        <w:t xml:space="preserve">של </w:t>
      </w:r>
      <w:r w:rsidRPr="00E303AD">
        <w:rPr>
          <w:rFonts w:eastAsia="Calibri"/>
          <w:rtl/>
        </w:rPr>
        <w:t>עבירות הקשורות לזנות ולהג</w:t>
      </w:r>
      <w:r w:rsidRPr="00E303AD">
        <w:rPr>
          <w:rFonts w:eastAsia="Calibri" w:hint="cs"/>
          <w:rtl/>
        </w:rPr>
        <w:t>דיל</w:t>
      </w:r>
      <w:r w:rsidRPr="00E303AD">
        <w:rPr>
          <w:rFonts w:eastAsia="Calibri"/>
          <w:rtl/>
        </w:rPr>
        <w:t xml:space="preserve"> את </w:t>
      </w:r>
      <w:r w:rsidRPr="00E303AD">
        <w:rPr>
          <w:rFonts w:eastAsia="Calibri" w:hint="cs"/>
          <w:rtl/>
        </w:rPr>
        <w:t>מספר</w:t>
      </w:r>
      <w:r w:rsidRPr="00E303AD">
        <w:rPr>
          <w:rFonts w:eastAsia="Calibri"/>
          <w:rtl/>
        </w:rPr>
        <w:t xml:space="preserve"> הדוחות ב</w:t>
      </w:r>
      <w:r w:rsidRPr="00E303AD">
        <w:rPr>
          <w:rFonts w:eastAsia="Calibri" w:hint="cs"/>
          <w:rtl/>
        </w:rPr>
        <w:t xml:space="preserve">גין </w:t>
      </w:r>
      <w:r w:rsidRPr="00E303AD">
        <w:rPr>
          <w:rFonts w:eastAsia="Calibri"/>
          <w:rtl/>
        </w:rPr>
        <w:t>עבירות אלה</w:t>
      </w:r>
      <w:r w:rsidRPr="00E303AD">
        <w:rPr>
          <w:rFonts w:eastAsia="Calibri" w:hint="cs"/>
          <w:rtl/>
        </w:rPr>
        <w:t>.</w:t>
      </w:r>
    </w:p>
    <w:bookmarkEnd w:id="78"/>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numPr>
          <w:ilvl w:val="0"/>
          <w:numId w:val="22"/>
        </w:numPr>
        <w:spacing w:line="269" w:lineRule="auto"/>
        <w:contextualSpacing/>
        <w:rPr>
          <w:rFonts w:eastAsia="Calibri"/>
        </w:rPr>
      </w:pPr>
      <w:r w:rsidRPr="00E303AD">
        <w:rPr>
          <w:rFonts w:eastAsia="Calibri" w:hint="cs"/>
          <w:rtl/>
        </w:rPr>
        <w:t xml:space="preserve">כאמור, לצורך גיבוש תוכנית העבודה, ולצורך קביעתם של יעדי אח"ם לשנת 2025, מופו כתובות של בתי בושת, והם שויכו לכל תחנה לפי תחום אחריותה. המיפוי מנובמבר 2024 כלל כתובות של זירות זנות ב-26 תחנות משטרה.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ind w:left="312"/>
        <w:rPr>
          <w:rFonts w:eastAsia="Calibri"/>
          <w:rtl/>
        </w:rPr>
      </w:pPr>
      <w:r w:rsidRPr="00E303AD">
        <w:rPr>
          <w:rFonts w:eastAsia="Calibri" w:hint="cs"/>
          <w:rtl/>
        </w:rPr>
        <w:t>להלן יוצגו דוגמאות להשוואה בין מספר ה</w:t>
      </w:r>
      <w:r w:rsidRPr="00E303AD">
        <w:rPr>
          <w:rFonts w:eastAsia="Calibri" w:hint="eastAsia"/>
          <w:rtl/>
        </w:rPr>
        <w:t>כתובות</w:t>
      </w:r>
      <w:r w:rsidRPr="00E303AD">
        <w:rPr>
          <w:rFonts w:eastAsia="Calibri"/>
          <w:rtl/>
        </w:rPr>
        <w:t xml:space="preserve"> </w:t>
      </w:r>
      <w:r w:rsidRPr="00E303AD">
        <w:rPr>
          <w:rFonts w:eastAsia="Calibri" w:hint="eastAsia"/>
          <w:rtl/>
        </w:rPr>
        <w:t>החשודות</w:t>
      </w:r>
      <w:r w:rsidRPr="00E303AD">
        <w:rPr>
          <w:rFonts w:eastAsia="Calibri"/>
          <w:rtl/>
        </w:rPr>
        <w:t xml:space="preserve"> </w:t>
      </w:r>
      <w:r w:rsidRPr="00E303AD">
        <w:rPr>
          <w:rFonts w:eastAsia="Calibri" w:hint="eastAsia"/>
          <w:rtl/>
        </w:rPr>
        <w:t>כזירות</w:t>
      </w:r>
      <w:r w:rsidRPr="00E303AD">
        <w:rPr>
          <w:rFonts w:eastAsia="Calibri"/>
          <w:rtl/>
        </w:rPr>
        <w:t xml:space="preserve"> </w:t>
      </w:r>
      <w:r w:rsidRPr="00E303AD">
        <w:rPr>
          <w:rFonts w:eastAsia="Calibri" w:hint="eastAsia"/>
          <w:rtl/>
        </w:rPr>
        <w:t>זנות</w:t>
      </w:r>
      <w:r w:rsidRPr="00E303AD">
        <w:rPr>
          <w:rFonts w:eastAsia="Calibri"/>
          <w:rtl/>
        </w:rPr>
        <w:t xml:space="preserve"> </w:t>
      </w:r>
      <w:r w:rsidRPr="00E303AD">
        <w:rPr>
          <w:rFonts w:eastAsia="Calibri" w:hint="cs"/>
          <w:rtl/>
        </w:rPr>
        <w:t>כפי שעלה במיפוי משנת 2024, ובין מספר הקנסות שנקבעו ביעדי אח"ם לשנת 2025:</w:t>
      </w:r>
    </w:p>
    <w:p w:rsidR="00E303AD" w:rsidRPr="00E303AD" w:rsidP="00E303AD">
      <w:pPr>
        <w:spacing w:line="269" w:lineRule="auto"/>
        <w:rPr>
          <w:rFonts w:eastAsia="Calibri"/>
          <w:rtl/>
        </w:rPr>
      </w:pPr>
    </w:p>
    <w:p w:rsidR="00E303AD" w:rsidRPr="00E303AD" w:rsidP="00E303AD">
      <w:pPr>
        <w:spacing w:line="269" w:lineRule="auto"/>
        <w:jc w:val="center"/>
        <w:rPr>
          <w:rFonts w:eastAsia="Calibri"/>
          <w:rtl/>
        </w:rPr>
      </w:pPr>
      <w:r w:rsidRPr="00E303AD">
        <w:rPr>
          <w:rFonts w:eastAsia="Calibri" w:hint="cs"/>
          <w:rtl/>
        </w:rPr>
        <w:t xml:space="preserve">לוח 2: </w:t>
      </w:r>
      <w:r w:rsidRPr="00E303AD">
        <w:rPr>
          <w:rFonts w:eastAsia="Calibri" w:hint="cs"/>
          <w:b/>
          <w:bCs/>
          <w:rtl/>
        </w:rPr>
        <w:t xml:space="preserve">מספר הכתובות החשודות כזירות זנות (2024) לעומת מספר הקנסות לפי יעדי אח"ם (2025) - </w:t>
      </w:r>
      <w:r w:rsidRPr="00E303AD">
        <w:rPr>
          <w:rFonts w:eastAsia="Calibri" w:hint="eastAsia"/>
          <w:b/>
          <w:bCs/>
          <w:rtl/>
        </w:rPr>
        <w:t>דוגמאות</w:t>
      </w:r>
      <w:r w:rsidRPr="00E303AD">
        <w:rPr>
          <w:rFonts w:eastAsia="Calibri"/>
          <w:b/>
          <w:bCs/>
          <w:rtl/>
        </w:rPr>
        <w:t xml:space="preserve"> </w:t>
      </w:r>
      <w:r w:rsidRPr="00E303AD">
        <w:rPr>
          <w:rFonts w:eastAsia="Calibri" w:hint="cs"/>
          <w:b/>
          <w:bCs/>
          <w:rtl/>
        </w:rPr>
        <w:t xml:space="preserve">בפילוח </w:t>
      </w:r>
      <w:r w:rsidRPr="00E303AD">
        <w:rPr>
          <w:rFonts w:eastAsia="Calibri" w:hint="eastAsia"/>
          <w:b/>
          <w:bCs/>
          <w:rtl/>
        </w:rPr>
        <w:t>ל</w:t>
      </w:r>
      <w:r w:rsidRPr="00E303AD">
        <w:rPr>
          <w:rFonts w:eastAsia="Calibri" w:hint="cs"/>
          <w:b/>
          <w:bCs/>
          <w:rtl/>
        </w:rPr>
        <w:t xml:space="preserve">פי </w:t>
      </w:r>
      <w:r w:rsidRPr="00E303AD">
        <w:rPr>
          <w:rFonts w:eastAsia="Calibri" w:hint="eastAsia"/>
          <w:b/>
          <w:bCs/>
          <w:rtl/>
        </w:rPr>
        <w:t>תחנות</w:t>
      </w:r>
      <w:r w:rsidRPr="00E303AD">
        <w:rPr>
          <w:rFonts w:eastAsia="Calibri"/>
          <w:b/>
          <w:bCs/>
          <w:rtl/>
        </w:rPr>
        <w:t xml:space="preserve"> </w:t>
      </w:r>
      <w:r w:rsidRPr="00E303AD">
        <w:rPr>
          <w:rFonts w:eastAsia="Calibri" w:hint="eastAsia"/>
          <w:b/>
          <w:bCs/>
          <w:rtl/>
        </w:rPr>
        <w:t>משטרה</w:t>
      </w:r>
      <w:r w:rsidRPr="00E303AD">
        <w:rPr>
          <w:rFonts w:eastAsia="Calibri" w:hint="cs"/>
          <w:b/>
          <w:bCs/>
          <w:rtl/>
        </w:rPr>
        <w:t xml:space="preserve"> </w:t>
      </w:r>
    </w:p>
    <w:tbl>
      <w:tblPr>
        <w:tblStyle w:val="TableGrid"/>
        <w:bidiVisual/>
        <w:tblW w:w="7512" w:type="dxa"/>
        <w:jc w:val="center"/>
        <w:tblLook w:val="04A0"/>
      </w:tblPr>
      <w:tblGrid>
        <w:gridCol w:w="1559"/>
        <w:gridCol w:w="1245"/>
        <w:gridCol w:w="2496"/>
        <w:gridCol w:w="2212"/>
      </w:tblGrid>
      <w:tr w:rsidTr="004D74D8">
        <w:tblPrEx>
          <w:tblW w:w="7512" w:type="dxa"/>
          <w:jc w:val="center"/>
          <w:tblLook w:val="04A0"/>
        </w:tblPrEx>
        <w:trPr>
          <w:trHeight w:val="268"/>
          <w:jc w:val="center"/>
        </w:trPr>
        <w:tc>
          <w:tcPr>
            <w:tcW w:w="1559" w:type="dxa"/>
            <w:tcBorders>
              <w:top w:val="single" w:sz="4" w:space="0" w:color="auto"/>
              <w:left w:val="single" w:sz="4" w:space="0" w:color="auto"/>
              <w:bottom w:val="single" w:sz="4" w:space="0" w:color="auto"/>
              <w:right w:val="single" w:sz="4" w:space="0" w:color="auto"/>
            </w:tcBorders>
          </w:tcPr>
          <w:p w:rsidR="00E303AD" w:rsidRPr="00E303AD" w:rsidP="00E303AD">
            <w:pPr>
              <w:spacing w:line="269" w:lineRule="auto"/>
              <w:jc w:val="center"/>
              <w:rPr>
                <w:rFonts w:ascii="David" w:eastAsia="Times New Roman" w:hAnsi="David"/>
                <w:b/>
                <w:bCs/>
                <w:color w:val="000000"/>
                <w:sz w:val="22"/>
                <w:szCs w:val="22"/>
                <w:rtl/>
              </w:rPr>
            </w:pPr>
            <w:r w:rsidRPr="00E303AD">
              <w:rPr>
                <w:rFonts w:ascii="David" w:eastAsia="Times New Roman" w:hAnsi="David" w:hint="cs"/>
                <w:b/>
                <w:bCs/>
                <w:color w:val="000000"/>
                <w:sz w:val="22"/>
                <w:szCs w:val="22"/>
                <w:rtl/>
              </w:rPr>
              <w:t>המחוז</w:t>
            </w:r>
          </w:p>
        </w:tc>
        <w:tc>
          <w:tcPr>
            <w:tcW w:w="1245" w:type="dxa"/>
            <w:tcBorders>
              <w:top w:val="single" w:sz="4" w:space="0" w:color="auto"/>
              <w:left w:val="single" w:sz="4" w:space="0" w:color="auto"/>
              <w:bottom w:val="single" w:sz="4" w:space="0" w:color="auto"/>
              <w:right w:val="single" w:sz="4" w:space="0" w:color="auto"/>
            </w:tcBorders>
            <w:noWrap/>
            <w:hideMark/>
          </w:tcPr>
          <w:p w:rsidR="00E303AD" w:rsidRPr="00E303AD" w:rsidP="00E303AD">
            <w:pPr>
              <w:spacing w:line="269" w:lineRule="auto"/>
              <w:jc w:val="center"/>
              <w:rPr>
                <w:rFonts w:ascii="David" w:eastAsia="Times New Roman" w:hAnsi="David"/>
                <w:b/>
                <w:bCs/>
                <w:color w:val="000000"/>
                <w:sz w:val="22"/>
                <w:szCs w:val="22"/>
              </w:rPr>
            </w:pPr>
            <w:r w:rsidRPr="00E303AD">
              <w:rPr>
                <w:rFonts w:ascii="David" w:eastAsia="Times New Roman" w:hAnsi="David" w:hint="cs"/>
                <w:b/>
                <w:bCs/>
                <w:color w:val="000000"/>
                <w:sz w:val="22"/>
                <w:szCs w:val="22"/>
                <w:rtl/>
              </w:rPr>
              <w:t>ה</w:t>
            </w:r>
            <w:r w:rsidRPr="00E303AD">
              <w:rPr>
                <w:rFonts w:ascii="David" w:eastAsia="Times New Roman" w:hAnsi="David"/>
                <w:b/>
                <w:bCs/>
                <w:color w:val="000000"/>
                <w:sz w:val="22"/>
                <w:szCs w:val="22"/>
                <w:rtl/>
              </w:rPr>
              <w:t>תחנה</w:t>
            </w:r>
          </w:p>
        </w:tc>
        <w:tc>
          <w:tcPr>
            <w:tcW w:w="2496" w:type="dxa"/>
            <w:tcBorders>
              <w:top w:val="single" w:sz="4" w:space="0" w:color="auto"/>
              <w:left w:val="single" w:sz="4" w:space="0" w:color="auto"/>
              <w:bottom w:val="single" w:sz="4" w:space="0" w:color="auto"/>
              <w:right w:val="single" w:sz="4" w:space="0" w:color="auto"/>
            </w:tcBorders>
            <w:noWrap/>
            <w:hideMark/>
          </w:tcPr>
          <w:p w:rsidR="00E303AD" w:rsidRPr="00E303AD" w:rsidP="00E303AD">
            <w:pPr>
              <w:spacing w:line="269" w:lineRule="auto"/>
              <w:jc w:val="center"/>
              <w:rPr>
                <w:rFonts w:ascii="David" w:eastAsia="Times New Roman" w:hAnsi="David"/>
                <w:b/>
                <w:bCs/>
                <w:color w:val="000000"/>
                <w:sz w:val="22"/>
                <w:szCs w:val="22"/>
                <w:rtl/>
              </w:rPr>
            </w:pPr>
            <w:r w:rsidRPr="00E303AD">
              <w:rPr>
                <w:rFonts w:ascii="David" w:eastAsia="Times New Roman" w:hAnsi="David" w:hint="cs"/>
                <w:b/>
                <w:bCs/>
                <w:color w:val="000000"/>
                <w:sz w:val="22"/>
                <w:szCs w:val="22"/>
                <w:rtl/>
              </w:rPr>
              <w:t>מספר הכתובות החשודות</w:t>
            </w:r>
            <w:r>
              <w:rPr>
                <w:rFonts w:ascii="David" w:eastAsia="Times New Roman" w:hAnsi="David"/>
                <w:b/>
                <w:bCs/>
                <w:color w:val="000000"/>
                <w:sz w:val="22"/>
                <w:szCs w:val="22"/>
                <w:vertAlign w:val="superscript"/>
                <w:rtl/>
              </w:rPr>
              <w:footnoteReference w:id="62"/>
            </w:r>
            <w:r w:rsidRPr="00E303AD">
              <w:rPr>
                <w:rFonts w:ascii="David" w:eastAsia="Times New Roman" w:hAnsi="David" w:hint="cs"/>
                <w:b/>
                <w:bCs/>
                <w:color w:val="000000"/>
                <w:sz w:val="22"/>
                <w:szCs w:val="22"/>
                <w:rtl/>
              </w:rPr>
              <w:t xml:space="preserve"> כזירות זנות לפי המיפוי משנת 2024</w:t>
            </w:r>
          </w:p>
        </w:tc>
        <w:tc>
          <w:tcPr>
            <w:tcW w:w="2212" w:type="dxa"/>
            <w:tcBorders>
              <w:top w:val="single" w:sz="4" w:space="0" w:color="auto"/>
              <w:left w:val="single" w:sz="4" w:space="0" w:color="auto"/>
              <w:bottom w:val="single" w:sz="4" w:space="0" w:color="auto"/>
              <w:right w:val="single" w:sz="4" w:space="0" w:color="auto"/>
            </w:tcBorders>
            <w:noWrap/>
            <w:hideMark/>
          </w:tcPr>
          <w:p w:rsidR="00E303AD" w:rsidRPr="00E303AD" w:rsidP="00E303AD">
            <w:pPr>
              <w:bidi w:val="0"/>
              <w:spacing w:line="269" w:lineRule="auto"/>
              <w:jc w:val="center"/>
              <w:rPr>
                <w:rFonts w:ascii="David" w:eastAsia="Times New Roman" w:hAnsi="David"/>
                <w:b/>
                <w:bCs/>
                <w:color w:val="000000"/>
                <w:sz w:val="22"/>
                <w:szCs w:val="22"/>
              </w:rPr>
            </w:pPr>
            <w:r w:rsidRPr="00E303AD">
              <w:rPr>
                <w:rFonts w:ascii="David" w:eastAsia="Times New Roman" w:hAnsi="David"/>
                <w:b/>
                <w:bCs/>
                <w:color w:val="000000"/>
                <w:sz w:val="22"/>
                <w:szCs w:val="22"/>
                <w:rtl/>
              </w:rPr>
              <w:t xml:space="preserve">יעדי אח"ם לשנת 2025 (מספר </w:t>
            </w:r>
            <w:r w:rsidRPr="00E303AD">
              <w:rPr>
                <w:rFonts w:ascii="David" w:eastAsia="Times New Roman" w:hAnsi="David" w:hint="cs"/>
                <w:b/>
                <w:bCs/>
                <w:color w:val="000000"/>
                <w:sz w:val="22"/>
                <w:szCs w:val="22"/>
                <w:rtl/>
              </w:rPr>
              <w:t>ה</w:t>
            </w:r>
            <w:r w:rsidRPr="00E303AD">
              <w:rPr>
                <w:rFonts w:ascii="David" w:eastAsia="Times New Roman" w:hAnsi="David"/>
                <w:b/>
                <w:bCs/>
                <w:color w:val="000000"/>
                <w:sz w:val="22"/>
                <w:szCs w:val="22"/>
                <w:rtl/>
              </w:rPr>
              <w:t>קנסות)</w:t>
            </w:r>
          </w:p>
        </w:tc>
      </w:tr>
      <w:tr w:rsidTr="004D74D8">
        <w:tblPrEx>
          <w:tblW w:w="7512" w:type="dxa"/>
          <w:jc w:val="center"/>
          <w:tblLook w:val="04A0"/>
        </w:tblPrEx>
        <w:trPr>
          <w:trHeight w:val="268"/>
          <w:jc w:val="center"/>
        </w:trPr>
        <w:tc>
          <w:tcPr>
            <w:tcW w:w="1559" w:type="dxa"/>
            <w:tcBorders>
              <w:top w:val="single" w:sz="4" w:space="0" w:color="auto"/>
              <w:left w:val="single" w:sz="4" w:space="0" w:color="auto"/>
              <w:bottom w:val="single" w:sz="4" w:space="0" w:color="auto"/>
              <w:right w:val="single" w:sz="4" w:space="0" w:color="auto"/>
            </w:tcBorders>
          </w:tcPr>
          <w:p w:rsidR="00E303AD" w:rsidRPr="00E303AD" w:rsidP="00E303AD">
            <w:pPr>
              <w:spacing w:line="269" w:lineRule="auto"/>
              <w:jc w:val="left"/>
              <w:rPr>
                <w:rFonts w:ascii="David" w:eastAsia="Times New Roman" w:hAnsi="David"/>
                <w:b/>
                <w:bCs/>
                <w:color w:val="000000"/>
                <w:sz w:val="22"/>
                <w:szCs w:val="22"/>
                <w:rtl/>
              </w:rPr>
            </w:pPr>
            <w:r w:rsidRPr="00E303AD">
              <w:rPr>
                <w:rFonts w:ascii="David" w:eastAsia="Times New Roman" w:hAnsi="David" w:hint="cs"/>
                <w:b/>
                <w:bCs/>
                <w:color w:val="000000"/>
                <w:sz w:val="22"/>
                <w:szCs w:val="22"/>
                <w:rtl/>
              </w:rPr>
              <w:t>צפון</w:t>
            </w:r>
          </w:p>
        </w:tc>
        <w:tc>
          <w:tcPr>
            <w:tcW w:w="1245" w:type="dxa"/>
            <w:tcBorders>
              <w:top w:val="single" w:sz="4" w:space="0" w:color="auto"/>
              <w:left w:val="single" w:sz="4" w:space="0" w:color="auto"/>
              <w:bottom w:val="single" w:sz="4" w:space="0" w:color="auto"/>
              <w:right w:val="single" w:sz="4" w:space="0" w:color="auto"/>
            </w:tcBorders>
            <w:noWrap/>
            <w:hideMark/>
          </w:tcPr>
          <w:p w:rsidR="00E303AD" w:rsidRPr="00E303AD" w:rsidP="00E303AD">
            <w:pPr>
              <w:spacing w:line="269" w:lineRule="auto"/>
              <w:jc w:val="left"/>
              <w:rPr>
                <w:rFonts w:ascii="David" w:eastAsia="Times New Roman" w:hAnsi="David"/>
                <w:b/>
                <w:bCs/>
                <w:color w:val="000000"/>
                <w:sz w:val="22"/>
                <w:szCs w:val="22"/>
                <w:rtl/>
              </w:rPr>
            </w:pPr>
            <w:r w:rsidRPr="00E303AD">
              <w:rPr>
                <w:rFonts w:ascii="David" w:eastAsia="Times New Roman" w:hAnsi="David" w:hint="cs"/>
                <w:b/>
                <w:bCs/>
                <w:color w:val="000000"/>
                <w:sz w:val="22"/>
                <w:szCs w:val="22"/>
                <w:rtl/>
              </w:rPr>
              <w:t>א</w:t>
            </w:r>
          </w:p>
        </w:tc>
        <w:tc>
          <w:tcPr>
            <w:tcW w:w="2496" w:type="dxa"/>
            <w:tcBorders>
              <w:top w:val="single" w:sz="4" w:space="0" w:color="auto"/>
              <w:left w:val="single" w:sz="4" w:space="0" w:color="auto"/>
              <w:bottom w:val="single" w:sz="4" w:space="0" w:color="auto"/>
              <w:right w:val="single" w:sz="4" w:space="0" w:color="auto"/>
            </w:tcBorders>
            <w:noWrap/>
            <w:hideMark/>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10</w:t>
            </w:r>
          </w:p>
        </w:tc>
        <w:tc>
          <w:tcPr>
            <w:tcW w:w="2212" w:type="dxa"/>
            <w:tcBorders>
              <w:top w:val="single" w:sz="4" w:space="0" w:color="auto"/>
              <w:left w:val="single" w:sz="4" w:space="0" w:color="auto"/>
              <w:bottom w:val="single" w:sz="4" w:space="0" w:color="auto"/>
              <w:right w:val="single" w:sz="4" w:space="0" w:color="auto"/>
            </w:tcBorders>
            <w:noWrap/>
            <w:hideMark/>
          </w:tcPr>
          <w:p w:rsidR="00E303AD" w:rsidRPr="00E303AD" w:rsidP="00E303AD">
            <w:pPr>
              <w:bidi w:val="0"/>
              <w:spacing w:line="269" w:lineRule="auto"/>
              <w:jc w:val="right"/>
              <w:rPr>
                <w:rFonts w:ascii="David" w:eastAsia="Times New Roman" w:hAnsi="David"/>
                <w:color w:val="000000"/>
                <w:sz w:val="22"/>
                <w:szCs w:val="22"/>
                <w:rtl/>
              </w:rPr>
            </w:pPr>
            <w:r w:rsidRPr="00E303AD">
              <w:rPr>
                <w:rFonts w:ascii="David" w:eastAsia="Times New Roman" w:hAnsi="David"/>
                <w:color w:val="000000"/>
                <w:sz w:val="22"/>
                <w:szCs w:val="22"/>
              </w:rPr>
              <w:t>75</w:t>
            </w:r>
          </w:p>
        </w:tc>
      </w:tr>
      <w:tr w:rsidTr="004D74D8">
        <w:tblPrEx>
          <w:tblW w:w="7512" w:type="dxa"/>
          <w:jc w:val="center"/>
          <w:tblLook w:val="04A0"/>
        </w:tblPrEx>
        <w:trPr>
          <w:trHeight w:val="268"/>
          <w:jc w:val="center"/>
        </w:trPr>
        <w:tc>
          <w:tcPr>
            <w:tcW w:w="1559" w:type="dxa"/>
            <w:tcBorders>
              <w:top w:val="single" w:sz="4" w:space="0" w:color="auto"/>
              <w:left w:val="single" w:sz="4" w:space="0" w:color="auto"/>
              <w:bottom w:val="single" w:sz="4" w:space="0" w:color="auto"/>
              <w:right w:val="single" w:sz="4" w:space="0" w:color="auto"/>
            </w:tcBorders>
            <w:shd w:val="clear" w:color="auto" w:fill="E27288"/>
          </w:tcPr>
          <w:p w:rsidR="00E303AD" w:rsidRPr="00E303AD" w:rsidP="00E303AD">
            <w:pPr>
              <w:spacing w:line="269" w:lineRule="auto"/>
              <w:jc w:val="left"/>
              <w:rPr>
                <w:rFonts w:ascii="David" w:eastAsia="Times New Roman" w:hAnsi="David"/>
                <w:b/>
                <w:bCs/>
                <w:color w:val="000000"/>
                <w:sz w:val="22"/>
                <w:szCs w:val="22"/>
                <w:rtl/>
              </w:rPr>
            </w:pPr>
            <w:r w:rsidRPr="00E303AD">
              <w:rPr>
                <w:rFonts w:ascii="David" w:eastAsia="Times New Roman" w:hAnsi="David" w:hint="cs"/>
                <w:b/>
                <w:bCs/>
                <w:color w:val="000000"/>
                <w:sz w:val="22"/>
                <w:szCs w:val="22"/>
                <w:rtl/>
              </w:rPr>
              <w:t>דרום</w:t>
            </w:r>
          </w:p>
        </w:tc>
        <w:tc>
          <w:tcPr>
            <w:tcW w:w="1245" w:type="dxa"/>
            <w:tcBorders>
              <w:top w:val="single" w:sz="4" w:space="0" w:color="auto"/>
              <w:left w:val="single" w:sz="4" w:space="0" w:color="auto"/>
              <w:bottom w:val="single" w:sz="4" w:space="0" w:color="auto"/>
              <w:right w:val="single" w:sz="4" w:space="0" w:color="auto"/>
            </w:tcBorders>
            <w:shd w:val="clear" w:color="auto" w:fill="E27288"/>
            <w:noWrap/>
            <w:hideMark/>
          </w:tcPr>
          <w:p w:rsidR="00E303AD" w:rsidRPr="00E303AD" w:rsidP="00E303AD">
            <w:pPr>
              <w:spacing w:line="269" w:lineRule="auto"/>
              <w:jc w:val="left"/>
              <w:rPr>
                <w:rFonts w:ascii="David" w:eastAsia="Times New Roman" w:hAnsi="David"/>
                <w:b/>
                <w:bCs/>
                <w:color w:val="000000"/>
                <w:sz w:val="22"/>
                <w:szCs w:val="22"/>
              </w:rPr>
            </w:pPr>
            <w:r w:rsidRPr="00E303AD">
              <w:rPr>
                <w:rFonts w:ascii="David" w:eastAsia="Times New Roman" w:hAnsi="David" w:hint="cs"/>
                <w:b/>
                <w:bCs/>
                <w:color w:val="000000"/>
                <w:sz w:val="22"/>
                <w:szCs w:val="22"/>
                <w:rtl/>
              </w:rPr>
              <w:t>ב</w:t>
            </w:r>
          </w:p>
        </w:tc>
        <w:tc>
          <w:tcPr>
            <w:tcW w:w="2496" w:type="dxa"/>
            <w:tcBorders>
              <w:top w:val="single" w:sz="4" w:space="0" w:color="auto"/>
              <w:left w:val="single" w:sz="4" w:space="0" w:color="auto"/>
              <w:bottom w:val="single" w:sz="4" w:space="0" w:color="auto"/>
              <w:right w:val="single" w:sz="4" w:space="0" w:color="auto"/>
            </w:tcBorders>
            <w:shd w:val="clear" w:color="auto" w:fill="E27288"/>
            <w:noWrap/>
            <w:hideMark/>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14</w:t>
            </w:r>
          </w:p>
        </w:tc>
        <w:tc>
          <w:tcPr>
            <w:tcW w:w="2212" w:type="dxa"/>
            <w:tcBorders>
              <w:top w:val="single" w:sz="4" w:space="0" w:color="auto"/>
              <w:left w:val="single" w:sz="4" w:space="0" w:color="auto"/>
              <w:bottom w:val="single" w:sz="4" w:space="0" w:color="auto"/>
              <w:right w:val="single" w:sz="4" w:space="0" w:color="auto"/>
            </w:tcBorders>
            <w:shd w:val="clear" w:color="auto" w:fill="E27288"/>
            <w:noWrap/>
            <w:hideMark/>
          </w:tcPr>
          <w:p w:rsidR="00E303AD" w:rsidRPr="00E303AD" w:rsidP="00E303AD">
            <w:pPr>
              <w:bidi w:val="0"/>
              <w:spacing w:line="269" w:lineRule="auto"/>
              <w:jc w:val="right"/>
              <w:rPr>
                <w:rFonts w:ascii="David" w:eastAsia="Times New Roman" w:hAnsi="David"/>
                <w:color w:val="000000"/>
                <w:sz w:val="22"/>
                <w:szCs w:val="22"/>
                <w:rtl/>
              </w:rPr>
            </w:pPr>
            <w:r w:rsidRPr="00E303AD">
              <w:rPr>
                <w:rFonts w:ascii="David" w:eastAsia="Times New Roman" w:hAnsi="David"/>
                <w:color w:val="000000"/>
                <w:sz w:val="22"/>
                <w:szCs w:val="22"/>
              </w:rPr>
              <w:t>0</w:t>
            </w:r>
          </w:p>
        </w:tc>
      </w:tr>
      <w:tr w:rsidTr="004D74D8">
        <w:tblPrEx>
          <w:tblW w:w="7512" w:type="dxa"/>
          <w:jc w:val="center"/>
          <w:tblLook w:val="04A0"/>
        </w:tblPrEx>
        <w:trPr>
          <w:trHeight w:val="268"/>
          <w:jc w:val="center"/>
        </w:trPr>
        <w:tc>
          <w:tcPr>
            <w:tcW w:w="1559" w:type="dxa"/>
            <w:tcBorders>
              <w:top w:val="single" w:sz="4" w:space="0" w:color="auto"/>
              <w:left w:val="single" w:sz="4" w:space="0" w:color="auto"/>
              <w:bottom w:val="single" w:sz="4" w:space="0" w:color="auto"/>
              <w:right w:val="single" w:sz="4" w:space="0" w:color="auto"/>
            </w:tcBorders>
          </w:tcPr>
          <w:p w:rsidR="00E303AD" w:rsidRPr="00E303AD" w:rsidP="00E303AD">
            <w:pPr>
              <w:spacing w:line="269" w:lineRule="auto"/>
              <w:jc w:val="left"/>
              <w:rPr>
                <w:rFonts w:ascii="David" w:eastAsia="Times New Roman" w:hAnsi="David"/>
                <w:b/>
                <w:bCs/>
                <w:color w:val="000000"/>
                <w:sz w:val="22"/>
                <w:szCs w:val="22"/>
                <w:rtl/>
              </w:rPr>
            </w:pPr>
            <w:r w:rsidRPr="00E303AD">
              <w:rPr>
                <w:rFonts w:ascii="David" w:eastAsia="Times New Roman" w:hAnsi="David" w:hint="cs"/>
                <w:b/>
                <w:bCs/>
                <w:color w:val="000000"/>
                <w:sz w:val="22"/>
                <w:szCs w:val="22"/>
                <w:rtl/>
              </w:rPr>
              <w:t xml:space="preserve">מרכז </w:t>
            </w:r>
          </w:p>
        </w:tc>
        <w:tc>
          <w:tcPr>
            <w:tcW w:w="1245" w:type="dxa"/>
            <w:tcBorders>
              <w:top w:val="single" w:sz="4" w:space="0" w:color="auto"/>
              <w:left w:val="single" w:sz="4" w:space="0" w:color="auto"/>
              <w:bottom w:val="single" w:sz="4" w:space="0" w:color="auto"/>
              <w:right w:val="single" w:sz="4" w:space="0" w:color="auto"/>
            </w:tcBorders>
            <w:noWrap/>
            <w:hideMark/>
          </w:tcPr>
          <w:p w:rsidR="00E303AD" w:rsidRPr="00E303AD" w:rsidP="00E303AD">
            <w:pPr>
              <w:spacing w:line="269" w:lineRule="auto"/>
              <w:jc w:val="left"/>
              <w:rPr>
                <w:rFonts w:ascii="David" w:eastAsia="Times New Roman" w:hAnsi="David"/>
                <w:b/>
                <w:bCs/>
                <w:color w:val="000000"/>
                <w:sz w:val="22"/>
                <w:szCs w:val="22"/>
              </w:rPr>
            </w:pPr>
            <w:r w:rsidRPr="00E303AD">
              <w:rPr>
                <w:rFonts w:ascii="David" w:eastAsia="Times New Roman" w:hAnsi="David" w:hint="cs"/>
                <w:b/>
                <w:bCs/>
                <w:color w:val="000000"/>
                <w:sz w:val="22"/>
                <w:szCs w:val="22"/>
                <w:rtl/>
              </w:rPr>
              <w:t>ג</w:t>
            </w:r>
          </w:p>
        </w:tc>
        <w:tc>
          <w:tcPr>
            <w:tcW w:w="2496" w:type="dxa"/>
            <w:tcBorders>
              <w:top w:val="single" w:sz="4" w:space="0" w:color="auto"/>
              <w:left w:val="single" w:sz="4" w:space="0" w:color="auto"/>
              <w:bottom w:val="single" w:sz="4" w:space="0" w:color="auto"/>
              <w:right w:val="single" w:sz="4" w:space="0" w:color="auto"/>
            </w:tcBorders>
            <w:noWrap/>
            <w:hideMark/>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14</w:t>
            </w:r>
          </w:p>
        </w:tc>
        <w:tc>
          <w:tcPr>
            <w:tcW w:w="2212" w:type="dxa"/>
            <w:tcBorders>
              <w:top w:val="single" w:sz="4" w:space="0" w:color="auto"/>
              <w:left w:val="single" w:sz="4" w:space="0" w:color="auto"/>
              <w:bottom w:val="single" w:sz="4" w:space="0" w:color="auto"/>
              <w:right w:val="single" w:sz="4" w:space="0" w:color="auto"/>
            </w:tcBorders>
            <w:noWrap/>
            <w:hideMark/>
          </w:tcPr>
          <w:p w:rsidR="00E303AD" w:rsidRPr="00E303AD" w:rsidP="00E303AD">
            <w:pPr>
              <w:bidi w:val="0"/>
              <w:spacing w:line="269" w:lineRule="auto"/>
              <w:jc w:val="right"/>
              <w:rPr>
                <w:rFonts w:ascii="David" w:eastAsia="Times New Roman" w:hAnsi="David"/>
                <w:color w:val="000000"/>
                <w:sz w:val="22"/>
                <w:szCs w:val="22"/>
                <w:rtl/>
              </w:rPr>
            </w:pPr>
            <w:r w:rsidRPr="00E303AD">
              <w:rPr>
                <w:rFonts w:ascii="David" w:eastAsia="Times New Roman" w:hAnsi="David"/>
                <w:color w:val="000000"/>
                <w:sz w:val="22"/>
                <w:szCs w:val="22"/>
              </w:rPr>
              <w:t>75</w:t>
            </w:r>
          </w:p>
        </w:tc>
      </w:tr>
      <w:tr w:rsidTr="004D74D8">
        <w:tblPrEx>
          <w:tblW w:w="7512" w:type="dxa"/>
          <w:jc w:val="center"/>
          <w:tblLook w:val="04A0"/>
        </w:tblPrEx>
        <w:trPr>
          <w:trHeight w:val="268"/>
          <w:jc w:val="center"/>
        </w:trPr>
        <w:tc>
          <w:tcPr>
            <w:tcW w:w="1559" w:type="dxa"/>
            <w:tcBorders>
              <w:top w:val="single" w:sz="4" w:space="0" w:color="auto"/>
              <w:left w:val="single" w:sz="4" w:space="0" w:color="auto"/>
              <w:bottom w:val="single" w:sz="4" w:space="0" w:color="auto"/>
              <w:right w:val="single" w:sz="4" w:space="0" w:color="auto"/>
            </w:tcBorders>
          </w:tcPr>
          <w:p w:rsidR="00E303AD" w:rsidRPr="00E303AD" w:rsidP="00E303AD">
            <w:pPr>
              <w:spacing w:line="269" w:lineRule="auto"/>
              <w:jc w:val="left"/>
              <w:rPr>
                <w:rFonts w:ascii="David" w:eastAsia="Times New Roman" w:hAnsi="David"/>
                <w:b/>
                <w:bCs/>
                <w:color w:val="000000"/>
                <w:sz w:val="22"/>
                <w:szCs w:val="22"/>
                <w:rtl/>
              </w:rPr>
            </w:pPr>
            <w:r w:rsidRPr="00E303AD">
              <w:rPr>
                <w:rFonts w:ascii="David" w:eastAsia="Times New Roman" w:hAnsi="David" w:hint="cs"/>
                <w:b/>
                <w:bCs/>
                <w:color w:val="000000"/>
                <w:sz w:val="22"/>
                <w:szCs w:val="22"/>
                <w:rtl/>
              </w:rPr>
              <w:t>תל אביב</w:t>
            </w:r>
          </w:p>
        </w:tc>
        <w:tc>
          <w:tcPr>
            <w:tcW w:w="1245" w:type="dxa"/>
            <w:tcBorders>
              <w:top w:val="single" w:sz="4" w:space="0" w:color="auto"/>
              <w:left w:val="single" w:sz="4" w:space="0" w:color="auto"/>
              <w:bottom w:val="single" w:sz="4" w:space="0" w:color="auto"/>
              <w:right w:val="single" w:sz="4" w:space="0" w:color="auto"/>
            </w:tcBorders>
            <w:noWrap/>
            <w:hideMark/>
          </w:tcPr>
          <w:p w:rsidR="00E303AD" w:rsidRPr="00E303AD" w:rsidP="00E303AD">
            <w:pPr>
              <w:spacing w:line="269" w:lineRule="auto"/>
              <w:jc w:val="left"/>
              <w:rPr>
                <w:rFonts w:ascii="David" w:eastAsia="Times New Roman" w:hAnsi="David"/>
                <w:b/>
                <w:bCs/>
                <w:color w:val="000000"/>
                <w:sz w:val="22"/>
                <w:szCs w:val="22"/>
              </w:rPr>
            </w:pPr>
            <w:r w:rsidRPr="00E303AD">
              <w:rPr>
                <w:rFonts w:ascii="David" w:eastAsia="Times New Roman" w:hAnsi="David" w:hint="cs"/>
                <w:b/>
                <w:bCs/>
                <w:color w:val="000000"/>
                <w:sz w:val="22"/>
                <w:szCs w:val="22"/>
                <w:rtl/>
              </w:rPr>
              <w:t>ד</w:t>
            </w:r>
          </w:p>
        </w:tc>
        <w:tc>
          <w:tcPr>
            <w:tcW w:w="2496" w:type="dxa"/>
            <w:tcBorders>
              <w:top w:val="single" w:sz="4" w:space="0" w:color="auto"/>
              <w:left w:val="single" w:sz="4" w:space="0" w:color="auto"/>
              <w:bottom w:val="single" w:sz="4" w:space="0" w:color="auto"/>
              <w:right w:val="single" w:sz="4" w:space="0" w:color="auto"/>
            </w:tcBorders>
            <w:noWrap/>
            <w:hideMark/>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18</w:t>
            </w:r>
          </w:p>
        </w:tc>
        <w:tc>
          <w:tcPr>
            <w:tcW w:w="2212" w:type="dxa"/>
            <w:tcBorders>
              <w:top w:val="single" w:sz="4" w:space="0" w:color="auto"/>
              <w:left w:val="single" w:sz="4" w:space="0" w:color="auto"/>
              <w:bottom w:val="single" w:sz="4" w:space="0" w:color="auto"/>
              <w:right w:val="single" w:sz="4" w:space="0" w:color="auto"/>
            </w:tcBorders>
            <w:noWrap/>
            <w:hideMark/>
          </w:tcPr>
          <w:p w:rsidR="00E303AD" w:rsidRPr="00E303AD" w:rsidP="00E303AD">
            <w:pPr>
              <w:bidi w:val="0"/>
              <w:spacing w:line="269" w:lineRule="auto"/>
              <w:jc w:val="right"/>
              <w:rPr>
                <w:rFonts w:ascii="David" w:eastAsia="Times New Roman" w:hAnsi="David"/>
                <w:color w:val="000000"/>
                <w:sz w:val="22"/>
                <w:szCs w:val="22"/>
                <w:rtl/>
              </w:rPr>
            </w:pPr>
            <w:r w:rsidRPr="00E303AD">
              <w:rPr>
                <w:rFonts w:ascii="David" w:eastAsia="Times New Roman" w:hAnsi="David"/>
                <w:color w:val="000000"/>
                <w:sz w:val="22"/>
                <w:szCs w:val="22"/>
              </w:rPr>
              <w:t>75</w:t>
            </w:r>
          </w:p>
        </w:tc>
      </w:tr>
      <w:tr w:rsidTr="004D74D8">
        <w:tblPrEx>
          <w:tblW w:w="7512" w:type="dxa"/>
          <w:jc w:val="center"/>
          <w:tblLook w:val="04A0"/>
        </w:tblPrEx>
        <w:trPr>
          <w:trHeight w:val="268"/>
          <w:jc w:val="center"/>
        </w:trPr>
        <w:tc>
          <w:tcPr>
            <w:tcW w:w="1559" w:type="dxa"/>
            <w:tcBorders>
              <w:top w:val="single" w:sz="4" w:space="0" w:color="auto"/>
              <w:left w:val="single" w:sz="4" w:space="0" w:color="auto"/>
              <w:bottom w:val="single" w:sz="4" w:space="0" w:color="auto"/>
              <w:right w:val="single" w:sz="4" w:space="0" w:color="auto"/>
            </w:tcBorders>
            <w:shd w:val="clear" w:color="auto" w:fill="E27288"/>
          </w:tcPr>
          <w:p w:rsidR="00E303AD" w:rsidRPr="00E303AD" w:rsidP="00E303AD">
            <w:pPr>
              <w:spacing w:line="269" w:lineRule="auto"/>
              <w:jc w:val="left"/>
              <w:rPr>
                <w:rFonts w:ascii="David" w:eastAsia="Times New Roman" w:hAnsi="David"/>
                <w:b/>
                <w:bCs/>
                <w:color w:val="000000"/>
                <w:sz w:val="22"/>
                <w:szCs w:val="22"/>
                <w:rtl/>
              </w:rPr>
            </w:pPr>
            <w:r w:rsidRPr="00E303AD">
              <w:rPr>
                <w:rFonts w:ascii="David" w:eastAsia="Times New Roman" w:hAnsi="David" w:hint="cs"/>
                <w:b/>
                <w:bCs/>
                <w:color w:val="000000"/>
                <w:sz w:val="22"/>
                <w:szCs w:val="22"/>
                <w:rtl/>
              </w:rPr>
              <w:t>חוף</w:t>
            </w:r>
          </w:p>
        </w:tc>
        <w:tc>
          <w:tcPr>
            <w:tcW w:w="1245" w:type="dxa"/>
            <w:tcBorders>
              <w:top w:val="single" w:sz="4" w:space="0" w:color="auto"/>
              <w:left w:val="single" w:sz="4" w:space="0" w:color="auto"/>
              <w:bottom w:val="single" w:sz="4" w:space="0" w:color="auto"/>
              <w:right w:val="single" w:sz="4" w:space="0" w:color="auto"/>
            </w:tcBorders>
            <w:shd w:val="clear" w:color="auto" w:fill="E27288"/>
            <w:noWrap/>
            <w:hideMark/>
          </w:tcPr>
          <w:p w:rsidR="00E303AD" w:rsidRPr="00E303AD" w:rsidP="00E303AD">
            <w:pPr>
              <w:spacing w:line="269" w:lineRule="auto"/>
              <w:jc w:val="left"/>
              <w:rPr>
                <w:rFonts w:ascii="David" w:eastAsia="Times New Roman" w:hAnsi="David"/>
                <w:b/>
                <w:bCs/>
                <w:color w:val="000000"/>
                <w:sz w:val="22"/>
                <w:szCs w:val="22"/>
              </w:rPr>
            </w:pPr>
            <w:r w:rsidRPr="00E303AD">
              <w:rPr>
                <w:rFonts w:ascii="David" w:eastAsia="Times New Roman" w:hAnsi="David" w:hint="cs"/>
                <w:b/>
                <w:bCs/>
                <w:color w:val="000000"/>
                <w:sz w:val="22"/>
                <w:szCs w:val="22"/>
                <w:rtl/>
              </w:rPr>
              <w:t>ה</w:t>
            </w:r>
          </w:p>
        </w:tc>
        <w:tc>
          <w:tcPr>
            <w:tcW w:w="2496" w:type="dxa"/>
            <w:tcBorders>
              <w:top w:val="single" w:sz="4" w:space="0" w:color="auto"/>
              <w:left w:val="single" w:sz="4" w:space="0" w:color="auto"/>
              <w:bottom w:val="single" w:sz="4" w:space="0" w:color="auto"/>
              <w:right w:val="single" w:sz="4" w:space="0" w:color="auto"/>
            </w:tcBorders>
            <w:shd w:val="clear" w:color="auto" w:fill="E27288"/>
            <w:noWrap/>
            <w:hideMark/>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26</w:t>
            </w:r>
          </w:p>
        </w:tc>
        <w:tc>
          <w:tcPr>
            <w:tcW w:w="2212" w:type="dxa"/>
            <w:tcBorders>
              <w:top w:val="single" w:sz="4" w:space="0" w:color="auto"/>
              <w:left w:val="single" w:sz="4" w:space="0" w:color="auto"/>
              <w:bottom w:val="single" w:sz="4" w:space="0" w:color="auto"/>
              <w:right w:val="single" w:sz="4" w:space="0" w:color="auto"/>
            </w:tcBorders>
            <w:shd w:val="clear" w:color="auto" w:fill="E27288"/>
            <w:noWrap/>
            <w:hideMark/>
          </w:tcPr>
          <w:p w:rsidR="00E303AD" w:rsidRPr="00E303AD" w:rsidP="00E303AD">
            <w:pPr>
              <w:bidi w:val="0"/>
              <w:spacing w:line="269" w:lineRule="auto"/>
              <w:jc w:val="right"/>
              <w:rPr>
                <w:rFonts w:ascii="David" w:eastAsia="Times New Roman" w:hAnsi="David"/>
                <w:color w:val="000000"/>
                <w:sz w:val="22"/>
                <w:szCs w:val="22"/>
                <w:rtl/>
              </w:rPr>
            </w:pPr>
            <w:r w:rsidRPr="00E303AD">
              <w:rPr>
                <w:rFonts w:ascii="David" w:eastAsia="Times New Roman" w:hAnsi="David"/>
                <w:color w:val="000000"/>
                <w:sz w:val="22"/>
                <w:szCs w:val="22"/>
              </w:rPr>
              <w:t>0</w:t>
            </w:r>
          </w:p>
        </w:tc>
      </w:tr>
      <w:tr w:rsidTr="004D74D8">
        <w:tblPrEx>
          <w:tblW w:w="7512" w:type="dxa"/>
          <w:jc w:val="center"/>
          <w:tblLook w:val="04A0"/>
        </w:tblPrEx>
        <w:trPr>
          <w:trHeight w:val="268"/>
          <w:jc w:val="center"/>
        </w:trPr>
        <w:tc>
          <w:tcPr>
            <w:tcW w:w="1559" w:type="dxa"/>
            <w:tcBorders>
              <w:top w:val="single" w:sz="4" w:space="0" w:color="auto"/>
              <w:left w:val="single" w:sz="4" w:space="0" w:color="auto"/>
              <w:bottom w:val="single" w:sz="4" w:space="0" w:color="auto"/>
              <w:right w:val="single" w:sz="4" w:space="0" w:color="auto"/>
            </w:tcBorders>
            <w:shd w:val="clear" w:color="auto" w:fill="E27288"/>
          </w:tcPr>
          <w:p w:rsidR="00E303AD" w:rsidRPr="00E303AD" w:rsidP="00E303AD">
            <w:pPr>
              <w:spacing w:line="269" w:lineRule="auto"/>
              <w:jc w:val="left"/>
              <w:rPr>
                <w:rFonts w:ascii="David" w:eastAsia="Times New Roman" w:hAnsi="David"/>
                <w:b/>
                <w:bCs/>
                <w:color w:val="000000"/>
                <w:sz w:val="22"/>
                <w:szCs w:val="22"/>
                <w:rtl/>
              </w:rPr>
            </w:pPr>
            <w:r w:rsidRPr="00E303AD">
              <w:rPr>
                <w:rFonts w:ascii="David" w:eastAsia="Times New Roman" w:hAnsi="David" w:hint="cs"/>
                <w:b/>
                <w:bCs/>
                <w:color w:val="000000"/>
                <w:sz w:val="22"/>
                <w:szCs w:val="22"/>
                <w:rtl/>
              </w:rPr>
              <w:t>תל אביב</w:t>
            </w:r>
          </w:p>
        </w:tc>
        <w:tc>
          <w:tcPr>
            <w:tcW w:w="1245" w:type="dxa"/>
            <w:tcBorders>
              <w:top w:val="single" w:sz="4" w:space="0" w:color="auto"/>
              <w:left w:val="single" w:sz="4" w:space="0" w:color="auto"/>
              <w:bottom w:val="single" w:sz="4" w:space="0" w:color="auto"/>
              <w:right w:val="single" w:sz="4" w:space="0" w:color="auto"/>
            </w:tcBorders>
            <w:shd w:val="clear" w:color="auto" w:fill="E27288"/>
            <w:noWrap/>
            <w:hideMark/>
          </w:tcPr>
          <w:p w:rsidR="00E303AD" w:rsidRPr="00E303AD" w:rsidP="00E303AD">
            <w:pPr>
              <w:spacing w:line="269" w:lineRule="auto"/>
              <w:jc w:val="left"/>
              <w:rPr>
                <w:rFonts w:ascii="David" w:eastAsia="Times New Roman" w:hAnsi="David"/>
                <w:b/>
                <w:bCs/>
                <w:color w:val="000000"/>
                <w:sz w:val="22"/>
                <w:szCs w:val="22"/>
              </w:rPr>
            </w:pPr>
            <w:r w:rsidRPr="00E303AD">
              <w:rPr>
                <w:rFonts w:ascii="David" w:eastAsia="Times New Roman" w:hAnsi="David" w:hint="cs"/>
                <w:b/>
                <w:bCs/>
                <w:color w:val="000000"/>
                <w:sz w:val="22"/>
                <w:szCs w:val="22"/>
                <w:rtl/>
              </w:rPr>
              <w:t>ו</w:t>
            </w:r>
          </w:p>
        </w:tc>
        <w:tc>
          <w:tcPr>
            <w:tcW w:w="2496" w:type="dxa"/>
            <w:tcBorders>
              <w:top w:val="single" w:sz="4" w:space="0" w:color="auto"/>
              <w:left w:val="single" w:sz="4" w:space="0" w:color="auto"/>
              <w:bottom w:val="single" w:sz="4" w:space="0" w:color="auto"/>
              <w:right w:val="single" w:sz="4" w:space="0" w:color="auto"/>
            </w:tcBorders>
            <w:shd w:val="clear" w:color="auto" w:fill="E27288"/>
            <w:noWrap/>
            <w:hideMark/>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26</w:t>
            </w:r>
          </w:p>
        </w:tc>
        <w:tc>
          <w:tcPr>
            <w:tcW w:w="2212" w:type="dxa"/>
            <w:tcBorders>
              <w:top w:val="single" w:sz="4" w:space="0" w:color="auto"/>
              <w:left w:val="single" w:sz="4" w:space="0" w:color="auto"/>
              <w:bottom w:val="single" w:sz="4" w:space="0" w:color="auto"/>
              <w:right w:val="single" w:sz="4" w:space="0" w:color="auto"/>
            </w:tcBorders>
            <w:shd w:val="clear" w:color="auto" w:fill="E27288"/>
            <w:noWrap/>
            <w:hideMark/>
          </w:tcPr>
          <w:p w:rsidR="00E303AD" w:rsidRPr="00E303AD" w:rsidP="00E303AD">
            <w:pPr>
              <w:bidi w:val="0"/>
              <w:spacing w:line="269" w:lineRule="auto"/>
              <w:jc w:val="right"/>
              <w:rPr>
                <w:rFonts w:ascii="David" w:eastAsia="Times New Roman" w:hAnsi="David"/>
                <w:color w:val="000000"/>
                <w:sz w:val="22"/>
                <w:szCs w:val="22"/>
                <w:rtl/>
              </w:rPr>
            </w:pPr>
            <w:r w:rsidRPr="00E303AD">
              <w:rPr>
                <w:rFonts w:ascii="David" w:eastAsia="Times New Roman" w:hAnsi="David"/>
                <w:color w:val="000000"/>
                <w:sz w:val="22"/>
                <w:szCs w:val="22"/>
              </w:rPr>
              <w:t>0</w:t>
            </w:r>
          </w:p>
        </w:tc>
      </w:tr>
      <w:tr w:rsidTr="004D74D8">
        <w:tblPrEx>
          <w:tblW w:w="7512" w:type="dxa"/>
          <w:jc w:val="center"/>
          <w:tblLook w:val="04A0"/>
        </w:tblPrEx>
        <w:trPr>
          <w:trHeight w:val="268"/>
          <w:jc w:val="center"/>
        </w:trPr>
        <w:tc>
          <w:tcPr>
            <w:tcW w:w="1559" w:type="dxa"/>
            <w:tcBorders>
              <w:top w:val="single" w:sz="4" w:space="0" w:color="auto"/>
              <w:left w:val="single" w:sz="4" w:space="0" w:color="auto"/>
              <w:bottom w:val="single" w:sz="4" w:space="0" w:color="auto"/>
              <w:right w:val="single" w:sz="4" w:space="0" w:color="auto"/>
            </w:tcBorders>
          </w:tcPr>
          <w:p w:rsidR="00E303AD" w:rsidRPr="00E303AD" w:rsidP="00E303AD">
            <w:pPr>
              <w:spacing w:line="269" w:lineRule="auto"/>
              <w:jc w:val="left"/>
              <w:rPr>
                <w:rFonts w:ascii="David" w:eastAsia="Times New Roman" w:hAnsi="David"/>
                <w:b/>
                <w:bCs/>
                <w:color w:val="000000"/>
                <w:sz w:val="22"/>
                <w:szCs w:val="22"/>
                <w:rtl/>
              </w:rPr>
            </w:pPr>
            <w:r w:rsidRPr="00E303AD">
              <w:rPr>
                <w:rFonts w:ascii="David" w:eastAsia="Times New Roman" w:hAnsi="David" w:hint="cs"/>
                <w:b/>
                <w:bCs/>
                <w:color w:val="000000"/>
                <w:sz w:val="22"/>
                <w:szCs w:val="22"/>
                <w:rtl/>
              </w:rPr>
              <w:t>ירושלים</w:t>
            </w:r>
          </w:p>
        </w:tc>
        <w:tc>
          <w:tcPr>
            <w:tcW w:w="1245" w:type="dxa"/>
            <w:tcBorders>
              <w:top w:val="single" w:sz="4" w:space="0" w:color="auto"/>
              <w:left w:val="single" w:sz="4" w:space="0" w:color="auto"/>
              <w:bottom w:val="single" w:sz="4" w:space="0" w:color="auto"/>
              <w:right w:val="single" w:sz="4" w:space="0" w:color="auto"/>
            </w:tcBorders>
            <w:noWrap/>
            <w:hideMark/>
          </w:tcPr>
          <w:p w:rsidR="00E303AD" w:rsidRPr="00E303AD" w:rsidP="00E303AD">
            <w:pPr>
              <w:spacing w:line="269" w:lineRule="auto"/>
              <w:jc w:val="left"/>
              <w:rPr>
                <w:rFonts w:ascii="David" w:eastAsia="Times New Roman" w:hAnsi="David"/>
                <w:b/>
                <w:bCs/>
                <w:color w:val="000000"/>
                <w:sz w:val="22"/>
                <w:szCs w:val="22"/>
              </w:rPr>
            </w:pPr>
            <w:r w:rsidRPr="00E303AD">
              <w:rPr>
                <w:rFonts w:ascii="David" w:eastAsia="Times New Roman" w:hAnsi="David" w:hint="cs"/>
                <w:b/>
                <w:bCs/>
                <w:color w:val="000000"/>
                <w:sz w:val="22"/>
                <w:szCs w:val="22"/>
                <w:rtl/>
              </w:rPr>
              <w:t>ז</w:t>
            </w:r>
          </w:p>
        </w:tc>
        <w:tc>
          <w:tcPr>
            <w:tcW w:w="2496" w:type="dxa"/>
            <w:tcBorders>
              <w:top w:val="single" w:sz="4" w:space="0" w:color="auto"/>
              <w:left w:val="single" w:sz="4" w:space="0" w:color="auto"/>
              <w:bottom w:val="single" w:sz="4" w:space="0" w:color="auto"/>
              <w:right w:val="single" w:sz="4" w:space="0" w:color="auto"/>
            </w:tcBorders>
            <w:noWrap/>
            <w:hideMark/>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27</w:t>
            </w:r>
          </w:p>
        </w:tc>
        <w:tc>
          <w:tcPr>
            <w:tcW w:w="2212" w:type="dxa"/>
            <w:tcBorders>
              <w:top w:val="single" w:sz="4" w:space="0" w:color="auto"/>
              <w:left w:val="single" w:sz="4" w:space="0" w:color="auto"/>
              <w:bottom w:val="single" w:sz="4" w:space="0" w:color="auto"/>
              <w:right w:val="single" w:sz="4" w:space="0" w:color="auto"/>
            </w:tcBorders>
            <w:noWrap/>
            <w:hideMark/>
          </w:tcPr>
          <w:p w:rsidR="00E303AD" w:rsidRPr="00E303AD" w:rsidP="00E303AD">
            <w:pPr>
              <w:bidi w:val="0"/>
              <w:spacing w:line="269" w:lineRule="auto"/>
              <w:jc w:val="right"/>
              <w:rPr>
                <w:rFonts w:ascii="David" w:eastAsia="Times New Roman" w:hAnsi="David"/>
                <w:color w:val="000000"/>
                <w:sz w:val="22"/>
                <w:szCs w:val="22"/>
                <w:rtl/>
              </w:rPr>
            </w:pPr>
            <w:r w:rsidRPr="00E303AD">
              <w:rPr>
                <w:rFonts w:ascii="David" w:eastAsia="Times New Roman" w:hAnsi="David"/>
                <w:color w:val="000000"/>
                <w:sz w:val="22"/>
                <w:szCs w:val="22"/>
              </w:rPr>
              <w:t>75</w:t>
            </w:r>
          </w:p>
        </w:tc>
      </w:tr>
      <w:tr w:rsidTr="004D74D8">
        <w:tblPrEx>
          <w:tblW w:w="7512" w:type="dxa"/>
          <w:jc w:val="center"/>
          <w:tblLook w:val="04A0"/>
        </w:tblPrEx>
        <w:trPr>
          <w:trHeight w:val="268"/>
          <w:jc w:val="center"/>
        </w:trPr>
        <w:tc>
          <w:tcPr>
            <w:tcW w:w="1559" w:type="dxa"/>
            <w:tcBorders>
              <w:top w:val="single" w:sz="4" w:space="0" w:color="auto"/>
              <w:left w:val="single" w:sz="4" w:space="0" w:color="auto"/>
              <w:bottom w:val="single" w:sz="4" w:space="0" w:color="auto"/>
              <w:right w:val="single" w:sz="4" w:space="0" w:color="auto"/>
            </w:tcBorders>
            <w:shd w:val="clear" w:color="auto" w:fill="E27288"/>
          </w:tcPr>
          <w:p w:rsidR="00E303AD" w:rsidRPr="00E303AD" w:rsidP="00E303AD">
            <w:pPr>
              <w:spacing w:line="269" w:lineRule="auto"/>
              <w:jc w:val="left"/>
              <w:rPr>
                <w:rFonts w:ascii="David" w:eastAsia="Times New Roman" w:hAnsi="David"/>
                <w:b/>
                <w:bCs/>
                <w:color w:val="000000"/>
                <w:sz w:val="22"/>
                <w:szCs w:val="22"/>
                <w:rtl/>
              </w:rPr>
            </w:pPr>
            <w:r w:rsidRPr="00E303AD">
              <w:rPr>
                <w:rFonts w:ascii="David" w:eastAsia="Times New Roman" w:hAnsi="David" w:hint="cs"/>
                <w:b/>
                <w:bCs/>
                <w:color w:val="000000"/>
                <w:sz w:val="22"/>
                <w:szCs w:val="22"/>
                <w:rtl/>
              </w:rPr>
              <w:t xml:space="preserve">מרכז </w:t>
            </w:r>
          </w:p>
        </w:tc>
        <w:tc>
          <w:tcPr>
            <w:tcW w:w="1245" w:type="dxa"/>
            <w:tcBorders>
              <w:top w:val="single" w:sz="4" w:space="0" w:color="auto"/>
              <w:left w:val="single" w:sz="4" w:space="0" w:color="auto"/>
              <w:bottom w:val="single" w:sz="4" w:space="0" w:color="auto"/>
              <w:right w:val="single" w:sz="4" w:space="0" w:color="auto"/>
            </w:tcBorders>
            <w:shd w:val="clear" w:color="auto" w:fill="E27288"/>
            <w:noWrap/>
            <w:hideMark/>
          </w:tcPr>
          <w:p w:rsidR="00E303AD" w:rsidRPr="00E303AD" w:rsidP="00E303AD">
            <w:pPr>
              <w:spacing w:line="269" w:lineRule="auto"/>
              <w:jc w:val="left"/>
              <w:rPr>
                <w:rFonts w:ascii="David" w:eastAsia="Times New Roman" w:hAnsi="David"/>
                <w:b/>
                <w:bCs/>
                <w:color w:val="000000"/>
                <w:sz w:val="22"/>
                <w:szCs w:val="22"/>
              </w:rPr>
            </w:pPr>
            <w:r w:rsidRPr="00E303AD">
              <w:rPr>
                <w:rFonts w:ascii="David" w:eastAsia="Times New Roman" w:hAnsi="David" w:hint="cs"/>
                <w:b/>
                <w:bCs/>
                <w:color w:val="000000"/>
                <w:sz w:val="22"/>
                <w:szCs w:val="22"/>
                <w:rtl/>
              </w:rPr>
              <w:t>ח</w:t>
            </w:r>
          </w:p>
        </w:tc>
        <w:tc>
          <w:tcPr>
            <w:tcW w:w="2496" w:type="dxa"/>
            <w:tcBorders>
              <w:top w:val="single" w:sz="4" w:space="0" w:color="auto"/>
              <w:left w:val="single" w:sz="4" w:space="0" w:color="auto"/>
              <w:bottom w:val="single" w:sz="4" w:space="0" w:color="auto"/>
              <w:right w:val="single" w:sz="4" w:space="0" w:color="auto"/>
            </w:tcBorders>
            <w:shd w:val="clear" w:color="auto" w:fill="E27288"/>
            <w:noWrap/>
            <w:hideMark/>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27</w:t>
            </w:r>
          </w:p>
        </w:tc>
        <w:tc>
          <w:tcPr>
            <w:tcW w:w="2212" w:type="dxa"/>
            <w:tcBorders>
              <w:top w:val="single" w:sz="4" w:space="0" w:color="auto"/>
              <w:left w:val="single" w:sz="4" w:space="0" w:color="auto"/>
              <w:bottom w:val="single" w:sz="4" w:space="0" w:color="auto"/>
              <w:right w:val="single" w:sz="4" w:space="0" w:color="auto"/>
            </w:tcBorders>
            <w:shd w:val="clear" w:color="auto" w:fill="E27288"/>
            <w:noWrap/>
            <w:hideMark/>
          </w:tcPr>
          <w:p w:rsidR="00E303AD" w:rsidRPr="00E303AD" w:rsidP="00E303AD">
            <w:pPr>
              <w:bidi w:val="0"/>
              <w:spacing w:line="269" w:lineRule="auto"/>
              <w:jc w:val="right"/>
              <w:rPr>
                <w:rFonts w:ascii="David" w:eastAsia="Times New Roman" w:hAnsi="David"/>
                <w:color w:val="000000"/>
                <w:sz w:val="22"/>
                <w:szCs w:val="22"/>
                <w:rtl/>
              </w:rPr>
            </w:pPr>
            <w:r w:rsidRPr="00E303AD">
              <w:rPr>
                <w:rFonts w:ascii="David" w:eastAsia="Times New Roman" w:hAnsi="David"/>
                <w:color w:val="000000"/>
                <w:sz w:val="22"/>
                <w:szCs w:val="22"/>
              </w:rPr>
              <w:t>0</w:t>
            </w:r>
          </w:p>
        </w:tc>
      </w:tr>
      <w:tr w:rsidTr="004D74D8">
        <w:tblPrEx>
          <w:tblW w:w="7512" w:type="dxa"/>
          <w:jc w:val="center"/>
          <w:tblLook w:val="04A0"/>
        </w:tblPrEx>
        <w:trPr>
          <w:trHeight w:val="268"/>
          <w:jc w:val="center"/>
        </w:trPr>
        <w:tc>
          <w:tcPr>
            <w:tcW w:w="1559" w:type="dxa"/>
            <w:tcBorders>
              <w:top w:val="single" w:sz="4" w:space="0" w:color="auto"/>
              <w:left w:val="single" w:sz="4" w:space="0" w:color="auto"/>
              <w:bottom w:val="single" w:sz="4" w:space="0" w:color="auto"/>
              <w:right w:val="single" w:sz="4" w:space="0" w:color="auto"/>
            </w:tcBorders>
          </w:tcPr>
          <w:p w:rsidR="00E303AD" w:rsidRPr="00E303AD" w:rsidP="00E303AD">
            <w:pPr>
              <w:spacing w:line="269" w:lineRule="auto"/>
              <w:jc w:val="left"/>
              <w:rPr>
                <w:rFonts w:ascii="David" w:eastAsia="Times New Roman" w:hAnsi="David"/>
                <w:b/>
                <w:bCs/>
                <w:color w:val="000000"/>
                <w:sz w:val="22"/>
                <w:szCs w:val="22"/>
                <w:rtl/>
              </w:rPr>
            </w:pPr>
            <w:r w:rsidRPr="00E303AD">
              <w:rPr>
                <w:rFonts w:ascii="David" w:eastAsia="Times New Roman" w:hAnsi="David" w:hint="cs"/>
                <w:b/>
                <w:bCs/>
                <w:color w:val="000000"/>
                <w:sz w:val="22"/>
                <w:szCs w:val="22"/>
                <w:rtl/>
              </w:rPr>
              <w:t>תל אביב</w:t>
            </w:r>
          </w:p>
        </w:tc>
        <w:tc>
          <w:tcPr>
            <w:tcW w:w="1245" w:type="dxa"/>
            <w:tcBorders>
              <w:top w:val="single" w:sz="4" w:space="0" w:color="auto"/>
              <w:left w:val="single" w:sz="4" w:space="0" w:color="auto"/>
              <w:bottom w:val="single" w:sz="4" w:space="0" w:color="auto"/>
              <w:right w:val="single" w:sz="4" w:space="0" w:color="auto"/>
            </w:tcBorders>
            <w:noWrap/>
            <w:hideMark/>
          </w:tcPr>
          <w:p w:rsidR="00E303AD" w:rsidRPr="00E303AD" w:rsidP="00E303AD">
            <w:pPr>
              <w:spacing w:line="269" w:lineRule="auto"/>
              <w:jc w:val="left"/>
              <w:rPr>
                <w:rFonts w:ascii="David" w:eastAsia="Times New Roman" w:hAnsi="David"/>
                <w:b/>
                <w:bCs/>
                <w:color w:val="000000"/>
                <w:sz w:val="22"/>
                <w:szCs w:val="22"/>
              </w:rPr>
            </w:pPr>
            <w:r w:rsidRPr="00E303AD">
              <w:rPr>
                <w:rFonts w:ascii="David" w:eastAsia="Times New Roman" w:hAnsi="David" w:hint="cs"/>
                <w:b/>
                <w:bCs/>
                <w:color w:val="000000"/>
                <w:sz w:val="22"/>
                <w:szCs w:val="22"/>
                <w:rtl/>
              </w:rPr>
              <w:t>י</w:t>
            </w:r>
          </w:p>
        </w:tc>
        <w:tc>
          <w:tcPr>
            <w:tcW w:w="2496" w:type="dxa"/>
            <w:tcBorders>
              <w:top w:val="single" w:sz="4" w:space="0" w:color="auto"/>
              <w:left w:val="single" w:sz="4" w:space="0" w:color="auto"/>
              <w:bottom w:val="single" w:sz="4" w:space="0" w:color="auto"/>
              <w:right w:val="single" w:sz="4" w:space="0" w:color="auto"/>
            </w:tcBorders>
            <w:noWrap/>
            <w:hideMark/>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28</w:t>
            </w:r>
          </w:p>
        </w:tc>
        <w:tc>
          <w:tcPr>
            <w:tcW w:w="2212" w:type="dxa"/>
            <w:tcBorders>
              <w:top w:val="single" w:sz="4" w:space="0" w:color="auto"/>
              <w:left w:val="single" w:sz="4" w:space="0" w:color="auto"/>
              <w:bottom w:val="single" w:sz="4" w:space="0" w:color="auto"/>
              <w:right w:val="single" w:sz="4" w:space="0" w:color="auto"/>
            </w:tcBorders>
            <w:noWrap/>
            <w:hideMark/>
          </w:tcPr>
          <w:p w:rsidR="00E303AD" w:rsidRPr="00E303AD" w:rsidP="00E303AD">
            <w:pPr>
              <w:bidi w:val="0"/>
              <w:spacing w:line="269" w:lineRule="auto"/>
              <w:jc w:val="right"/>
              <w:rPr>
                <w:rFonts w:ascii="David" w:eastAsia="Times New Roman" w:hAnsi="David"/>
                <w:color w:val="000000"/>
                <w:sz w:val="22"/>
                <w:szCs w:val="22"/>
                <w:rtl/>
              </w:rPr>
            </w:pPr>
            <w:r w:rsidRPr="00E303AD">
              <w:rPr>
                <w:rFonts w:ascii="David" w:eastAsia="Times New Roman" w:hAnsi="David"/>
                <w:color w:val="000000"/>
                <w:sz w:val="22"/>
                <w:szCs w:val="22"/>
              </w:rPr>
              <w:t>75</w:t>
            </w:r>
          </w:p>
        </w:tc>
      </w:tr>
      <w:tr w:rsidTr="004D74D8">
        <w:tblPrEx>
          <w:tblW w:w="7512" w:type="dxa"/>
          <w:jc w:val="center"/>
          <w:tblLook w:val="04A0"/>
        </w:tblPrEx>
        <w:trPr>
          <w:trHeight w:val="268"/>
          <w:jc w:val="center"/>
        </w:trPr>
        <w:tc>
          <w:tcPr>
            <w:tcW w:w="1559" w:type="dxa"/>
            <w:tcBorders>
              <w:top w:val="single" w:sz="4" w:space="0" w:color="auto"/>
              <w:left w:val="single" w:sz="4" w:space="0" w:color="auto"/>
              <w:bottom w:val="single" w:sz="4" w:space="0" w:color="auto"/>
              <w:right w:val="single" w:sz="4" w:space="0" w:color="auto"/>
            </w:tcBorders>
            <w:shd w:val="clear" w:color="auto" w:fill="E27288"/>
          </w:tcPr>
          <w:p w:rsidR="00E303AD" w:rsidRPr="00E303AD" w:rsidP="00E303AD">
            <w:pPr>
              <w:spacing w:line="269" w:lineRule="auto"/>
              <w:jc w:val="left"/>
              <w:rPr>
                <w:rFonts w:ascii="David" w:eastAsia="Times New Roman" w:hAnsi="David"/>
                <w:b/>
                <w:bCs/>
                <w:color w:val="000000"/>
                <w:sz w:val="22"/>
                <w:szCs w:val="22"/>
                <w:rtl/>
              </w:rPr>
            </w:pPr>
            <w:r w:rsidRPr="00E303AD">
              <w:rPr>
                <w:rFonts w:ascii="David" w:eastAsia="Times New Roman" w:hAnsi="David" w:hint="cs"/>
                <w:b/>
                <w:bCs/>
                <w:color w:val="000000"/>
                <w:sz w:val="22"/>
                <w:szCs w:val="22"/>
                <w:rtl/>
              </w:rPr>
              <w:t>מרכז</w:t>
            </w:r>
          </w:p>
        </w:tc>
        <w:tc>
          <w:tcPr>
            <w:tcW w:w="1245" w:type="dxa"/>
            <w:tcBorders>
              <w:top w:val="single" w:sz="4" w:space="0" w:color="auto"/>
              <w:left w:val="single" w:sz="4" w:space="0" w:color="auto"/>
              <w:bottom w:val="single" w:sz="4" w:space="0" w:color="auto"/>
              <w:right w:val="single" w:sz="4" w:space="0" w:color="auto"/>
            </w:tcBorders>
            <w:shd w:val="clear" w:color="auto" w:fill="E27288"/>
            <w:noWrap/>
            <w:hideMark/>
          </w:tcPr>
          <w:p w:rsidR="00E303AD" w:rsidRPr="00E303AD" w:rsidP="00E303AD">
            <w:pPr>
              <w:spacing w:line="269" w:lineRule="auto"/>
              <w:jc w:val="left"/>
              <w:rPr>
                <w:rFonts w:ascii="David" w:eastAsia="Times New Roman" w:hAnsi="David"/>
                <w:b/>
                <w:bCs/>
                <w:color w:val="000000"/>
                <w:sz w:val="22"/>
                <w:szCs w:val="22"/>
              </w:rPr>
            </w:pPr>
            <w:r w:rsidRPr="00E303AD">
              <w:rPr>
                <w:rFonts w:ascii="David" w:eastAsia="Times New Roman" w:hAnsi="David" w:hint="cs"/>
                <w:b/>
                <w:bCs/>
                <w:color w:val="000000"/>
                <w:sz w:val="22"/>
                <w:szCs w:val="22"/>
                <w:rtl/>
              </w:rPr>
              <w:t>י"א</w:t>
            </w:r>
          </w:p>
        </w:tc>
        <w:tc>
          <w:tcPr>
            <w:tcW w:w="2496" w:type="dxa"/>
            <w:tcBorders>
              <w:top w:val="single" w:sz="4" w:space="0" w:color="auto"/>
              <w:left w:val="single" w:sz="4" w:space="0" w:color="auto"/>
              <w:bottom w:val="single" w:sz="4" w:space="0" w:color="auto"/>
              <w:right w:val="single" w:sz="4" w:space="0" w:color="auto"/>
            </w:tcBorders>
            <w:shd w:val="clear" w:color="auto" w:fill="E27288"/>
            <w:noWrap/>
            <w:hideMark/>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32</w:t>
            </w:r>
          </w:p>
        </w:tc>
        <w:tc>
          <w:tcPr>
            <w:tcW w:w="2212" w:type="dxa"/>
            <w:tcBorders>
              <w:top w:val="single" w:sz="4" w:space="0" w:color="auto"/>
              <w:left w:val="single" w:sz="4" w:space="0" w:color="auto"/>
              <w:bottom w:val="single" w:sz="4" w:space="0" w:color="auto"/>
              <w:right w:val="single" w:sz="4" w:space="0" w:color="auto"/>
            </w:tcBorders>
            <w:shd w:val="clear" w:color="auto" w:fill="E27288"/>
            <w:noWrap/>
            <w:hideMark/>
          </w:tcPr>
          <w:p w:rsidR="00E303AD" w:rsidRPr="00E303AD" w:rsidP="00E303AD">
            <w:pPr>
              <w:bidi w:val="0"/>
              <w:spacing w:line="269" w:lineRule="auto"/>
              <w:jc w:val="right"/>
              <w:rPr>
                <w:rFonts w:ascii="David" w:eastAsia="Times New Roman" w:hAnsi="David"/>
                <w:color w:val="000000"/>
                <w:sz w:val="22"/>
                <w:szCs w:val="22"/>
                <w:rtl/>
              </w:rPr>
            </w:pPr>
            <w:r w:rsidRPr="00E303AD">
              <w:rPr>
                <w:rFonts w:ascii="David" w:eastAsia="Times New Roman" w:hAnsi="David"/>
                <w:color w:val="000000"/>
                <w:sz w:val="22"/>
                <w:szCs w:val="22"/>
              </w:rPr>
              <w:t>0</w:t>
            </w:r>
          </w:p>
        </w:tc>
      </w:tr>
      <w:tr w:rsidTr="004D74D8">
        <w:tblPrEx>
          <w:tblW w:w="7512" w:type="dxa"/>
          <w:jc w:val="center"/>
          <w:tblLook w:val="04A0"/>
        </w:tblPrEx>
        <w:trPr>
          <w:trHeight w:val="268"/>
          <w:jc w:val="center"/>
        </w:trPr>
        <w:tc>
          <w:tcPr>
            <w:tcW w:w="1559" w:type="dxa"/>
            <w:tcBorders>
              <w:top w:val="single" w:sz="4" w:space="0" w:color="auto"/>
              <w:left w:val="single" w:sz="4" w:space="0" w:color="auto"/>
              <w:bottom w:val="single" w:sz="4" w:space="0" w:color="auto"/>
              <w:right w:val="single" w:sz="4" w:space="0" w:color="auto"/>
            </w:tcBorders>
          </w:tcPr>
          <w:p w:rsidR="00E303AD" w:rsidRPr="00E303AD" w:rsidP="00E303AD">
            <w:pPr>
              <w:spacing w:line="269" w:lineRule="auto"/>
              <w:jc w:val="left"/>
              <w:rPr>
                <w:rFonts w:ascii="David" w:eastAsia="Times New Roman" w:hAnsi="David"/>
                <w:b/>
                <w:bCs/>
                <w:color w:val="000000"/>
                <w:sz w:val="22"/>
                <w:szCs w:val="22"/>
                <w:rtl/>
              </w:rPr>
            </w:pPr>
            <w:r w:rsidRPr="00E303AD">
              <w:rPr>
                <w:rFonts w:ascii="David" w:eastAsia="Times New Roman" w:hAnsi="David" w:hint="cs"/>
                <w:b/>
                <w:bCs/>
                <w:color w:val="000000"/>
                <w:sz w:val="22"/>
                <w:szCs w:val="22"/>
                <w:rtl/>
              </w:rPr>
              <w:t>דרום</w:t>
            </w:r>
          </w:p>
        </w:tc>
        <w:tc>
          <w:tcPr>
            <w:tcW w:w="1245" w:type="dxa"/>
            <w:tcBorders>
              <w:top w:val="single" w:sz="4" w:space="0" w:color="auto"/>
              <w:left w:val="single" w:sz="4" w:space="0" w:color="auto"/>
              <w:bottom w:val="single" w:sz="4" w:space="0" w:color="auto"/>
              <w:right w:val="single" w:sz="4" w:space="0" w:color="auto"/>
            </w:tcBorders>
            <w:noWrap/>
            <w:hideMark/>
          </w:tcPr>
          <w:p w:rsidR="00E303AD" w:rsidRPr="00E303AD" w:rsidP="00E303AD">
            <w:pPr>
              <w:spacing w:line="269" w:lineRule="auto"/>
              <w:jc w:val="left"/>
              <w:rPr>
                <w:rFonts w:ascii="David" w:eastAsia="Times New Roman" w:hAnsi="David"/>
                <w:b/>
                <w:bCs/>
                <w:color w:val="000000"/>
                <w:sz w:val="22"/>
                <w:szCs w:val="22"/>
              </w:rPr>
            </w:pPr>
            <w:r w:rsidRPr="00E303AD">
              <w:rPr>
                <w:rFonts w:ascii="David" w:eastAsia="Times New Roman" w:hAnsi="David" w:hint="cs"/>
                <w:b/>
                <w:bCs/>
                <w:color w:val="000000"/>
                <w:sz w:val="22"/>
                <w:szCs w:val="22"/>
                <w:rtl/>
              </w:rPr>
              <w:t>י"ב</w:t>
            </w:r>
          </w:p>
        </w:tc>
        <w:tc>
          <w:tcPr>
            <w:tcW w:w="2496" w:type="dxa"/>
            <w:tcBorders>
              <w:top w:val="single" w:sz="4" w:space="0" w:color="auto"/>
              <w:left w:val="single" w:sz="4" w:space="0" w:color="auto"/>
              <w:bottom w:val="single" w:sz="4" w:space="0" w:color="auto"/>
              <w:right w:val="single" w:sz="4" w:space="0" w:color="auto"/>
            </w:tcBorders>
            <w:noWrap/>
            <w:hideMark/>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36</w:t>
            </w:r>
          </w:p>
        </w:tc>
        <w:tc>
          <w:tcPr>
            <w:tcW w:w="2212" w:type="dxa"/>
            <w:tcBorders>
              <w:top w:val="single" w:sz="4" w:space="0" w:color="auto"/>
              <w:left w:val="single" w:sz="4" w:space="0" w:color="auto"/>
              <w:bottom w:val="single" w:sz="4" w:space="0" w:color="auto"/>
              <w:right w:val="single" w:sz="4" w:space="0" w:color="auto"/>
            </w:tcBorders>
            <w:noWrap/>
            <w:hideMark/>
          </w:tcPr>
          <w:p w:rsidR="00E303AD" w:rsidRPr="00E303AD" w:rsidP="00E303AD">
            <w:pPr>
              <w:bidi w:val="0"/>
              <w:spacing w:line="269" w:lineRule="auto"/>
              <w:jc w:val="right"/>
              <w:rPr>
                <w:rFonts w:ascii="David" w:eastAsia="Times New Roman" w:hAnsi="David"/>
                <w:color w:val="000000"/>
                <w:sz w:val="22"/>
                <w:szCs w:val="22"/>
                <w:rtl/>
              </w:rPr>
            </w:pPr>
            <w:r w:rsidRPr="00E303AD">
              <w:rPr>
                <w:rFonts w:ascii="David" w:eastAsia="Times New Roman" w:hAnsi="David"/>
                <w:color w:val="000000"/>
                <w:sz w:val="22"/>
                <w:szCs w:val="22"/>
              </w:rPr>
              <w:t>75</w:t>
            </w:r>
          </w:p>
        </w:tc>
      </w:tr>
      <w:tr w:rsidTr="004D74D8">
        <w:tblPrEx>
          <w:tblW w:w="7512" w:type="dxa"/>
          <w:jc w:val="center"/>
          <w:tblLook w:val="04A0"/>
        </w:tblPrEx>
        <w:trPr>
          <w:trHeight w:val="268"/>
          <w:jc w:val="center"/>
        </w:trPr>
        <w:tc>
          <w:tcPr>
            <w:tcW w:w="1559" w:type="dxa"/>
            <w:tcBorders>
              <w:top w:val="single" w:sz="4" w:space="0" w:color="auto"/>
              <w:left w:val="single" w:sz="4" w:space="0" w:color="auto"/>
              <w:bottom w:val="single" w:sz="4" w:space="0" w:color="auto"/>
              <w:right w:val="single" w:sz="4" w:space="0" w:color="auto"/>
            </w:tcBorders>
          </w:tcPr>
          <w:p w:rsidR="00E303AD" w:rsidRPr="00E303AD" w:rsidP="00E303AD">
            <w:pPr>
              <w:spacing w:line="269" w:lineRule="auto"/>
              <w:jc w:val="left"/>
              <w:rPr>
                <w:rFonts w:ascii="David" w:eastAsia="Times New Roman" w:hAnsi="David"/>
                <w:b/>
                <w:bCs/>
                <w:color w:val="000000"/>
                <w:sz w:val="22"/>
                <w:szCs w:val="22"/>
                <w:rtl/>
              </w:rPr>
            </w:pPr>
            <w:r w:rsidRPr="00E303AD">
              <w:rPr>
                <w:rFonts w:ascii="David" w:eastAsia="Times New Roman" w:hAnsi="David" w:hint="cs"/>
                <w:b/>
                <w:bCs/>
                <w:color w:val="000000"/>
                <w:sz w:val="22"/>
                <w:szCs w:val="22"/>
                <w:rtl/>
              </w:rPr>
              <w:t>תל אביב</w:t>
            </w:r>
          </w:p>
        </w:tc>
        <w:tc>
          <w:tcPr>
            <w:tcW w:w="1245" w:type="dxa"/>
            <w:tcBorders>
              <w:top w:val="single" w:sz="4" w:space="0" w:color="auto"/>
              <w:left w:val="single" w:sz="4" w:space="0" w:color="auto"/>
              <w:bottom w:val="single" w:sz="4" w:space="0" w:color="auto"/>
              <w:right w:val="single" w:sz="4" w:space="0" w:color="auto"/>
            </w:tcBorders>
            <w:noWrap/>
            <w:hideMark/>
          </w:tcPr>
          <w:p w:rsidR="00E303AD" w:rsidRPr="00E303AD" w:rsidP="00E303AD">
            <w:pPr>
              <w:spacing w:line="269" w:lineRule="auto"/>
              <w:jc w:val="left"/>
              <w:rPr>
                <w:rFonts w:ascii="David" w:eastAsia="Times New Roman" w:hAnsi="David"/>
                <w:b/>
                <w:bCs/>
                <w:color w:val="000000"/>
                <w:sz w:val="22"/>
                <w:szCs w:val="22"/>
              </w:rPr>
            </w:pPr>
            <w:r w:rsidRPr="00E303AD">
              <w:rPr>
                <w:rFonts w:ascii="David" w:eastAsia="Times New Roman" w:hAnsi="David" w:hint="cs"/>
                <w:b/>
                <w:bCs/>
                <w:color w:val="000000"/>
                <w:sz w:val="22"/>
                <w:szCs w:val="22"/>
                <w:rtl/>
              </w:rPr>
              <w:t>י"ג</w:t>
            </w:r>
          </w:p>
        </w:tc>
        <w:tc>
          <w:tcPr>
            <w:tcW w:w="2496" w:type="dxa"/>
            <w:tcBorders>
              <w:top w:val="single" w:sz="4" w:space="0" w:color="auto"/>
              <w:left w:val="single" w:sz="4" w:space="0" w:color="auto"/>
              <w:bottom w:val="single" w:sz="4" w:space="0" w:color="auto"/>
              <w:right w:val="single" w:sz="4" w:space="0" w:color="auto"/>
            </w:tcBorders>
            <w:noWrap/>
            <w:hideMark/>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39</w:t>
            </w:r>
          </w:p>
        </w:tc>
        <w:tc>
          <w:tcPr>
            <w:tcW w:w="2212" w:type="dxa"/>
            <w:tcBorders>
              <w:top w:val="single" w:sz="4" w:space="0" w:color="auto"/>
              <w:left w:val="single" w:sz="4" w:space="0" w:color="auto"/>
              <w:bottom w:val="single" w:sz="4" w:space="0" w:color="auto"/>
              <w:right w:val="single" w:sz="4" w:space="0" w:color="auto"/>
            </w:tcBorders>
            <w:noWrap/>
            <w:hideMark/>
          </w:tcPr>
          <w:p w:rsidR="00E303AD" w:rsidRPr="00E303AD" w:rsidP="00E303AD">
            <w:pPr>
              <w:bidi w:val="0"/>
              <w:spacing w:line="269" w:lineRule="auto"/>
              <w:jc w:val="right"/>
              <w:rPr>
                <w:rFonts w:ascii="David" w:eastAsia="Times New Roman" w:hAnsi="David"/>
                <w:color w:val="000000"/>
                <w:sz w:val="22"/>
                <w:szCs w:val="22"/>
                <w:rtl/>
              </w:rPr>
            </w:pPr>
            <w:r w:rsidRPr="00E303AD">
              <w:rPr>
                <w:rFonts w:ascii="David" w:eastAsia="Times New Roman" w:hAnsi="David"/>
                <w:color w:val="000000"/>
                <w:sz w:val="22"/>
                <w:szCs w:val="22"/>
              </w:rPr>
              <w:t>75</w:t>
            </w:r>
          </w:p>
        </w:tc>
      </w:tr>
      <w:tr w:rsidTr="004D74D8">
        <w:tblPrEx>
          <w:tblW w:w="7512" w:type="dxa"/>
          <w:jc w:val="center"/>
          <w:tblLook w:val="04A0"/>
        </w:tblPrEx>
        <w:trPr>
          <w:trHeight w:val="268"/>
          <w:jc w:val="center"/>
        </w:trPr>
        <w:tc>
          <w:tcPr>
            <w:tcW w:w="1559" w:type="dxa"/>
            <w:tcBorders>
              <w:top w:val="single" w:sz="4" w:space="0" w:color="auto"/>
              <w:left w:val="single" w:sz="4" w:space="0" w:color="auto"/>
              <w:bottom w:val="single" w:sz="4" w:space="0" w:color="auto"/>
              <w:right w:val="single" w:sz="4" w:space="0" w:color="auto"/>
            </w:tcBorders>
            <w:shd w:val="clear" w:color="auto" w:fill="E27288"/>
          </w:tcPr>
          <w:p w:rsidR="00E303AD" w:rsidRPr="00E303AD" w:rsidP="00E303AD">
            <w:pPr>
              <w:spacing w:line="269" w:lineRule="auto"/>
              <w:jc w:val="left"/>
              <w:rPr>
                <w:rFonts w:ascii="David" w:eastAsia="Times New Roman" w:hAnsi="David"/>
                <w:b/>
                <w:bCs/>
                <w:color w:val="000000"/>
                <w:sz w:val="22"/>
                <w:szCs w:val="22"/>
                <w:rtl/>
              </w:rPr>
            </w:pPr>
            <w:r w:rsidRPr="00E303AD">
              <w:rPr>
                <w:rFonts w:ascii="David" w:eastAsia="Times New Roman" w:hAnsi="David" w:hint="cs"/>
                <w:b/>
                <w:bCs/>
                <w:color w:val="000000"/>
                <w:sz w:val="22"/>
                <w:szCs w:val="22"/>
                <w:rtl/>
              </w:rPr>
              <w:t>תל אביב</w:t>
            </w:r>
          </w:p>
        </w:tc>
        <w:tc>
          <w:tcPr>
            <w:tcW w:w="1245" w:type="dxa"/>
            <w:tcBorders>
              <w:top w:val="single" w:sz="4" w:space="0" w:color="auto"/>
              <w:left w:val="single" w:sz="4" w:space="0" w:color="auto"/>
              <w:bottom w:val="single" w:sz="4" w:space="0" w:color="auto"/>
              <w:right w:val="single" w:sz="4" w:space="0" w:color="auto"/>
            </w:tcBorders>
            <w:shd w:val="clear" w:color="auto" w:fill="E27288"/>
            <w:noWrap/>
            <w:hideMark/>
          </w:tcPr>
          <w:p w:rsidR="00E303AD" w:rsidRPr="00E303AD" w:rsidP="00E303AD">
            <w:pPr>
              <w:spacing w:line="269" w:lineRule="auto"/>
              <w:jc w:val="left"/>
              <w:rPr>
                <w:rFonts w:ascii="David" w:eastAsia="Times New Roman" w:hAnsi="David"/>
                <w:b/>
                <w:bCs/>
                <w:color w:val="000000"/>
                <w:sz w:val="22"/>
                <w:szCs w:val="22"/>
              </w:rPr>
            </w:pPr>
            <w:r w:rsidRPr="00E303AD">
              <w:rPr>
                <w:rFonts w:ascii="David" w:eastAsia="Times New Roman" w:hAnsi="David" w:hint="cs"/>
                <w:b/>
                <w:bCs/>
                <w:color w:val="000000"/>
                <w:sz w:val="22"/>
                <w:szCs w:val="22"/>
                <w:rtl/>
              </w:rPr>
              <w:t xml:space="preserve">י"ד </w:t>
            </w:r>
          </w:p>
        </w:tc>
        <w:tc>
          <w:tcPr>
            <w:tcW w:w="2496" w:type="dxa"/>
            <w:tcBorders>
              <w:top w:val="single" w:sz="4" w:space="0" w:color="auto"/>
              <w:left w:val="single" w:sz="4" w:space="0" w:color="auto"/>
              <w:bottom w:val="single" w:sz="4" w:space="0" w:color="auto"/>
              <w:right w:val="single" w:sz="4" w:space="0" w:color="auto"/>
            </w:tcBorders>
            <w:shd w:val="clear" w:color="auto" w:fill="E27288"/>
            <w:noWrap/>
            <w:hideMark/>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47</w:t>
            </w:r>
          </w:p>
        </w:tc>
        <w:tc>
          <w:tcPr>
            <w:tcW w:w="2212" w:type="dxa"/>
            <w:tcBorders>
              <w:top w:val="single" w:sz="4" w:space="0" w:color="auto"/>
              <w:left w:val="single" w:sz="4" w:space="0" w:color="auto"/>
              <w:bottom w:val="single" w:sz="4" w:space="0" w:color="auto"/>
              <w:right w:val="single" w:sz="4" w:space="0" w:color="auto"/>
            </w:tcBorders>
            <w:shd w:val="clear" w:color="auto" w:fill="E27288"/>
            <w:noWrap/>
            <w:hideMark/>
          </w:tcPr>
          <w:p w:rsidR="00E303AD" w:rsidRPr="00E303AD" w:rsidP="00E303AD">
            <w:pPr>
              <w:bidi w:val="0"/>
              <w:spacing w:line="269" w:lineRule="auto"/>
              <w:jc w:val="right"/>
              <w:rPr>
                <w:rFonts w:ascii="David" w:eastAsia="Times New Roman" w:hAnsi="David"/>
                <w:color w:val="000000"/>
                <w:sz w:val="22"/>
                <w:szCs w:val="22"/>
                <w:rtl/>
              </w:rPr>
            </w:pPr>
            <w:r w:rsidRPr="00E303AD">
              <w:rPr>
                <w:rFonts w:ascii="David" w:eastAsia="Times New Roman" w:hAnsi="David"/>
                <w:color w:val="000000"/>
                <w:sz w:val="22"/>
                <w:szCs w:val="22"/>
              </w:rPr>
              <w:t>0</w:t>
            </w:r>
          </w:p>
        </w:tc>
      </w:tr>
      <w:tr w:rsidTr="004D74D8">
        <w:tblPrEx>
          <w:tblW w:w="7512" w:type="dxa"/>
          <w:jc w:val="center"/>
          <w:tblLook w:val="04A0"/>
        </w:tblPrEx>
        <w:trPr>
          <w:trHeight w:val="268"/>
          <w:jc w:val="center"/>
        </w:trPr>
        <w:tc>
          <w:tcPr>
            <w:tcW w:w="1559" w:type="dxa"/>
            <w:tcBorders>
              <w:top w:val="single" w:sz="4" w:space="0" w:color="auto"/>
              <w:left w:val="single" w:sz="4" w:space="0" w:color="auto"/>
              <w:bottom w:val="single" w:sz="4" w:space="0" w:color="auto"/>
              <w:right w:val="single" w:sz="4" w:space="0" w:color="auto"/>
            </w:tcBorders>
            <w:shd w:val="clear" w:color="auto" w:fill="E27288"/>
          </w:tcPr>
          <w:p w:rsidR="00E303AD" w:rsidRPr="00E303AD" w:rsidP="00E303AD">
            <w:pPr>
              <w:spacing w:line="269" w:lineRule="auto"/>
              <w:jc w:val="left"/>
              <w:rPr>
                <w:rFonts w:ascii="David" w:eastAsia="Times New Roman" w:hAnsi="David"/>
                <w:b/>
                <w:bCs/>
                <w:color w:val="000000"/>
                <w:sz w:val="22"/>
                <w:szCs w:val="22"/>
                <w:rtl/>
              </w:rPr>
            </w:pPr>
            <w:r w:rsidRPr="00E303AD">
              <w:rPr>
                <w:rFonts w:ascii="David" w:eastAsia="Times New Roman" w:hAnsi="David" w:hint="cs"/>
                <w:b/>
                <w:bCs/>
                <w:color w:val="000000"/>
                <w:sz w:val="22"/>
                <w:szCs w:val="22"/>
                <w:rtl/>
              </w:rPr>
              <w:t>תל אביב</w:t>
            </w:r>
          </w:p>
        </w:tc>
        <w:tc>
          <w:tcPr>
            <w:tcW w:w="1245" w:type="dxa"/>
            <w:tcBorders>
              <w:top w:val="single" w:sz="4" w:space="0" w:color="auto"/>
              <w:left w:val="single" w:sz="4" w:space="0" w:color="auto"/>
              <w:bottom w:val="single" w:sz="4" w:space="0" w:color="auto"/>
              <w:right w:val="single" w:sz="4" w:space="0" w:color="auto"/>
            </w:tcBorders>
            <w:shd w:val="clear" w:color="auto" w:fill="E27288"/>
            <w:noWrap/>
            <w:hideMark/>
          </w:tcPr>
          <w:p w:rsidR="00E303AD" w:rsidRPr="00E303AD" w:rsidP="00E303AD">
            <w:pPr>
              <w:spacing w:line="269" w:lineRule="auto"/>
              <w:jc w:val="left"/>
              <w:rPr>
                <w:rFonts w:ascii="David" w:eastAsia="Times New Roman" w:hAnsi="David"/>
                <w:b/>
                <w:bCs/>
                <w:color w:val="000000"/>
                <w:sz w:val="22"/>
                <w:szCs w:val="22"/>
              </w:rPr>
            </w:pPr>
            <w:r w:rsidRPr="00E303AD">
              <w:rPr>
                <w:rFonts w:ascii="David" w:eastAsia="Times New Roman" w:hAnsi="David" w:hint="cs"/>
                <w:b/>
                <w:bCs/>
                <w:color w:val="000000"/>
                <w:sz w:val="22"/>
                <w:szCs w:val="22"/>
                <w:rtl/>
              </w:rPr>
              <w:t>ט"ו</w:t>
            </w:r>
          </w:p>
        </w:tc>
        <w:tc>
          <w:tcPr>
            <w:tcW w:w="2496" w:type="dxa"/>
            <w:tcBorders>
              <w:top w:val="single" w:sz="4" w:space="0" w:color="auto"/>
              <w:left w:val="single" w:sz="4" w:space="0" w:color="auto"/>
              <w:bottom w:val="single" w:sz="4" w:space="0" w:color="auto"/>
              <w:right w:val="single" w:sz="4" w:space="0" w:color="auto"/>
            </w:tcBorders>
            <w:shd w:val="clear" w:color="auto" w:fill="E27288"/>
            <w:noWrap/>
            <w:hideMark/>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49</w:t>
            </w:r>
          </w:p>
        </w:tc>
        <w:tc>
          <w:tcPr>
            <w:tcW w:w="2212" w:type="dxa"/>
            <w:tcBorders>
              <w:top w:val="single" w:sz="4" w:space="0" w:color="auto"/>
              <w:left w:val="single" w:sz="4" w:space="0" w:color="auto"/>
              <w:bottom w:val="single" w:sz="4" w:space="0" w:color="auto"/>
              <w:right w:val="single" w:sz="4" w:space="0" w:color="auto"/>
            </w:tcBorders>
            <w:shd w:val="clear" w:color="auto" w:fill="E27288"/>
            <w:noWrap/>
            <w:hideMark/>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0</w:t>
            </w:r>
          </w:p>
        </w:tc>
      </w:tr>
      <w:tr w:rsidTr="004D74D8">
        <w:tblPrEx>
          <w:tblW w:w="7512" w:type="dxa"/>
          <w:jc w:val="center"/>
          <w:tblLook w:val="04A0"/>
        </w:tblPrEx>
        <w:trPr>
          <w:trHeight w:val="268"/>
          <w:jc w:val="center"/>
        </w:trPr>
        <w:tc>
          <w:tcPr>
            <w:tcW w:w="1559" w:type="dxa"/>
            <w:tcBorders>
              <w:top w:val="single" w:sz="4" w:space="0" w:color="auto"/>
              <w:left w:val="single" w:sz="4" w:space="0" w:color="auto"/>
              <w:bottom w:val="single" w:sz="4" w:space="0" w:color="auto"/>
              <w:right w:val="single" w:sz="4" w:space="0" w:color="auto"/>
            </w:tcBorders>
            <w:shd w:val="clear" w:color="auto" w:fill="E27288"/>
          </w:tcPr>
          <w:p w:rsidR="00E303AD" w:rsidRPr="00E303AD" w:rsidP="00E303AD">
            <w:pPr>
              <w:spacing w:line="269" w:lineRule="auto"/>
              <w:jc w:val="left"/>
              <w:rPr>
                <w:rFonts w:ascii="David" w:eastAsia="Times New Roman" w:hAnsi="David"/>
                <w:b/>
                <w:bCs/>
                <w:color w:val="000000"/>
                <w:sz w:val="22"/>
                <w:szCs w:val="22"/>
                <w:rtl/>
              </w:rPr>
            </w:pPr>
            <w:r w:rsidRPr="00E303AD">
              <w:rPr>
                <w:rFonts w:ascii="David" w:eastAsia="Times New Roman" w:hAnsi="David" w:hint="cs"/>
                <w:b/>
                <w:bCs/>
                <w:color w:val="000000"/>
                <w:sz w:val="22"/>
                <w:szCs w:val="22"/>
                <w:rtl/>
              </w:rPr>
              <w:t>תל אביב</w:t>
            </w:r>
          </w:p>
        </w:tc>
        <w:tc>
          <w:tcPr>
            <w:tcW w:w="1245" w:type="dxa"/>
            <w:tcBorders>
              <w:top w:val="single" w:sz="4" w:space="0" w:color="auto"/>
              <w:left w:val="single" w:sz="4" w:space="0" w:color="auto"/>
              <w:bottom w:val="single" w:sz="4" w:space="0" w:color="auto"/>
              <w:right w:val="single" w:sz="4" w:space="0" w:color="auto"/>
            </w:tcBorders>
            <w:shd w:val="clear" w:color="auto" w:fill="E27288"/>
            <w:noWrap/>
            <w:hideMark/>
          </w:tcPr>
          <w:p w:rsidR="00E303AD" w:rsidRPr="00E303AD" w:rsidP="00E303AD">
            <w:pPr>
              <w:spacing w:line="269" w:lineRule="auto"/>
              <w:jc w:val="left"/>
              <w:rPr>
                <w:rFonts w:ascii="David" w:eastAsia="Times New Roman" w:hAnsi="David"/>
                <w:b/>
                <w:bCs/>
                <w:color w:val="000000"/>
                <w:sz w:val="22"/>
                <w:szCs w:val="22"/>
              </w:rPr>
            </w:pPr>
            <w:r w:rsidRPr="00E303AD">
              <w:rPr>
                <w:rFonts w:ascii="David" w:eastAsia="Times New Roman" w:hAnsi="David" w:hint="cs"/>
                <w:b/>
                <w:bCs/>
                <w:color w:val="000000"/>
                <w:sz w:val="22"/>
                <w:szCs w:val="22"/>
                <w:rtl/>
              </w:rPr>
              <w:t>ט"ז</w:t>
            </w:r>
          </w:p>
        </w:tc>
        <w:tc>
          <w:tcPr>
            <w:tcW w:w="2496" w:type="dxa"/>
            <w:tcBorders>
              <w:top w:val="single" w:sz="4" w:space="0" w:color="auto"/>
              <w:left w:val="single" w:sz="4" w:space="0" w:color="auto"/>
              <w:bottom w:val="single" w:sz="4" w:space="0" w:color="auto"/>
              <w:right w:val="single" w:sz="4" w:space="0" w:color="auto"/>
            </w:tcBorders>
            <w:shd w:val="clear" w:color="auto" w:fill="E27288"/>
            <w:noWrap/>
            <w:hideMark/>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62</w:t>
            </w:r>
          </w:p>
        </w:tc>
        <w:tc>
          <w:tcPr>
            <w:tcW w:w="2212" w:type="dxa"/>
            <w:tcBorders>
              <w:top w:val="single" w:sz="4" w:space="0" w:color="auto"/>
              <w:left w:val="single" w:sz="4" w:space="0" w:color="auto"/>
              <w:bottom w:val="single" w:sz="4" w:space="0" w:color="auto"/>
              <w:right w:val="single" w:sz="4" w:space="0" w:color="auto"/>
            </w:tcBorders>
            <w:shd w:val="clear" w:color="auto" w:fill="E27288"/>
            <w:noWrap/>
            <w:hideMark/>
          </w:tcPr>
          <w:p w:rsidR="00E303AD" w:rsidRPr="00E303AD" w:rsidP="00E303AD">
            <w:pPr>
              <w:bidi w:val="0"/>
              <w:spacing w:line="269" w:lineRule="auto"/>
              <w:jc w:val="right"/>
              <w:rPr>
                <w:rFonts w:ascii="David" w:eastAsia="Times New Roman" w:hAnsi="David"/>
                <w:color w:val="000000"/>
                <w:sz w:val="22"/>
                <w:szCs w:val="22"/>
                <w:rtl/>
              </w:rPr>
            </w:pPr>
            <w:r w:rsidRPr="00E303AD">
              <w:rPr>
                <w:rFonts w:ascii="David" w:eastAsia="Times New Roman" w:hAnsi="David"/>
                <w:color w:val="000000"/>
                <w:sz w:val="22"/>
                <w:szCs w:val="22"/>
              </w:rPr>
              <w:t>0</w:t>
            </w:r>
          </w:p>
        </w:tc>
      </w:tr>
      <w:tr w:rsidTr="004D74D8">
        <w:tblPrEx>
          <w:tblW w:w="7512" w:type="dxa"/>
          <w:jc w:val="center"/>
          <w:tblLook w:val="04A0"/>
        </w:tblPrEx>
        <w:trPr>
          <w:trHeight w:val="268"/>
          <w:jc w:val="center"/>
        </w:trPr>
        <w:tc>
          <w:tcPr>
            <w:tcW w:w="1559" w:type="dxa"/>
            <w:tcBorders>
              <w:top w:val="single" w:sz="4" w:space="0" w:color="auto"/>
              <w:left w:val="single" w:sz="4" w:space="0" w:color="auto"/>
              <w:bottom w:val="single" w:sz="4" w:space="0" w:color="auto"/>
              <w:right w:val="single" w:sz="4" w:space="0" w:color="auto"/>
            </w:tcBorders>
          </w:tcPr>
          <w:p w:rsidR="00E303AD" w:rsidRPr="00E303AD" w:rsidP="00E303AD">
            <w:pPr>
              <w:spacing w:line="269" w:lineRule="auto"/>
              <w:jc w:val="left"/>
              <w:rPr>
                <w:rFonts w:ascii="David" w:eastAsia="Times New Roman" w:hAnsi="David"/>
                <w:b/>
                <w:bCs/>
                <w:color w:val="000000"/>
                <w:sz w:val="22"/>
                <w:szCs w:val="22"/>
                <w:rtl/>
              </w:rPr>
            </w:pPr>
            <w:r w:rsidRPr="00E303AD">
              <w:rPr>
                <w:rFonts w:ascii="David" w:eastAsia="Times New Roman" w:hAnsi="David" w:hint="cs"/>
                <w:b/>
                <w:bCs/>
                <w:color w:val="000000"/>
                <w:sz w:val="22"/>
                <w:szCs w:val="22"/>
                <w:rtl/>
              </w:rPr>
              <w:t>מרכז</w:t>
            </w:r>
          </w:p>
        </w:tc>
        <w:tc>
          <w:tcPr>
            <w:tcW w:w="1245" w:type="dxa"/>
            <w:tcBorders>
              <w:top w:val="single" w:sz="4" w:space="0" w:color="auto"/>
              <w:left w:val="single" w:sz="4" w:space="0" w:color="auto"/>
              <w:bottom w:val="single" w:sz="4" w:space="0" w:color="auto"/>
              <w:right w:val="single" w:sz="4" w:space="0" w:color="auto"/>
            </w:tcBorders>
            <w:noWrap/>
            <w:hideMark/>
          </w:tcPr>
          <w:p w:rsidR="00E303AD" w:rsidRPr="00E303AD" w:rsidP="00E303AD">
            <w:pPr>
              <w:spacing w:line="269" w:lineRule="auto"/>
              <w:jc w:val="left"/>
              <w:rPr>
                <w:rFonts w:ascii="David" w:eastAsia="Times New Roman" w:hAnsi="David"/>
                <w:b/>
                <w:bCs/>
                <w:color w:val="000000"/>
                <w:sz w:val="22"/>
                <w:szCs w:val="22"/>
              </w:rPr>
            </w:pPr>
            <w:r w:rsidRPr="00E303AD">
              <w:rPr>
                <w:rFonts w:ascii="David" w:eastAsia="Times New Roman" w:hAnsi="David" w:hint="cs"/>
                <w:b/>
                <w:bCs/>
                <w:color w:val="000000"/>
                <w:sz w:val="22"/>
                <w:szCs w:val="22"/>
                <w:rtl/>
              </w:rPr>
              <w:t>י"ז</w:t>
            </w:r>
          </w:p>
        </w:tc>
        <w:tc>
          <w:tcPr>
            <w:tcW w:w="2496" w:type="dxa"/>
            <w:tcBorders>
              <w:top w:val="single" w:sz="4" w:space="0" w:color="auto"/>
              <w:left w:val="single" w:sz="4" w:space="0" w:color="auto"/>
              <w:bottom w:val="single" w:sz="4" w:space="0" w:color="auto"/>
              <w:right w:val="single" w:sz="4" w:space="0" w:color="auto"/>
            </w:tcBorders>
            <w:noWrap/>
            <w:hideMark/>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87</w:t>
            </w:r>
          </w:p>
        </w:tc>
        <w:tc>
          <w:tcPr>
            <w:tcW w:w="2212" w:type="dxa"/>
            <w:tcBorders>
              <w:top w:val="single" w:sz="4" w:space="0" w:color="auto"/>
              <w:left w:val="single" w:sz="4" w:space="0" w:color="auto"/>
              <w:bottom w:val="single" w:sz="4" w:space="0" w:color="auto"/>
              <w:right w:val="single" w:sz="4" w:space="0" w:color="auto"/>
            </w:tcBorders>
            <w:noWrap/>
            <w:hideMark/>
          </w:tcPr>
          <w:p w:rsidR="00E303AD" w:rsidRPr="00E303AD" w:rsidP="00E303AD">
            <w:pPr>
              <w:bidi w:val="0"/>
              <w:spacing w:line="269" w:lineRule="auto"/>
              <w:jc w:val="right"/>
              <w:rPr>
                <w:rFonts w:ascii="David" w:eastAsia="Times New Roman" w:hAnsi="David"/>
                <w:color w:val="000000"/>
                <w:sz w:val="22"/>
                <w:szCs w:val="22"/>
                <w:rtl/>
              </w:rPr>
            </w:pPr>
            <w:r w:rsidRPr="00E303AD">
              <w:rPr>
                <w:rFonts w:ascii="David" w:eastAsia="Times New Roman" w:hAnsi="David"/>
                <w:color w:val="000000"/>
                <w:sz w:val="22"/>
                <w:szCs w:val="22"/>
              </w:rPr>
              <w:t>300</w:t>
            </w:r>
          </w:p>
        </w:tc>
      </w:tr>
      <w:tr w:rsidTr="004D74D8">
        <w:tblPrEx>
          <w:tblW w:w="7512" w:type="dxa"/>
          <w:jc w:val="center"/>
          <w:tblLook w:val="04A0"/>
        </w:tblPrEx>
        <w:trPr>
          <w:trHeight w:val="268"/>
          <w:jc w:val="center"/>
        </w:trPr>
        <w:tc>
          <w:tcPr>
            <w:tcW w:w="1559" w:type="dxa"/>
            <w:tcBorders>
              <w:top w:val="single" w:sz="4" w:space="0" w:color="auto"/>
              <w:left w:val="single" w:sz="4" w:space="0" w:color="auto"/>
              <w:bottom w:val="single" w:sz="4" w:space="0" w:color="auto"/>
              <w:right w:val="single" w:sz="4" w:space="0" w:color="auto"/>
            </w:tcBorders>
          </w:tcPr>
          <w:p w:rsidR="00E303AD" w:rsidRPr="00E303AD" w:rsidP="00E303AD">
            <w:pPr>
              <w:spacing w:line="269" w:lineRule="auto"/>
              <w:jc w:val="left"/>
              <w:rPr>
                <w:rFonts w:ascii="David" w:eastAsia="Times New Roman" w:hAnsi="David"/>
                <w:b/>
                <w:bCs/>
                <w:color w:val="000000"/>
                <w:sz w:val="22"/>
                <w:szCs w:val="22"/>
                <w:rtl/>
              </w:rPr>
            </w:pPr>
            <w:r w:rsidRPr="00E303AD">
              <w:rPr>
                <w:rFonts w:ascii="David" w:eastAsia="Times New Roman" w:hAnsi="David" w:hint="cs"/>
                <w:b/>
                <w:bCs/>
                <w:color w:val="000000"/>
                <w:sz w:val="22"/>
                <w:szCs w:val="22"/>
                <w:rtl/>
              </w:rPr>
              <w:t>תל אביב</w:t>
            </w:r>
          </w:p>
        </w:tc>
        <w:tc>
          <w:tcPr>
            <w:tcW w:w="1245" w:type="dxa"/>
            <w:tcBorders>
              <w:top w:val="single" w:sz="4" w:space="0" w:color="auto"/>
              <w:left w:val="single" w:sz="4" w:space="0" w:color="auto"/>
              <w:bottom w:val="single" w:sz="4" w:space="0" w:color="auto"/>
              <w:right w:val="single" w:sz="4" w:space="0" w:color="auto"/>
            </w:tcBorders>
            <w:noWrap/>
            <w:hideMark/>
          </w:tcPr>
          <w:p w:rsidR="00E303AD" w:rsidRPr="00E303AD" w:rsidP="00E303AD">
            <w:pPr>
              <w:spacing w:line="269" w:lineRule="auto"/>
              <w:jc w:val="left"/>
              <w:rPr>
                <w:rFonts w:ascii="David" w:eastAsia="Times New Roman" w:hAnsi="David"/>
                <w:b/>
                <w:bCs/>
                <w:color w:val="000000"/>
                <w:sz w:val="22"/>
                <w:szCs w:val="22"/>
              </w:rPr>
            </w:pPr>
            <w:r w:rsidRPr="00E303AD">
              <w:rPr>
                <w:rFonts w:ascii="David" w:eastAsia="Times New Roman" w:hAnsi="David" w:hint="cs"/>
                <w:b/>
                <w:bCs/>
                <w:color w:val="000000"/>
                <w:sz w:val="22"/>
                <w:szCs w:val="22"/>
                <w:rtl/>
              </w:rPr>
              <w:t>י"ח</w:t>
            </w:r>
          </w:p>
        </w:tc>
        <w:tc>
          <w:tcPr>
            <w:tcW w:w="2496" w:type="dxa"/>
            <w:tcBorders>
              <w:top w:val="single" w:sz="4" w:space="0" w:color="auto"/>
              <w:left w:val="single" w:sz="4" w:space="0" w:color="auto"/>
              <w:bottom w:val="single" w:sz="4" w:space="0" w:color="auto"/>
              <w:right w:val="single" w:sz="4" w:space="0" w:color="auto"/>
            </w:tcBorders>
            <w:noWrap/>
            <w:hideMark/>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231</w:t>
            </w:r>
          </w:p>
        </w:tc>
        <w:tc>
          <w:tcPr>
            <w:tcW w:w="2212" w:type="dxa"/>
            <w:tcBorders>
              <w:top w:val="single" w:sz="4" w:space="0" w:color="auto"/>
              <w:left w:val="single" w:sz="4" w:space="0" w:color="auto"/>
              <w:bottom w:val="single" w:sz="4" w:space="0" w:color="auto"/>
              <w:right w:val="single" w:sz="4" w:space="0" w:color="auto"/>
            </w:tcBorders>
            <w:noWrap/>
            <w:hideMark/>
          </w:tcPr>
          <w:p w:rsidR="00E303AD" w:rsidRPr="00E303AD" w:rsidP="00E303AD">
            <w:pPr>
              <w:bidi w:val="0"/>
              <w:spacing w:line="269" w:lineRule="auto"/>
              <w:jc w:val="right"/>
              <w:rPr>
                <w:rFonts w:ascii="David" w:eastAsia="Times New Roman" w:hAnsi="David"/>
                <w:color w:val="000000"/>
                <w:sz w:val="22"/>
                <w:szCs w:val="22"/>
                <w:rtl/>
              </w:rPr>
            </w:pPr>
            <w:r w:rsidRPr="00E303AD">
              <w:rPr>
                <w:rFonts w:ascii="David" w:eastAsia="Times New Roman" w:hAnsi="David"/>
                <w:color w:val="000000"/>
                <w:sz w:val="22"/>
                <w:szCs w:val="22"/>
              </w:rPr>
              <w:t>300</w:t>
            </w:r>
          </w:p>
        </w:tc>
      </w:tr>
    </w:tbl>
    <w:p w:rsidR="00E303AD" w:rsidRPr="00E303AD" w:rsidP="00A13018">
      <w:pPr>
        <w:spacing w:line="269" w:lineRule="auto"/>
        <w:ind w:left="312"/>
        <w:rPr>
          <w:rFonts w:eastAsia="Calibri"/>
          <w:b/>
          <w:bCs/>
          <w:szCs w:val="20"/>
          <w:rtl/>
        </w:rPr>
      </w:pPr>
      <w:r w:rsidRPr="00E303AD">
        <w:rPr>
          <w:rFonts w:eastAsia="Calibri" w:hint="cs"/>
          <w:szCs w:val="20"/>
          <w:rtl/>
        </w:rPr>
        <w:t>על פי הנתונים שהפיקה המשטרה, בעיבוד משרד מבקר המדינה.</w:t>
      </w:r>
      <w:r w:rsidRPr="00E303AD">
        <w:rPr>
          <w:rFonts w:eastAsia="Calibri"/>
          <w:szCs w:val="20"/>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ind w:left="312"/>
        <w:rPr>
          <w:rFonts w:eastAsia="Calibri"/>
          <w:b/>
          <w:bCs/>
          <w:sz w:val="24"/>
          <w:rtl/>
        </w:rPr>
      </w:pPr>
      <w:r w:rsidRPr="00E303AD">
        <w:rPr>
          <w:rFonts w:eastAsia="Calibri" w:hint="cs"/>
          <w:b/>
          <w:bCs/>
          <w:sz w:val="24"/>
          <w:rtl/>
        </w:rPr>
        <w:t xml:space="preserve">נמצא </w:t>
      </w:r>
      <w:r w:rsidRPr="00E303AD">
        <w:rPr>
          <w:rFonts w:eastAsia="Calibri" w:hint="eastAsia"/>
          <w:b/>
          <w:bCs/>
          <w:sz w:val="24"/>
          <w:rtl/>
        </w:rPr>
        <w:t>כי</w:t>
      </w:r>
      <w:r w:rsidRPr="00E303AD">
        <w:rPr>
          <w:rFonts w:eastAsia="Calibri" w:hint="cs"/>
          <w:b/>
          <w:bCs/>
          <w:sz w:val="24"/>
          <w:rtl/>
        </w:rPr>
        <w:t xml:space="preserve"> בשנת 2024</w:t>
      </w:r>
      <w:r w:rsidRPr="00E303AD">
        <w:rPr>
          <w:rFonts w:eastAsia="Calibri"/>
          <w:b/>
          <w:bCs/>
          <w:sz w:val="24"/>
          <w:rtl/>
        </w:rPr>
        <w:t xml:space="preserve"> </w:t>
      </w:r>
      <w:r w:rsidRPr="00E303AD">
        <w:rPr>
          <w:rFonts w:eastAsia="Calibri" w:hint="eastAsia"/>
          <w:b/>
          <w:bCs/>
          <w:sz w:val="24"/>
          <w:rtl/>
        </w:rPr>
        <w:t>היה</w:t>
      </w:r>
      <w:r w:rsidRPr="00E303AD">
        <w:rPr>
          <w:rFonts w:eastAsia="Calibri" w:hint="cs"/>
          <w:b/>
          <w:bCs/>
          <w:sz w:val="24"/>
          <w:rtl/>
        </w:rPr>
        <w:t xml:space="preserve"> במשטרה מידע על כתובות החשודות כזירות זנות בתחום שיפוטן של 26 תחנות,</w:t>
      </w:r>
      <w:r w:rsidRPr="00E303AD">
        <w:rPr>
          <w:rFonts w:eastAsia="Calibri"/>
          <w:b/>
          <w:bCs/>
          <w:sz w:val="24"/>
          <w:rtl/>
        </w:rPr>
        <w:t xml:space="preserve"> </w:t>
      </w:r>
      <w:bookmarkStart w:id="79" w:name="_Hlk223619948"/>
      <w:r w:rsidRPr="00E303AD">
        <w:rPr>
          <w:rFonts w:eastAsia="Calibri" w:hint="cs"/>
          <w:b/>
          <w:bCs/>
          <w:sz w:val="24"/>
          <w:rtl/>
        </w:rPr>
        <w:t xml:space="preserve">אולם </w:t>
      </w:r>
      <w:r w:rsidRPr="00E303AD">
        <w:rPr>
          <w:rFonts w:eastAsia="Calibri"/>
          <w:b/>
          <w:bCs/>
          <w:sz w:val="24"/>
          <w:rtl/>
        </w:rPr>
        <w:t xml:space="preserve">רק ל-18 </w:t>
      </w:r>
      <w:r w:rsidRPr="00E303AD">
        <w:rPr>
          <w:rFonts w:eastAsia="Calibri" w:hint="cs"/>
          <w:b/>
          <w:bCs/>
          <w:sz w:val="24"/>
          <w:rtl/>
        </w:rPr>
        <w:t>מה</w:t>
      </w:r>
      <w:r w:rsidRPr="00E303AD">
        <w:rPr>
          <w:rFonts w:eastAsia="Calibri"/>
          <w:b/>
          <w:bCs/>
          <w:sz w:val="24"/>
          <w:rtl/>
        </w:rPr>
        <w:t xml:space="preserve">תחנות </w:t>
      </w:r>
      <w:r w:rsidRPr="00E303AD">
        <w:rPr>
          <w:rFonts w:eastAsia="Calibri" w:hint="eastAsia"/>
          <w:b/>
          <w:bCs/>
          <w:sz w:val="24"/>
          <w:rtl/>
        </w:rPr>
        <w:t>נקבעו</w:t>
      </w:r>
      <w:r w:rsidRPr="00E303AD">
        <w:rPr>
          <w:rFonts w:eastAsia="Calibri"/>
          <w:b/>
          <w:bCs/>
          <w:sz w:val="24"/>
          <w:rtl/>
        </w:rPr>
        <w:t xml:space="preserve"> </w:t>
      </w:r>
      <w:r w:rsidRPr="00E303AD">
        <w:rPr>
          <w:rFonts w:eastAsia="Calibri" w:hint="cs"/>
          <w:b/>
          <w:bCs/>
          <w:sz w:val="24"/>
          <w:rtl/>
        </w:rPr>
        <w:t xml:space="preserve">בשנת 2024 </w:t>
      </w:r>
      <w:r w:rsidRPr="00E303AD">
        <w:rPr>
          <w:rFonts w:eastAsia="Calibri" w:hint="eastAsia"/>
          <w:b/>
          <w:bCs/>
          <w:sz w:val="24"/>
          <w:rtl/>
        </w:rPr>
        <w:t>יעדי</w:t>
      </w:r>
      <w:r w:rsidRPr="00E303AD">
        <w:rPr>
          <w:rFonts w:eastAsia="Calibri"/>
          <w:b/>
          <w:bCs/>
          <w:sz w:val="24"/>
          <w:rtl/>
        </w:rPr>
        <w:t xml:space="preserve"> </w:t>
      </w:r>
      <w:r w:rsidRPr="00E303AD">
        <w:rPr>
          <w:rFonts w:eastAsia="Calibri" w:hint="eastAsia"/>
          <w:b/>
          <w:bCs/>
          <w:sz w:val="24"/>
          <w:rtl/>
        </w:rPr>
        <w:t>אח</w:t>
      </w:r>
      <w:r w:rsidRPr="00E303AD">
        <w:rPr>
          <w:rFonts w:eastAsia="Calibri"/>
          <w:b/>
          <w:bCs/>
          <w:sz w:val="24"/>
          <w:rtl/>
        </w:rPr>
        <w:t>"</w:t>
      </w:r>
      <w:r w:rsidRPr="00E303AD">
        <w:rPr>
          <w:rFonts w:eastAsia="Calibri" w:hint="cs"/>
          <w:b/>
          <w:bCs/>
          <w:sz w:val="24"/>
          <w:rtl/>
        </w:rPr>
        <w:t>ם</w:t>
      </w:r>
      <w:r w:rsidRPr="00E303AD">
        <w:rPr>
          <w:rFonts w:eastAsia="Calibri"/>
          <w:b/>
          <w:bCs/>
          <w:sz w:val="24"/>
          <w:rtl/>
        </w:rPr>
        <w:t xml:space="preserve"> </w:t>
      </w:r>
      <w:r w:rsidRPr="00E303AD">
        <w:rPr>
          <w:rFonts w:eastAsia="Calibri" w:hint="cs"/>
          <w:b/>
          <w:bCs/>
          <w:sz w:val="24"/>
          <w:rtl/>
        </w:rPr>
        <w:t>לגבי מספר הקנסות שיוטלו על צרכני זנות מכוח חוק איסור צריכת זנות בשנת 2025. לעומת זאת,</w:t>
      </w:r>
      <w:r w:rsidRPr="00E303AD">
        <w:rPr>
          <w:rFonts w:eastAsia="Calibri"/>
          <w:b/>
          <w:bCs/>
          <w:sz w:val="24"/>
          <w:rtl/>
        </w:rPr>
        <w:t xml:space="preserve"> </w:t>
      </w:r>
      <w:r w:rsidRPr="00E303AD">
        <w:rPr>
          <w:rFonts w:eastAsia="Calibri" w:hint="eastAsia"/>
          <w:b/>
          <w:bCs/>
          <w:sz w:val="24"/>
          <w:rtl/>
        </w:rPr>
        <w:t>ל</w:t>
      </w:r>
      <w:r w:rsidRPr="00E303AD">
        <w:rPr>
          <w:rFonts w:eastAsia="Calibri"/>
          <w:b/>
          <w:bCs/>
          <w:sz w:val="24"/>
          <w:rtl/>
        </w:rPr>
        <w:t xml:space="preserve">-8 </w:t>
      </w:r>
      <w:r w:rsidRPr="00E303AD">
        <w:rPr>
          <w:rFonts w:eastAsia="Calibri" w:hint="eastAsia"/>
          <w:b/>
          <w:bCs/>
          <w:sz w:val="24"/>
          <w:rtl/>
        </w:rPr>
        <w:t>תחנות</w:t>
      </w:r>
      <w:r w:rsidRPr="00E303AD">
        <w:rPr>
          <w:rFonts w:eastAsia="Calibri" w:hint="cs"/>
          <w:b/>
          <w:bCs/>
          <w:sz w:val="24"/>
          <w:rtl/>
        </w:rPr>
        <w:t xml:space="preserve"> </w:t>
      </w:r>
      <w:r w:rsidRPr="00E303AD">
        <w:rPr>
          <w:rFonts w:eastAsia="Calibri" w:hint="eastAsia"/>
          <w:b/>
          <w:bCs/>
          <w:sz w:val="24"/>
          <w:rtl/>
        </w:rPr>
        <w:t>שהיה</w:t>
      </w:r>
      <w:r w:rsidRPr="00E303AD">
        <w:rPr>
          <w:rFonts w:eastAsia="Calibri" w:hint="cs"/>
          <w:b/>
          <w:bCs/>
          <w:sz w:val="24"/>
          <w:rtl/>
        </w:rPr>
        <w:t xml:space="preserve"> מידע על כתובות חשודות בתחום שיפוטן - </w:t>
      </w:r>
      <w:r w:rsidRPr="00E303AD">
        <w:rPr>
          <w:rFonts w:eastAsia="Calibri" w:hint="eastAsia"/>
          <w:b/>
          <w:bCs/>
          <w:sz w:val="24"/>
          <w:rtl/>
        </w:rPr>
        <w:t>לא</w:t>
      </w:r>
      <w:r w:rsidRPr="00E303AD">
        <w:rPr>
          <w:rFonts w:eastAsia="Calibri"/>
          <w:b/>
          <w:bCs/>
          <w:sz w:val="24"/>
          <w:rtl/>
        </w:rPr>
        <w:t xml:space="preserve"> </w:t>
      </w:r>
      <w:r w:rsidRPr="00E303AD">
        <w:rPr>
          <w:rFonts w:eastAsia="Calibri" w:hint="eastAsia"/>
          <w:b/>
          <w:bCs/>
          <w:sz w:val="24"/>
          <w:rtl/>
        </w:rPr>
        <w:t>נקבעו</w:t>
      </w:r>
      <w:r w:rsidRPr="00E303AD">
        <w:rPr>
          <w:rFonts w:eastAsia="Calibri"/>
          <w:b/>
          <w:bCs/>
          <w:sz w:val="24"/>
          <w:rtl/>
        </w:rPr>
        <w:t xml:space="preserve"> </w:t>
      </w:r>
      <w:r w:rsidRPr="00E303AD">
        <w:rPr>
          <w:rFonts w:eastAsia="Calibri" w:hint="eastAsia"/>
          <w:b/>
          <w:bCs/>
          <w:sz w:val="24"/>
          <w:rtl/>
        </w:rPr>
        <w:t>יעדים</w:t>
      </w:r>
      <w:r w:rsidRPr="00E303AD">
        <w:rPr>
          <w:rFonts w:eastAsia="Calibri"/>
          <w:b/>
          <w:bCs/>
          <w:sz w:val="24"/>
          <w:rtl/>
        </w:rPr>
        <w:t xml:space="preserve"> </w:t>
      </w:r>
      <w:r w:rsidRPr="00E303AD">
        <w:rPr>
          <w:rFonts w:eastAsia="Calibri" w:hint="eastAsia"/>
          <w:b/>
          <w:bCs/>
          <w:sz w:val="24"/>
          <w:rtl/>
        </w:rPr>
        <w:t>כלל</w:t>
      </w:r>
      <w:r w:rsidRPr="00E303AD">
        <w:rPr>
          <w:rFonts w:eastAsia="Calibri" w:hint="cs"/>
          <w:b/>
          <w:bCs/>
          <w:sz w:val="24"/>
          <w:rtl/>
        </w:rPr>
        <w:t xml:space="preserve">. זאת אף </w:t>
      </w:r>
      <w:r w:rsidRPr="00E303AD">
        <w:rPr>
          <w:rFonts w:eastAsia="Calibri" w:hint="eastAsia"/>
          <w:b/>
          <w:bCs/>
          <w:sz w:val="24"/>
          <w:rtl/>
        </w:rPr>
        <w:t>שהמיפוי</w:t>
      </w:r>
      <w:r w:rsidRPr="00E303AD">
        <w:rPr>
          <w:rFonts w:eastAsia="Calibri"/>
          <w:b/>
          <w:bCs/>
          <w:sz w:val="24"/>
          <w:rtl/>
        </w:rPr>
        <w:t xml:space="preserve"> </w:t>
      </w:r>
      <w:r w:rsidRPr="00E303AD">
        <w:rPr>
          <w:rFonts w:eastAsia="Calibri" w:hint="eastAsia"/>
          <w:b/>
          <w:bCs/>
          <w:sz w:val="24"/>
          <w:rtl/>
        </w:rPr>
        <w:t>המשטרתי</w:t>
      </w:r>
      <w:r w:rsidRPr="00E303AD">
        <w:rPr>
          <w:rFonts w:eastAsia="Calibri"/>
          <w:b/>
          <w:bCs/>
          <w:sz w:val="24"/>
          <w:rtl/>
        </w:rPr>
        <w:t xml:space="preserve"> </w:t>
      </w:r>
      <w:r w:rsidRPr="00E303AD">
        <w:rPr>
          <w:rFonts w:eastAsia="Calibri" w:hint="eastAsia"/>
          <w:b/>
          <w:bCs/>
          <w:sz w:val="24"/>
          <w:rtl/>
        </w:rPr>
        <w:t>של</w:t>
      </w:r>
      <w:r w:rsidRPr="00E303AD">
        <w:rPr>
          <w:rFonts w:eastAsia="Calibri"/>
          <w:b/>
          <w:bCs/>
          <w:sz w:val="24"/>
          <w:rtl/>
        </w:rPr>
        <w:t xml:space="preserve"> </w:t>
      </w:r>
      <w:r w:rsidRPr="00E303AD">
        <w:rPr>
          <w:rFonts w:eastAsia="Calibri" w:hint="eastAsia"/>
          <w:b/>
          <w:bCs/>
          <w:sz w:val="24"/>
          <w:rtl/>
        </w:rPr>
        <w:t>כתובות</w:t>
      </w:r>
      <w:r w:rsidRPr="00E303AD">
        <w:rPr>
          <w:rFonts w:eastAsia="Calibri"/>
          <w:b/>
          <w:bCs/>
          <w:sz w:val="24"/>
          <w:rtl/>
        </w:rPr>
        <w:t xml:space="preserve"> החשודות כזירות </w:t>
      </w:r>
      <w:r w:rsidRPr="00E303AD">
        <w:rPr>
          <w:rFonts w:eastAsia="Calibri" w:hint="eastAsia"/>
          <w:b/>
          <w:bCs/>
          <w:sz w:val="24"/>
          <w:rtl/>
        </w:rPr>
        <w:t>זנות</w:t>
      </w:r>
      <w:r w:rsidRPr="00E303AD">
        <w:rPr>
          <w:rFonts w:eastAsia="Calibri" w:hint="cs"/>
          <w:b/>
          <w:bCs/>
          <w:sz w:val="24"/>
          <w:rtl/>
        </w:rPr>
        <w:t xml:space="preserve"> שימש בסיס לקביעת יעדי אח"ם</w:t>
      </w:r>
      <w:r w:rsidRPr="00E303AD">
        <w:rPr>
          <w:rFonts w:eastAsia="Calibri"/>
          <w:b/>
          <w:bCs/>
          <w:sz w:val="24"/>
          <w:rtl/>
        </w:rPr>
        <w:t>.</w:t>
      </w:r>
      <w:r w:rsidRPr="00E303AD">
        <w:rPr>
          <w:rFonts w:eastAsia="Calibri" w:hint="cs"/>
          <w:b/>
          <w:bCs/>
          <w:sz w:val="24"/>
          <w:rtl/>
        </w:rPr>
        <w:t xml:space="preserve"> </w:t>
      </w:r>
      <w:bookmarkStart w:id="80" w:name="_Hlk223020638"/>
      <w:bookmarkEnd w:id="79"/>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ind w:left="312"/>
        <w:rPr>
          <w:rFonts w:eastAsia="Calibri"/>
          <w:rtl/>
        </w:rPr>
      </w:pPr>
      <w:r w:rsidRPr="00E303AD">
        <w:rPr>
          <w:rFonts w:eastAsia="Calibri" w:hint="cs"/>
          <w:rtl/>
        </w:rPr>
        <w:t xml:space="preserve">בתשובת המשטרה צוין כי </w:t>
      </w:r>
      <w:r w:rsidRPr="00E303AD">
        <w:rPr>
          <w:rFonts w:eastAsia="Calibri"/>
          <w:rtl/>
        </w:rPr>
        <w:t>בשנ</w:t>
      </w:r>
      <w:r w:rsidRPr="00E303AD">
        <w:rPr>
          <w:rFonts w:eastAsia="Calibri" w:hint="cs"/>
          <w:rtl/>
        </w:rPr>
        <w:t>ים</w:t>
      </w:r>
      <w:r w:rsidRPr="00E303AD">
        <w:rPr>
          <w:rFonts w:eastAsia="Calibri"/>
          <w:rtl/>
        </w:rPr>
        <w:t xml:space="preserve"> 2025 ו</w:t>
      </w:r>
      <w:r w:rsidRPr="00E303AD">
        <w:rPr>
          <w:rFonts w:eastAsia="Calibri" w:hint="cs"/>
          <w:rtl/>
        </w:rPr>
        <w:t>-</w:t>
      </w:r>
      <w:r w:rsidRPr="00E303AD">
        <w:rPr>
          <w:rFonts w:eastAsia="Calibri"/>
          <w:rtl/>
        </w:rPr>
        <w:t>2026 נקבעו על ידי ראש אח״</w:t>
      </w:r>
      <w:r w:rsidRPr="00E303AD">
        <w:rPr>
          <w:rFonts w:eastAsia="Calibri" w:hint="cs"/>
          <w:rtl/>
        </w:rPr>
        <w:t>ם</w:t>
      </w:r>
      <w:r w:rsidRPr="00E303AD">
        <w:rPr>
          <w:rFonts w:eastAsia="Calibri"/>
          <w:rtl/>
        </w:rPr>
        <w:t xml:space="preserve"> יעדים מערכתיים בנושאים </w:t>
      </w:r>
      <w:r w:rsidRPr="00E303AD">
        <w:rPr>
          <w:rFonts w:eastAsia="Calibri" w:hint="cs"/>
          <w:rtl/>
        </w:rPr>
        <w:t>אלה</w:t>
      </w:r>
      <w:r w:rsidRPr="00E303AD">
        <w:rPr>
          <w:rFonts w:eastAsia="Calibri"/>
          <w:rtl/>
        </w:rPr>
        <w:t xml:space="preserve">: זנות, עובדים זרים, פוליגמיה </w:t>
      </w:r>
      <w:r w:rsidRPr="00E303AD">
        <w:rPr>
          <w:rFonts w:eastAsia="Calibri" w:hint="cs"/>
          <w:rtl/>
        </w:rPr>
        <w:t xml:space="preserve">והגשת תלונות מקוונת באמצעות מרכז השירות לציבור (מש"ל). </w:t>
      </w:r>
      <w:r w:rsidRPr="00E303AD">
        <w:rPr>
          <w:rFonts w:eastAsia="Calibri"/>
          <w:rtl/>
        </w:rPr>
        <w:t xml:space="preserve">כל תחנה קיבלה יעד </w:t>
      </w:r>
      <w:r w:rsidRPr="00E303AD">
        <w:rPr>
          <w:rFonts w:eastAsia="Calibri" w:hint="cs"/>
          <w:rtl/>
        </w:rPr>
        <w:t>מסוים</w:t>
      </w:r>
      <w:r w:rsidRPr="00E303AD">
        <w:rPr>
          <w:rFonts w:eastAsia="Calibri"/>
          <w:rtl/>
        </w:rPr>
        <w:t xml:space="preserve"> שהותאם לה באופן ממוקד בהתבסס</w:t>
      </w:r>
      <w:r w:rsidRPr="00E303AD">
        <w:rPr>
          <w:rFonts w:eastAsia="Calibri" w:hint="cs"/>
          <w:rtl/>
        </w:rPr>
        <w:t>, בין היתר,</w:t>
      </w:r>
      <w:r w:rsidRPr="00E303AD">
        <w:rPr>
          <w:rFonts w:eastAsia="Calibri"/>
          <w:rtl/>
        </w:rPr>
        <w:t xml:space="preserve"> על תיקי חקירה ונתוני עבר. </w:t>
      </w:r>
      <w:r w:rsidRPr="00E303AD">
        <w:rPr>
          <w:rFonts w:eastAsia="Calibri" w:hint="cs"/>
          <w:rtl/>
        </w:rPr>
        <w:t xml:space="preserve">אכן עבור </w:t>
      </w:r>
      <w:r w:rsidRPr="00E303AD">
        <w:rPr>
          <w:rFonts w:eastAsia="Calibri"/>
          <w:rtl/>
        </w:rPr>
        <w:t xml:space="preserve">יחידות מסוימות לא </w:t>
      </w:r>
      <w:r w:rsidRPr="00E303AD">
        <w:rPr>
          <w:rFonts w:eastAsia="Calibri" w:hint="cs"/>
          <w:rtl/>
        </w:rPr>
        <w:t>נקבע</w:t>
      </w:r>
      <w:r w:rsidRPr="00E303AD">
        <w:rPr>
          <w:rFonts w:eastAsia="Calibri"/>
          <w:rtl/>
        </w:rPr>
        <w:t xml:space="preserve"> יעד בתחום הזנות, א</w:t>
      </w:r>
      <w:r w:rsidRPr="00E303AD">
        <w:rPr>
          <w:rFonts w:eastAsia="Calibri" w:hint="cs"/>
          <w:rtl/>
        </w:rPr>
        <w:t>ך</w:t>
      </w:r>
      <w:r w:rsidRPr="00E303AD">
        <w:rPr>
          <w:rFonts w:eastAsia="Calibri"/>
          <w:rtl/>
        </w:rPr>
        <w:t xml:space="preserve"> </w:t>
      </w:r>
      <w:r w:rsidRPr="00E303AD">
        <w:rPr>
          <w:rFonts w:eastAsia="Calibri" w:hint="cs"/>
          <w:rtl/>
        </w:rPr>
        <w:t xml:space="preserve">אם </w:t>
      </w:r>
      <w:r w:rsidRPr="00E303AD">
        <w:rPr>
          <w:rFonts w:eastAsia="Calibri"/>
          <w:rtl/>
        </w:rPr>
        <w:t xml:space="preserve">מתגלים </w:t>
      </w:r>
      <w:r w:rsidRPr="00E303AD">
        <w:rPr>
          <w:rFonts w:eastAsia="Calibri" w:hint="cs"/>
          <w:rtl/>
        </w:rPr>
        <w:t xml:space="preserve">בתחומי אחריותן </w:t>
      </w:r>
      <w:r w:rsidRPr="00E303AD">
        <w:rPr>
          <w:rFonts w:eastAsia="Calibri"/>
          <w:rtl/>
        </w:rPr>
        <w:t>מקרים ונפתחים אירועים - הם מטופלים באופן מ</w:t>
      </w:r>
      <w:r w:rsidRPr="00E303AD">
        <w:rPr>
          <w:rFonts w:eastAsia="Calibri" w:hint="cs"/>
          <w:rtl/>
        </w:rPr>
        <w:t>י</w:t>
      </w:r>
      <w:r w:rsidRPr="00E303AD">
        <w:rPr>
          <w:rFonts w:eastAsia="Calibri"/>
          <w:rtl/>
        </w:rPr>
        <w:t>ידי</w:t>
      </w:r>
      <w:r w:rsidRPr="00E303AD">
        <w:rPr>
          <w:rFonts w:eastAsia="Calibri" w:hint="cs"/>
          <w:rtl/>
        </w:rPr>
        <w:t>, ומכאן ש</w:t>
      </w:r>
      <w:r w:rsidRPr="00E303AD">
        <w:rPr>
          <w:rFonts w:eastAsia="Calibri"/>
          <w:rtl/>
        </w:rPr>
        <w:t>פעילות האכיפה מתקיימת גם ללא יעד זנות מוגדר</w:t>
      </w:r>
      <w:r w:rsidRPr="00E303AD">
        <w:rPr>
          <w:rFonts w:eastAsia="Calibri" w:hint="cs"/>
          <w:rtl/>
        </w:rPr>
        <w:t xml:space="preserve">. למשל, בשנת 2025 הוטלו בתחום השיפוט של תחנת חולון 134 קנסות ונסגרו שני בתי בושת, בתחום השיפוט של תחנת חדרה הוטלו 15 קנסות ונסגרו שלושה בתי בושת, ובתחום השיפוט של תחנת תל אביב הוטלו ארבעה קנסות. </w:t>
      </w:r>
    </w:p>
    <w:bookmarkEnd w:id="80"/>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ind w:left="312"/>
        <w:rPr>
          <w:rFonts w:eastAsia="Calibri"/>
          <w:sz w:val="24"/>
          <w:rtl/>
        </w:rPr>
      </w:pPr>
      <w:r w:rsidRPr="00E303AD">
        <w:rPr>
          <w:rFonts w:eastAsia="Calibri" w:hint="cs"/>
          <w:sz w:val="24"/>
          <w:rtl/>
        </w:rPr>
        <w:t xml:space="preserve">בתום הביקורת, במרץ 2026, עדכנה המשטרה את משרד מבקר המדינה כי נקבעו יעדי אח"ם לגבי מספר הקנסות שיוטלו בשנת 2026. לפי העדכון, היעדים שנקבעו לשנת 2026 זהים ליעדים </w:t>
      </w:r>
      <w:r w:rsidRPr="00E303AD">
        <w:rPr>
          <w:rFonts w:eastAsia="Calibri" w:hint="cs"/>
          <w:sz w:val="24"/>
          <w:rtl/>
        </w:rPr>
        <w:t xml:space="preserve">שהיו קבועים לשנת 2025, פרט לתחנת אילת, שלגביה נקבע יעד של 300 קנסות (לשנת 2025 </w:t>
      </w:r>
      <w:r w:rsidRPr="00E303AD">
        <w:rPr>
          <w:rFonts w:eastAsia="Calibri"/>
          <w:sz w:val="24"/>
          <w:rtl/>
        </w:rPr>
        <w:t xml:space="preserve">לא נקבע עבור תחנה זו </w:t>
      </w:r>
      <w:r w:rsidRPr="00E303AD">
        <w:rPr>
          <w:rFonts w:eastAsia="Calibri" w:hint="cs"/>
          <w:sz w:val="24"/>
          <w:rtl/>
        </w:rPr>
        <w:t xml:space="preserve">כל </w:t>
      </w:r>
      <w:r w:rsidRPr="00E303AD">
        <w:rPr>
          <w:rFonts w:eastAsia="Calibri"/>
          <w:sz w:val="24"/>
          <w:rtl/>
        </w:rPr>
        <w:t>יעד לגביית קנסות</w:t>
      </w:r>
      <w:r w:rsidRPr="00E303AD">
        <w:rPr>
          <w:rFonts w:eastAsia="Calibri" w:hint="cs"/>
          <w:sz w:val="24"/>
          <w:rtl/>
        </w:rPr>
        <w:t>). כמו כן, נקבעו לכל אחת מהתחנות יעדים לגבי מספר כתבי האישום שיוגשו בגין עבירות סחר בבני אדם</w:t>
      </w:r>
      <w:r>
        <w:rPr>
          <w:rFonts w:eastAsia="Calibri"/>
          <w:sz w:val="24"/>
          <w:vertAlign w:val="superscript"/>
          <w:rtl/>
        </w:rPr>
        <w:footnoteReference w:id="63"/>
      </w:r>
      <w:r w:rsidRPr="00E303AD">
        <w:rPr>
          <w:rFonts w:eastAsia="Calibri" w:hint="cs"/>
          <w:sz w:val="24"/>
          <w:rtl/>
        </w:rPr>
        <w:t xml:space="preserve"> וזנות</w:t>
      </w:r>
      <w:r>
        <w:rPr>
          <w:rFonts w:eastAsia="Calibri"/>
          <w:vertAlign w:val="superscript"/>
          <w:rtl/>
        </w:rPr>
        <w:footnoteReference w:id="64"/>
      </w:r>
      <w:r w:rsidRPr="00E303AD">
        <w:rPr>
          <w:rFonts w:eastAsia="Calibri" w:hint="cs"/>
          <w:sz w:val="24"/>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ind w:left="312"/>
        <w:rPr>
          <w:rFonts w:eastAsia="Calibri"/>
          <w:b/>
          <w:bCs/>
          <w:sz w:val="24"/>
          <w:rtl/>
        </w:rPr>
      </w:pPr>
      <w:r w:rsidRPr="00E303AD">
        <w:rPr>
          <w:rFonts w:eastAsia="Calibri" w:hint="cs"/>
          <w:b/>
          <w:bCs/>
          <w:sz w:val="24"/>
          <w:rtl/>
        </w:rPr>
        <w:t>לנוכח תכלית יעדי אח"ם ככלי למיקוד מאמצי האכיפה בעבירות הקשורות לזנות, מוצע לבחון את יעדי האכיפה שנקבעו לכל אחת מהתחנות במטרה שתתקיים הלימה בינם לבין ה</w:t>
      </w:r>
      <w:r w:rsidRPr="00E303AD">
        <w:rPr>
          <w:rFonts w:eastAsia="Calibri" w:hint="eastAsia"/>
          <w:b/>
          <w:bCs/>
          <w:sz w:val="24"/>
          <w:rtl/>
        </w:rPr>
        <w:t>מידע</w:t>
      </w:r>
      <w:r w:rsidRPr="00E303AD">
        <w:rPr>
          <w:rFonts w:eastAsia="Calibri"/>
          <w:b/>
          <w:bCs/>
          <w:sz w:val="24"/>
          <w:rtl/>
        </w:rPr>
        <w:t xml:space="preserve"> שהצטבר אצלה ממקורות </w:t>
      </w:r>
      <w:r w:rsidRPr="00E303AD">
        <w:rPr>
          <w:rFonts w:eastAsia="Calibri" w:hint="eastAsia"/>
          <w:b/>
          <w:bCs/>
          <w:sz w:val="24"/>
          <w:rtl/>
        </w:rPr>
        <w:t>שונים</w:t>
      </w:r>
      <w:r w:rsidRPr="00E303AD">
        <w:rPr>
          <w:rFonts w:eastAsia="Calibri"/>
          <w:b/>
          <w:bCs/>
          <w:sz w:val="24"/>
          <w:rtl/>
        </w:rPr>
        <w:t xml:space="preserve"> </w:t>
      </w:r>
      <w:r w:rsidRPr="00E303AD">
        <w:rPr>
          <w:rFonts w:eastAsia="Calibri" w:hint="cs"/>
          <w:b/>
          <w:bCs/>
          <w:sz w:val="24"/>
          <w:rtl/>
        </w:rPr>
        <w:t xml:space="preserve">על כתובות החשודות כזירות זנות. זאת, </w:t>
      </w:r>
      <w:r w:rsidRPr="00E303AD">
        <w:rPr>
          <w:rFonts w:eastAsia="Calibri" w:hint="cs"/>
          <w:b/>
          <w:bCs/>
          <w:rtl/>
        </w:rPr>
        <w:t>תוך</w:t>
      </w:r>
      <w:r w:rsidRPr="00E303AD">
        <w:rPr>
          <w:rFonts w:eastAsia="Calibri"/>
          <w:b/>
          <w:bCs/>
          <w:rtl/>
        </w:rPr>
        <w:t xml:space="preserve"> זיהוי מוקדם של מעגלי הפשיעה, הבנת דפוסי הפעילות והערכת הסיכונים הנלווים. </w:t>
      </w:r>
      <w:r w:rsidRPr="00E303AD">
        <w:rPr>
          <w:rFonts w:eastAsia="Calibri" w:hint="cs"/>
          <w:b/>
          <w:bCs/>
          <w:rtl/>
        </w:rPr>
        <w:t xml:space="preserve">ההקפדה על קביעת </w:t>
      </w:r>
      <w:r w:rsidRPr="00E303AD">
        <w:rPr>
          <w:rFonts w:eastAsia="Calibri"/>
          <w:b/>
          <w:bCs/>
          <w:rtl/>
        </w:rPr>
        <w:t xml:space="preserve">יעדים </w:t>
      </w:r>
      <w:r w:rsidRPr="00E303AD">
        <w:rPr>
          <w:rFonts w:eastAsia="Calibri" w:hint="cs"/>
          <w:b/>
          <w:bCs/>
          <w:rtl/>
        </w:rPr>
        <w:t>והעמידה בהם יאפשרו</w:t>
      </w:r>
      <w:r w:rsidRPr="00E303AD">
        <w:rPr>
          <w:rFonts w:eastAsia="Calibri"/>
          <w:b/>
          <w:bCs/>
          <w:rtl/>
        </w:rPr>
        <w:t xml:space="preserve"> פעולה אפקטיבית </w:t>
      </w:r>
      <w:r w:rsidRPr="00E303AD">
        <w:rPr>
          <w:rFonts w:eastAsia="Calibri" w:hint="cs"/>
          <w:b/>
          <w:bCs/>
          <w:rtl/>
        </w:rPr>
        <w:t>להפחתת היקפה של תופעת</w:t>
      </w:r>
      <w:r w:rsidRPr="00E303AD">
        <w:rPr>
          <w:rFonts w:eastAsia="Calibri"/>
          <w:b/>
          <w:bCs/>
          <w:rtl/>
        </w:rPr>
        <w:t xml:space="preserve"> </w:t>
      </w:r>
      <w:r w:rsidRPr="00E303AD">
        <w:rPr>
          <w:rFonts w:eastAsia="Calibri" w:hint="cs"/>
          <w:b/>
          <w:bCs/>
          <w:rtl/>
        </w:rPr>
        <w:t>ה</w:t>
      </w:r>
      <w:r w:rsidRPr="00E303AD">
        <w:rPr>
          <w:rFonts w:eastAsia="Calibri"/>
          <w:b/>
          <w:bCs/>
          <w:rtl/>
        </w:rPr>
        <w:t xml:space="preserve">זנות </w:t>
      </w:r>
      <w:r w:rsidRPr="00E303AD">
        <w:rPr>
          <w:rFonts w:eastAsia="Calibri" w:hint="cs"/>
          <w:b/>
          <w:bCs/>
          <w:rtl/>
        </w:rPr>
        <w:t xml:space="preserve">וישמשו תשתית לבחינת מידת יעילותה של הוראת השעה בנושא איסור צריכת זנות. </w:t>
      </w:r>
    </w:p>
    <w:p w:rsidR="00E303AD" w:rsidRPr="00E303AD" w:rsidP="00E303AD">
      <w:pPr>
        <w:spacing w:line="269" w:lineRule="auto"/>
        <w:rPr>
          <w:rFonts w:eastAsia="Calibri"/>
          <w:rtl/>
        </w:rPr>
      </w:pPr>
      <w:r w:rsidRPr="00E303AD">
        <w:rPr>
          <w:rFonts w:eastAsia="Calibri"/>
          <w:noProof/>
          <w:rtl/>
          <w:lang w:val="he-IL"/>
        </w:rPr>
        <mc:AlternateContent>
          <mc:Choice Requires="wpg">
            <w:drawing>
              <wp:anchor distT="0" distB="0" distL="114300" distR="114300" simplePos="0" relativeHeight="251660288" behindDoc="0" locked="0" layoutInCell="1" allowOverlap="1">
                <wp:simplePos x="0" y="0"/>
                <wp:positionH relativeFrom="column">
                  <wp:posOffset>-102125</wp:posOffset>
                </wp:positionH>
                <wp:positionV relativeFrom="paragraph">
                  <wp:posOffset>165210</wp:posOffset>
                </wp:positionV>
                <wp:extent cx="5310505" cy="984444"/>
                <wp:effectExtent l="0" t="0" r="4445" b="6350"/>
                <wp:wrapNone/>
                <wp:docPr id="20" name="קבוצה 20"/>
                <wp:cNvGraphicFramePr/>
                <a:graphic xmlns:a="http://schemas.openxmlformats.org/drawingml/2006/main">
                  <a:graphicData uri="http://schemas.microsoft.com/office/word/2010/wordprocessingGroup">
                    <wpg:wgp xmlns:wpg="http://schemas.microsoft.com/office/word/2010/wordprocessingGroup">
                      <wpg:cNvGrpSpPr/>
                      <wpg:grpSpPr>
                        <a:xfrm>
                          <a:off x="0" y="0"/>
                          <a:ext cx="5310505" cy="984444"/>
                          <a:chOff x="0" y="0"/>
                          <a:chExt cx="5310505" cy="984444"/>
                        </a:xfrm>
                      </wpg:grpSpPr>
                      <pic:pic xmlns:pic="http://schemas.openxmlformats.org/drawingml/2006/picture">
                        <pic:nvPicPr>
                          <pic:cNvPr id="21" name="table"/>
                          <pic:cNvPicPr>
                            <a:picLocks noChangeAspect="1"/>
                          </pic:cNvPicPr>
                        </pic:nvPicPr>
                        <pic:blipFill>
                          <a:blip xmlns:r="http://schemas.openxmlformats.org/officeDocument/2006/relationships" r:embed="rId21"/>
                          <a:stretch>
                            <a:fillRect/>
                          </a:stretch>
                        </pic:blipFill>
                        <pic:spPr>
                          <a:xfrm>
                            <a:off x="0" y="111319"/>
                            <a:ext cx="5310505" cy="873125"/>
                          </a:xfrm>
                          <a:prstGeom prst="rect">
                            <a:avLst/>
                          </a:prstGeom>
                        </pic:spPr>
                      </pic:pic>
                      <wpg:grpSp>
                        <wpg:cNvPr id="22" name="קבוצה 22"/>
                        <wpg:cNvGrpSpPr/>
                        <wpg:grpSpPr>
                          <a:xfrm>
                            <a:off x="2576223" y="0"/>
                            <a:ext cx="271463" cy="266700"/>
                            <a:chOff x="0" y="0"/>
                            <a:chExt cx="1781175" cy="1781175"/>
                          </a:xfrm>
                        </wpg:grpSpPr>
                        <pic:pic xmlns:pic="http://schemas.openxmlformats.org/drawingml/2006/picture">
                          <pic:nvPicPr>
                            <pic:cNvPr id="23" name="תמונה 23"/>
                            <pic:cNvPicPr>
                              <a:picLocks noChangeAspect="1"/>
                            </pic:cNvPicPr>
                          </pic:nvPicPr>
                          <pic:blipFill>
                            <a:blip xmlns:r="http://schemas.openxmlformats.org/officeDocument/2006/relationships" r:embed="rId9">
                              <a:clrChange>
                                <a:clrFrom>
                                  <a:srgbClr val="FFFFFF"/>
                                </a:clrFrom>
                                <a:clrTo>
                                  <a:srgbClr val="FFFFFF">
                                    <a:alpha val="0"/>
                                  </a:srgbClr>
                                </a:clrTo>
                              </a:clrChange>
                            </a:blip>
                            <a:stretch>
                              <a:fillRect/>
                            </a:stretch>
                          </pic:blipFill>
                          <pic:spPr>
                            <a:xfrm>
                              <a:off x="0" y="0"/>
                              <a:ext cx="1781175" cy="1781175"/>
                            </a:xfrm>
                            <a:prstGeom prst="rect">
                              <a:avLst/>
                            </a:prstGeom>
                          </pic:spPr>
                        </pic:pic>
                        <pic:pic xmlns:pic="http://schemas.openxmlformats.org/drawingml/2006/picture">
                          <pic:nvPicPr>
                            <pic:cNvPr id="25" name="תמונה 25"/>
                            <pic:cNvPicPr>
                              <a:picLocks noChangeAspect="1"/>
                            </pic:cNvPicPr>
                          </pic:nvPicPr>
                          <pic:blipFill>
                            <a:blip xmlns:r="http://schemas.openxmlformats.org/officeDocument/2006/relationships" r:embed="rId10"/>
                            <a:srcRect l="16969" t="20795" r="16969" b="20795"/>
                            <a:stretch>
                              <a:fillRect/>
                            </a:stretch>
                          </pic:blipFill>
                          <pic:spPr>
                            <a:xfrm>
                              <a:off x="302249" y="371444"/>
                              <a:ext cx="1176676" cy="1040392"/>
                            </a:xfrm>
                            <a:prstGeom prst="rect">
                              <a:avLst/>
                            </a:prstGeom>
                          </pic:spPr>
                        </pic:pic>
                      </wpg:grpSp>
                    </wpg:wgp>
                  </a:graphicData>
                </a:graphic>
              </wp:anchor>
            </w:drawing>
          </mc:Choice>
          <mc:Fallback>
            <w:pict>
              <v:group id="קבוצה 20" o:spid="_x0000_s1033" style="width:418.15pt;height:77.5pt;margin-top:13pt;margin-left:-8.05pt;position:absolute;z-index:251661312" coordsize="53105,9844">
                <v:shape id="table" o:spid="_x0000_s1034" type="#_x0000_t75" style="width:53105;height:8731;mso-wrap-style:square;position:absolute;top:1113;visibility:visible">
                  <v:imagedata r:id="rId21" o:title=""/>
                </v:shape>
                <v:group id="קבוצה 22" o:spid="_x0000_s1035" style="width:2714;height:2667;left:25762;position:absolute" coordsize="17811,17811">
                  <v:shape id="תמונה 23" o:spid="_x0000_s1036" type="#_x0000_t75" style="width:17811;height:17811;mso-wrap-style:square;position:absolute;visibility:visible">
                    <v:imagedata r:id="rId9" o:title="" chromakey="white"/>
                  </v:shape>
                  <v:shape id="תמונה 25" o:spid="_x0000_s1037" type="#_x0000_t75" style="width:11767;height:10404;left:3022;mso-wrap-style:square;position:absolute;top:3714;visibility:visible">
                    <v:imagedata r:id="rId10" o:title="" croptop="13628f" cropbottom="13628f" cropleft="11121f" cropright="11121f"/>
                  </v:shape>
                </v:group>
              </v:group>
            </w:pict>
          </mc:Fallback>
        </mc:AlternateContent>
      </w:r>
    </w:p>
    <w:p w:rsidR="00E303AD" w:rsidRPr="00E303AD" w:rsidP="00E303AD">
      <w:pPr>
        <w:spacing w:line="269" w:lineRule="auto"/>
        <w:rPr>
          <w:rFonts w:eastAsia="Calibri"/>
          <w:rtl/>
        </w:rPr>
      </w:pPr>
    </w:p>
    <w:bookmarkEnd w:id="54"/>
    <w:p w:rsidR="00E303AD" w:rsidRPr="00E303AD" w:rsidP="00E303AD">
      <w:pPr>
        <w:spacing w:line="269" w:lineRule="auto"/>
        <w:rPr>
          <w:rFonts w:eastAsia="Calibri"/>
          <w:b/>
          <w:bCs/>
          <w:rtl/>
        </w:rPr>
      </w:pPr>
    </w:p>
    <w:p w:rsidR="00E303AD" w:rsidRPr="00E303AD" w:rsidP="00E303AD">
      <w:pPr>
        <w:spacing w:line="269" w:lineRule="auto"/>
        <w:ind w:left="424" w:right="426"/>
        <w:rPr>
          <w:rFonts w:ascii="Almoni Tzar ML v5 AAA" w:eastAsia="Calibri" w:hAnsi="Almoni Tzar ML v5 AAA" w:cs="Almoni Tzar ML v5 AAA"/>
          <w:sz w:val="28"/>
          <w:szCs w:val="28"/>
          <w:rtl/>
        </w:rPr>
      </w:pPr>
    </w:p>
    <w:p w:rsidR="00E303AD" w:rsidRPr="00E303AD" w:rsidP="00E303AD">
      <w:pPr>
        <w:spacing w:line="269" w:lineRule="auto"/>
        <w:ind w:left="2160" w:right="426" w:firstLine="720"/>
        <w:rPr>
          <w:rFonts w:ascii="Almoni Tzar ML v5 AAA" w:eastAsia="Calibri" w:hAnsi="Almoni Tzar ML v5 AAA" w:cs="Almoni Tzar ML v5 AAA"/>
          <w:sz w:val="28"/>
          <w:szCs w:val="28"/>
          <w:rtl/>
        </w:rPr>
      </w:pPr>
    </w:p>
    <w:p w:rsidR="00E303AD" w:rsidRPr="00E303AD" w:rsidP="00E303AD">
      <w:pPr>
        <w:spacing w:line="269" w:lineRule="auto"/>
        <w:ind w:left="2160" w:right="426" w:firstLine="720"/>
        <w:rPr>
          <w:rFonts w:ascii="Almoni Tzar ML v5 AAA" w:eastAsia="Calibri" w:hAnsi="Almoni Tzar ML v5 AAA" w:cs="Almoni Tzar ML v5 AAA"/>
          <w:sz w:val="28"/>
          <w:szCs w:val="28"/>
          <w:rtl/>
        </w:rPr>
      </w:pPr>
    </w:p>
    <w:p w:rsidR="00E303AD" w:rsidRPr="00801B1E" w:rsidP="00801B1E">
      <w:pPr>
        <w:spacing w:line="269" w:lineRule="auto"/>
        <w:rPr>
          <w:rFonts w:eastAsia="Calibri"/>
          <w:rtl/>
        </w:rPr>
      </w:pPr>
      <w:bookmarkStart w:id="81" w:name="_Toc221474974"/>
      <w:bookmarkStart w:id="82" w:name="_Toc224808281"/>
    </w:p>
    <w:p w:rsidR="00E303AD" w:rsidRPr="00E303AD" w:rsidP="00E303AD">
      <w:pPr>
        <w:keepNext/>
        <w:keepLines/>
        <w:spacing w:line="269" w:lineRule="auto"/>
        <w:outlineLvl w:val="3"/>
        <w:rPr>
          <w:rFonts w:eastAsia="Times New Roman"/>
          <w:bCs/>
          <w:szCs w:val="26"/>
          <w:rtl/>
        </w:rPr>
      </w:pPr>
      <w:r w:rsidRPr="00E303AD">
        <w:rPr>
          <w:rFonts w:eastAsia="Times New Roman" w:hint="cs"/>
          <w:bCs/>
          <w:szCs w:val="26"/>
          <w:rtl/>
        </w:rPr>
        <w:t>מיצוי הליך שיקומי-חינוכי כאמצעי חלופי לקנס</w:t>
      </w:r>
      <w:bookmarkEnd w:id="81"/>
      <w:bookmarkEnd w:id="82"/>
    </w:p>
    <w:p w:rsidR="00E303AD" w:rsidRPr="00E303AD" w:rsidP="00E303AD">
      <w:pPr>
        <w:spacing w:line="269" w:lineRule="auto"/>
        <w:ind w:left="-567"/>
        <w:rPr>
          <w:rFonts w:eastAsia="Calibri"/>
          <w:szCs w:val="20"/>
          <w:rtl/>
        </w:rPr>
      </w:pPr>
    </w:p>
    <w:p w:rsidR="00E303AD" w:rsidRPr="00E303AD" w:rsidP="00E303AD">
      <w:pPr>
        <w:spacing w:line="269" w:lineRule="auto"/>
        <w:rPr>
          <w:rFonts w:eastAsia="Calibri"/>
          <w:rtl/>
        </w:rPr>
      </w:pPr>
      <w:r w:rsidRPr="00E303AD">
        <w:rPr>
          <w:rFonts w:eastAsia="Calibri" w:hint="cs"/>
          <w:rtl/>
        </w:rPr>
        <w:t>חקיקת ח</w:t>
      </w:r>
      <w:r w:rsidRPr="00E303AD">
        <w:rPr>
          <w:rFonts w:eastAsia="Calibri"/>
          <w:rtl/>
        </w:rPr>
        <w:t>וק איסור צריכת זנות</w:t>
      </w:r>
      <w:r w:rsidRPr="00E303AD">
        <w:rPr>
          <w:rFonts w:eastAsia="Calibri" w:hint="cs"/>
          <w:rtl/>
        </w:rPr>
        <w:t xml:space="preserve"> נועדה</w:t>
      </w:r>
      <w:r w:rsidRPr="00E303AD">
        <w:rPr>
          <w:rFonts w:eastAsia="Calibri"/>
          <w:rtl/>
        </w:rPr>
        <w:t xml:space="preserve"> לצמצם את תופעת הזנות בישראל באמצעות קביעת איסור על צריכת זנות והטלת קנס על עובר החוק. לצד הענישה הכלכלית, </w:t>
      </w:r>
      <w:r w:rsidRPr="00E303AD">
        <w:rPr>
          <w:rFonts w:eastAsia="Calibri" w:hint="cs"/>
          <w:rtl/>
        </w:rPr>
        <w:t>התקנות מכוח החוק</w:t>
      </w:r>
      <w:r w:rsidRPr="00E303AD">
        <w:rPr>
          <w:rFonts w:eastAsia="Calibri"/>
          <w:rtl/>
        </w:rPr>
        <w:t xml:space="preserve"> מאפשר</w:t>
      </w:r>
      <w:r w:rsidRPr="00E303AD">
        <w:rPr>
          <w:rFonts w:eastAsia="Calibri" w:hint="cs"/>
          <w:rtl/>
        </w:rPr>
        <w:t>ות</w:t>
      </w:r>
      <w:r w:rsidRPr="00E303AD">
        <w:rPr>
          <w:rFonts w:eastAsia="Calibri"/>
          <w:rtl/>
        </w:rPr>
        <w:t xml:space="preserve"> למי שהוטל עליו קנס</w:t>
      </w:r>
      <w:r w:rsidRPr="00E303AD">
        <w:rPr>
          <w:rFonts w:eastAsia="Calibri" w:hint="cs"/>
          <w:rtl/>
        </w:rPr>
        <w:t xml:space="preserve"> </w:t>
      </w:r>
      <w:r w:rsidRPr="00E303AD">
        <w:rPr>
          <w:rFonts w:eastAsia="Calibri"/>
          <w:rtl/>
        </w:rPr>
        <w:t xml:space="preserve">לבקש להמירו באמצעי חלופי, אשר מטרתו אינה </w:t>
      </w:r>
      <w:r w:rsidRPr="00E303AD">
        <w:rPr>
          <w:rFonts w:eastAsia="Calibri" w:hint="cs"/>
          <w:rtl/>
        </w:rPr>
        <w:t>הענשה גרידא</w:t>
      </w:r>
      <w:r w:rsidRPr="00E303AD">
        <w:rPr>
          <w:rFonts w:eastAsia="Calibri"/>
          <w:rtl/>
        </w:rPr>
        <w:t xml:space="preserve">, אלא </w:t>
      </w:r>
      <w:r w:rsidRPr="00E303AD">
        <w:rPr>
          <w:rFonts w:eastAsia="Calibri" w:hint="cs"/>
          <w:rtl/>
        </w:rPr>
        <w:t>קידום תהליך חינוכי-שיקומי</w:t>
      </w:r>
      <w:r>
        <w:rPr>
          <w:rFonts w:eastAsia="Calibri"/>
          <w:vertAlign w:val="superscript"/>
          <w:rtl/>
        </w:rPr>
        <w:footnoteReference w:id="65"/>
      </w:r>
      <w:r w:rsidRPr="00E303AD">
        <w:rPr>
          <w:rFonts w:eastAsia="Calibri" w:hint="cs"/>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 xml:space="preserve">האמצעי החלופי מוגדר בתקנות כהליך חינוכי או טיפולי, לרוב </w:t>
      </w:r>
      <w:r w:rsidRPr="00E303AD">
        <w:rPr>
          <w:rFonts w:eastAsia="Calibri" w:hint="cs"/>
          <w:rtl/>
        </w:rPr>
        <w:t>במתכונת של</w:t>
      </w:r>
      <w:r w:rsidRPr="00E303AD">
        <w:rPr>
          <w:rFonts w:eastAsia="Calibri"/>
          <w:rtl/>
        </w:rPr>
        <w:t xml:space="preserve"> סדנה קבוצתית פסיכו-חינוכית בהיקף של </w:t>
      </w:r>
      <w:r w:rsidRPr="00E303AD">
        <w:rPr>
          <w:rFonts w:eastAsia="Calibri" w:hint="cs"/>
          <w:rtl/>
        </w:rPr>
        <w:t xml:space="preserve">6 - 10 </w:t>
      </w:r>
      <w:r w:rsidRPr="00E303AD">
        <w:rPr>
          <w:rFonts w:eastAsia="Calibri"/>
          <w:rtl/>
        </w:rPr>
        <w:t>שעות או מענה פרטני עבור מי שאינו יכול להשתתף בסדנה מסיבות מוצדקות (כגון מגבלה פיזית</w:t>
      </w:r>
      <w:r w:rsidRPr="00E303AD">
        <w:rPr>
          <w:rFonts w:eastAsia="Calibri" w:hint="cs"/>
          <w:rtl/>
        </w:rPr>
        <w:t xml:space="preserve"> או</w:t>
      </w:r>
      <w:r w:rsidRPr="00E303AD">
        <w:rPr>
          <w:rFonts w:eastAsia="Calibri"/>
          <w:rtl/>
        </w:rPr>
        <w:t xml:space="preserve"> נפשית או מגבלת שפה)</w:t>
      </w:r>
      <w:r>
        <w:rPr>
          <w:rFonts w:eastAsia="Calibri"/>
          <w:vertAlign w:val="superscript"/>
          <w:rtl/>
        </w:rPr>
        <w:footnoteReference w:id="66"/>
      </w:r>
      <w:r w:rsidRPr="00E303AD">
        <w:rPr>
          <w:rFonts w:eastAsia="Calibri" w:hint="cs"/>
          <w:rtl/>
        </w:rPr>
        <w:t>.</w:t>
      </w:r>
      <w:r w:rsidRPr="00E303AD">
        <w:rPr>
          <w:rFonts w:ascii="Segoe UI" w:eastAsia="Calibri" w:hAnsi="Segoe UI" w:cs="Segoe UI"/>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הסדנה מועברת על ידי שירות המבחן למבוגרים במשרד הרווחה, האמון על </w:t>
      </w:r>
      <w:r w:rsidRPr="00E303AD">
        <w:rPr>
          <w:rFonts w:ascii="David" w:eastAsia="Calibri" w:hAnsi="David" w:hint="cs"/>
          <w:spacing w:val="1"/>
          <w:rtl/>
        </w:rPr>
        <w:t>מ</w:t>
      </w:r>
      <w:r w:rsidRPr="00E303AD">
        <w:rPr>
          <w:rFonts w:eastAsia="Calibri"/>
          <w:rtl/>
        </w:rPr>
        <w:t xml:space="preserve">תן </w:t>
      </w:r>
      <w:r w:rsidRPr="00E303AD">
        <w:rPr>
          <w:rFonts w:eastAsia="Calibri" w:hint="cs"/>
          <w:rtl/>
        </w:rPr>
        <w:t xml:space="preserve">שירותי </w:t>
      </w:r>
      <w:r w:rsidRPr="00E303AD">
        <w:rPr>
          <w:rFonts w:eastAsia="Calibri"/>
          <w:rtl/>
        </w:rPr>
        <w:t xml:space="preserve">אבחון, פיקוח וטיפול שיקומי לאנשים בני 18 ומעלה המעורבים בהליך פלילי, </w:t>
      </w:r>
      <w:r w:rsidRPr="00E303AD">
        <w:rPr>
          <w:rFonts w:eastAsia="Calibri" w:hint="cs"/>
          <w:rtl/>
        </w:rPr>
        <w:t>כדי</w:t>
      </w:r>
      <w:r w:rsidRPr="00E303AD">
        <w:rPr>
          <w:rFonts w:eastAsia="Calibri"/>
          <w:rtl/>
        </w:rPr>
        <w:t xml:space="preserve"> לצמצם עבריינות חוזרת ולעודד ענישה שיקומית המותאמת לנסיבותיהם האישיות</w:t>
      </w:r>
      <w:r w:rsidRPr="00E303AD">
        <w:rPr>
          <w:rFonts w:eastAsia="Calibri" w:hint="cs"/>
          <w:rtl/>
        </w:rPr>
        <w:t xml:space="preserve"> של המשתתפים</w:t>
      </w:r>
      <w:r>
        <w:rPr>
          <w:rFonts w:eastAsia="Calibri"/>
          <w:vertAlign w:val="superscript"/>
          <w:rtl/>
        </w:rPr>
        <w:footnoteReference w:id="67"/>
      </w:r>
      <w:r w:rsidRPr="00E303AD">
        <w:rPr>
          <w:rFonts w:eastAsia="Calibri"/>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bookmarkStart w:id="83" w:name="_Hlk223344419"/>
      <w:r w:rsidRPr="00E303AD">
        <w:rPr>
          <w:rFonts w:eastAsia="Calibri"/>
          <w:rtl/>
        </w:rPr>
        <w:t>תכליתו המרכזית של האמצעי החלופי היא להקנות ידע ולהגביר את המודעות לנזקים הנגרמים לאוכלוסיות בזנות, ובכך למנוע את הישנות ביצוע העבירה בעתיד</w:t>
      </w:r>
      <w:bookmarkEnd w:id="83"/>
      <w:r w:rsidRPr="00E303AD">
        <w:rPr>
          <w:rFonts w:eastAsia="Calibri" w:hint="cs"/>
          <w:rtl/>
        </w:rPr>
        <w:t>. ה</w:t>
      </w:r>
      <w:r w:rsidRPr="00E303AD">
        <w:rPr>
          <w:rFonts w:eastAsia="Calibri"/>
          <w:rtl/>
        </w:rPr>
        <w:t xml:space="preserve">סדנאות עוסקות בהיבטים החברתיים, הנפשיים והבריאותיים של תופעת הזנות, </w:t>
      </w:r>
      <w:r w:rsidRPr="00E303AD">
        <w:rPr>
          <w:rFonts w:eastAsia="Calibri" w:hint="cs"/>
          <w:rtl/>
        </w:rPr>
        <w:t>ובמסגרתן נחשפים</w:t>
      </w:r>
      <w:r w:rsidRPr="00E303AD">
        <w:rPr>
          <w:rFonts w:eastAsia="Calibri"/>
          <w:rtl/>
        </w:rPr>
        <w:t xml:space="preserve"> המשתתפים </w:t>
      </w:r>
      <w:r w:rsidRPr="00E303AD">
        <w:rPr>
          <w:rFonts w:eastAsia="Calibri" w:hint="cs"/>
          <w:rtl/>
        </w:rPr>
        <w:t>למידע על</w:t>
      </w:r>
      <w:r w:rsidRPr="00E303AD">
        <w:rPr>
          <w:rFonts w:eastAsia="Calibri"/>
          <w:rtl/>
        </w:rPr>
        <w:t xml:space="preserve"> הפגיעות והנזקים הנגרמים לעוסקים בזנות, </w:t>
      </w:r>
      <w:r w:rsidRPr="00E303AD">
        <w:rPr>
          <w:rFonts w:eastAsia="Calibri" w:hint="cs"/>
          <w:rtl/>
        </w:rPr>
        <w:t>כדי</w:t>
      </w:r>
      <w:r w:rsidRPr="00E303AD">
        <w:rPr>
          <w:rFonts w:eastAsia="Calibri"/>
          <w:rtl/>
        </w:rPr>
        <w:t xml:space="preserve"> לעורר אמפתיה, אחריות והבנה מעמיקה יותר של </w:t>
      </w:r>
      <w:r w:rsidRPr="00E303AD">
        <w:rPr>
          <w:rFonts w:eastAsia="Calibri" w:hint="cs"/>
          <w:rtl/>
        </w:rPr>
        <w:t>השפעות</w:t>
      </w:r>
      <w:r w:rsidRPr="00E303AD">
        <w:rPr>
          <w:rFonts w:eastAsia="Calibri"/>
          <w:rtl/>
        </w:rPr>
        <w:t xml:space="preserve"> המעשה</w:t>
      </w:r>
      <w:r w:rsidRPr="00E303AD">
        <w:rPr>
          <w:rFonts w:eastAsia="Calibri" w:hint="cs"/>
          <w:rtl/>
        </w:rPr>
        <w:t xml:space="preserve">. כאמור לעיל, </w:t>
      </w:r>
      <w:r w:rsidRPr="00E303AD">
        <w:rPr>
          <w:rFonts w:eastAsia="Calibri"/>
          <w:rtl/>
        </w:rPr>
        <w:t xml:space="preserve">המודל של שילוב אמצעי חינוכי-שיקומי לצד ענישה כלכלית מבוסס על </w:t>
      </w:r>
      <w:r w:rsidRPr="00E303AD">
        <w:rPr>
          <w:rFonts w:eastAsia="Calibri" w:hint="cs"/>
          <w:rtl/>
        </w:rPr>
        <w:t>ה</w:t>
      </w:r>
      <w:r w:rsidRPr="00E303AD">
        <w:rPr>
          <w:rFonts w:eastAsia="Calibri"/>
          <w:rtl/>
        </w:rPr>
        <w:t xml:space="preserve">תפיסה </w:t>
      </w:r>
      <w:r w:rsidRPr="00E303AD">
        <w:rPr>
          <w:rFonts w:eastAsia="Calibri" w:hint="cs"/>
          <w:rtl/>
        </w:rPr>
        <w:t xml:space="preserve">כי אפשר להשפיע על התנהגותו של </w:t>
      </w:r>
      <w:r w:rsidRPr="00E303AD">
        <w:rPr>
          <w:rFonts w:eastAsia="Calibri"/>
          <w:rtl/>
        </w:rPr>
        <w:t xml:space="preserve">צרכן הזנות באמצעות העלאת </w:t>
      </w:r>
      <w:r w:rsidRPr="00E303AD">
        <w:rPr>
          <w:rFonts w:eastAsia="Calibri" w:hint="cs"/>
          <w:rtl/>
        </w:rPr>
        <w:t>ה</w:t>
      </w:r>
      <w:r w:rsidRPr="00E303AD">
        <w:rPr>
          <w:rFonts w:eastAsia="Calibri"/>
          <w:rtl/>
        </w:rPr>
        <w:t>מודעות ושינוי עמדות</w:t>
      </w:r>
      <w:r>
        <w:rPr>
          <w:rFonts w:eastAsia="Calibri"/>
          <w:vertAlign w:val="superscript"/>
          <w:rtl/>
        </w:rPr>
        <w:footnoteReference w:id="68"/>
      </w:r>
      <w:r w:rsidRPr="00E303AD">
        <w:rPr>
          <w:rFonts w:eastAsia="Calibri" w:hint="cs"/>
          <w:rtl/>
        </w:rPr>
        <w:t>. לפי תפיסה זו</w:t>
      </w:r>
      <w:r w:rsidRPr="00E303AD">
        <w:rPr>
          <w:rFonts w:eastAsia="Calibri"/>
          <w:rtl/>
        </w:rPr>
        <w:t xml:space="preserve"> </w:t>
      </w:r>
      <w:r w:rsidRPr="00E303AD">
        <w:rPr>
          <w:rFonts w:eastAsia="Calibri" w:hint="cs"/>
          <w:rtl/>
        </w:rPr>
        <w:t>האמצעי החלופי</w:t>
      </w:r>
      <w:r w:rsidRPr="00E303AD">
        <w:rPr>
          <w:rFonts w:eastAsia="Calibri"/>
          <w:rtl/>
        </w:rPr>
        <w:t xml:space="preserve"> </w:t>
      </w:r>
      <w:r w:rsidRPr="00E303AD">
        <w:rPr>
          <w:rFonts w:eastAsia="Calibri" w:hint="cs"/>
          <w:rtl/>
        </w:rPr>
        <w:t>עשוי</w:t>
      </w:r>
      <w:r w:rsidRPr="00E303AD">
        <w:rPr>
          <w:rFonts w:eastAsia="Calibri"/>
          <w:rtl/>
        </w:rPr>
        <w:t xml:space="preserve"> להפחית את </w:t>
      </w:r>
      <w:r w:rsidRPr="00E303AD">
        <w:rPr>
          <w:rFonts w:eastAsia="Calibri" w:hint="cs"/>
          <w:rtl/>
        </w:rPr>
        <w:t>הסבירות ל</w:t>
      </w:r>
      <w:r w:rsidRPr="00E303AD">
        <w:rPr>
          <w:rFonts w:eastAsia="Calibri"/>
          <w:rtl/>
        </w:rPr>
        <w:t xml:space="preserve">הישנות העבירה </w:t>
      </w:r>
      <w:r w:rsidRPr="00E303AD">
        <w:rPr>
          <w:rFonts w:eastAsia="Calibri"/>
          <w:rtl/>
        </w:rPr>
        <w:t>ולצמצם את הביקוש לשירותי זנות</w:t>
      </w:r>
      <w:r w:rsidRPr="00E303AD">
        <w:rPr>
          <w:rFonts w:eastAsia="Calibri" w:hint="cs"/>
          <w:rtl/>
        </w:rPr>
        <w:t xml:space="preserve">. </w:t>
      </w:r>
      <w:r w:rsidRPr="00E303AD">
        <w:rPr>
          <w:rFonts w:eastAsia="Calibri"/>
          <w:rtl/>
        </w:rPr>
        <w:t xml:space="preserve">אפקטיביות </w:t>
      </w:r>
      <w:r w:rsidRPr="00E303AD">
        <w:rPr>
          <w:rFonts w:eastAsia="Calibri" w:hint="cs"/>
          <w:rtl/>
        </w:rPr>
        <w:t xml:space="preserve">הסדנה </w:t>
      </w:r>
      <w:r w:rsidRPr="00E303AD">
        <w:rPr>
          <w:rFonts w:eastAsia="Calibri"/>
          <w:rtl/>
        </w:rPr>
        <w:t>תלויה</w:t>
      </w:r>
      <w:r w:rsidRPr="00E303AD">
        <w:rPr>
          <w:rFonts w:eastAsia="Calibri" w:hint="cs"/>
          <w:rtl/>
        </w:rPr>
        <w:t xml:space="preserve">, בין היתר, </w:t>
      </w:r>
      <w:r w:rsidRPr="00E303AD">
        <w:rPr>
          <w:rFonts w:eastAsia="Calibri"/>
          <w:rtl/>
        </w:rPr>
        <w:t>במיד</w:t>
      </w:r>
      <w:r w:rsidRPr="00E303AD">
        <w:rPr>
          <w:rFonts w:eastAsia="Calibri" w:hint="cs"/>
          <w:rtl/>
        </w:rPr>
        <w:t>ה</w:t>
      </w:r>
      <w:r w:rsidRPr="00E303AD">
        <w:rPr>
          <w:rFonts w:eastAsia="Calibri"/>
          <w:rtl/>
        </w:rPr>
        <w:t xml:space="preserve"> </w:t>
      </w:r>
      <w:r w:rsidRPr="00E303AD">
        <w:rPr>
          <w:rFonts w:eastAsia="Calibri" w:hint="cs"/>
          <w:rtl/>
        </w:rPr>
        <w:t xml:space="preserve">שבה המשתתפים מפנימים את </w:t>
      </w:r>
      <w:r w:rsidRPr="00E303AD">
        <w:rPr>
          <w:rFonts w:eastAsia="Calibri"/>
          <w:rtl/>
        </w:rPr>
        <w:t>המסרים</w:t>
      </w:r>
      <w:r>
        <w:rPr>
          <w:rFonts w:eastAsia="Calibri"/>
          <w:vertAlign w:val="superscript"/>
          <w:rtl/>
        </w:rPr>
        <w:footnoteReference w:id="69"/>
      </w:r>
      <w:r w:rsidRPr="00E303AD">
        <w:rPr>
          <w:rFonts w:eastAsia="Calibri" w:hint="cs"/>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ascii="Arial" w:eastAsia="Calibri" w:hAnsi="Arial" w:cs="Arial"/>
          <w:rtl/>
        </w:rPr>
      </w:pPr>
      <w:r w:rsidRPr="00E303AD">
        <w:rPr>
          <w:rFonts w:eastAsia="Calibri" w:hint="cs"/>
          <w:rtl/>
        </w:rPr>
        <w:t>במחקר המלווה, שבוצע מנובמבר 2020 עד מאי 2024 וממצאיו פורסמו בדצמבר 2024, עלו שלוש מסקנות עיקריות בנוגע לאמצעי החלופי</w:t>
      </w:r>
      <w:r>
        <w:rPr>
          <w:rFonts w:eastAsia="Calibri"/>
          <w:vertAlign w:val="superscript"/>
          <w:rtl/>
        </w:rPr>
        <w:footnoteReference w:id="70"/>
      </w:r>
      <w:r w:rsidRPr="00E303AD">
        <w:rPr>
          <w:rFonts w:eastAsia="Calibri" w:hint="cs"/>
          <w:rtl/>
        </w:rPr>
        <w:t>: הראשונה, חל גידול בשיעור המשתתפים שלאחר הסדנה הביעו התנגדות לצריכת זנות והסתייגות מכך וראו בה תופעה פוגענית כלפי העוסקות בה. השנייה, נקיטת האמצעי החלופי</w:t>
      </w:r>
      <w:r w:rsidRPr="00E303AD">
        <w:rPr>
          <w:rFonts w:eastAsia="Calibri"/>
          <w:rtl/>
        </w:rPr>
        <w:t xml:space="preserve"> הוביל</w:t>
      </w:r>
      <w:r w:rsidRPr="00E303AD">
        <w:rPr>
          <w:rFonts w:eastAsia="Calibri" w:hint="cs"/>
          <w:rtl/>
        </w:rPr>
        <w:t>ה</w:t>
      </w:r>
      <w:r w:rsidRPr="00E303AD">
        <w:rPr>
          <w:rFonts w:eastAsia="Calibri"/>
          <w:rtl/>
        </w:rPr>
        <w:t xml:space="preserve"> לעלייה ברצון להפסיק את צריכת הזנות ולהגברת המודעות למאפיינים של התמכרות למין</w:t>
      </w:r>
      <w:r w:rsidRPr="00E303AD">
        <w:rPr>
          <w:rFonts w:eastAsia="Calibri" w:hint="cs"/>
          <w:rtl/>
        </w:rPr>
        <w:t xml:space="preserve">. ממצאי מחקר אלה מעידים כי הסדנה המשמשת אמצעי חלופי לתשלום קנס עשויה להיות כלי יעיל להפחתת תופעת הזנות, וכי היא בעלת פוטנציאל שיקומי. </w:t>
      </w:r>
      <w:r w:rsidRPr="00E303AD">
        <w:rPr>
          <w:rFonts w:eastAsia="Calibri"/>
          <w:rtl/>
        </w:rPr>
        <w:t xml:space="preserve">עם זאת, המסקנה השלישית הייתה ששיעור ההשתתפות בסדנאות </w:t>
      </w:r>
      <w:r w:rsidRPr="00E303AD">
        <w:rPr>
          <w:rFonts w:eastAsia="Calibri" w:hint="cs"/>
          <w:rtl/>
        </w:rPr>
        <w:t>קטן</w:t>
      </w:r>
      <w:r w:rsidRPr="00E303AD">
        <w:rPr>
          <w:rFonts w:eastAsia="Calibri"/>
          <w:rtl/>
        </w:rPr>
        <w:t xml:space="preserve"> (כ-1.9%</w:t>
      </w:r>
      <w:r w:rsidRPr="00E303AD">
        <w:rPr>
          <w:rFonts w:eastAsia="Calibri" w:hint="cs"/>
          <w:rtl/>
        </w:rPr>
        <w:t xml:space="preserve"> מכלל הנקנסים</w:t>
      </w:r>
      <w:r w:rsidRPr="00E303AD">
        <w:rPr>
          <w:rFonts w:eastAsia="Calibri"/>
          <w:rtl/>
        </w:rPr>
        <w:t xml:space="preserve">), </w:t>
      </w:r>
      <w:r w:rsidRPr="00E303AD">
        <w:rPr>
          <w:rFonts w:eastAsia="Calibri" w:hint="cs"/>
          <w:rtl/>
        </w:rPr>
        <w:t>והדבר עלול ללמד כי הוא אינו מונגש דיו</w:t>
      </w:r>
      <w:r w:rsidRPr="00E303AD">
        <w:rPr>
          <w:rFonts w:eastAsia="Calibri"/>
          <w:rtl/>
        </w:rPr>
        <w:t xml:space="preserve"> לנקנסים</w:t>
      </w:r>
      <w:r w:rsidRPr="00E303AD">
        <w:rPr>
          <w:rFonts w:eastAsia="Calibri"/>
        </w:rPr>
        <w:t>.</w:t>
      </w:r>
      <w:r w:rsidRPr="00E303AD">
        <w:rPr>
          <w:rFonts w:eastAsia="Calibri" w:hint="cs"/>
          <w:rtl/>
        </w:rPr>
        <w:t xml:space="preserve"> במחקר המלווה צוין כי 20% מהמשתתפים בסדנה</w:t>
      </w:r>
      <w:r w:rsidRPr="00E303AD">
        <w:rPr>
          <w:rFonts w:eastAsia="Calibri"/>
          <w:rtl/>
        </w:rPr>
        <w:t xml:space="preserve"> דיווחו ששמעו </w:t>
      </w:r>
      <w:r w:rsidRPr="00E303AD">
        <w:rPr>
          <w:rFonts w:eastAsia="Calibri" w:hint="cs"/>
          <w:rtl/>
        </w:rPr>
        <w:t xml:space="preserve">על הסדנה כאמצעי חלופי לקנס </w:t>
      </w:r>
      <w:r w:rsidRPr="00E303AD">
        <w:rPr>
          <w:rFonts w:eastAsia="Calibri"/>
          <w:rtl/>
        </w:rPr>
        <w:t>משוטר בעת קבלת הקנס</w:t>
      </w:r>
      <w:r>
        <w:rPr>
          <w:rFonts w:eastAsia="Calibri"/>
          <w:vertAlign w:val="superscript"/>
          <w:rtl/>
        </w:rPr>
        <w:footnoteReference w:id="71"/>
      </w:r>
      <w:r w:rsidRPr="00E303AD">
        <w:rPr>
          <w:rFonts w:eastAsia="Calibri"/>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באוקטובר 2024 הציג </w:t>
      </w:r>
      <w:r w:rsidRPr="00E303AD">
        <w:rPr>
          <w:rFonts w:eastAsia="Calibri"/>
          <w:rtl/>
        </w:rPr>
        <w:t>שירות המבחן למבוגרים</w:t>
      </w:r>
      <w:r w:rsidRPr="00E303AD">
        <w:rPr>
          <w:rFonts w:eastAsia="Calibri" w:hint="cs"/>
          <w:rtl/>
        </w:rPr>
        <w:t xml:space="preserve"> במשרד הרווחה</w:t>
      </w:r>
      <w:r w:rsidRPr="00E303AD">
        <w:rPr>
          <w:rFonts w:eastAsia="Calibri"/>
          <w:rtl/>
        </w:rPr>
        <w:t xml:space="preserve"> </w:t>
      </w:r>
      <w:r w:rsidRPr="00E303AD">
        <w:rPr>
          <w:rFonts w:eastAsia="Calibri" w:hint="cs"/>
          <w:rtl/>
        </w:rPr>
        <w:t>לפני משרד המשפטים את עמדתו בנוגע לחוק איסור צריכת זנות, במסגרת ההיערכות לפקיעת תוקפה של הוראת השעה. במסגרת הצגת עמדתו בנושא ציין שירות המבחן</w:t>
      </w:r>
      <w:r w:rsidRPr="00E303AD">
        <w:rPr>
          <w:rFonts w:eastAsia="Calibri"/>
          <w:rtl/>
        </w:rPr>
        <w:t xml:space="preserve"> </w:t>
      </w:r>
      <w:r w:rsidRPr="00E303AD">
        <w:rPr>
          <w:rFonts w:eastAsia="Calibri" w:hint="cs"/>
          <w:rtl/>
        </w:rPr>
        <w:t xml:space="preserve">כי יש </w:t>
      </w:r>
      <w:r w:rsidRPr="00E303AD">
        <w:rPr>
          <w:rFonts w:eastAsia="Calibri"/>
          <w:rtl/>
        </w:rPr>
        <w:t>צורך בהגברת ההסברה לשוטרים ובקיום שיתופי פעולה בין גורמי האכיפה לשירותי הרווחה</w:t>
      </w:r>
      <w:r w:rsidRPr="00E303AD">
        <w:rPr>
          <w:rFonts w:eastAsia="Calibri" w:hint="cs"/>
          <w:rtl/>
        </w:rPr>
        <w:t xml:space="preserve">, ובכלל זה הוא המליץ לקיים </w:t>
      </w:r>
      <w:r w:rsidRPr="00E303AD">
        <w:rPr>
          <w:rFonts w:eastAsia="Calibri"/>
          <w:rtl/>
        </w:rPr>
        <w:t>הכשרות</w:t>
      </w:r>
      <w:r w:rsidRPr="00E303AD">
        <w:rPr>
          <w:rFonts w:eastAsia="Calibri" w:hint="cs"/>
          <w:rtl/>
        </w:rPr>
        <w:t xml:space="preserve"> וימי עיון לשוטרים, </w:t>
      </w:r>
      <w:r w:rsidRPr="00E303AD">
        <w:rPr>
          <w:rFonts w:eastAsia="Calibri"/>
          <w:rtl/>
        </w:rPr>
        <w:t>מתוך הבנה שהמידע על ה</w:t>
      </w:r>
      <w:r w:rsidRPr="00E303AD">
        <w:rPr>
          <w:rFonts w:eastAsia="Calibri" w:hint="cs"/>
          <w:rtl/>
        </w:rPr>
        <w:t>אפשרות להשתתפות בסדנה חלף תשלום קנס</w:t>
      </w:r>
      <w:r w:rsidRPr="00E303AD">
        <w:rPr>
          <w:rFonts w:eastAsia="Calibri"/>
          <w:rtl/>
        </w:rPr>
        <w:t xml:space="preserve"> אינו </w:t>
      </w:r>
      <w:r w:rsidRPr="00E303AD">
        <w:rPr>
          <w:rFonts w:eastAsia="Calibri" w:hint="cs"/>
          <w:rtl/>
        </w:rPr>
        <w:t>מתפרסם</w:t>
      </w:r>
      <w:r w:rsidRPr="00E303AD">
        <w:rPr>
          <w:rFonts w:eastAsia="Calibri"/>
          <w:rtl/>
        </w:rPr>
        <w:t xml:space="preserve"> כיום </w:t>
      </w:r>
      <w:r w:rsidRPr="00E303AD">
        <w:rPr>
          <w:rFonts w:eastAsia="Calibri" w:hint="cs"/>
          <w:rtl/>
        </w:rPr>
        <w:t>בהיקף נרחב די הצורך</w:t>
      </w:r>
      <w:r w:rsidRPr="00E303AD">
        <w:rPr>
          <w:rFonts w:eastAsia="Calibri"/>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jc w:val="center"/>
        <w:rPr>
          <w:rFonts w:eastAsia="Calibri"/>
          <w:b/>
          <w:bCs/>
          <w:rtl/>
        </w:rPr>
      </w:pPr>
      <w:bookmarkStart w:id="84" w:name="_Hlk209945941"/>
      <w:r w:rsidRPr="00E303AD">
        <w:rPr>
          <w:rFonts w:eastAsia="Calibri" w:hint="cs"/>
          <w:noProof/>
          <w:rtl/>
        </w:rPr>
        <w:t>תרשים 8:</w:t>
      </w:r>
      <w:r w:rsidRPr="00E303AD">
        <w:rPr>
          <w:rFonts w:eastAsia="Calibri" w:hint="cs"/>
          <w:b/>
          <w:bCs/>
          <w:rtl/>
        </w:rPr>
        <w:t xml:space="preserve"> מספר הנקנסים שהשלימו הליך שיקומי-חינוכי כחלופה לקנס, 2022 - 2025</w:t>
      </w:r>
    </w:p>
    <w:p w:rsidR="00E303AD" w:rsidRPr="00E303AD" w:rsidP="00E303AD">
      <w:pPr>
        <w:spacing w:line="269" w:lineRule="auto"/>
        <w:jc w:val="center"/>
        <w:rPr>
          <w:rFonts w:eastAsia="Calibri"/>
          <w:szCs w:val="20"/>
        </w:rPr>
      </w:pPr>
      <w:r w:rsidRPr="00E303AD">
        <w:rPr>
          <w:rFonts w:eastAsia="Calibri"/>
          <w:noProof/>
        </w:rPr>
        <w:t xml:space="preserve"> </w:t>
      </w:r>
      <w:r w:rsidRPr="00E303AD">
        <w:rPr>
          <w:rFonts w:eastAsia="Calibri"/>
          <w:noProof/>
        </w:rPr>
        <w:drawing>
          <wp:inline distT="0" distB="0" distL="0" distR="0">
            <wp:extent cx="4154888" cy="3702050"/>
            <wp:effectExtent l="0" t="0" r="0" b="0"/>
            <wp:docPr id="12" name="תמונה 12" descr="תרשים עמודות אופקי המשולב עם ציר זמן, ומציג נתונים על מספר הקנסות ועל מספר האנשים שהשלימו אמצעי חלופי במקומם, לאורך השנים 2022 עד 2025. עבור כל שנה, מוצגת עמודה אופקית המפרטת את הנתונים הבאים:&#10;&#10;שנת 2022:&#10;מספר הנקנסים: 3,004; השלימו אמצעי חלופי: 44 (כ-1.5%)&#10;&#10;שנת 2023:&#10;מספר הנקנסים: 902; השלימו אמצעי חלופי: 32 (כ-3.5%)&#10;&#10;שנת 2024:&#10;מספר הקנסות: 378; השלימו אמצעי חלופי: 12 (כ-3.2%)&#10;&#10;שנת 2025:&#10;מספר הקנסות: 1,061; השלימו אמצעי חלופי: 23 (כ-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22"/>
                    <a:stretch>
                      <a:fillRect/>
                    </a:stretch>
                  </pic:blipFill>
                  <pic:spPr>
                    <a:xfrm>
                      <a:off x="0" y="0"/>
                      <a:ext cx="4171682" cy="3717014"/>
                    </a:xfrm>
                    <a:prstGeom prst="rect">
                      <a:avLst/>
                    </a:prstGeom>
                  </pic:spPr>
                </pic:pic>
              </a:graphicData>
            </a:graphic>
          </wp:inline>
        </w:drawing>
      </w:r>
    </w:p>
    <w:p w:rsidR="00E303AD" w:rsidRPr="00E303AD" w:rsidP="00E303AD">
      <w:pPr>
        <w:spacing w:line="269" w:lineRule="auto"/>
        <w:rPr>
          <w:rFonts w:eastAsia="Calibri"/>
          <w:szCs w:val="20"/>
          <w:rtl/>
        </w:rPr>
      </w:pPr>
      <w:r w:rsidRPr="00E303AD">
        <w:rPr>
          <w:rFonts w:eastAsia="Calibri" w:hint="cs"/>
          <w:szCs w:val="20"/>
          <w:rtl/>
        </w:rPr>
        <w:t>על פי נתונים שהפיקו המשטרה והנהלת שירות המבחן, בעיבוד משרד מבקר המדינה.</w:t>
      </w:r>
    </w:p>
    <w:bookmarkEnd w:id="84"/>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r w:rsidRPr="00E303AD">
        <w:rPr>
          <w:rFonts w:eastAsia="Calibri"/>
          <w:b/>
          <w:bCs/>
          <w:rtl/>
        </w:rPr>
        <w:t xml:space="preserve">עולה כי שיעור </w:t>
      </w:r>
      <w:r w:rsidRPr="00E303AD">
        <w:rPr>
          <w:rFonts w:eastAsia="Calibri" w:hint="cs"/>
          <w:b/>
          <w:bCs/>
          <w:rtl/>
        </w:rPr>
        <w:t>הנקנסים על פי חוק איסור צריכת זנות אשר השלימו את השתתפותם בהליך השיקומי-חינוכי החלופי לקנס בשנים 2022 - 2025 הסתכם ב-111 אנשים - 2% בלבד מכלל הנקנסים (5,345 קנסות)</w:t>
      </w:r>
      <w:r>
        <w:rPr>
          <w:rFonts w:eastAsia="Calibri"/>
          <w:b/>
          <w:bCs/>
          <w:vertAlign w:val="superscript"/>
          <w:rtl/>
        </w:rPr>
        <w:footnoteReference w:id="72"/>
      </w:r>
      <w:r w:rsidRPr="00E303AD">
        <w:rPr>
          <w:rFonts w:eastAsia="Calibri" w:hint="cs"/>
          <w:b/>
          <w:b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r w:rsidRPr="00E303AD">
        <w:rPr>
          <w:rFonts w:eastAsia="Calibri" w:hint="eastAsia"/>
          <w:b/>
          <w:bCs/>
          <w:rtl/>
        </w:rPr>
        <w:t>המחקר</w:t>
      </w:r>
      <w:r w:rsidRPr="00E303AD">
        <w:rPr>
          <w:rFonts w:eastAsia="Calibri"/>
          <w:b/>
          <w:bCs/>
          <w:rtl/>
        </w:rPr>
        <w:t xml:space="preserve"> </w:t>
      </w:r>
      <w:r w:rsidRPr="00E303AD">
        <w:rPr>
          <w:rFonts w:eastAsia="Calibri" w:hint="eastAsia"/>
          <w:b/>
          <w:bCs/>
          <w:rtl/>
        </w:rPr>
        <w:t>המלווה</w:t>
      </w:r>
      <w:r w:rsidRPr="00E303AD">
        <w:rPr>
          <w:rFonts w:eastAsia="Calibri"/>
          <w:b/>
          <w:bCs/>
          <w:rtl/>
        </w:rPr>
        <w:t xml:space="preserve"> </w:t>
      </w:r>
      <w:r w:rsidRPr="00E303AD">
        <w:rPr>
          <w:rFonts w:eastAsia="Calibri" w:hint="eastAsia"/>
          <w:b/>
          <w:bCs/>
          <w:rtl/>
        </w:rPr>
        <w:t>מלמד</w:t>
      </w:r>
      <w:r w:rsidRPr="00E303AD">
        <w:rPr>
          <w:rFonts w:eastAsia="Calibri"/>
          <w:b/>
          <w:bCs/>
          <w:rtl/>
        </w:rPr>
        <w:t xml:space="preserve"> </w:t>
      </w:r>
      <w:r w:rsidRPr="00E303AD">
        <w:rPr>
          <w:rFonts w:eastAsia="Calibri" w:hint="eastAsia"/>
          <w:b/>
          <w:bCs/>
          <w:rtl/>
        </w:rPr>
        <w:t>כי</w:t>
      </w:r>
      <w:r w:rsidRPr="00E303AD">
        <w:rPr>
          <w:rFonts w:eastAsia="Calibri"/>
          <w:b/>
          <w:bCs/>
          <w:rtl/>
        </w:rPr>
        <w:t xml:space="preserve"> </w:t>
      </w:r>
      <w:bookmarkStart w:id="85" w:name="_Hlk223344506"/>
      <w:r w:rsidRPr="00E303AD">
        <w:rPr>
          <w:rFonts w:eastAsia="Calibri"/>
          <w:b/>
          <w:bCs/>
          <w:rtl/>
        </w:rPr>
        <w:t xml:space="preserve">לאחר ההשתתפות בסדנה הביעו רבים מהמשתתפים בה עמדות ביקורתיות </w:t>
      </w:r>
      <w:r w:rsidRPr="00E303AD">
        <w:rPr>
          <w:rFonts w:eastAsia="Calibri" w:hint="eastAsia"/>
          <w:b/>
          <w:bCs/>
          <w:rtl/>
        </w:rPr>
        <w:t>יותר</w:t>
      </w:r>
      <w:r w:rsidRPr="00E303AD">
        <w:rPr>
          <w:rFonts w:eastAsia="Calibri"/>
          <w:b/>
          <w:bCs/>
          <w:rtl/>
        </w:rPr>
        <w:t xml:space="preserve"> ומודעות רבה יותר כלפי תופעת הזנות, </w:t>
      </w:r>
      <w:r w:rsidRPr="00E303AD">
        <w:rPr>
          <w:rFonts w:eastAsia="Calibri" w:hint="eastAsia"/>
          <w:b/>
          <w:bCs/>
          <w:rtl/>
        </w:rPr>
        <w:t>ובכלל</w:t>
      </w:r>
      <w:r w:rsidRPr="00E303AD">
        <w:rPr>
          <w:rFonts w:eastAsia="Calibri"/>
          <w:b/>
          <w:bCs/>
          <w:rtl/>
        </w:rPr>
        <w:t xml:space="preserve"> </w:t>
      </w:r>
      <w:r w:rsidRPr="00E303AD">
        <w:rPr>
          <w:rFonts w:eastAsia="Calibri" w:hint="eastAsia"/>
          <w:b/>
          <w:bCs/>
          <w:rtl/>
        </w:rPr>
        <w:t>זה</w:t>
      </w:r>
      <w:r w:rsidRPr="00E303AD">
        <w:rPr>
          <w:rFonts w:eastAsia="Calibri"/>
          <w:b/>
          <w:bCs/>
          <w:rtl/>
        </w:rPr>
        <w:t xml:space="preserve"> </w:t>
      </w:r>
      <w:r w:rsidRPr="00E303AD">
        <w:rPr>
          <w:rFonts w:eastAsia="Calibri" w:hint="eastAsia"/>
          <w:b/>
          <w:bCs/>
          <w:rtl/>
        </w:rPr>
        <w:t>פחתה</w:t>
      </w:r>
      <w:r w:rsidRPr="00E303AD">
        <w:rPr>
          <w:rFonts w:eastAsia="Calibri"/>
          <w:b/>
          <w:bCs/>
          <w:rtl/>
        </w:rPr>
        <w:t xml:space="preserve"> </w:t>
      </w:r>
      <w:r w:rsidRPr="00E303AD">
        <w:rPr>
          <w:rFonts w:eastAsia="Calibri" w:hint="eastAsia"/>
          <w:b/>
          <w:bCs/>
          <w:rtl/>
        </w:rPr>
        <w:t>הלגיטימיות</w:t>
      </w:r>
      <w:r w:rsidRPr="00E303AD">
        <w:rPr>
          <w:rFonts w:eastAsia="Calibri"/>
          <w:b/>
          <w:bCs/>
          <w:rtl/>
        </w:rPr>
        <w:t xml:space="preserve"> </w:t>
      </w:r>
      <w:r w:rsidRPr="00E303AD">
        <w:rPr>
          <w:rFonts w:eastAsia="Calibri" w:hint="eastAsia"/>
          <w:b/>
          <w:bCs/>
          <w:rtl/>
        </w:rPr>
        <w:t>שהם</w:t>
      </w:r>
      <w:r w:rsidRPr="00E303AD">
        <w:rPr>
          <w:rFonts w:eastAsia="Calibri"/>
          <w:b/>
          <w:bCs/>
          <w:rtl/>
        </w:rPr>
        <w:t xml:space="preserve"> </w:t>
      </w:r>
      <w:r w:rsidRPr="00E303AD">
        <w:rPr>
          <w:rFonts w:eastAsia="Calibri" w:hint="eastAsia"/>
          <w:b/>
          <w:bCs/>
          <w:rtl/>
        </w:rPr>
        <w:t>ייחסו</w:t>
      </w:r>
      <w:r w:rsidRPr="00E303AD">
        <w:rPr>
          <w:rFonts w:eastAsia="Calibri"/>
          <w:b/>
          <w:bCs/>
          <w:rtl/>
        </w:rPr>
        <w:t xml:space="preserve"> </w:t>
      </w:r>
      <w:r w:rsidRPr="00E303AD">
        <w:rPr>
          <w:rFonts w:eastAsia="Calibri" w:hint="eastAsia"/>
          <w:b/>
          <w:bCs/>
          <w:rtl/>
        </w:rPr>
        <w:t>לצריכת</w:t>
      </w:r>
      <w:r w:rsidRPr="00E303AD">
        <w:rPr>
          <w:rFonts w:eastAsia="Calibri"/>
          <w:b/>
          <w:bCs/>
          <w:rtl/>
        </w:rPr>
        <w:t xml:space="preserve"> </w:t>
      </w:r>
      <w:r w:rsidRPr="00E303AD">
        <w:rPr>
          <w:rFonts w:eastAsia="Calibri" w:hint="eastAsia"/>
          <w:b/>
          <w:bCs/>
          <w:rtl/>
        </w:rPr>
        <w:t>הזנות</w:t>
      </w:r>
      <w:r w:rsidRPr="00E303AD">
        <w:rPr>
          <w:rFonts w:eastAsia="Calibri"/>
          <w:b/>
          <w:bCs/>
          <w:rtl/>
        </w:rPr>
        <w:t xml:space="preserve"> </w:t>
      </w:r>
      <w:r w:rsidRPr="00E303AD">
        <w:rPr>
          <w:rFonts w:eastAsia="Calibri" w:hint="eastAsia"/>
          <w:b/>
          <w:bCs/>
          <w:rtl/>
        </w:rPr>
        <w:t>וגברה</w:t>
      </w:r>
      <w:r w:rsidRPr="00E303AD">
        <w:rPr>
          <w:rFonts w:eastAsia="Calibri"/>
          <w:b/>
          <w:bCs/>
          <w:rtl/>
        </w:rPr>
        <w:t xml:space="preserve"> </w:t>
      </w:r>
      <w:r w:rsidRPr="00E303AD">
        <w:rPr>
          <w:rFonts w:eastAsia="Calibri" w:hint="eastAsia"/>
          <w:b/>
          <w:bCs/>
          <w:rtl/>
        </w:rPr>
        <w:t>הבנתם</w:t>
      </w:r>
      <w:r w:rsidRPr="00E303AD">
        <w:rPr>
          <w:rFonts w:eastAsia="Calibri"/>
          <w:b/>
          <w:bCs/>
          <w:rtl/>
        </w:rPr>
        <w:t xml:space="preserve"> </w:t>
      </w:r>
      <w:r w:rsidRPr="00E303AD">
        <w:rPr>
          <w:rFonts w:eastAsia="Calibri" w:hint="eastAsia"/>
          <w:b/>
          <w:bCs/>
          <w:rtl/>
        </w:rPr>
        <w:t>לכך</w:t>
      </w:r>
      <w:r w:rsidRPr="00E303AD">
        <w:rPr>
          <w:rFonts w:eastAsia="Calibri"/>
          <w:b/>
          <w:bCs/>
          <w:rtl/>
        </w:rPr>
        <w:t xml:space="preserve"> </w:t>
      </w:r>
      <w:r w:rsidRPr="00E303AD">
        <w:rPr>
          <w:rFonts w:eastAsia="Calibri" w:hint="eastAsia"/>
          <w:b/>
          <w:bCs/>
          <w:rtl/>
        </w:rPr>
        <w:t>שמדובר</w:t>
      </w:r>
      <w:r w:rsidRPr="00E303AD">
        <w:rPr>
          <w:rFonts w:eastAsia="Calibri"/>
          <w:b/>
          <w:bCs/>
          <w:rtl/>
        </w:rPr>
        <w:t xml:space="preserve"> </w:t>
      </w:r>
      <w:r w:rsidRPr="00E303AD">
        <w:rPr>
          <w:rFonts w:eastAsia="Calibri" w:hint="eastAsia"/>
          <w:b/>
          <w:bCs/>
          <w:rtl/>
        </w:rPr>
        <w:t>בתופעה</w:t>
      </w:r>
      <w:r w:rsidRPr="00E303AD">
        <w:rPr>
          <w:rFonts w:eastAsia="Calibri"/>
          <w:b/>
          <w:bCs/>
          <w:rtl/>
        </w:rPr>
        <w:t xml:space="preserve"> </w:t>
      </w:r>
      <w:r w:rsidRPr="00E303AD">
        <w:rPr>
          <w:rFonts w:eastAsia="Calibri" w:hint="eastAsia"/>
          <w:b/>
          <w:bCs/>
          <w:rtl/>
        </w:rPr>
        <w:t>חברתית</w:t>
      </w:r>
      <w:r w:rsidRPr="00E303AD">
        <w:rPr>
          <w:rFonts w:eastAsia="Calibri"/>
          <w:b/>
          <w:bCs/>
          <w:rtl/>
        </w:rPr>
        <w:t xml:space="preserve"> </w:t>
      </w:r>
      <w:r w:rsidRPr="00E303AD">
        <w:rPr>
          <w:rFonts w:eastAsia="Calibri" w:hint="eastAsia"/>
          <w:b/>
          <w:bCs/>
          <w:rtl/>
        </w:rPr>
        <w:t>הפוגעת</w:t>
      </w:r>
      <w:r w:rsidRPr="00E303AD">
        <w:rPr>
          <w:rFonts w:eastAsia="Calibri"/>
          <w:b/>
          <w:bCs/>
          <w:rtl/>
        </w:rPr>
        <w:t xml:space="preserve"> </w:t>
      </w:r>
      <w:r w:rsidRPr="00E303AD">
        <w:rPr>
          <w:rFonts w:eastAsia="Calibri" w:hint="eastAsia"/>
          <w:b/>
          <w:bCs/>
          <w:rtl/>
        </w:rPr>
        <w:t>בכבוד</w:t>
      </w:r>
      <w:r w:rsidRPr="00E303AD">
        <w:rPr>
          <w:rFonts w:eastAsia="Calibri"/>
          <w:b/>
          <w:bCs/>
          <w:rtl/>
        </w:rPr>
        <w:t xml:space="preserve"> </w:t>
      </w:r>
      <w:r w:rsidRPr="00E303AD">
        <w:rPr>
          <w:rFonts w:eastAsia="Calibri" w:hint="eastAsia"/>
          <w:b/>
          <w:bCs/>
          <w:rtl/>
        </w:rPr>
        <w:t>האדם</w:t>
      </w:r>
      <w:r w:rsidRPr="00E303AD">
        <w:rPr>
          <w:rFonts w:eastAsia="Calibri"/>
          <w:b/>
          <w:bCs/>
          <w:rtl/>
        </w:rPr>
        <w:t>. עוד עולה מהמחקר כי ההשתתפות בסדנה עוררה במשתתפים רצון רב יותר להפסיק את צריכת הזנות</w:t>
      </w:r>
      <w:bookmarkEnd w:id="85"/>
      <w:r w:rsidRPr="00E303AD">
        <w:rPr>
          <w:rFonts w:eastAsia="Calibri"/>
          <w:b/>
          <w:b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r w:rsidRPr="00E303AD">
        <w:rPr>
          <w:rFonts w:eastAsia="Calibri" w:hint="cs"/>
          <w:b/>
          <w:bCs/>
          <w:rtl/>
        </w:rPr>
        <w:t xml:space="preserve">לנוכח העובדה כי </w:t>
      </w:r>
      <w:r w:rsidRPr="00E303AD">
        <w:rPr>
          <w:rFonts w:eastAsia="Calibri"/>
          <w:b/>
          <w:bCs/>
          <w:rtl/>
        </w:rPr>
        <w:t xml:space="preserve">האמצעי החלופי </w:t>
      </w:r>
      <w:r w:rsidRPr="00E303AD">
        <w:rPr>
          <w:rFonts w:eastAsia="Calibri" w:hint="cs"/>
          <w:b/>
          <w:bCs/>
          <w:rtl/>
        </w:rPr>
        <w:t xml:space="preserve">(הליך שיקומי-חינוכי) </w:t>
      </w:r>
      <w:r w:rsidRPr="00E303AD">
        <w:rPr>
          <w:rFonts w:eastAsia="Calibri"/>
          <w:b/>
          <w:bCs/>
          <w:rtl/>
        </w:rPr>
        <w:t xml:space="preserve">נחשב לכלי </w:t>
      </w:r>
      <w:r w:rsidRPr="00E303AD">
        <w:rPr>
          <w:rFonts w:eastAsia="Calibri" w:hint="cs"/>
          <w:b/>
          <w:bCs/>
          <w:rtl/>
        </w:rPr>
        <w:t xml:space="preserve">פוטנציאלי יעיל </w:t>
      </w:r>
      <w:r w:rsidRPr="00E303AD">
        <w:rPr>
          <w:rFonts w:eastAsia="Calibri"/>
          <w:b/>
          <w:bCs/>
          <w:rtl/>
        </w:rPr>
        <w:t>לטיפול בצרכני זנות ולצמצום התופעה</w:t>
      </w:r>
      <w:r w:rsidRPr="00E303AD">
        <w:rPr>
          <w:rFonts w:eastAsia="Calibri" w:hint="cs"/>
          <w:b/>
          <w:bCs/>
          <w:rtl/>
        </w:rPr>
        <w:t>,</w:t>
      </w:r>
      <w:r w:rsidRPr="00E303AD">
        <w:rPr>
          <w:rFonts w:eastAsia="Calibri"/>
          <w:b/>
          <w:bCs/>
          <w:rtl/>
        </w:rPr>
        <w:t xml:space="preserve"> </w:t>
      </w:r>
      <w:r w:rsidRPr="00E303AD">
        <w:rPr>
          <w:rFonts w:eastAsia="Calibri" w:hint="cs"/>
          <w:b/>
          <w:bCs/>
          <w:rtl/>
        </w:rPr>
        <w:t>נדרש כי המשטרה ושירות המבחן במשרד הרווחה יבחנו את הסיבות לשיעור הקטן של המשתמשים באמצעי החלופי, לרבות פערים בהנגשת המידע, קשיים טכנולוגיים בהגשת הבקשה וחסמים רגשיים. מוצע כי המשטרה תפעל בשיתוף משרד הרווחה,</w:t>
      </w:r>
      <w:r w:rsidRPr="00E303AD">
        <w:rPr>
          <w:rFonts w:eastAsia="Calibri"/>
          <w:b/>
          <w:bCs/>
          <w:rtl/>
        </w:rPr>
        <w:t xml:space="preserve"> </w:t>
      </w:r>
      <w:r w:rsidRPr="00E303AD">
        <w:rPr>
          <w:rFonts w:eastAsia="Calibri" w:hint="cs"/>
          <w:b/>
          <w:bCs/>
          <w:rtl/>
        </w:rPr>
        <w:t xml:space="preserve">לפי הצורך, </w:t>
      </w:r>
      <w:r w:rsidRPr="00E303AD">
        <w:rPr>
          <w:rFonts w:eastAsia="Calibri"/>
          <w:b/>
          <w:bCs/>
          <w:rtl/>
        </w:rPr>
        <w:t xml:space="preserve">לשיפור </w:t>
      </w:r>
      <w:r w:rsidRPr="00E303AD">
        <w:rPr>
          <w:rFonts w:eastAsia="Calibri" w:hint="cs"/>
          <w:b/>
          <w:bCs/>
          <w:rtl/>
        </w:rPr>
        <w:t>הנגשת האמצעי החלופי לצרכנים בדרכים שונות</w:t>
      </w:r>
      <w:r w:rsidRPr="00E303AD">
        <w:rPr>
          <w:rFonts w:eastAsia="Calibri"/>
          <w:b/>
          <w:bCs/>
          <w:rtl/>
        </w:rPr>
        <w:t xml:space="preserve">. </w:t>
      </w:r>
      <w:r w:rsidRPr="00E303AD">
        <w:rPr>
          <w:rFonts w:eastAsia="Calibri" w:hint="cs"/>
          <w:b/>
          <w:bCs/>
          <w:rtl/>
        </w:rPr>
        <w:t>למשל, הנחיית השוטרים כי בעת מתן הקנס הם יסבו את תשומת ליבם של הצרכנים הנקנסים לאפשרות להשתתף בהליך חלופי</w:t>
      </w:r>
      <w:r w:rsidRPr="00E303AD">
        <w:rPr>
          <w:rFonts w:eastAsia="Calibri"/>
          <w:b/>
          <w:bCs/>
          <w:rtl/>
        </w:rPr>
        <w:t xml:space="preserve">; </w:t>
      </w:r>
      <w:r w:rsidRPr="00E303AD">
        <w:rPr>
          <w:rFonts w:eastAsia="Calibri" w:hint="cs"/>
          <w:b/>
          <w:bCs/>
          <w:rtl/>
        </w:rPr>
        <w:t xml:space="preserve">הבלטת </w:t>
      </w:r>
      <w:r w:rsidRPr="00E303AD">
        <w:rPr>
          <w:rFonts w:eastAsia="Calibri"/>
          <w:b/>
          <w:bCs/>
          <w:rtl/>
        </w:rPr>
        <w:t xml:space="preserve">המידע על האפשרות לבחור באמצעי החלופי בטופס </w:t>
      </w:r>
      <w:r w:rsidRPr="00E303AD">
        <w:rPr>
          <w:rFonts w:eastAsia="Calibri" w:hint="cs"/>
          <w:b/>
          <w:bCs/>
          <w:rtl/>
        </w:rPr>
        <w:t>הקנס</w:t>
      </w:r>
      <w:r w:rsidRPr="00E303AD">
        <w:rPr>
          <w:rFonts w:eastAsia="Calibri"/>
          <w:b/>
          <w:bCs/>
          <w:rtl/>
        </w:rPr>
        <w:t xml:space="preserve">; </w:t>
      </w:r>
      <w:r w:rsidRPr="00E303AD">
        <w:rPr>
          <w:rFonts w:eastAsia="Calibri" w:hint="cs"/>
          <w:b/>
          <w:bCs/>
          <w:rtl/>
        </w:rPr>
        <w:t>ונקיטת פעולות</w:t>
      </w:r>
      <w:r w:rsidRPr="00E303AD">
        <w:rPr>
          <w:rFonts w:eastAsia="Calibri"/>
          <w:b/>
          <w:bCs/>
          <w:rtl/>
        </w:rPr>
        <w:t xml:space="preserve"> </w:t>
      </w:r>
      <w:r w:rsidRPr="00E303AD">
        <w:rPr>
          <w:rFonts w:eastAsia="Calibri" w:hint="cs"/>
          <w:b/>
          <w:bCs/>
          <w:rtl/>
        </w:rPr>
        <w:t xml:space="preserve">הסברה רחבות </w:t>
      </w:r>
      <w:r w:rsidRPr="00E303AD">
        <w:rPr>
          <w:rFonts w:eastAsia="Calibri"/>
          <w:b/>
          <w:bCs/>
          <w:rtl/>
        </w:rPr>
        <w:t xml:space="preserve">לקהל היעד הפוטנציאלי </w:t>
      </w:r>
      <w:r w:rsidRPr="00E303AD">
        <w:rPr>
          <w:rFonts w:eastAsia="Calibri" w:hint="cs"/>
          <w:b/>
          <w:bCs/>
          <w:rtl/>
        </w:rPr>
        <w:t>להגברת מודעותם בנוגע</w:t>
      </w:r>
      <w:r w:rsidRPr="00E303AD">
        <w:rPr>
          <w:rFonts w:eastAsia="Calibri"/>
          <w:b/>
          <w:bCs/>
          <w:rtl/>
        </w:rPr>
        <w:t xml:space="preserve"> לת</w:t>
      </w:r>
      <w:r w:rsidRPr="00E303AD">
        <w:rPr>
          <w:rFonts w:eastAsia="Calibri" w:hint="cs"/>
          <w:b/>
          <w:bCs/>
          <w:rtl/>
        </w:rPr>
        <w:t>ו</w:t>
      </w:r>
      <w:r w:rsidRPr="00E303AD">
        <w:rPr>
          <w:rFonts w:eastAsia="Calibri"/>
          <w:b/>
          <w:bCs/>
          <w:rtl/>
        </w:rPr>
        <w:t>כני הסדנה ו</w:t>
      </w:r>
      <w:r w:rsidRPr="00E303AD">
        <w:rPr>
          <w:rFonts w:eastAsia="Calibri" w:hint="cs"/>
          <w:b/>
          <w:bCs/>
          <w:rtl/>
        </w:rPr>
        <w:t>ל</w:t>
      </w:r>
      <w:r w:rsidRPr="00E303AD">
        <w:rPr>
          <w:rFonts w:eastAsia="Calibri"/>
          <w:b/>
          <w:bCs/>
          <w:rtl/>
        </w:rPr>
        <w:t>כלים הניתנים בה</w:t>
      </w:r>
      <w:r w:rsidRPr="00E303AD">
        <w:rPr>
          <w:rFonts w:eastAsia="Calibri" w:hint="cs"/>
          <w:b/>
          <w:bCs/>
          <w:rtl/>
        </w:rPr>
        <w:t xml:space="preserve"> במסגרת הרחבת פעילות ההסברה לצמצום תופעת הזנות</w:t>
      </w:r>
      <w:r w:rsidRPr="00E303AD">
        <w:rPr>
          <w:rFonts w:eastAsia="Calibri"/>
          <w:b/>
          <w:bCs/>
        </w:rPr>
        <w:t>.</w:t>
      </w:r>
      <w:r w:rsidRPr="00E303AD">
        <w:rPr>
          <w:rFonts w:eastAsia="Calibri" w:hint="cs"/>
          <w:b/>
          <w:b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בתשובה שמסר משרד הרווחה למשרד מבקר המדינה באפריל 2026 (להלן - תשובת משרד הרווחה) </w:t>
      </w:r>
      <w:r w:rsidRPr="00E303AD">
        <w:rPr>
          <w:rFonts w:eastAsia="Calibri" w:hint="eastAsia"/>
          <w:rtl/>
        </w:rPr>
        <w:t>צוין</w:t>
      </w:r>
      <w:r w:rsidRPr="00E303AD">
        <w:rPr>
          <w:rFonts w:eastAsia="Calibri"/>
          <w:rtl/>
        </w:rPr>
        <w:t xml:space="preserve"> כי </w:t>
      </w:r>
      <w:r w:rsidRPr="00E303AD">
        <w:rPr>
          <w:rFonts w:eastAsia="Calibri" w:hint="eastAsia"/>
          <w:rtl/>
        </w:rPr>
        <w:t>במסגרת</w:t>
      </w:r>
      <w:r w:rsidRPr="00E303AD">
        <w:rPr>
          <w:rFonts w:eastAsia="Calibri"/>
          <w:rtl/>
        </w:rPr>
        <w:t xml:space="preserve"> ימי עיון בתחום שהוא מקיים </w:t>
      </w:r>
      <w:r w:rsidRPr="00E303AD">
        <w:rPr>
          <w:rFonts w:eastAsia="Calibri" w:hint="cs"/>
          <w:rtl/>
        </w:rPr>
        <w:t xml:space="preserve">עבור </w:t>
      </w:r>
      <w:r w:rsidRPr="00E303AD">
        <w:rPr>
          <w:rFonts w:eastAsia="Calibri"/>
          <w:rtl/>
        </w:rPr>
        <w:t xml:space="preserve">שוטרים </w:t>
      </w:r>
      <w:r w:rsidRPr="00E303AD">
        <w:rPr>
          <w:rFonts w:eastAsia="Calibri" w:hint="cs"/>
          <w:rtl/>
        </w:rPr>
        <w:t>הוא עומד על מהות ההליך החלופי ועל חשיבותו ומדגיש</w:t>
      </w:r>
      <w:r w:rsidRPr="00E303AD">
        <w:rPr>
          <w:rFonts w:eastAsia="Calibri"/>
          <w:rtl/>
        </w:rPr>
        <w:t xml:space="preserve"> </w:t>
      </w:r>
      <w:r w:rsidRPr="00E303AD">
        <w:rPr>
          <w:rFonts w:eastAsia="Calibri" w:hint="cs"/>
          <w:rtl/>
        </w:rPr>
        <w:t xml:space="preserve">את </w:t>
      </w:r>
      <w:r w:rsidRPr="00E303AD">
        <w:rPr>
          <w:rFonts w:eastAsia="Calibri"/>
          <w:rtl/>
        </w:rPr>
        <w:t>חשיבות תפקיד</w:t>
      </w:r>
      <w:r w:rsidRPr="00E303AD">
        <w:rPr>
          <w:rFonts w:eastAsia="Calibri" w:hint="cs"/>
          <w:rtl/>
        </w:rPr>
        <w:t>ם</w:t>
      </w:r>
      <w:r w:rsidRPr="00E303AD">
        <w:rPr>
          <w:rFonts w:eastAsia="Calibri"/>
          <w:rtl/>
        </w:rPr>
        <w:t xml:space="preserve"> של השוטר</w:t>
      </w:r>
      <w:r w:rsidRPr="00E303AD">
        <w:rPr>
          <w:rFonts w:eastAsia="Calibri" w:hint="cs"/>
          <w:rtl/>
        </w:rPr>
        <w:t>ים</w:t>
      </w:r>
      <w:r w:rsidRPr="00E303AD">
        <w:rPr>
          <w:rFonts w:eastAsia="Calibri"/>
          <w:rtl/>
        </w:rPr>
        <w:t xml:space="preserve"> ב</w:t>
      </w:r>
      <w:r w:rsidRPr="00E303AD">
        <w:rPr>
          <w:rFonts w:eastAsia="Calibri" w:hint="cs"/>
          <w:rtl/>
        </w:rPr>
        <w:t>מסגרת הטלת הקנסות</w:t>
      </w:r>
      <w:r w:rsidRPr="00E303AD">
        <w:rPr>
          <w:rFonts w:eastAsia="Calibri"/>
          <w:rtl/>
        </w:rPr>
        <w:t xml:space="preserve"> להעלאת מודעותם של</w:t>
      </w:r>
      <w:r w:rsidRPr="00E303AD">
        <w:rPr>
          <w:rFonts w:eastAsia="Calibri" w:hint="cs"/>
          <w:rtl/>
        </w:rPr>
        <w:t xml:space="preserve"> </w:t>
      </w:r>
      <w:r w:rsidRPr="00E303AD">
        <w:rPr>
          <w:rFonts w:eastAsia="Calibri"/>
          <w:rtl/>
        </w:rPr>
        <w:t>הנקנסים להשתלב בהליך החלופי.</w:t>
      </w:r>
      <w:r w:rsidRPr="00E303AD">
        <w:rPr>
          <w:rFonts w:eastAsia="Calibri" w:hint="cs"/>
          <w:rtl/>
        </w:rPr>
        <w:t xml:space="preserve"> בשלוש השנים האחרונות הוקצו למשטרה שניים עד ארבעה ימי עיון מדי שנה. </w:t>
      </w:r>
      <w:r w:rsidRPr="00E303AD">
        <w:rPr>
          <w:rFonts w:eastAsia="Calibri"/>
          <w:rtl/>
        </w:rPr>
        <w:t xml:space="preserve">בשנת 2025 </w:t>
      </w:r>
      <w:r w:rsidRPr="00E303AD">
        <w:rPr>
          <w:rFonts w:eastAsia="Calibri" w:hint="cs"/>
          <w:rtl/>
        </w:rPr>
        <w:t xml:space="preserve">החליטה </w:t>
      </w:r>
      <w:r w:rsidRPr="00E303AD">
        <w:rPr>
          <w:rFonts w:eastAsia="Calibri"/>
          <w:rtl/>
        </w:rPr>
        <w:t xml:space="preserve">הוועדה הבין-משרדית </w:t>
      </w:r>
      <w:r w:rsidRPr="00E303AD">
        <w:rPr>
          <w:rFonts w:eastAsia="Calibri" w:hint="cs"/>
          <w:rtl/>
        </w:rPr>
        <w:t xml:space="preserve">להעמיק את </w:t>
      </w:r>
      <w:r w:rsidRPr="00E303AD">
        <w:rPr>
          <w:rFonts w:eastAsia="Calibri"/>
          <w:rtl/>
        </w:rPr>
        <w:t>ההסברה לצוותים מקצועיים</w:t>
      </w:r>
      <w:r w:rsidRPr="00E303AD">
        <w:rPr>
          <w:rFonts w:eastAsia="Calibri" w:hint="cs"/>
          <w:rtl/>
        </w:rPr>
        <w:t>, ולכן</w:t>
      </w:r>
      <w:r w:rsidRPr="00E303AD">
        <w:rPr>
          <w:rFonts w:eastAsia="Calibri"/>
          <w:rtl/>
        </w:rPr>
        <w:t xml:space="preserve"> בשנה זו הוקצו למשטרה </w:t>
      </w:r>
      <w:r w:rsidRPr="00E303AD">
        <w:rPr>
          <w:rFonts w:eastAsia="Calibri" w:hint="cs"/>
          <w:rtl/>
        </w:rPr>
        <w:t>שמונה</w:t>
      </w:r>
      <w:r w:rsidRPr="00E303AD">
        <w:rPr>
          <w:rFonts w:eastAsia="Calibri"/>
          <w:rtl/>
        </w:rPr>
        <w:t xml:space="preserve"> ימי עיון.</w:t>
      </w:r>
      <w:r w:rsidRPr="00E303AD">
        <w:rPr>
          <w:rFonts w:eastAsia="Calibri" w:hint="cs"/>
          <w:rtl/>
        </w:rPr>
        <w:t xml:space="preserve"> עוד צוין בתשובה כי במסגרת קמפיין הסברתי </w:t>
      </w:r>
      <w:r w:rsidRPr="00E303AD">
        <w:rPr>
          <w:rFonts w:eastAsia="Calibri"/>
          <w:rtl/>
        </w:rPr>
        <w:t xml:space="preserve">בשנת 2026 </w:t>
      </w:r>
      <w:r w:rsidRPr="00E303AD">
        <w:rPr>
          <w:rFonts w:eastAsia="Calibri" w:hint="cs"/>
          <w:rtl/>
        </w:rPr>
        <w:t>ל</w:t>
      </w:r>
      <w:r w:rsidRPr="00E303AD">
        <w:rPr>
          <w:rFonts w:eastAsia="Calibri"/>
          <w:rtl/>
        </w:rPr>
        <w:t xml:space="preserve">העלאת מודעות לנזקי הזנות ולחקיקה האוסרת </w:t>
      </w:r>
      <w:r w:rsidRPr="00E303AD">
        <w:rPr>
          <w:rFonts w:eastAsia="Calibri" w:hint="cs"/>
          <w:rtl/>
        </w:rPr>
        <w:t xml:space="preserve">על </w:t>
      </w:r>
      <w:r w:rsidRPr="00E303AD">
        <w:rPr>
          <w:rFonts w:eastAsia="Calibri"/>
          <w:rtl/>
        </w:rPr>
        <w:t>צריכת זנות</w:t>
      </w:r>
      <w:r w:rsidRPr="00E303AD">
        <w:rPr>
          <w:rFonts w:eastAsia="Calibri" w:hint="cs"/>
          <w:rtl/>
        </w:rPr>
        <w:t>, נכלל, בין היתר, הסבר</w:t>
      </w:r>
      <w:r w:rsidRPr="00E303AD">
        <w:rPr>
          <w:rFonts w:eastAsia="Calibri"/>
          <w:rtl/>
        </w:rPr>
        <w:t xml:space="preserve"> על ההליך החלופי ועל הסדנאות בשירות המבחן</w:t>
      </w:r>
      <w:r w:rsidRPr="00E303AD">
        <w:rPr>
          <w:rFonts w:eastAsia="Calibri" w:hint="cs"/>
          <w:rtl/>
        </w:rPr>
        <w:t xml:space="preserve"> </w:t>
      </w:r>
      <w:r w:rsidRPr="00E303AD">
        <w:rPr>
          <w:rFonts w:eastAsia="Calibri"/>
          <w:rtl/>
        </w:rPr>
        <w:t>למבוגרים.</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בתשובת המשטרה נמסר כי בנושא זה </w:t>
      </w:r>
      <w:r w:rsidRPr="00E303AD">
        <w:rPr>
          <w:rFonts w:eastAsia="Calibri"/>
          <w:rtl/>
        </w:rPr>
        <w:t xml:space="preserve">מתקיימות ישיבות עיתיות וקיים קשר ישיר </w:t>
      </w:r>
      <w:r w:rsidRPr="00E303AD">
        <w:rPr>
          <w:rFonts w:eastAsia="Calibri" w:hint="cs"/>
          <w:rtl/>
        </w:rPr>
        <w:t>עם נציגי משרד הרווחה,</w:t>
      </w:r>
      <w:r w:rsidRPr="00E303AD">
        <w:rPr>
          <w:rFonts w:eastAsia="Calibri"/>
          <w:rtl/>
        </w:rPr>
        <w:t xml:space="preserve"> </w:t>
      </w:r>
      <w:r w:rsidRPr="00E303AD">
        <w:rPr>
          <w:rFonts w:eastAsia="Calibri" w:hint="cs"/>
          <w:rtl/>
        </w:rPr>
        <w:t xml:space="preserve">נציגי </w:t>
      </w:r>
      <w:r w:rsidRPr="00E303AD">
        <w:rPr>
          <w:rFonts w:eastAsia="Calibri"/>
          <w:rtl/>
        </w:rPr>
        <w:t>משרד המשפטים ו</w:t>
      </w:r>
      <w:r w:rsidRPr="00E303AD">
        <w:rPr>
          <w:rFonts w:eastAsia="Calibri" w:hint="cs"/>
          <w:rtl/>
        </w:rPr>
        <w:t>ה</w:t>
      </w:r>
      <w:r w:rsidRPr="00E303AD">
        <w:rPr>
          <w:rFonts w:eastAsia="Calibri"/>
          <w:rtl/>
        </w:rPr>
        <w:t>פרקליטות</w:t>
      </w:r>
      <w:r w:rsidRPr="00E303AD">
        <w:rPr>
          <w:rFonts w:eastAsia="Calibri" w:hint="cs"/>
          <w:rtl/>
        </w:rPr>
        <w:t>. בהמשך לתשובת המשטרה לעניין ממשקי העבודה הקבועים עם משרד הרווחה, צוין בתשובת המשרד לבל"ם כי הוא יבחן את הצורך במעורבותו בשיח בין הגורמים השונים.</w:t>
      </w:r>
    </w:p>
    <w:p w:rsidR="00E303AD" w:rsidRPr="00E303AD" w:rsidP="00E303AD">
      <w:pPr>
        <w:spacing w:line="269" w:lineRule="auto"/>
        <w:ind w:left="-567"/>
        <w:rPr>
          <w:rFonts w:eastAsia="Times New Roman"/>
          <w:sz w:val="28"/>
          <w:szCs w:val="28"/>
          <w:u w:val="single"/>
          <w:rtl/>
        </w:rPr>
      </w:pPr>
      <w:r w:rsidRPr="00E303AD">
        <w:rPr>
          <w:rFonts w:eastAsia="Times New Roman"/>
          <w:noProof/>
          <w:sz w:val="28"/>
          <w:szCs w:val="28"/>
          <w:u w:val="single"/>
          <w:rtl/>
          <w:lang w:val="he-IL"/>
        </w:rPr>
        <mc:AlternateContent>
          <mc:Choice Requires="wpg">
            <w:drawing>
              <wp:anchor distT="0" distB="0" distL="114300" distR="114300" simplePos="0" relativeHeight="251662336" behindDoc="0" locked="0" layoutInCell="1" allowOverlap="1">
                <wp:simplePos x="0" y="0"/>
                <wp:positionH relativeFrom="column">
                  <wp:posOffset>-94173</wp:posOffset>
                </wp:positionH>
                <wp:positionV relativeFrom="paragraph">
                  <wp:posOffset>109248</wp:posOffset>
                </wp:positionV>
                <wp:extent cx="5310505" cy="956337"/>
                <wp:effectExtent l="0" t="0" r="4445" b="0"/>
                <wp:wrapNone/>
                <wp:docPr id="34" name="קבוצה 34"/>
                <wp:cNvGraphicFramePr/>
                <a:graphic xmlns:a="http://schemas.openxmlformats.org/drawingml/2006/main">
                  <a:graphicData uri="http://schemas.microsoft.com/office/word/2010/wordprocessingGroup">
                    <wpg:wgp xmlns:wpg="http://schemas.microsoft.com/office/word/2010/wordprocessingGroup">
                      <wpg:cNvGrpSpPr/>
                      <wpg:grpSpPr>
                        <a:xfrm>
                          <a:off x="0" y="0"/>
                          <a:ext cx="5310505" cy="956337"/>
                          <a:chOff x="0" y="0"/>
                          <a:chExt cx="5310505" cy="956337"/>
                        </a:xfrm>
                      </wpg:grpSpPr>
                      <pic:pic xmlns:pic="http://schemas.openxmlformats.org/drawingml/2006/picture">
                        <pic:nvPicPr>
                          <pic:cNvPr id="73" name="table">
                            <a:extLst>
                              <a:ext xmlns:a="http://schemas.openxmlformats.org/drawingml/2006/main" uri="{FF2B5EF4-FFF2-40B4-BE49-F238E27FC236}">
                                <a16:creationId xmlns:a16="http://schemas.microsoft.com/office/drawing/2014/main" id="{8D0FBECF-2BEB-489B-A3C2-922E8715DEF1}"/>
                              </a:ext>
                            </a:extLst>
                          </pic:cNvPr>
                          <pic:cNvPicPr>
                            <a:picLocks noChangeAspect="1"/>
                          </pic:cNvPicPr>
                        </pic:nvPicPr>
                        <pic:blipFill>
                          <a:blip xmlns:r="http://schemas.openxmlformats.org/officeDocument/2006/relationships" r:embed="rId23"/>
                          <a:srcRect b="13226"/>
                          <a:stretch>
                            <a:fillRect/>
                          </a:stretch>
                        </pic:blipFill>
                        <pic:spPr bwMode="auto">
                          <a:xfrm>
                            <a:off x="0" y="198782"/>
                            <a:ext cx="5310505" cy="757555"/>
                          </a:xfrm>
                          <a:prstGeom prst="rect">
                            <a:avLst/>
                          </a:prstGeom>
                          <a:ln>
                            <a:noFill/>
                          </a:ln>
                          <a:extLst>
                            <a:ext xmlns:a="http://schemas.openxmlformats.org/drawingml/2006/main" uri="{53640926-AAD7-44D8-BBD7-CCE9431645EC}">
                              <a14:shadowObscured xmlns:a14="http://schemas.microsoft.com/office/drawing/2010/main"/>
                            </a:ext>
                          </a:extLst>
                        </pic:spPr>
                      </pic:pic>
                      <wpg:grpSp>
                        <wpg:cNvPr id="74" name="קבוצה 22"/>
                        <wpg:cNvGrpSpPr/>
                        <wpg:grpSpPr>
                          <a:xfrm>
                            <a:off x="2568271" y="0"/>
                            <a:ext cx="271145" cy="266700"/>
                            <a:chOff x="0" y="0"/>
                            <a:chExt cx="1781175" cy="1781175"/>
                          </a:xfrm>
                        </wpg:grpSpPr>
                        <pic:pic xmlns:pic="http://schemas.openxmlformats.org/drawingml/2006/picture">
                          <pic:nvPicPr>
                            <pic:cNvPr id="75" name="תמונה 75"/>
                            <pic:cNvPicPr>
                              <a:picLocks noChangeAspect="1"/>
                            </pic:cNvPicPr>
                          </pic:nvPicPr>
                          <pic:blipFill>
                            <a:blip xmlns:r="http://schemas.openxmlformats.org/officeDocument/2006/relationships" r:embed="rId9">
                              <a:clrChange>
                                <a:clrFrom>
                                  <a:srgbClr val="FFFFFF"/>
                                </a:clrFrom>
                                <a:clrTo>
                                  <a:srgbClr val="FFFFFF">
                                    <a:alpha val="0"/>
                                  </a:srgbClr>
                                </a:clrTo>
                              </a:clrChange>
                            </a:blip>
                            <a:stretch>
                              <a:fillRect/>
                            </a:stretch>
                          </pic:blipFill>
                          <pic:spPr>
                            <a:xfrm>
                              <a:off x="0" y="0"/>
                              <a:ext cx="1781175" cy="1781175"/>
                            </a:xfrm>
                            <a:prstGeom prst="rect">
                              <a:avLst/>
                            </a:prstGeom>
                          </pic:spPr>
                        </pic:pic>
                        <pic:pic xmlns:pic="http://schemas.openxmlformats.org/drawingml/2006/picture">
                          <pic:nvPicPr>
                            <pic:cNvPr id="76" name="תמונה 76"/>
                            <pic:cNvPicPr>
                              <a:picLocks noChangeAspect="1"/>
                            </pic:cNvPicPr>
                          </pic:nvPicPr>
                          <pic:blipFill>
                            <a:blip xmlns:r="http://schemas.openxmlformats.org/officeDocument/2006/relationships" r:embed="rId10"/>
                            <a:srcRect l="16969" t="20795" r="16969" b="20795"/>
                            <a:stretch>
                              <a:fillRect/>
                            </a:stretch>
                          </pic:blipFill>
                          <pic:spPr>
                            <a:xfrm>
                              <a:off x="302249" y="371444"/>
                              <a:ext cx="1176676" cy="1040392"/>
                            </a:xfrm>
                            <a:prstGeom prst="rect">
                              <a:avLst/>
                            </a:prstGeom>
                          </pic:spPr>
                        </pic:pic>
                      </wpg:grpSp>
                    </wpg:wgp>
                  </a:graphicData>
                </a:graphic>
              </wp:anchor>
            </w:drawing>
          </mc:Choice>
          <mc:Fallback>
            <w:pict>
              <v:group id="קבוצה 34" o:spid="_x0000_s1038" style="width:418.15pt;height:75.3pt;margin-top:8.6pt;margin-left:-7.4pt;position:absolute;z-index:251663360" coordsize="53105,9563">
                <v:shape id="table" o:spid="_x0000_s1039" type="#_x0000_t75" style="width:53105;height:7576;mso-wrap-style:square;position:absolute;top:1987;visibility:visible">
                  <v:imagedata r:id="rId23" o:title="" cropbottom="8668f"/>
                </v:shape>
                <v:group id="קבוצה 22" o:spid="_x0000_s1040" style="width:2712;height:2667;left:25682;position:absolute" coordsize="17811,17811">
                  <v:shape id="תמונה 75" o:spid="_x0000_s1041" type="#_x0000_t75" style="width:17811;height:17811;mso-wrap-style:square;position:absolute;visibility:visible">
                    <v:imagedata r:id="rId9" o:title="" chromakey="white"/>
                  </v:shape>
                  <v:shape id="תמונה 76" o:spid="_x0000_s1042" type="#_x0000_t75" style="width:11767;height:10404;left:3022;mso-wrap-style:square;position:absolute;top:3714;visibility:visible">
                    <v:imagedata r:id="rId10" o:title="" croptop="13628f" cropbottom="13628f" cropleft="11121f" cropright="11121f"/>
                  </v:shape>
                </v:group>
              </v:group>
            </w:pict>
          </mc:Fallback>
        </mc:AlternateContent>
      </w:r>
    </w:p>
    <w:p w:rsidR="00E303AD" w:rsidRPr="00E303AD" w:rsidP="00E303AD">
      <w:pPr>
        <w:spacing w:line="269" w:lineRule="auto"/>
        <w:rPr>
          <w:rFonts w:eastAsia="Times New Roman"/>
          <w:bCs/>
          <w:sz w:val="28"/>
          <w:szCs w:val="28"/>
          <w:u w:val="single"/>
          <w:rtl/>
        </w:rPr>
      </w:pPr>
    </w:p>
    <w:p w:rsidR="00E303AD" w:rsidRPr="00E303AD" w:rsidP="00E303AD">
      <w:pPr>
        <w:spacing w:line="269" w:lineRule="auto"/>
        <w:rPr>
          <w:rFonts w:eastAsia="Calibri"/>
          <w:noProof/>
          <w:rtl/>
        </w:rPr>
      </w:pPr>
    </w:p>
    <w:p w:rsidR="00E303AD" w:rsidRPr="00E303AD" w:rsidP="00E303AD">
      <w:pPr>
        <w:spacing w:line="269" w:lineRule="auto"/>
        <w:rPr>
          <w:rFonts w:eastAsia="Times New Roman"/>
          <w:bCs/>
          <w:sz w:val="28"/>
          <w:szCs w:val="28"/>
          <w:u w:val="single"/>
          <w:rtl/>
        </w:rPr>
      </w:pPr>
    </w:p>
    <w:p w:rsidR="00E303AD" w:rsidRPr="00E303AD" w:rsidP="00E303AD">
      <w:pPr>
        <w:spacing w:line="269" w:lineRule="auto"/>
        <w:rPr>
          <w:rFonts w:eastAsia="Times New Roman"/>
          <w:bCs/>
          <w:sz w:val="28"/>
          <w:szCs w:val="28"/>
          <w:u w:val="single"/>
          <w:rtl/>
        </w:rPr>
      </w:pPr>
    </w:p>
    <w:p w:rsidR="00E303AD" w:rsidRPr="00E303AD" w:rsidP="00E303AD">
      <w:pPr>
        <w:spacing w:line="269" w:lineRule="auto"/>
        <w:rPr>
          <w:rFonts w:eastAsia="Times New Roman"/>
          <w:bCs/>
          <w:sz w:val="28"/>
          <w:szCs w:val="28"/>
          <w:u w:val="single"/>
          <w:rtl/>
        </w:rPr>
      </w:pPr>
    </w:p>
    <w:p w:rsidR="00E303AD" w:rsidRPr="00E303AD" w:rsidP="00E303AD">
      <w:pPr>
        <w:spacing w:line="269" w:lineRule="auto"/>
        <w:rPr>
          <w:rFonts w:eastAsia="Calibri"/>
          <w:rtl/>
        </w:rPr>
      </w:pPr>
    </w:p>
    <w:p w:rsidR="00E303AD" w:rsidRPr="00E303AD" w:rsidP="00E303AD">
      <w:pPr>
        <w:keepNext/>
        <w:keepLines/>
        <w:spacing w:line="269" w:lineRule="auto"/>
        <w:outlineLvl w:val="2"/>
        <w:rPr>
          <w:rFonts w:eastAsia="Times New Roman"/>
          <w:bCs/>
          <w:szCs w:val="28"/>
          <w:u w:val="single"/>
          <w:rtl/>
        </w:rPr>
      </w:pPr>
      <w:bookmarkStart w:id="86" w:name="_Toc221474975"/>
      <w:bookmarkStart w:id="87" w:name="_Toc224808282"/>
      <w:bookmarkStart w:id="88" w:name="_Toc232696560"/>
      <w:r w:rsidRPr="00E303AD">
        <w:rPr>
          <w:rFonts w:eastAsia="Times New Roman" w:hint="cs"/>
          <w:bCs/>
          <w:szCs w:val="28"/>
          <w:u w:val="single"/>
          <w:rtl/>
        </w:rPr>
        <w:t>זנות במרחב המקוון</w:t>
      </w:r>
      <w:bookmarkEnd w:id="86"/>
      <w:bookmarkEnd w:id="87"/>
      <w:bookmarkEnd w:id="88"/>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השינויים הטכנולוגיים והמעבר הנרחב לפעילות מקוונת יצרו זירה חדשה לביצוע עבירות נלוות לזנות</w:t>
      </w:r>
      <w:r w:rsidRPr="00E303AD">
        <w:rPr>
          <w:rFonts w:eastAsia="Calibri" w:hint="cs"/>
          <w:rtl/>
        </w:rPr>
        <w:t>,</w:t>
      </w:r>
      <w:r w:rsidRPr="00E303AD">
        <w:rPr>
          <w:rFonts w:eastAsia="Calibri"/>
          <w:rtl/>
        </w:rPr>
        <w:t xml:space="preserve"> אשר </w:t>
      </w:r>
      <w:r w:rsidRPr="00E303AD">
        <w:rPr>
          <w:rFonts w:eastAsia="Calibri" w:hint="cs"/>
          <w:rtl/>
        </w:rPr>
        <w:t>מ</w:t>
      </w:r>
      <w:r w:rsidRPr="00E303AD">
        <w:rPr>
          <w:rFonts w:eastAsia="Calibri"/>
          <w:rtl/>
        </w:rPr>
        <w:t>אתגר</w:t>
      </w:r>
      <w:r w:rsidRPr="00E303AD">
        <w:rPr>
          <w:rFonts w:eastAsia="Calibri" w:hint="cs"/>
          <w:rtl/>
        </w:rPr>
        <w:t>ת</w:t>
      </w:r>
      <w:r w:rsidRPr="00E303AD">
        <w:rPr>
          <w:rFonts w:eastAsia="Calibri"/>
          <w:rtl/>
        </w:rPr>
        <w:t xml:space="preserve"> את דפוסי האכיפה המסורתיים</w:t>
      </w:r>
      <w:r w:rsidRPr="00E303AD">
        <w:rPr>
          <w:rFonts w:eastAsia="Calibri"/>
        </w:rPr>
        <w:t>.</w:t>
      </w:r>
      <w:r w:rsidRPr="00E303AD">
        <w:rPr>
          <w:rFonts w:eastAsia="Calibri" w:hint="cs"/>
          <w:rtl/>
        </w:rPr>
        <w:t xml:space="preserve"> </w:t>
      </w:r>
      <w:r w:rsidRPr="00E303AD">
        <w:rPr>
          <w:rFonts w:eastAsia="Calibri"/>
          <w:rtl/>
        </w:rPr>
        <w:t>פעילות שבעבר התקיימה בעיקר במרחב הפיזי הועתקה בהדרגה לזירה המקוונת, תוך ניצול מאפייני המדיום הדיגיטלי להרחבת היקף הפרסום, ההנגשה והפיתוח של שירותים מיניים, לרבות כאלה שאינם מחייבים מפגש פיזי</w:t>
      </w:r>
      <w:r w:rsidRPr="00E303AD">
        <w:rPr>
          <w:rFonts w:eastAsia="Calibri" w:hint="cs"/>
          <w:rtl/>
        </w:rPr>
        <w:t xml:space="preserve">. </w:t>
      </w:r>
      <w:r w:rsidRPr="00E303AD">
        <w:rPr>
          <w:rFonts w:eastAsia="Calibri"/>
          <w:rtl/>
        </w:rPr>
        <w:t>ה</w:t>
      </w:r>
      <w:r w:rsidRPr="00E303AD">
        <w:rPr>
          <w:rFonts w:eastAsia="Calibri" w:hint="cs"/>
          <w:rtl/>
        </w:rPr>
        <w:t>מרשתת (</w:t>
      </w:r>
      <w:r w:rsidRPr="00E303AD">
        <w:rPr>
          <w:rFonts w:eastAsia="Calibri"/>
          <w:rtl/>
        </w:rPr>
        <w:t>אינטרנט</w:t>
      </w:r>
      <w:r w:rsidRPr="00E303AD">
        <w:rPr>
          <w:rFonts w:eastAsia="Calibri" w:hint="cs"/>
          <w:rtl/>
        </w:rPr>
        <w:t>)</w:t>
      </w:r>
      <w:r w:rsidRPr="00E303AD">
        <w:rPr>
          <w:rFonts w:eastAsia="Calibri"/>
          <w:rtl/>
        </w:rPr>
        <w:t xml:space="preserve"> הפ</w:t>
      </w:r>
      <w:r w:rsidRPr="00E303AD">
        <w:rPr>
          <w:rFonts w:eastAsia="Calibri" w:hint="cs"/>
          <w:rtl/>
        </w:rPr>
        <w:t>כה</w:t>
      </w:r>
      <w:r w:rsidRPr="00E303AD">
        <w:rPr>
          <w:rFonts w:eastAsia="Calibri"/>
          <w:rtl/>
        </w:rPr>
        <w:t xml:space="preserve"> לזירה מרכזית לשיווק, </w:t>
      </w:r>
      <w:r w:rsidRPr="00E303AD">
        <w:rPr>
          <w:rFonts w:eastAsia="Calibri" w:hint="cs"/>
          <w:rtl/>
        </w:rPr>
        <w:t>ל</w:t>
      </w:r>
      <w:r w:rsidRPr="00E303AD">
        <w:rPr>
          <w:rFonts w:eastAsia="Calibri"/>
          <w:rtl/>
        </w:rPr>
        <w:t>תיווך ו</w:t>
      </w:r>
      <w:r w:rsidRPr="00E303AD">
        <w:rPr>
          <w:rFonts w:eastAsia="Calibri" w:hint="cs"/>
          <w:rtl/>
        </w:rPr>
        <w:t>ל</w:t>
      </w:r>
      <w:r w:rsidRPr="00E303AD">
        <w:rPr>
          <w:rFonts w:eastAsia="Calibri"/>
          <w:rtl/>
        </w:rPr>
        <w:t>צריכה של זנות, הן באמצעות אתרים ייעודיים והן בפלטפורמות מקוונות לגיטימיות</w:t>
      </w:r>
      <w:r>
        <w:rPr>
          <w:rFonts w:eastAsia="Calibri"/>
          <w:vertAlign w:val="superscript"/>
          <w:rtl/>
        </w:rPr>
        <w:footnoteReference w:id="73"/>
      </w:r>
      <w:r w:rsidRPr="00E303AD">
        <w:rPr>
          <w:rFonts w:eastAsia="Calibri"/>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מהסקר</w:t>
      </w:r>
      <w:r w:rsidRPr="00E303AD">
        <w:rPr>
          <w:rFonts w:eastAsia="Calibri"/>
          <w:rtl/>
        </w:rPr>
        <w:t xml:space="preserve"> הלאומי </w:t>
      </w:r>
      <w:r w:rsidRPr="00E303AD">
        <w:rPr>
          <w:rFonts w:eastAsia="Calibri" w:hint="cs"/>
          <w:rtl/>
        </w:rPr>
        <w:t xml:space="preserve">עולה כי </w:t>
      </w:r>
      <w:r w:rsidRPr="00E303AD">
        <w:rPr>
          <w:rFonts w:eastAsia="Calibri"/>
          <w:rtl/>
        </w:rPr>
        <w:t xml:space="preserve">מאות אתרים </w:t>
      </w:r>
      <w:r w:rsidRPr="00E303AD">
        <w:rPr>
          <w:rFonts w:eastAsia="Calibri" w:hint="cs"/>
          <w:rtl/>
        </w:rPr>
        <w:t>כוללים תוכני פרסום ושיווק של שירותי זנות או משמשים לגיוס עובדים ועובדות ל</w:t>
      </w:r>
      <w:r w:rsidRPr="00E303AD">
        <w:rPr>
          <w:rFonts w:eastAsia="Calibri"/>
          <w:rtl/>
        </w:rPr>
        <w:t>זנות</w:t>
      </w:r>
      <w:r w:rsidRPr="00E303AD">
        <w:rPr>
          <w:rFonts w:eastAsia="Calibri" w:hint="cs"/>
          <w:rtl/>
        </w:rPr>
        <w:t>. על פי מחקר של האיחוד האירופי, בשנים האחרונות</w:t>
      </w:r>
      <w:r w:rsidRPr="00E303AD">
        <w:rPr>
          <w:rFonts w:eastAsia="Calibri"/>
          <w:rtl/>
        </w:rPr>
        <w:t xml:space="preserve"> חלה</w:t>
      </w:r>
      <w:r w:rsidRPr="00E303AD">
        <w:rPr>
          <w:rFonts w:eastAsia="Calibri" w:hint="cs"/>
          <w:rtl/>
        </w:rPr>
        <w:t xml:space="preserve"> </w:t>
      </w:r>
      <w:r w:rsidRPr="00E303AD">
        <w:rPr>
          <w:rFonts w:eastAsia="Calibri"/>
          <w:rtl/>
        </w:rPr>
        <w:t xml:space="preserve">התרחבות </w:t>
      </w:r>
      <w:r w:rsidRPr="00E303AD">
        <w:rPr>
          <w:rFonts w:eastAsia="Calibri" w:hint="cs"/>
          <w:rtl/>
        </w:rPr>
        <w:t>ניכרת ב</w:t>
      </w:r>
      <w:r w:rsidRPr="00E303AD">
        <w:rPr>
          <w:rFonts w:eastAsia="Calibri"/>
          <w:rtl/>
        </w:rPr>
        <w:t xml:space="preserve">שימוש באפליקציות מסרים מוצפנים </w:t>
      </w:r>
      <w:r w:rsidRPr="00E303AD">
        <w:rPr>
          <w:rFonts w:eastAsia="Calibri" w:hint="cs"/>
          <w:rtl/>
        </w:rPr>
        <w:t>ו</w:t>
      </w:r>
      <w:r w:rsidRPr="00E303AD">
        <w:rPr>
          <w:rFonts w:eastAsia="Calibri"/>
          <w:rtl/>
        </w:rPr>
        <w:t xml:space="preserve">בפלטפורמות </w:t>
      </w:r>
      <w:r w:rsidRPr="00E303AD">
        <w:rPr>
          <w:rFonts w:eastAsia="Calibri" w:hint="cs"/>
          <w:rtl/>
        </w:rPr>
        <w:t xml:space="preserve">דיגיטליות מבוססות מנויים לצריכה ולשיווק של תוכן אירוטי בלתי מפוקח ברמת חשיפה גבוהה ("זנות מצלמות"). כל אלו </w:t>
      </w:r>
      <w:r w:rsidRPr="00E303AD">
        <w:rPr>
          <w:rFonts w:eastAsia="Calibri"/>
          <w:rtl/>
        </w:rPr>
        <w:t>מעיד</w:t>
      </w:r>
      <w:r w:rsidRPr="00E303AD">
        <w:rPr>
          <w:rFonts w:eastAsia="Calibri" w:hint="cs"/>
          <w:rtl/>
        </w:rPr>
        <w:t>ים</w:t>
      </w:r>
      <w:r w:rsidRPr="00E303AD">
        <w:rPr>
          <w:rFonts w:eastAsia="Calibri"/>
          <w:rtl/>
        </w:rPr>
        <w:t xml:space="preserve"> על מגמת העמקה והתרחבות של תופע</w:t>
      </w:r>
      <w:r w:rsidRPr="00E303AD">
        <w:rPr>
          <w:rFonts w:eastAsia="Calibri" w:hint="cs"/>
          <w:rtl/>
        </w:rPr>
        <w:t>ת הזנות</w:t>
      </w:r>
      <w:r w:rsidRPr="00E303AD">
        <w:rPr>
          <w:rFonts w:eastAsia="Calibri"/>
          <w:rtl/>
        </w:rPr>
        <w:t xml:space="preserve"> במרחב המקוון</w:t>
      </w:r>
      <w:r>
        <w:rPr>
          <w:rFonts w:eastAsia="Calibri"/>
          <w:vertAlign w:val="superscript"/>
          <w:rtl/>
        </w:rPr>
        <w:footnoteReference w:id="74"/>
      </w:r>
      <w:r w:rsidRPr="00E303AD">
        <w:rPr>
          <w:rFonts w:eastAsia="Calibri"/>
          <w:rtl/>
        </w:rPr>
        <w:t>.</w:t>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בדוח הצוות הבין</w:t>
      </w:r>
      <w:r w:rsidRPr="00E303AD">
        <w:rPr>
          <w:rFonts w:eastAsia="Calibri" w:hint="cs"/>
          <w:rtl/>
        </w:rPr>
        <w:t>-</w:t>
      </w:r>
      <w:r w:rsidRPr="00E303AD">
        <w:rPr>
          <w:rFonts w:eastAsia="Calibri"/>
          <w:rtl/>
        </w:rPr>
        <w:t>משרדי לצמצום תופעת הזנות משנת 2017</w:t>
      </w:r>
      <w:r>
        <w:rPr>
          <w:rFonts w:eastAsia="Calibri"/>
          <w:vertAlign w:val="superscript"/>
          <w:rtl/>
        </w:rPr>
        <w:footnoteReference w:id="75"/>
      </w:r>
      <w:r w:rsidRPr="00E303AD">
        <w:rPr>
          <w:rFonts w:eastAsia="Calibri" w:hint="cs"/>
          <w:rtl/>
        </w:rPr>
        <w:t xml:space="preserve"> </w:t>
      </w:r>
      <w:r w:rsidRPr="00E303AD">
        <w:rPr>
          <w:rFonts w:eastAsia="Calibri"/>
          <w:rtl/>
        </w:rPr>
        <w:t xml:space="preserve">צוין כי מלבד אכיפה נקודתית </w:t>
      </w:r>
      <w:r w:rsidRPr="00E303AD">
        <w:rPr>
          <w:rFonts w:eastAsia="Calibri" w:hint="cs"/>
          <w:rtl/>
        </w:rPr>
        <w:t>של החוק בעניין</w:t>
      </w:r>
      <w:r w:rsidRPr="00E303AD">
        <w:rPr>
          <w:rFonts w:eastAsia="Calibri"/>
          <w:rtl/>
        </w:rPr>
        <w:t xml:space="preserve"> עבירות פרסום באינטרנט, לא נעשה שימוש מספק במרחב המקוון כזירה לאיסוף מודיעין, לרבות מפורומים של צרכני זנות, ולביצוע פעולות חקירה יזומות לצורך אכיפ</w:t>
      </w:r>
      <w:r w:rsidRPr="00E303AD">
        <w:rPr>
          <w:rFonts w:eastAsia="Calibri" w:hint="cs"/>
          <w:rtl/>
        </w:rPr>
        <w:t>ת החוק</w:t>
      </w:r>
      <w:r w:rsidRPr="00E303AD">
        <w:rPr>
          <w:rFonts w:eastAsia="Calibri"/>
          <w:rtl/>
        </w:rPr>
        <w:t xml:space="preserve"> </w:t>
      </w:r>
      <w:r w:rsidRPr="00E303AD">
        <w:rPr>
          <w:rFonts w:eastAsia="Calibri" w:hint="cs"/>
          <w:rtl/>
        </w:rPr>
        <w:t>בעניין</w:t>
      </w:r>
      <w:r w:rsidRPr="00E303AD">
        <w:rPr>
          <w:rFonts w:eastAsia="Calibri"/>
          <w:rtl/>
        </w:rPr>
        <w:t xml:space="preserve"> פעילות המתרחשת בפועל בבתי בושת. </w:t>
      </w:r>
      <w:r w:rsidRPr="00E303AD">
        <w:rPr>
          <w:rFonts w:eastAsia="Calibri" w:hint="cs"/>
          <w:rtl/>
        </w:rPr>
        <w:t>כמו כן</w:t>
      </w:r>
      <w:r w:rsidRPr="00E303AD">
        <w:rPr>
          <w:rFonts w:eastAsia="Calibri"/>
          <w:rtl/>
        </w:rPr>
        <w:t xml:space="preserve"> הודגש </w:t>
      </w:r>
      <w:r w:rsidRPr="00E303AD">
        <w:rPr>
          <w:rFonts w:eastAsia="Calibri" w:hint="cs"/>
          <w:rtl/>
        </w:rPr>
        <w:t xml:space="preserve">בדוח </w:t>
      </w:r>
      <w:r w:rsidRPr="00E303AD">
        <w:rPr>
          <w:rFonts w:eastAsia="Calibri"/>
          <w:rtl/>
        </w:rPr>
        <w:t xml:space="preserve">כי חלק ניכר מהאכיפה מתבצע בעקבות תלונות, ולא כאכיפה יזומה, וכי נדרש </w:t>
      </w:r>
      <w:r w:rsidRPr="00E303AD">
        <w:rPr>
          <w:rFonts w:eastAsia="Calibri" w:hint="cs"/>
          <w:rtl/>
        </w:rPr>
        <w:t>פיתוח של</w:t>
      </w:r>
      <w:r w:rsidRPr="00E303AD">
        <w:rPr>
          <w:rFonts w:eastAsia="Calibri"/>
          <w:rtl/>
        </w:rPr>
        <w:t xml:space="preserve"> יכולת ייעודית </w:t>
      </w:r>
      <w:r w:rsidRPr="00E303AD">
        <w:rPr>
          <w:rFonts w:eastAsia="Calibri" w:hint="cs"/>
          <w:rtl/>
        </w:rPr>
        <w:t>לשם התמודדות עם</w:t>
      </w:r>
      <w:r w:rsidRPr="00E303AD">
        <w:rPr>
          <w:rFonts w:eastAsia="Calibri"/>
          <w:rtl/>
        </w:rPr>
        <w:t xml:space="preserve"> הפיכתו של האינטרנט לזירה המרכזית לפרסום ולהעבר</w:t>
      </w:r>
      <w:r w:rsidRPr="00E303AD">
        <w:rPr>
          <w:rFonts w:eastAsia="Calibri" w:hint="cs"/>
          <w:rtl/>
        </w:rPr>
        <w:t>ה של</w:t>
      </w:r>
      <w:r w:rsidRPr="00E303AD">
        <w:rPr>
          <w:rFonts w:eastAsia="Calibri"/>
          <w:rtl/>
        </w:rPr>
        <w:t xml:space="preserve"> מידע בתחום זה.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לנוכח מאפייניו הייחודיים של המרחב המקוון - אנונימיות, הצפנה, שימוש בכתובות אינטרנט </w:t>
      </w:r>
      <w:r w:rsidR="006E5677">
        <w:rPr>
          <w:rFonts w:eastAsia="Calibri"/>
          <w:rtl/>
        </w:rPr>
        <w:br/>
      </w:r>
      <w:r w:rsidRPr="00E303AD">
        <w:rPr>
          <w:rFonts w:eastAsia="Calibri" w:hint="cs"/>
          <w:rtl/>
        </w:rPr>
        <w:t>ו-</w:t>
      </w:r>
      <w:r w:rsidRPr="00E303AD">
        <w:rPr>
          <w:rFonts w:eastAsia="Calibri" w:hint="cs"/>
        </w:rPr>
        <w:t>IP</w:t>
      </w:r>
      <w:r w:rsidRPr="00E303AD">
        <w:rPr>
          <w:rFonts w:eastAsia="Calibri" w:hint="cs"/>
          <w:rtl/>
        </w:rPr>
        <w:t xml:space="preserve"> מתחלפות והיעדר מנגנוני ניטור רציפים - האכיפה במרחב זה מורכבת בהרבה מהאכיפה במרחב הפיזי. מרכיב נוסף המגביר את מורכבות האכיפה הוא ההיבט הבין-לאומי של האינטרנט, המקשה על גורמי האכיפה לממש את סמכות האכיפה ולאתר את הגורמים המעורבים בביצוע העבירות</w:t>
      </w:r>
      <w:r>
        <w:rPr>
          <w:rFonts w:eastAsia="Calibri"/>
          <w:vertAlign w:val="superscript"/>
          <w:rtl/>
        </w:rPr>
        <w:footnoteReference w:id="76"/>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 xml:space="preserve">על רקע זה נחקק </w:t>
      </w:r>
      <w:r w:rsidRPr="00E303AD">
        <w:rPr>
          <w:rFonts w:eastAsia="Calibri" w:hint="cs"/>
          <w:rtl/>
        </w:rPr>
        <w:t xml:space="preserve">בשנת 2017 </w:t>
      </w:r>
      <w:r w:rsidRPr="00E303AD">
        <w:rPr>
          <w:rFonts w:eastAsia="Calibri"/>
          <w:rtl/>
        </w:rPr>
        <w:t xml:space="preserve">חוק </w:t>
      </w:r>
      <w:r w:rsidRPr="00E303AD">
        <w:rPr>
          <w:rFonts w:eastAsia="Calibri" w:hint="cs"/>
          <w:rtl/>
        </w:rPr>
        <w:t>סמכויות לשם מניעת ביצוע עבירות באמצעות אתר אינטרנט, התשע"ז-2017 (להלן - חוק למניעת עבירות באמצעות אתר אינטרנט)</w:t>
      </w:r>
      <w:r>
        <w:rPr>
          <w:rFonts w:eastAsia="Calibri"/>
          <w:vertAlign w:val="superscript"/>
          <w:rtl/>
        </w:rPr>
        <w:footnoteReference w:id="77"/>
      </w:r>
      <w:r w:rsidRPr="00E303AD">
        <w:rPr>
          <w:rFonts w:eastAsia="Calibri"/>
          <w:rtl/>
        </w:rPr>
        <w:t xml:space="preserve">, </w:t>
      </w:r>
      <w:r w:rsidRPr="00E303AD">
        <w:rPr>
          <w:rFonts w:eastAsia="Calibri" w:hint="cs"/>
          <w:rtl/>
        </w:rPr>
        <w:t xml:space="preserve">אשר מאפשר לחסום או להסיר, באמצעות צו בית משפט, </w:t>
      </w:r>
      <w:r w:rsidRPr="00E303AD">
        <w:rPr>
          <w:rFonts w:eastAsia="Calibri"/>
          <w:rtl/>
        </w:rPr>
        <w:t>אתרי אינטרנט שבאמצעותם מבוצעות עבירות</w:t>
      </w:r>
      <w:r w:rsidRPr="00E303AD">
        <w:rPr>
          <w:rFonts w:eastAsia="Calibri" w:hint="cs"/>
          <w:rtl/>
        </w:rPr>
        <w:t>,</w:t>
      </w:r>
      <w:r w:rsidRPr="00E303AD">
        <w:rPr>
          <w:rFonts w:eastAsia="Calibri"/>
          <w:rtl/>
        </w:rPr>
        <w:t xml:space="preserve"> </w:t>
      </w:r>
      <w:r w:rsidRPr="00E303AD">
        <w:rPr>
          <w:rFonts w:eastAsia="Calibri" w:hint="cs"/>
          <w:rtl/>
        </w:rPr>
        <w:t>ובהן עבירות הקשורות לתופעת ה</w:t>
      </w:r>
      <w:r w:rsidRPr="00E303AD">
        <w:rPr>
          <w:rFonts w:eastAsia="Calibri"/>
          <w:rtl/>
        </w:rPr>
        <w:t>זנות</w:t>
      </w:r>
      <w:r w:rsidRPr="00E303AD">
        <w:rPr>
          <w:rFonts w:eastAsia="Calibri" w:hint="cs"/>
          <w:rtl/>
        </w:rPr>
        <w:t xml:space="preserve">. כיום מופקדת האכיפה של חוק זה </w:t>
      </w:r>
      <w:r w:rsidRPr="00E303AD">
        <w:rPr>
          <w:rFonts w:eastAsia="Calibri"/>
          <w:rtl/>
        </w:rPr>
        <w:t>בידי יחידות הסייבר במשטרה ובפרקליטות</w:t>
      </w:r>
      <w:r>
        <w:rPr>
          <w:rFonts w:eastAsia="Calibri"/>
          <w:vertAlign w:val="superscript"/>
          <w:rtl/>
        </w:rPr>
        <w:footnoteReference w:id="78"/>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 xml:space="preserve">בשנת 2019 העריכה </w:t>
      </w:r>
      <w:r w:rsidRPr="00E303AD">
        <w:rPr>
          <w:rFonts w:eastAsia="Calibri" w:hint="cs"/>
          <w:rtl/>
        </w:rPr>
        <w:t>חטיבת המודיעין ב</w:t>
      </w:r>
      <w:r w:rsidRPr="00E303AD">
        <w:rPr>
          <w:rFonts w:eastAsia="Calibri"/>
          <w:rtl/>
        </w:rPr>
        <w:t xml:space="preserve">משטרה כי עם חקיקת חוק </w:t>
      </w:r>
      <w:r w:rsidRPr="00E303AD">
        <w:rPr>
          <w:rFonts w:eastAsia="Calibri" w:hint="cs"/>
          <w:rtl/>
        </w:rPr>
        <w:t xml:space="preserve">איסור צריכת </w:t>
      </w:r>
      <w:r w:rsidRPr="00E303AD">
        <w:rPr>
          <w:rFonts w:eastAsia="Calibri"/>
          <w:rtl/>
        </w:rPr>
        <w:t xml:space="preserve">זנות צפויה </w:t>
      </w:r>
      <w:r w:rsidRPr="00E303AD">
        <w:rPr>
          <w:rFonts w:eastAsia="Calibri" w:hint="cs"/>
          <w:rtl/>
        </w:rPr>
        <w:t xml:space="preserve">עלייה </w:t>
      </w:r>
      <w:r w:rsidRPr="00E303AD">
        <w:rPr>
          <w:rFonts w:eastAsia="Calibri"/>
          <w:rtl/>
        </w:rPr>
        <w:t>בצריכת זנות באמצעות אפליקציות מקוונות, ו</w:t>
      </w:r>
      <w:r w:rsidRPr="00E303AD">
        <w:rPr>
          <w:rFonts w:eastAsia="Calibri" w:hint="cs"/>
          <w:rtl/>
        </w:rPr>
        <w:t xml:space="preserve">היא </w:t>
      </w:r>
      <w:r w:rsidRPr="00E303AD">
        <w:rPr>
          <w:rFonts w:eastAsia="Calibri"/>
          <w:rtl/>
        </w:rPr>
        <w:t>המל</w:t>
      </w:r>
      <w:r w:rsidRPr="00E303AD">
        <w:rPr>
          <w:rFonts w:eastAsia="Calibri" w:hint="cs"/>
          <w:rtl/>
        </w:rPr>
        <w:t>יצה</w:t>
      </w:r>
      <w:r w:rsidRPr="00E303AD">
        <w:rPr>
          <w:rFonts w:eastAsia="Calibri"/>
          <w:rtl/>
        </w:rPr>
        <w:t xml:space="preserve"> להסיט משאבים מ</w:t>
      </w:r>
      <w:r w:rsidRPr="00E303AD">
        <w:rPr>
          <w:rFonts w:eastAsia="Calibri" w:hint="cs"/>
          <w:rtl/>
        </w:rPr>
        <w:t>ה</w:t>
      </w:r>
      <w:r w:rsidRPr="00E303AD">
        <w:rPr>
          <w:rFonts w:eastAsia="Calibri"/>
          <w:rtl/>
        </w:rPr>
        <w:t>אכיפה בזירת הרחוב לאכיפה בזירה המקוונת.</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 xml:space="preserve">סקירות </w:t>
      </w:r>
      <w:r w:rsidRPr="00E303AD">
        <w:rPr>
          <w:rFonts w:eastAsia="Calibri" w:hint="cs"/>
          <w:rtl/>
        </w:rPr>
        <w:t>ה</w:t>
      </w:r>
      <w:r w:rsidRPr="00E303AD">
        <w:rPr>
          <w:rFonts w:eastAsia="Calibri"/>
          <w:rtl/>
        </w:rPr>
        <w:t xml:space="preserve">מודיעין </w:t>
      </w:r>
      <w:r w:rsidRPr="00E303AD">
        <w:rPr>
          <w:rFonts w:eastAsia="Calibri" w:hint="cs"/>
          <w:rtl/>
        </w:rPr>
        <w:t xml:space="preserve">של המשטרה </w:t>
      </w:r>
      <w:r w:rsidRPr="00E303AD">
        <w:rPr>
          <w:rFonts w:eastAsia="Calibri"/>
          <w:rtl/>
        </w:rPr>
        <w:t>מהשנים 2018</w:t>
      </w:r>
      <w:r w:rsidRPr="00E303AD">
        <w:rPr>
          <w:rFonts w:eastAsia="Calibri" w:hint="cs"/>
          <w:rtl/>
        </w:rPr>
        <w:t xml:space="preserve"> - </w:t>
      </w:r>
      <w:r w:rsidRPr="00E303AD">
        <w:rPr>
          <w:rFonts w:eastAsia="Calibri"/>
          <w:rtl/>
        </w:rPr>
        <w:t xml:space="preserve">2023 חזרו והצביעו על שימוש נרחב בתווך האינטרנטי לפרסום שירותי זנות, לאיתור ולגיוס </w:t>
      </w:r>
      <w:r w:rsidRPr="00E303AD">
        <w:rPr>
          <w:rFonts w:eastAsia="Calibri" w:hint="cs"/>
          <w:rtl/>
        </w:rPr>
        <w:t xml:space="preserve">של </w:t>
      </w:r>
      <w:r w:rsidRPr="00E303AD">
        <w:rPr>
          <w:rFonts w:eastAsia="Calibri"/>
          <w:rtl/>
        </w:rPr>
        <w:t>נשים</w:t>
      </w:r>
      <w:r w:rsidRPr="00E303AD">
        <w:rPr>
          <w:rFonts w:eastAsia="Calibri" w:hint="cs"/>
          <w:rtl/>
        </w:rPr>
        <w:t xml:space="preserve"> </w:t>
      </w:r>
      <w:r w:rsidRPr="00E303AD">
        <w:rPr>
          <w:rFonts w:eastAsia="Calibri"/>
          <w:rtl/>
        </w:rPr>
        <w:t xml:space="preserve">לעבודה בזנות, לרבות באמצעות אתרי </w:t>
      </w:r>
      <w:r w:rsidRPr="00E303AD">
        <w:rPr>
          <w:rFonts w:eastAsia="Calibri" w:hint="cs"/>
          <w:rtl/>
        </w:rPr>
        <w:t>"</w:t>
      </w:r>
      <w:r w:rsidRPr="00E303AD">
        <w:rPr>
          <w:rFonts w:eastAsia="Calibri"/>
          <w:rtl/>
        </w:rPr>
        <w:t>דרושים</w:t>
      </w:r>
      <w:r w:rsidRPr="00E303AD">
        <w:rPr>
          <w:rFonts w:eastAsia="Calibri" w:hint="cs"/>
          <w:rtl/>
        </w:rPr>
        <w:t>"</w:t>
      </w:r>
      <w:r w:rsidRPr="00E303AD">
        <w:rPr>
          <w:rFonts w:eastAsia="Calibri"/>
          <w:rtl/>
        </w:rPr>
        <w:t xml:space="preserve"> חוקיים, רשתות חברתיות ואפליקציות מסרים המאפשרות אנונימיות.</w:t>
      </w:r>
      <w:r w:rsidRPr="00E303AD">
        <w:rPr>
          <w:rFonts w:eastAsia="Calibri" w:hint="cs"/>
          <w:rtl/>
        </w:rPr>
        <w:t xml:space="preserve"> בשנת 2022</w:t>
      </w:r>
      <w:r w:rsidRPr="00E303AD">
        <w:rPr>
          <w:rFonts w:eastAsia="Calibri"/>
          <w:rtl/>
        </w:rPr>
        <w:t xml:space="preserve"> </w:t>
      </w:r>
      <w:r w:rsidRPr="00E303AD">
        <w:rPr>
          <w:rFonts w:eastAsia="Calibri" w:hint="cs"/>
          <w:rtl/>
        </w:rPr>
        <w:t>התייחסה מחלקת דסק ומחקר מודיעין במשטרה ל</w:t>
      </w:r>
      <w:r w:rsidRPr="00E303AD">
        <w:rPr>
          <w:rFonts w:eastAsia="Calibri"/>
          <w:rtl/>
        </w:rPr>
        <w:t xml:space="preserve">מעבר </w:t>
      </w:r>
      <w:r w:rsidRPr="00E303AD">
        <w:rPr>
          <w:rFonts w:eastAsia="Calibri" w:hint="cs"/>
          <w:rtl/>
        </w:rPr>
        <w:t>ה</w:t>
      </w:r>
      <w:r w:rsidRPr="00E303AD">
        <w:rPr>
          <w:rFonts w:eastAsia="Calibri"/>
          <w:rtl/>
        </w:rPr>
        <w:t xml:space="preserve">מואץ למפגשים במרחבים פרטיים </w:t>
      </w:r>
      <w:r w:rsidRPr="00E303AD">
        <w:rPr>
          <w:rFonts w:eastAsia="Calibri" w:hint="cs"/>
          <w:rtl/>
        </w:rPr>
        <w:t xml:space="preserve">(דירות פרטיות לעומת מכוני ליווי או בתי בושת) </w:t>
      </w:r>
      <w:r w:rsidRPr="00E303AD">
        <w:rPr>
          <w:rFonts w:eastAsia="Calibri"/>
          <w:rtl/>
        </w:rPr>
        <w:t>ו</w:t>
      </w:r>
      <w:r w:rsidRPr="00E303AD">
        <w:rPr>
          <w:rFonts w:eastAsia="Calibri" w:hint="cs"/>
          <w:rtl/>
        </w:rPr>
        <w:t>ל</w:t>
      </w:r>
      <w:r w:rsidRPr="00E303AD">
        <w:rPr>
          <w:rFonts w:eastAsia="Calibri"/>
          <w:rtl/>
        </w:rPr>
        <w:t xml:space="preserve">התרחבות השימוש בתשתיות מקוונות מוצפנות. </w:t>
      </w:r>
      <w:r w:rsidRPr="00E303AD">
        <w:rPr>
          <w:rFonts w:eastAsia="Calibri" w:hint="cs"/>
          <w:rtl/>
        </w:rPr>
        <w:t xml:space="preserve">בעניין זה מצוין בסקירות המודיעין כי </w:t>
      </w:r>
      <w:r w:rsidRPr="00E303AD">
        <w:rPr>
          <w:rFonts w:eastAsia="Calibri"/>
          <w:rtl/>
        </w:rPr>
        <w:t xml:space="preserve">בהיעדר מערך ייעודי לאיסוף מודיעין </w:t>
      </w:r>
      <w:r w:rsidRPr="00E303AD">
        <w:rPr>
          <w:rFonts w:eastAsia="Calibri" w:hint="cs"/>
          <w:rtl/>
        </w:rPr>
        <w:t xml:space="preserve">במרשתת </w:t>
      </w:r>
      <w:r w:rsidRPr="00E303AD">
        <w:rPr>
          <w:rFonts w:eastAsia="Calibri" w:hint="cs"/>
          <w:rtl/>
        </w:rPr>
        <w:t xml:space="preserve">קשה ביותר לסקור באופן מלא את </w:t>
      </w:r>
      <w:r w:rsidRPr="00E303AD">
        <w:rPr>
          <w:rFonts w:eastAsia="Calibri"/>
          <w:rtl/>
        </w:rPr>
        <w:t xml:space="preserve">התופעה </w:t>
      </w:r>
      <w:r w:rsidRPr="00E303AD">
        <w:rPr>
          <w:rFonts w:eastAsia="Calibri" w:hint="cs"/>
          <w:rtl/>
        </w:rPr>
        <w:t>ולחשוף את</w:t>
      </w:r>
      <w:r w:rsidRPr="00E303AD">
        <w:rPr>
          <w:rFonts w:eastAsia="Calibri"/>
          <w:rtl/>
        </w:rPr>
        <w:t xml:space="preserve"> המעורבים</w:t>
      </w:r>
      <w:r w:rsidRPr="00E303AD">
        <w:rPr>
          <w:rFonts w:eastAsia="Calibri" w:hint="cs"/>
          <w:rtl/>
        </w:rPr>
        <w:t xml:space="preserve"> בה והומלץ</w:t>
      </w:r>
      <w:r w:rsidRPr="00E303AD">
        <w:rPr>
          <w:rFonts w:eastAsia="Calibri"/>
          <w:rtl/>
        </w:rPr>
        <w:t xml:space="preserve"> </w:t>
      </w:r>
      <w:r w:rsidRPr="00E303AD">
        <w:rPr>
          <w:rFonts w:eastAsia="Calibri" w:hint="cs"/>
          <w:rtl/>
        </w:rPr>
        <w:t>להגביר את</w:t>
      </w:r>
      <w:r w:rsidRPr="00E303AD">
        <w:rPr>
          <w:rFonts w:eastAsia="Calibri"/>
          <w:rtl/>
        </w:rPr>
        <w:t xml:space="preserve"> הכיסוי המודיעיני</w:t>
      </w:r>
      <w:r w:rsidRPr="00E303AD">
        <w:rPr>
          <w:rFonts w:eastAsia="Calibri" w:hint="cs"/>
          <w:rtl/>
        </w:rPr>
        <w:t xml:space="preserve"> שלה</w:t>
      </w:r>
      <w:r w:rsidRPr="00E303AD">
        <w:rPr>
          <w:rFonts w:eastAsia="Calibri"/>
          <w:rtl/>
        </w:rPr>
        <w:t xml:space="preserve"> </w:t>
      </w:r>
      <w:r w:rsidRPr="00E303AD">
        <w:rPr>
          <w:rFonts w:eastAsia="Calibri" w:hint="cs"/>
          <w:rtl/>
        </w:rPr>
        <w:t>ולהשתמש לצורך כך</w:t>
      </w:r>
      <w:r w:rsidRPr="00E303AD">
        <w:rPr>
          <w:rFonts w:eastAsia="Calibri"/>
          <w:rtl/>
        </w:rPr>
        <w:t xml:space="preserve"> בטכנולוגיות מתקדמות.</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בדוח </w:t>
      </w:r>
      <w:r w:rsidRPr="00E303AD">
        <w:rPr>
          <w:rFonts w:eastAsia="Calibri"/>
          <w:rtl/>
        </w:rPr>
        <w:t xml:space="preserve">ביקורת </w:t>
      </w:r>
      <w:r w:rsidRPr="00E303AD">
        <w:rPr>
          <w:rFonts w:eastAsia="Calibri" w:hint="cs"/>
          <w:rtl/>
        </w:rPr>
        <w:t xml:space="preserve">פנים </w:t>
      </w:r>
      <w:r w:rsidRPr="00E303AD">
        <w:rPr>
          <w:rFonts w:eastAsia="Calibri"/>
          <w:rtl/>
        </w:rPr>
        <w:t>של המשרד לביטחון לאומי</w:t>
      </w:r>
      <w:r w:rsidRPr="00E303AD">
        <w:rPr>
          <w:rFonts w:eastAsia="Calibri" w:hint="cs"/>
          <w:rtl/>
        </w:rPr>
        <w:t xml:space="preserve"> משנת 2022 </w:t>
      </w:r>
      <w:r w:rsidRPr="00E303AD">
        <w:rPr>
          <w:rFonts w:eastAsia="Calibri"/>
          <w:rtl/>
        </w:rPr>
        <w:t xml:space="preserve">עלה כי איסוף מודיעין גלוי </w:t>
      </w:r>
      <w:r w:rsidRPr="00E303AD">
        <w:rPr>
          <w:rFonts w:eastAsia="Calibri" w:hint="cs"/>
          <w:rtl/>
        </w:rPr>
        <w:t xml:space="preserve">בתחום </w:t>
      </w:r>
      <w:r w:rsidRPr="00E303AD">
        <w:rPr>
          <w:rFonts w:eastAsia="Calibri"/>
          <w:rtl/>
        </w:rPr>
        <w:t>מתבצע בהתאם לבקשת גורמי המודיעין במחוזות ולא באופן יזום. זאת</w:t>
      </w:r>
      <w:r w:rsidRPr="00E303AD">
        <w:rPr>
          <w:rFonts w:eastAsia="Calibri" w:hint="cs"/>
          <w:rtl/>
        </w:rPr>
        <w:t>,</w:t>
      </w:r>
      <w:r w:rsidRPr="00E303AD">
        <w:rPr>
          <w:rFonts w:eastAsia="Calibri"/>
          <w:rtl/>
        </w:rPr>
        <w:t xml:space="preserve"> אף שניתן להשתמש בפרטי יצירת הקשר </w:t>
      </w:r>
      <w:r w:rsidRPr="00E303AD">
        <w:rPr>
          <w:rFonts w:eastAsia="Calibri" w:hint="cs"/>
          <w:rtl/>
        </w:rPr>
        <w:t>המצוינים</w:t>
      </w:r>
      <w:r w:rsidRPr="00E303AD">
        <w:rPr>
          <w:rFonts w:eastAsia="Calibri"/>
          <w:rtl/>
        </w:rPr>
        <w:t xml:space="preserve"> באתרי הפרסום </w:t>
      </w:r>
      <w:r w:rsidRPr="00E303AD">
        <w:rPr>
          <w:rFonts w:eastAsia="Calibri" w:hint="cs"/>
          <w:rtl/>
        </w:rPr>
        <w:t>כדי</w:t>
      </w:r>
      <w:r w:rsidRPr="00E303AD">
        <w:rPr>
          <w:rFonts w:eastAsia="Calibri"/>
          <w:rtl/>
        </w:rPr>
        <w:t xml:space="preserve"> להתחקות אחר זירות זנות ברחבי הארץ. </w:t>
      </w:r>
      <w:r w:rsidRPr="00E303AD">
        <w:rPr>
          <w:rFonts w:eastAsia="Calibri" w:hint="cs"/>
          <w:rtl/>
        </w:rPr>
        <w:t xml:space="preserve">עוד עלה בדוח ביקורת הפנים כי </w:t>
      </w:r>
      <w:r w:rsidRPr="00E303AD">
        <w:rPr>
          <w:rFonts w:eastAsia="Calibri"/>
          <w:rtl/>
        </w:rPr>
        <w:t xml:space="preserve">אתרי זנות שנחסמים חוזרים לפעול במהרה </w:t>
      </w:r>
      <w:r w:rsidRPr="00E303AD">
        <w:rPr>
          <w:rFonts w:eastAsia="Calibri" w:hint="cs"/>
          <w:rtl/>
        </w:rPr>
        <w:t>ב</w:t>
      </w:r>
      <w:r w:rsidRPr="00E303AD">
        <w:rPr>
          <w:rFonts w:eastAsia="Calibri"/>
          <w:rtl/>
        </w:rPr>
        <w:t xml:space="preserve">שמות שונים ולעיתים מתבססים על תשתיות </w:t>
      </w:r>
      <w:r w:rsidRPr="00E303AD">
        <w:rPr>
          <w:rFonts w:eastAsia="Calibri" w:hint="eastAsia"/>
          <w:rtl/>
        </w:rPr>
        <w:t>שמחוץ</w:t>
      </w:r>
      <w:r w:rsidRPr="00E303AD">
        <w:rPr>
          <w:rFonts w:eastAsia="Calibri"/>
          <w:rtl/>
        </w:rPr>
        <w:t xml:space="preserve"> </w:t>
      </w:r>
      <w:r w:rsidRPr="00E303AD">
        <w:rPr>
          <w:rFonts w:eastAsia="Calibri" w:hint="eastAsia"/>
          <w:rtl/>
        </w:rPr>
        <w:t>לישראל</w:t>
      </w:r>
      <w:r w:rsidRPr="00E303AD">
        <w:rPr>
          <w:rFonts w:eastAsia="Calibri"/>
          <w:rtl/>
        </w:rPr>
        <w:t xml:space="preserve">. </w:t>
      </w:r>
      <w:r w:rsidRPr="00E303AD">
        <w:rPr>
          <w:rFonts w:eastAsia="Calibri" w:hint="cs"/>
          <w:rtl/>
        </w:rPr>
        <w:t xml:space="preserve">כמו כן צוין בדוח כי, בין היתר בהיעדר מנגנוני פיקוח ייעודיים, חלקים משמעותיים מהזירה המקוונת נותרים נסתרים מעיני גורמי האכיפה. דברים דומים עלו במסמך של חטיבת המודיעין ממאי 2024 בנושא היערכות לקראת פקיעת תוקפה של הוראת השעה של חוק איסור צריכת זנות, ולפיו קשה לבצע את האכיפה המינהלית באמצעות קנסות כאשר עיקר הפעילות לפרסום "שירותי מין" ולתיאום מתן שירותים אלה הועברה לרשתות החברתיות ולנוכח המוגבלות של </w:t>
      </w:r>
      <w:r w:rsidRPr="00E303AD">
        <w:rPr>
          <w:rFonts w:eastAsia="Calibri"/>
          <w:rtl/>
        </w:rPr>
        <w:t xml:space="preserve">יכולת </w:t>
      </w:r>
      <w:r w:rsidRPr="00E303AD">
        <w:rPr>
          <w:rFonts w:eastAsia="Calibri" w:hint="cs"/>
          <w:rtl/>
        </w:rPr>
        <w:t>ה</w:t>
      </w:r>
      <w:r w:rsidRPr="00E303AD">
        <w:rPr>
          <w:rFonts w:eastAsia="Calibri"/>
          <w:rtl/>
        </w:rPr>
        <w:t>איתור ו</w:t>
      </w:r>
      <w:r w:rsidRPr="00E303AD">
        <w:rPr>
          <w:rFonts w:eastAsia="Calibri" w:hint="cs"/>
          <w:rtl/>
        </w:rPr>
        <w:t>ה</w:t>
      </w:r>
      <w:r w:rsidRPr="00E303AD">
        <w:rPr>
          <w:rFonts w:eastAsia="Calibri"/>
          <w:rtl/>
        </w:rPr>
        <w:t xml:space="preserve">איסוף </w:t>
      </w:r>
      <w:r w:rsidRPr="00E303AD">
        <w:rPr>
          <w:rFonts w:eastAsia="Calibri" w:hint="cs"/>
          <w:rtl/>
        </w:rPr>
        <w:t xml:space="preserve">של </w:t>
      </w:r>
      <w:r w:rsidRPr="00E303AD">
        <w:rPr>
          <w:rFonts w:eastAsia="Calibri"/>
          <w:rtl/>
        </w:rPr>
        <w:t>המידע ברשתות</w:t>
      </w:r>
      <w:r w:rsidRPr="00E303AD">
        <w:rPr>
          <w:rFonts w:eastAsia="Calibri" w:hint="cs"/>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בדיון של הוועדה לביטחון לאומי בכנסת מנובמבר 2025</w:t>
      </w:r>
      <w:r>
        <w:rPr>
          <w:rFonts w:eastAsia="Calibri"/>
          <w:vertAlign w:val="superscript"/>
          <w:rtl/>
        </w:rPr>
        <w:footnoteReference w:id="79"/>
      </w:r>
      <w:r w:rsidRPr="00E303AD">
        <w:rPr>
          <w:rFonts w:eastAsia="Calibri" w:hint="cs"/>
          <w:rtl/>
        </w:rPr>
        <w:t xml:space="preserve"> בנושא "זנות באינטרנט" צוין כי </w:t>
      </w:r>
      <w:r w:rsidRPr="00E303AD">
        <w:rPr>
          <w:rFonts w:eastAsia="Calibri"/>
          <w:rtl/>
        </w:rPr>
        <w:t>שיתוף הפעולה בי</w:t>
      </w:r>
      <w:r w:rsidRPr="00E303AD">
        <w:rPr>
          <w:rFonts w:eastAsia="Calibri" w:hint="cs"/>
          <w:rtl/>
        </w:rPr>
        <w:t>ן המשטרה לפרקליטות נשחק</w:t>
      </w:r>
      <w:r w:rsidRPr="00E303AD">
        <w:rPr>
          <w:rFonts w:eastAsia="Calibri"/>
          <w:rtl/>
        </w:rPr>
        <w:t xml:space="preserve">, </w:t>
      </w:r>
      <w:r w:rsidRPr="00E303AD">
        <w:rPr>
          <w:rFonts w:eastAsia="Calibri" w:hint="cs"/>
          <w:rtl/>
        </w:rPr>
        <w:t>בייחוד</w:t>
      </w:r>
      <w:r w:rsidRPr="00E303AD">
        <w:rPr>
          <w:rFonts w:eastAsia="Calibri"/>
          <w:rtl/>
        </w:rPr>
        <w:t xml:space="preserve"> בזירה המקוונת</w:t>
      </w:r>
      <w:r w:rsidRPr="00E303AD">
        <w:rPr>
          <w:rFonts w:eastAsia="Calibri" w:hint="cs"/>
          <w:rtl/>
        </w:rPr>
        <w:t>, ויש צורך בחיזוקו</w:t>
      </w:r>
      <w:r>
        <w:rPr>
          <w:rFonts w:eastAsia="Calibri"/>
          <w:vertAlign w:val="superscript"/>
          <w:rtl/>
        </w:rPr>
        <w:footnoteReference w:id="80"/>
      </w:r>
      <w:r w:rsidRPr="00E303AD">
        <w:rPr>
          <w:rFonts w:eastAsia="Calibri"/>
          <w:rtl/>
        </w:rPr>
        <w:t xml:space="preserve">. </w:t>
      </w:r>
      <w:r w:rsidRPr="00E303AD">
        <w:rPr>
          <w:rFonts w:eastAsia="Calibri" w:hint="cs"/>
          <w:noProof/>
          <w:rtl/>
        </w:rPr>
        <w:t xml:space="preserve">בעניין זה ציין נציג הפרקליטות בדיון כי בשנים האחרונות פעלו הגופים באופן עצמאי, וללא סיוע מהמשטרה, לניטור הרשת והפרסומים שעל בסיסם הוגשו בקשות להסרת אתרים. עם זאת, הוא ציין שבכוונת הגופים לחזור לפעול באופן מתואם ומשולב לצורך אכיפת החוק.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להלן נתונים על הצווים לסגירת אתרי האינטרנט שבהם בוצעו עבירות של</w:t>
      </w:r>
      <w:r w:rsidRPr="00E303AD">
        <w:rPr>
          <w:rFonts w:eastAsia="Calibri"/>
          <w:rtl/>
        </w:rPr>
        <w:t xml:space="preserve"> הדחה</w:t>
      </w:r>
      <w:r w:rsidRPr="00E303AD">
        <w:rPr>
          <w:rFonts w:eastAsia="Calibri" w:hint="cs"/>
          <w:rtl/>
        </w:rPr>
        <w:t xml:space="preserve"> לזנות, פרסום ושיווק של</w:t>
      </w:r>
      <w:r w:rsidRPr="00E303AD">
        <w:rPr>
          <w:rFonts w:eastAsia="Calibri"/>
          <w:rtl/>
        </w:rPr>
        <w:t xml:space="preserve"> זנות</w:t>
      </w:r>
      <w:r w:rsidRPr="00E303AD">
        <w:rPr>
          <w:rFonts w:eastAsia="Calibri" w:hint="cs"/>
          <w:rtl/>
        </w:rPr>
        <w:t>,</w:t>
      </w:r>
      <w:r w:rsidRPr="00E303AD">
        <w:rPr>
          <w:rFonts w:eastAsia="Calibri" w:hint="cs"/>
          <w:rtl/>
        </w:rPr>
        <w:t xml:space="preserve"> </w:t>
      </w:r>
      <w:r w:rsidRPr="00E303AD">
        <w:rPr>
          <w:rFonts w:eastAsia="Calibri" w:hint="cs"/>
          <w:rtl/>
        </w:rPr>
        <w:t>שהוצאו מכוח החוק למניעת עבירות באמצעות אתר אינטרנט: בשנת 2022 הוצאו ארבעה צווי סגירה; בשנת 2023 הוצאו 11 צווי סגירה; בשנת 2024 צו אחד ובשנת 2025 - שישה צווים</w:t>
      </w:r>
      <w:r>
        <w:rPr>
          <w:rFonts w:eastAsia="Calibri"/>
          <w:vertAlign w:val="superscript"/>
          <w:rtl/>
        </w:rPr>
        <w:footnoteReference w:id="81"/>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r w:rsidRPr="00E303AD">
        <w:rPr>
          <w:rFonts w:eastAsia="Calibri"/>
          <w:b/>
          <w:bCs/>
          <w:rtl/>
        </w:rPr>
        <w:t>השימוש במרחב המקוון כפלטפורמה לשידול</w:t>
      </w:r>
      <w:r w:rsidRPr="00E303AD">
        <w:rPr>
          <w:rFonts w:eastAsia="Calibri" w:hint="cs"/>
          <w:b/>
          <w:bCs/>
          <w:rtl/>
        </w:rPr>
        <w:t xml:space="preserve"> לזנות</w:t>
      </w:r>
      <w:r w:rsidRPr="00E303AD">
        <w:rPr>
          <w:rFonts w:eastAsia="Calibri"/>
          <w:b/>
          <w:bCs/>
          <w:rtl/>
        </w:rPr>
        <w:t xml:space="preserve">, </w:t>
      </w:r>
      <w:r w:rsidRPr="00E303AD">
        <w:rPr>
          <w:rFonts w:eastAsia="Calibri" w:hint="cs"/>
          <w:b/>
          <w:bCs/>
          <w:rtl/>
        </w:rPr>
        <w:t>ל</w:t>
      </w:r>
      <w:r w:rsidRPr="00E303AD">
        <w:rPr>
          <w:rFonts w:eastAsia="Calibri"/>
          <w:b/>
          <w:bCs/>
          <w:rtl/>
        </w:rPr>
        <w:t xml:space="preserve">סרסרות, </w:t>
      </w:r>
      <w:r w:rsidRPr="00E303AD">
        <w:rPr>
          <w:rFonts w:eastAsia="Calibri" w:hint="cs"/>
          <w:b/>
          <w:bCs/>
          <w:rtl/>
        </w:rPr>
        <w:t>ל</w:t>
      </w:r>
      <w:r w:rsidRPr="00E303AD">
        <w:rPr>
          <w:rFonts w:eastAsia="Calibri"/>
          <w:b/>
          <w:bCs/>
          <w:rtl/>
        </w:rPr>
        <w:t>ניצול ו</w:t>
      </w:r>
      <w:r w:rsidRPr="00E303AD">
        <w:rPr>
          <w:rFonts w:eastAsia="Calibri" w:hint="cs"/>
          <w:b/>
          <w:bCs/>
          <w:rtl/>
        </w:rPr>
        <w:t>ל</w:t>
      </w:r>
      <w:r w:rsidRPr="00E303AD">
        <w:rPr>
          <w:rFonts w:eastAsia="Calibri"/>
          <w:b/>
          <w:bCs/>
          <w:rtl/>
        </w:rPr>
        <w:t>צריכת זנות הלך והתרחב בשנים האחרונות</w:t>
      </w:r>
      <w:r w:rsidRPr="00E303AD">
        <w:rPr>
          <w:rFonts w:eastAsia="Calibri" w:hint="cs"/>
          <w:b/>
          <w:bCs/>
          <w:rtl/>
        </w:rPr>
        <w:t xml:space="preserve">. בביקורת נמצא כי משנת 2018 רשויות האכיפה ערות לאתגר הניכר הכרוך בחשיפה ובאכיפה של עבירות אלה במרחב המקוון ועומדות על הפערים ביכולות בתחום זה, לרבות היעדר איסוף מודיעין ושימוש בטכנולוגיות מתקדמות. אף על פי כן, לא ננקטו צעדים להרחבה משמעותית של היקף הפעילות במרחב זה, והפעילות במרחב אינה מספקת מענה </w:t>
      </w:r>
      <w:r w:rsidRPr="00E303AD">
        <w:rPr>
          <w:rFonts w:eastAsia="Calibri"/>
          <w:b/>
          <w:bCs/>
          <w:rtl/>
        </w:rPr>
        <w:t xml:space="preserve">אפקטיבי </w:t>
      </w:r>
      <w:r w:rsidRPr="00E303AD">
        <w:rPr>
          <w:rFonts w:eastAsia="Calibri" w:hint="cs"/>
          <w:b/>
          <w:bCs/>
          <w:rtl/>
        </w:rPr>
        <w:t xml:space="preserve">על </w:t>
      </w:r>
      <w:r w:rsidRPr="00E303AD">
        <w:rPr>
          <w:rFonts w:eastAsia="Calibri"/>
          <w:b/>
          <w:bCs/>
          <w:rtl/>
        </w:rPr>
        <w:t>תופעה</w:t>
      </w:r>
      <w:r w:rsidRPr="00E303AD">
        <w:rPr>
          <w:rFonts w:eastAsia="Calibri" w:hint="cs"/>
          <w:b/>
          <w:bCs/>
          <w:rtl/>
        </w:rPr>
        <w:t xml:space="preserve"> כה מקיפה ומעמיקה.</w:t>
      </w:r>
      <w:bookmarkStart w:id="89" w:name="_Hlk222991878"/>
      <w:r w:rsidRPr="00E303AD">
        <w:rPr>
          <w:rFonts w:eastAsia="Calibri" w:hint="cs"/>
          <w:b/>
          <w:bCs/>
          <w:rtl/>
        </w:rPr>
        <w:t xml:space="preserve"> </w:t>
      </w:r>
      <w:bookmarkStart w:id="90" w:name="_Hlk222658013"/>
      <w:r w:rsidRPr="00E303AD">
        <w:rPr>
          <w:rFonts w:eastAsia="Calibri" w:hint="cs"/>
          <w:b/>
          <w:bCs/>
          <w:rtl/>
        </w:rPr>
        <w:t>בסך הכול, מאז חקיקת החוק למניעת עבירות באמצעות אתר אינטרנט בשנת 2017 הוצאו 95 צווים בלבד ל</w:t>
      </w:r>
      <w:r w:rsidRPr="00E303AD">
        <w:rPr>
          <w:rFonts w:eastAsia="Calibri"/>
          <w:b/>
          <w:bCs/>
          <w:rtl/>
        </w:rPr>
        <w:t>סגיר</w:t>
      </w:r>
      <w:r w:rsidRPr="00E303AD">
        <w:rPr>
          <w:rFonts w:eastAsia="Calibri" w:hint="cs"/>
          <w:b/>
          <w:bCs/>
          <w:rtl/>
        </w:rPr>
        <w:t>ת</w:t>
      </w:r>
      <w:r w:rsidRPr="00E303AD">
        <w:rPr>
          <w:rFonts w:eastAsia="Calibri"/>
          <w:b/>
          <w:bCs/>
          <w:rtl/>
        </w:rPr>
        <w:t xml:space="preserve"> </w:t>
      </w:r>
      <w:r w:rsidRPr="00E303AD">
        <w:rPr>
          <w:rFonts w:eastAsia="Calibri" w:hint="cs"/>
          <w:b/>
          <w:bCs/>
          <w:rtl/>
        </w:rPr>
        <w:t>אתרי אינטרנט שבהם בוצעו עבירות של הדחה לזנות, פרסום ושיווק של זנות.</w:t>
      </w:r>
      <w:bookmarkEnd w:id="89"/>
      <w:r w:rsidRPr="00E303AD">
        <w:rPr>
          <w:rFonts w:eastAsia="Calibri" w:hint="cs"/>
          <w:b/>
          <w:bCs/>
          <w:rtl/>
        </w:rPr>
        <w:t xml:space="preserve"> </w:t>
      </w:r>
      <w:bookmarkEnd w:id="90"/>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noProof/>
          <w:rtl/>
        </w:rPr>
      </w:pPr>
      <w:r w:rsidRPr="00E303AD">
        <w:rPr>
          <w:rFonts w:eastAsia="Calibri" w:hint="cs"/>
          <w:noProof/>
          <w:rtl/>
        </w:rPr>
        <w:t>בתום הביקורת, במרץ 2026, עדכנה המשטרה את משרד מבקר המדינה כי על רקע החסר בפעילות בתחום זה, נקבעו לימ"רים בכל אחד מהמחוזות יעדים לשנת 2026 לסגירת אתרי אינטרנט שבהם ב</w:t>
      </w:r>
      <w:r w:rsidRPr="00E303AD">
        <w:rPr>
          <w:rFonts w:eastAsia="Calibri" w:hint="eastAsia"/>
          <w:noProof/>
          <w:rtl/>
        </w:rPr>
        <w:t>וצעו</w:t>
      </w:r>
      <w:r w:rsidRPr="00E303AD">
        <w:rPr>
          <w:rFonts w:eastAsia="Calibri"/>
          <w:noProof/>
          <w:rtl/>
        </w:rPr>
        <w:t xml:space="preserve"> </w:t>
      </w:r>
      <w:r w:rsidRPr="00E303AD">
        <w:rPr>
          <w:rFonts w:eastAsia="Calibri" w:hint="eastAsia"/>
          <w:noProof/>
          <w:rtl/>
        </w:rPr>
        <w:t>עבירות</w:t>
      </w:r>
      <w:r w:rsidRPr="00E303AD">
        <w:rPr>
          <w:rFonts w:eastAsia="Calibri"/>
          <w:noProof/>
          <w:rtl/>
        </w:rPr>
        <w:t xml:space="preserve"> </w:t>
      </w:r>
      <w:r w:rsidRPr="00E303AD">
        <w:rPr>
          <w:rFonts w:eastAsia="Calibri" w:hint="cs"/>
          <w:noProof/>
          <w:rtl/>
        </w:rPr>
        <w:t xml:space="preserve">שיש להן </w:t>
      </w:r>
      <w:r w:rsidRPr="00E303AD">
        <w:rPr>
          <w:rFonts w:eastAsia="Calibri" w:hint="eastAsia"/>
          <w:noProof/>
          <w:rtl/>
        </w:rPr>
        <w:t>זיקה</w:t>
      </w:r>
      <w:r w:rsidRPr="00E303AD">
        <w:rPr>
          <w:rFonts w:eastAsia="Calibri"/>
          <w:noProof/>
          <w:rtl/>
        </w:rPr>
        <w:t xml:space="preserve"> </w:t>
      </w:r>
      <w:r w:rsidRPr="00E303AD">
        <w:rPr>
          <w:rFonts w:eastAsia="Calibri" w:hint="eastAsia"/>
          <w:noProof/>
          <w:rtl/>
        </w:rPr>
        <w:t>לזנות</w:t>
      </w:r>
      <w:r>
        <w:rPr>
          <w:rFonts w:eastAsia="Calibri"/>
          <w:vertAlign w:val="superscript"/>
          <w:rtl/>
        </w:rPr>
        <w:footnoteReference w:id="82"/>
      </w:r>
      <w:r w:rsidRPr="00E303AD">
        <w:rPr>
          <w:rFonts w:eastAsia="Calibri" w:hint="cs"/>
          <w:noProof/>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נוסף על כך, בתשובת המשטרה צוין כי אומנם</w:t>
      </w:r>
      <w:r w:rsidRPr="00E303AD">
        <w:rPr>
          <w:rFonts w:eastAsia="Calibri"/>
          <w:rtl/>
        </w:rPr>
        <w:t xml:space="preserve"> בשנים קודמות </w:t>
      </w:r>
      <w:r w:rsidRPr="00E303AD">
        <w:rPr>
          <w:rFonts w:eastAsia="Calibri" w:hint="cs"/>
          <w:rtl/>
        </w:rPr>
        <w:t xml:space="preserve">הנושא </w:t>
      </w:r>
      <w:r w:rsidRPr="00E303AD">
        <w:rPr>
          <w:rFonts w:eastAsia="Calibri"/>
          <w:rtl/>
        </w:rPr>
        <w:t xml:space="preserve">לא </w:t>
      </w:r>
      <w:r w:rsidRPr="00E303AD">
        <w:rPr>
          <w:rFonts w:eastAsia="Calibri" w:hint="cs"/>
          <w:rtl/>
        </w:rPr>
        <w:t>זכה להתייחסות מספקת,</w:t>
      </w:r>
      <w:r w:rsidRPr="00E303AD">
        <w:rPr>
          <w:rFonts w:eastAsia="Calibri"/>
          <w:rtl/>
        </w:rPr>
        <w:t xml:space="preserve"> </w:t>
      </w:r>
      <w:r w:rsidRPr="00E303AD">
        <w:rPr>
          <w:rFonts w:eastAsia="Calibri" w:hint="cs"/>
          <w:rtl/>
        </w:rPr>
        <w:t>אך</w:t>
      </w:r>
      <w:r w:rsidRPr="00E303AD">
        <w:rPr>
          <w:rFonts w:eastAsia="Calibri"/>
          <w:rtl/>
        </w:rPr>
        <w:t xml:space="preserve"> בשנת 2025 התחזק הקשר בין </w:t>
      </w:r>
      <w:r w:rsidRPr="00E303AD">
        <w:rPr>
          <w:rFonts w:eastAsia="Calibri" w:hint="cs"/>
          <w:rtl/>
        </w:rPr>
        <w:t>המשטרה ל</w:t>
      </w:r>
      <w:r w:rsidRPr="00E303AD">
        <w:rPr>
          <w:rFonts w:eastAsia="Calibri"/>
          <w:rtl/>
        </w:rPr>
        <w:t>נציג פרקליטות המדינה לנושא סגירת אתרים</w:t>
      </w:r>
      <w:r w:rsidRPr="00E303AD">
        <w:rPr>
          <w:rFonts w:eastAsia="Calibri" w:hint="cs"/>
          <w:rtl/>
        </w:rPr>
        <w:t>,</w:t>
      </w:r>
      <w:r w:rsidRPr="00E303AD">
        <w:rPr>
          <w:rFonts w:eastAsia="Calibri"/>
          <w:rtl/>
        </w:rPr>
        <w:t xml:space="preserve"> התקיימו ישיבות לקידום הנושא </w:t>
      </w:r>
      <w:r w:rsidRPr="00E303AD">
        <w:rPr>
          <w:rFonts w:eastAsia="Calibri" w:hint="cs"/>
          <w:rtl/>
        </w:rPr>
        <w:t>ו</w:t>
      </w:r>
      <w:r w:rsidRPr="00E303AD">
        <w:rPr>
          <w:rFonts w:eastAsia="Calibri"/>
          <w:rtl/>
        </w:rPr>
        <w:t xml:space="preserve">מחוז חוף </w:t>
      </w:r>
      <w:r w:rsidRPr="00E303AD">
        <w:rPr>
          <w:rFonts w:eastAsia="Calibri" w:hint="cs"/>
          <w:rtl/>
        </w:rPr>
        <w:t>אף שלח כמה</w:t>
      </w:r>
      <w:r w:rsidRPr="00E303AD">
        <w:rPr>
          <w:rFonts w:eastAsia="Calibri"/>
          <w:rtl/>
        </w:rPr>
        <w:t xml:space="preserve"> בקשות לסגירת אתרים.</w:t>
      </w:r>
      <w:r w:rsidRPr="00E303AD">
        <w:rPr>
          <w:rFonts w:eastAsia="Calibri" w:hint="cs"/>
          <w:rtl/>
        </w:rPr>
        <w:t xml:space="preserve"> כמו כן </w:t>
      </w:r>
      <w:r w:rsidRPr="00E303AD">
        <w:rPr>
          <w:rFonts w:eastAsia="Calibri"/>
          <w:rtl/>
        </w:rPr>
        <w:t xml:space="preserve">חטיבת </w:t>
      </w:r>
      <w:r w:rsidRPr="00E303AD">
        <w:rPr>
          <w:rFonts w:eastAsia="Calibri"/>
          <w:rtl/>
        </w:rPr>
        <w:t>המודיעין פועלת ללא הרף לשיפור יכולות האיסוף שלה במרחב המקוון בכפוף להסדר החוקי הקיים ו</w:t>
      </w:r>
      <w:r w:rsidRPr="00E303AD">
        <w:rPr>
          <w:rFonts w:eastAsia="Calibri" w:hint="cs"/>
          <w:rtl/>
        </w:rPr>
        <w:t>ל</w:t>
      </w:r>
      <w:r w:rsidRPr="00E303AD">
        <w:rPr>
          <w:rFonts w:eastAsia="Calibri"/>
          <w:rtl/>
        </w:rPr>
        <w:t>משאבים המוקצים לתחום</w:t>
      </w:r>
      <w:r w:rsidRPr="00E303AD">
        <w:rPr>
          <w:rFonts w:eastAsia="Calibri" w:hint="cs"/>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r w:rsidRPr="00E303AD">
        <w:rPr>
          <w:rFonts w:eastAsia="Calibri"/>
          <w:b/>
          <w:bCs/>
          <w:rtl/>
        </w:rPr>
        <w:t xml:space="preserve">מומלץ כי </w:t>
      </w:r>
      <w:r w:rsidRPr="00E303AD">
        <w:rPr>
          <w:rFonts w:eastAsia="Calibri" w:hint="cs"/>
          <w:b/>
          <w:bCs/>
          <w:rtl/>
        </w:rPr>
        <w:t>לנוכח</w:t>
      </w:r>
      <w:r w:rsidRPr="00E303AD">
        <w:rPr>
          <w:rFonts w:eastAsia="Calibri"/>
          <w:b/>
          <w:bCs/>
          <w:rtl/>
        </w:rPr>
        <w:t xml:space="preserve"> התרחבותה המתמשכת של תופעת הזנות במרחב המקוון והשימוש הגובר בפלטפורמות דיגיטליות ובאמצעי תקשורת מוצפנים, יגבשו המשטרה והפרקליטות, בשיתוף הגורמים הרלוונטיים</w:t>
      </w:r>
      <w:r w:rsidRPr="00E303AD">
        <w:rPr>
          <w:rFonts w:eastAsia="Calibri" w:hint="cs"/>
          <w:b/>
          <w:bCs/>
          <w:rtl/>
        </w:rPr>
        <w:t xml:space="preserve"> ובכלל זה המשרד לביטחון לאומי ומשרד המשפטים</w:t>
      </w:r>
      <w:r w:rsidRPr="00E303AD">
        <w:rPr>
          <w:rFonts w:eastAsia="Calibri"/>
          <w:b/>
          <w:bCs/>
          <w:rtl/>
        </w:rPr>
        <w:t xml:space="preserve">, </w:t>
      </w:r>
      <w:r w:rsidRPr="00E303AD">
        <w:rPr>
          <w:rFonts w:eastAsia="Calibri" w:hint="cs"/>
          <w:b/>
          <w:bCs/>
          <w:rtl/>
        </w:rPr>
        <w:t xml:space="preserve">תוכנית </w:t>
      </w:r>
      <w:r w:rsidRPr="00E303AD">
        <w:rPr>
          <w:rFonts w:eastAsia="Calibri"/>
          <w:b/>
          <w:bCs/>
          <w:rtl/>
        </w:rPr>
        <w:t>ייעודית להתמודדות עם התופעה בזירה המקוונת</w:t>
      </w:r>
      <w:r w:rsidRPr="00E303AD">
        <w:rPr>
          <w:rFonts w:eastAsia="Calibri" w:hint="cs"/>
          <w:b/>
          <w:bCs/>
          <w:rtl/>
        </w:rPr>
        <w:t xml:space="preserve"> ויפעלו לאכיפה מוגברת לצמצום תופעת הזנות במרחב המקוון. במסגרת זו, לצד היעדים לשנת 2026 שקבעה לראשונה המשטרה לסגירת אתרי אינטרנט, נדרש כי כלל הגורמים האמורים יבחנו את הצורך בשיפור</w:t>
      </w:r>
      <w:r w:rsidRPr="00E303AD">
        <w:rPr>
          <w:rFonts w:eastAsia="Calibri"/>
          <w:b/>
          <w:bCs/>
          <w:rtl/>
        </w:rPr>
        <w:t xml:space="preserve"> יכולות האיסוף המודיעיני והאכיפה היזומה ב</w:t>
      </w:r>
      <w:r w:rsidRPr="00E303AD">
        <w:rPr>
          <w:rFonts w:eastAsia="Calibri" w:hint="cs"/>
          <w:b/>
          <w:bCs/>
          <w:rtl/>
        </w:rPr>
        <w:t>אינטרנט</w:t>
      </w:r>
      <w:r w:rsidRPr="00E303AD">
        <w:rPr>
          <w:rFonts w:eastAsia="Calibri"/>
          <w:b/>
          <w:bCs/>
          <w:rtl/>
        </w:rPr>
        <w:t xml:space="preserve">, </w:t>
      </w:r>
      <w:r w:rsidRPr="00E303AD">
        <w:rPr>
          <w:rFonts w:eastAsia="Calibri" w:hint="cs"/>
          <w:b/>
          <w:bCs/>
          <w:rtl/>
        </w:rPr>
        <w:t>ב</w:t>
      </w:r>
      <w:r w:rsidRPr="00E303AD">
        <w:rPr>
          <w:rFonts w:eastAsia="Calibri"/>
          <w:b/>
          <w:bCs/>
          <w:rtl/>
        </w:rPr>
        <w:t>פיתוח ו</w:t>
      </w:r>
      <w:r w:rsidRPr="00E303AD">
        <w:rPr>
          <w:rFonts w:eastAsia="Calibri" w:hint="cs"/>
          <w:b/>
          <w:bCs/>
          <w:rtl/>
        </w:rPr>
        <w:t>ב</w:t>
      </w:r>
      <w:r w:rsidRPr="00E303AD">
        <w:rPr>
          <w:rFonts w:eastAsia="Calibri"/>
          <w:b/>
          <w:bCs/>
          <w:rtl/>
        </w:rPr>
        <w:t>הטמעה של כלים טכנולוגיים מתקדמים ו</w:t>
      </w:r>
      <w:r w:rsidRPr="00E303AD">
        <w:rPr>
          <w:rFonts w:eastAsia="Calibri" w:hint="cs"/>
          <w:b/>
          <w:bCs/>
          <w:rtl/>
        </w:rPr>
        <w:t>ב</w:t>
      </w:r>
      <w:r w:rsidRPr="00E303AD">
        <w:rPr>
          <w:rFonts w:eastAsia="Calibri"/>
          <w:b/>
          <w:bCs/>
          <w:rtl/>
        </w:rPr>
        <w:t>שיפור מנגנוני שיתוף הפעולה והבקרה בין כלל גורמי האכיפה</w:t>
      </w:r>
      <w:r w:rsidRPr="00E303AD">
        <w:rPr>
          <w:rFonts w:eastAsia="Calibri"/>
          <w:b/>
          <w:bCs/>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בתשובת משרד המשפטים למשרד מבקר המדינה </w:t>
      </w:r>
      <w:r w:rsidRPr="00E303AD">
        <w:rPr>
          <w:rFonts w:eastAsia="Calibri"/>
          <w:rtl/>
        </w:rPr>
        <w:t>ממאי 2026 (להלן - תשובת משרד המשפטים)</w:t>
      </w:r>
      <w:r w:rsidRPr="00E303AD">
        <w:rPr>
          <w:rFonts w:eastAsia="Calibri" w:hint="cs"/>
          <w:rtl/>
        </w:rPr>
        <w:t xml:space="preserve"> צוין כי </w:t>
      </w:r>
      <w:r w:rsidRPr="00E303AD">
        <w:rPr>
          <w:rFonts w:eastAsia="Calibri"/>
          <w:rtl/>
        </w:rPr>
        <w:t>החל מראשית</w:t>
      </w:r>
      <w:r w:rsidRPr="00E303AD">
        <w:rPr>
          <w:rFonts w:eastAsia="Calibri" w:hint="cs"/>
          <w:rtl/>
        </w:rPr>
        <w:t xml:space="preserve"> שנת</w:t>
      </w:r>
      <w:r w:rsidRPr="00E303AD">
        <w:rPr>
          <w:rFonts w:eastAsia="Calibri"/>
          <w:rtl/>
        </w:rPr>
        <w:t xml:space="preserve"> 2026 מקיימ</w:t>
      </w:r>
      <w:r w:rsidRPr="00E303AD">
        <w:rPr>
          <w:rFonts w:eastAsia="Calibri" w:hint="cs"/>
          <w:rtl/>
        </w:rPr>
        <w:t>ת המחלקה הפלילית בפרקליטות המדינה</w:t>
      </w:r>
      <w:r w:rsidRPr="00E303AD">
        <w:rPr>
          <w:rFonts w:eastAsia="Calibri"/>
          <w:rtl/>
        </w:rPr>
        <w:t xml:space="preserve"> שיתוף פעולה שוטף עם היחידות הרלוונטיות במשטר</w:t>
      </w:r>
      <w:r w:rsidRPr="00E303AD">
        <w:rPr>
          <w:rFonts w:eastAsia="Calibri" w:hint="cs"/>
          <w:rtl/>
        </w:rPr>
        <w:t>ה</w:t>
      </w:r>
      <w:r w:rsidRPr="00E303AD">
        <w:rPr>
          <w:rFonts w:eastAsia="Calibri"/>
          <w:rtl/>
        </w:rPr>
        <w:t xml:space="preserve"> (נכון ל</w:t>
      </w:r>
      <w:r w:rsidRPr="00E303AD">
        <w:rPr>
          <w:rFonts w:eastAsia="Calibri" w:hint="cs"/>
          <w:rtl/>
        </w:rPr>
        <w:t>מועד התשובה -</w:t>
      </w:r>
      <w:r w:rsidRPr="00E303AD">
        <w:rPr>
          <w:rFonts w:eastAsia="Calibri"/>
          <w:rtl/>
        </w:rPr>
        <w:t xml:space="preserve"> עם ימ״ר חוף וימ״ר ת</w:t>
      </w:r>
      <w:r w:rsidRPr="00E303AD">
        <w:rPr>
          <w:rFonts w:eastAsia="Calibri" w:hint="cs"/>
          <w:rtl/>
        </w:rPr>
        <w:t>ל אביב</w:t>
      </w:r>
      <w:r w:rsidRPr="00E303AD">
        <w:rPr>
          <w:rFonts w:eastAsia="Calibri"/>
          <w:rtl/>
        </w:rPr>
        <w:t xml:space="preserve">). </w:t>
      </w:r>
      <w:r w:rsidRPr="00E303AD">
        <w:rPr>
          <w:rFonts w:eastAsia="Calibri" w:hint="cs"/>
          <w:rtl/>
        </w:rPr>
        <w:t xml:space="preserve">במסגרת זו מוגשות בקשות מרוכזות לחסימת אתרים בתדירות חודשית. לדעת </w:t>
      </w:r>
      <w:r w:rsidRPr="00E303AD">
        <w:rPr>
          <w:rFonts w:eastAsia="Calibri"/>
          <w:rtl/>
        </w:rPr>
        <w:t>המחלקה הפלילית בפרקליטות המדינה</w:t>
      </w:r>
      <w:r w:rsidRPr="00E303AD">
        <w:rPr>
          <w:rFonts w:eastAsia="Calibri" w:hint="cs"/>
          <w:rtl/>
        </w:rPr>
        <w:t>,</w:t>
      </w:r>
      <w:r w:rsidRPr="00E303AD">
        <w:rPr>
          <w:rFonts w:eastAsia="Calibri"/>
          <w:rtl/>
        </w:rPr>
        <w:t xml:space="preserve"> </w:t>
      </w:r>
      <w:r w:rsidRPr="00E303AD">
        <w:rPr>
          <w:rFonts w:eastAsia="Calibri" w:hint="cs"/>
          <w:rtl/>
        </w:rPr>
        <w:t>שיתוף הפעולה הנוכחי אפקטיבי ונושא פירות, ולכן בשלב זה לא נראה צורך בגיבוש</w:t>
      </w:r>
      <w:r w:rsidRPr="00E303AD">
        <w:rPr>
          <w:rFonts w:eastAsia="Calibri"/>
          <w:rtl/>
        </w:rPr>
        <w:t xml:space="preserve"> תוכנית ייעודית נפרדת לעניין זה</w:t>
      </w:r>
      <w:r w:rsidRPr="00E303AD">
        <w:rPr>
          <w:rFonts w:eastAsia="Calibri" w:hint="cs"/>
          <w:rtl/>
        </w:rPr>
        <w:t>,</w:t>
      </w:r>
      <w:r w:rsidRPr="00E303AD">
        <w:rPr>
          <w:rFonts w:eastAsia="Calibri"/>
          <w:rtl/>
        </w:rPr>
        <w:t xml:space="preserve"> </w:t>
      </w:r>
      <w:r w:rsidRPr="00E303AD">
        <w:rPr>
          <w:rFonts w:eastAsia="Calibri" w:hint="cs"/>
          <w:rtl/>
        </w:rPr>
        <w:t>אך העניין ייבחן</w:t>
      </w:r>
      <w:r w:rsidRPr="00E303AD">
        <w:rPr>
          <w:rFonts w:eastAsia="Calibri"/>
          <w:rtl/>
        </w:rPr>
        <w:t xml:space="preserve"> בהתאם לכל צורך עתידי.</w:t>
      </w:r>
      <w:r w:rsidRPr="00E303AD">
        <w:rPr>
          <w:rFonts w:eastAsia="Calibri" w:hint="cs"/>
          <w:rtl/>
        </w:rPr>
        <w:t xml:space="preserve"> </w:t>
      </w:r>
      <w:r w:rsidRPr="00E303AD">
        <w:rPr>
          <w:rFonts w:eastAsia="Calibri"/>
          <w:rtl/>
        </w:rPr>
        <w:t xml:space="preserve">עוד </w:t>
      </w:r>
      <w:r w:rsidRPr="00E303AD">
        <w:rPr>
          <w:rFonts w:eastAsia="Calibri" w:hint="cs"/>
          <w:rtl/>
        </w:rPr>
        <w:t>צוין בתשובה</w:t>
      </w:r>
      <w:r w:rsidRPr="00E303AD">
        <w:rPr>
          <w:rFonts w:eastAsia="Calibri"/>
          <w:rtl/>
        </w:rPr>
        <w:t xml:space="preserve"> כי מתקיים שיח שוטף </w:t>
      </w:r>
      <w:r w:rsidRPr="00E303AD">
        <w:rPr>
          <w:rFonts w:eastAsia="Calibri" w:hint="cs"/>
          <w:rtl/>
        </w:rPr>
        <w:t>בין</w:t>
      </w:r>
      <w:r w:rsidRPr="00E303AD">
        <w:rPr>
          <w:rFonts w:eastAsia="Calibri"/>
          <w:rtl/>
        </w:rPr>
        <w:t xml:space="preserve"> הפרקליטות </w:t>
      </w:r>
      <w:r w:rsidRPr="00E303AD">
        <w:rPr>
          <w:rFonts w:eastAsia="Calibri" w:hint="cs"/>
          <w:rtl/>
        </w:rPr>
        <w:t>ל</w:t>
      </w:r>
      <w:r w:rsidRPr="00E303AD">
        <w:rPr>
          <w:rFonts w:eastAsia="Calibri"/>
          <w:rtl/>
        </w:rPr>
        <w:t>משטרה ל</w:t>
      </w:r>
      <w:r w:rsidRPr="00E303AD">
        <w:rPr>
          <w:rFonts w:eastAsia="Calibri" w:hint="cs"/>
          <w:rtl/>
        </w:rPr>
        <w:t xml:space="preserve">צורך </w:t>
      </w:r>
      <w:r w:rsidRPr="00E303AD">
        <w:rPr>
          <w:rFonts w:eastAsia="Calibri"/>
          <w:rtl/>
        </w:rPr>
        <w:t>טיוב הקשר ושיתופי הפעולה והגברת האכיפה</w:t>
      </w:r>
      <w:r w:rsidRPr="00E303AD">
        <w:rPr>
          <w:rFonts w:eastAsia="Calibri" w:hint="cs"/>
          <w:rtl/>
        </w:rPr>
        <w:t>, וכי ה</w:t>
      </w:r>
      <w:r w:rsidRPr="00E303AD">
        <w:rPr>
          <w:rFonts w:eastAsia="Calibri"/>
          <w:rtl/>
        </w:rPr>
        <w:t xml:space="preserve">היבטים </w:t>
      </w:r>
      <w:r w:rsidRPr="00E303AD">
        <w:rPr>
          <w:rFonts w:eastAsia="Calibri" w:hint="cs"/>
          <w:rtl/>
        </w:rPr>
        <w:t>הנוגעים ל</w:t>
      </w:r>
      <w:r w:rsidRPr="00E303AD">
        <w:rPr>
          <w:rFonts w:eastAsia="Calibri"/>
          <w:rtl/>
        </w:rPr>
        <w:t>מישור המודיעיני</w:t>
      </w:r>
      <w:r w:rsidRPr="00E303AD">
        <w:rPr>
          <w:rFonts w:eastAsia="Calibri" w:hint="cs"/>
          <w:rtl/>
        </w:rPr>
        <w:t xml:space="preserve"> הם</w:t>
      </w:r>
      <w:r w:rsidRPr="00E303AD">
        <w:rPr>
          <w:rFonts w:eastAsia="Calibri"/>
          <w:rtl/>
        </w:rPr>
        <w:t xml:space="preserve"> בסמכות המשטרה. </w:t>
      </w:r>
      <w:r w:rsidRPr="00E303AD">
        <w:rPr>
          <w:rFonts w:eastAsia="Calibri" w:hint="cs"/>
          <w:rtl/>
        </w:rPr>
        <w:t xml:space="preserve">כמו כן, </w:t>
      </w:r>
      <w:r w:rsidRPr="00E303AD">
        <w:rPr>
          <w:rFonts w:eastAsia="Calibri"/>
          <w:rtl/>
        </w:rPr>
        <w:t xml:space="preserve">בהתאם לתוכנית הלאומית למאבק בסחר בבני אדם, </w:t>
      </w:r>
      <w:r w:rsidRPr="00E303AD">
        <w:rPr>
          <w:rFonts w:eastAsia="Calibri" w:hint="cs"/>
          <w:rtl/>
        </w:rPr>
        <w:t xml:space="preserve">נציגי </w:t>
      </w:r>
      <w:r w:rsidRPr="00E303AD">
        <w:rPr>
          <w:rFonts w:eastAsia="Calibri"/>
          <w:rtl/>
        </w:rPr>
        <w:t xml:space="preserve">הפרקליטות </w:t>
      </w:r>
      <w:r w:rsidRPr="00E303AD">
        <w:rPr>
          <w:rFonts w:eastAsia="Calibri" w:hint="cs"/>
          <w:rtl/>
        </w:rPr>
        <w:t>ישתתפו</w:t>
      </w:r>
      <w:r w:rsidRPr="00E303AD">
        <w:rPr>
          <w:rFonts w:eastAsia="Calibri"/>
          <w:rtl/>
        </w:rPr>
        <w:t xml:space="preserve"> בכל צוות לקידום </w:t>
      </w:r>
      <w:r w:rsidRPr="00E303AD">
        <w:rPr>
          <w:rFonts w:eastAsia="Calibri" w:hint="cs"/>
          <w:rtl/>
        </w:rPr>
        <w:t>ה</w:t>
      </w:r>
      <w:r w:rsidRPr="00E303AD">
        <w:rPr>
          <w:rFonts w:eastAsia="Calibri"/>
          <w:rtl/>
        </w:rPr>
        <w:t>שימוש באמצעים טכנולוגיים, בהתא</w:t>
      </w:r>
      <w:r w:rsidRPr="00E303AD">
        <w:rPr>
          <w:rFonts w:eastAsia="Calibri" w:hint="cs"/>
          <w:rtl/>
        </w:rPr>
        <w:t>ם</w:t>
      </w:r>
      <w:r w:rsidRPr="00E303AD">
        <w:rPr>
          <w:rFonts w:eastAsia="Calibri"/>
          <w:rtl/>
        </w:rPr>
        <w:t xml:space="preserve"> לצורך.</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בתשובת המשרד לבל"ם צוין כי </w:t>
      </w:r>
      <w:r w:rsidRPr="00E303AD">
        <w:rPr>
          <w:rFonts w:eastAsia="Calibri"/>
          <w:rtl/>
        </w:rPr>
        <w:t>המשרד החל בגיבוש ת</w:t>
      </w:r>
      <w:r w:rsidRPr="00E303AD">
        <w:rPr>
          <w:rFonts w:eastAsia="Calibri" w:hint="cs"/>
          <w:rtl/>
        </w:rPr>
        <w:t>ו</w:t>
      </w:r>
      <w:r w:rsidRPr="00E303AD">
        <w:rPr>
          <w:rFonts w:eastAsia="Calibri"/>
          <w:rtl/>
        </w:rPr>
        <w:t xml:space="preserve">כנית לשיפור היכולות להתמודדות עם תופעות עברייניות שונות המתרחשות במרחב המקוון, </w:t>
      </w:r>
      <w:r w:rsidRPr="00E303AD">
        <w:rPr>
          <w:rFonts w:eastAsia="Calibri" w:hint="cs"/>
          <w:rtl/>
        </w:rPr>
        <w:t>בשיתוף</w:t>
      </w:r>
      <w:r w:rsidRPr="00E303AD">
        <w:rPr>
          <w:rFonts w:eastAsia="Calibri"/>
          <w:rtl/>
        </w:rPr>
        <w:t xml:space="preserve"> </w:t>
      </w:r>
      <w:r w:rsidRPr="00E303AD">
        <w:rPr>
          <w:rFonts w:eastAsia="Calibri" w:hint="cs"/>
          <w:rtl/>
        </w:rPr>
        <w:t>ה</w:t>
      </w:r>
      <w:r w:rsidRPr="00E303AD">
        <w:rPr>
          <w:rFonts w:eastAsia="Calibri"/>
          <w:rtl/>
        </w:rPr>
        <w:t>משטר</w:t>
      </w:r>
      <w:r w:rsidRPr="00E303AD">
        <w:rPr>
          <w:rFonts w:eastAsia="Calibri" w:hint="cs"/>
          <w:rtl/>
        </w:rPr>
        <w:t>ה</w:t>
      </w:r>
      <w:r w:rsidRPr="00E303AD">
        <w:rPr>
          <w:rFonts w:eastAsia="Calibri"/>
          <w:rtl/>
        </w:rPr>
        <w:t xml:space="preserve">, לרבות באמצעים טכנולוגיים מתקדמים, </w:t>
      </w:r>
      <w:r w:rsidRPr="00E303AD">
        <w:rPr>
          <w:rFonts w:eastAsia="Calibri" w:hint="cs"/>
          <w:rtl/>
        </w:rPr>
        <w:t xml:space="preserve">באמצעות </w:t>
      </w:r>
      <w:r w:rsidRPr="00E303AD">
        <w:rPr>
          <w:rFonts w:eastAsia="Calibri"/>
          <w:rtl/>
        </w:rPr>
        <w:t>איוש תקני מומחים וכדומה. במסגרת זו, המשרד יבחן את האפשרות לקדם את האכיפה במרחב המקוון גם בתחום הזנות והסחר בבני אדם.</w:t>
      </w:r>
    </w:p>
    <w:p w:rsidR="00E303AD" w:rsidRPr="00E303AD" w:rsidP="00E303AD">
      <w:pPr>
        <w:spacing w:line="269" w:lineRule="auto"/>
        <w:rPr>
          <w:rFonts w:eastAsia="Calibri"/>
          <w:b/>
          <w:bCs/>
          <w:rtl/>
        </w:rPr>
      </w:pPr>
      <w:r w:rsidRPr="00E303AD">
        <w:rPr>
          <w:rFonts w:eastAsia="Calibri"/>
          <w:b/>
          <w:bCs/>
          <w:noProof/>
          <w:rtl/>
          <w:lang w:val="he-IL"/>
        </w:rPr>
        <mc:AlternateContent>
          <mc:Choice Requires="wpg">
            <w:drawing>
              <wp:anchor distT="0" distB="0" distL="114300" distR="114300" simplePos="0" relativeHeight="251664384" behindDoc="0" locked="0" layoutInCell="1" allowOverlap="1">
                <wp:simplePos x="0" y="0"/>
                <wp:positionH relativeFrom="margin">
                  <wp:align>right</wp:align>
                </wp:positionH>
                <wp:positionV relativeFrom="paragraph">
                  <wp:posOffset>197485</wp:posOffset>
                </wp:positionV>
                <wp:extent cx="5310505" cy="935328"/>
                <wp:effectExtent l="0" t="0" r="4445" b="0"/>
                <wp:wrapNone/>
                <wp:docPr id="28" name="קבוצה 28"/>
                <wp:cNvGraphicFramePr/>
                <a:graphic xmlns:a="http://schemas.openxmlformats.org/drawingml/2006/main">
                  <a:graphicData uri="http://schemas.microsoft.com/office/word/2010/wordprocessingGroup">
                    <wpg:wgp xmlns:wpg="http://schemas.microsoft.com/office/word/2010/wordprocessingGroup">
                      <wpg:cNvGrpSpPr/>
                      <wpg:grpSpPr>
                        <a:xfrm>
                          <a:off x="0" y="0"/>
                          <a:ext cx="5310505" cy="935328"/>
                          <a:chOff x="0" y="0"/>
                          <a:chExt cx="5310505" cy="935328"/>
                        </a:xfrm>
                      </wpg:grpSpPr>
                      <pic:pic xmlns:pic="http://schemas.openxmlformats.org/drawingml/2006/picture">
                        <pic:nvPicPr>
                          <pic:cNvPr id="80" name="table">
                            <a:extLst>
                              <a:ext xmlns:a="http://schemas.openxmlformats.org/drawingml/2006/main" uri="{FF2B5EF4-FFF2-40B4-BE49-F238E27FC236}">
                                <a16:creationId xmlns:a16="http://schemas.microsoft.com/office/drawing/2014/main" id="{B3A509BD-3CB3-4D30-8277-B246D3F46B58}"/>
                              </a:ext>
                            </a:extLst>
                          </pic:cNvPr>
                          <pic:cNvPicPr>
                            <a:picLocks noChangeAspect="1"/>
                          </pic:cNvPicPr>
                        </pic:nvPicPr>
                        <pic:blipFill>
                          <a:blip xmlns:r="http://schemas.openxmlformats.org/officeDocument/2006/relationships" r:embed="rId24"/>
                          <a:srcRect b="11944"/>
                          <a:stretch>
                            <a:fillRect/>
                          </a:stretch>
                        </pic:blipFill>
                        <pic:spPr bwMode="auto">
                          <a:xfrm>
                            <a:off x="0" y="166978"/>
                            <a:ext cx="5310505" cy="768350"/>
                          </a:xfrm>
                          <a:prstGeom prst="rect">
                            <a:avLst/>
                          </a:prstGeom>
                          <a:ln>
                            <a:noFill/>
                          </a:ln>
                          <a:extLst>
                            <a:ext xmlns:a="http://schemas.openxmlformats.org/drawingml/2006/main" uri="{53640926-AAD7-44D8-BBD7-CCE9431645EC}">
                              <a14:shadowObscured xmlns:a14="http://schemas.microsoft.com/office/drawing/2010/main"/>
                            </a:ext>
                          </a:extLst>
                        </pic:spPr>
                      </pic:pic>
                      <wpg:grpSp>
                        <wpg:cNvPr id="81" name="קבוצה 22"/>
                        <wpg:cNvGrpSpPr/>
                        <wpg:grpSpPr>
                          <a:xfrm>
                            <a:off x="2568271" y="0"/>
                            <a:ext cx="271463" cy="266700"/>
                            <a:chOff x="0" y="0"/>
                            <a:chExt cx="1781175" cy="1781175"/>
                          </a:xfrm>
                        </wpg:grpSpPr>
                        <pic:pic xmlns:pic="http://schemas.openxmlformats.org/drawingml/2006/picture">
                          <pic:nvPicPr>
                            <pic:cNvPr id="82" name="תמונה 82"/>
                            <pic:cNvPicPr>
                              <a:picLocks noChangeAspect="1"/>
                            </pic:cNvPicPr>
                          </pic:nvPicPr>
                          <pic:blipFill>
                            <a:blip xmlns:r="http://schemas.openxmlformats.org/officeDocument/2006/relationships" r:embed="rId9">
                              <a:clrChange>
                                <a:clrFrom>
                                  <a:srgbClr val="FFFFFF"/>
                                </a:clrFrom>
                                <a:clrTo>
                                  <a:srgbClr val="FFFFFF">
                                    <a:alpha val="0"/>
                                  </a:srgbClr>
                                </a:clrTo>
                              </a:clrChange>
                            </a:blip>
                            <a:stretch>
                              <a:fillRect/>
                            </a:stretch>
                          </pic:blipFill>
                          <pic:spPr>
                            <a:xfrm>
                              <a:off x="0" y="0"/>
                              <a:ext cx="1781175" cy="1781175"/>
                            </a:xfrm>
                            <a:prstGeom prst="rect">
                              <a:avLst/>
                            </a:prstGeom>
                          </pic:spPr>
                        </pic:pic>
                        <pic:pic xmlns:pic="http://schemas.openxmlformats.org/drawingml/2006/picture">
                          <pic:nvPicPr>
                            <pic:cNvPr id="83" name="תמונה 83"/>
                            <pic:cNvPicPr>
                              <a:picLocks noChangeAspect="1"/>
                            </pic:cNvPicPr>
                          </pic:nvPicPr>
                          <pic:blipFill>
                            <a:blip xmlns:r="http://schemas.openxmlformats.org/officeDocument/2006/relationships" r:embed="rId10"/>
                            <a:srcRect l="16969" t="20795" r="16969" b="20795"/>
                            <a:stretch>
                              <a:fillRect/>
                            </a:stretch>
                          </pic:blipFill>
                          <pic:spPr>
                            <a:xfrm>
                              <a:off x="302249" y="371444"/>
                              <a:ext cx="1176676" cy="1040392"/>
                            </a:xfrm>
                            <a:prstGeom prst="rect">
                              <a:avLst/>
                            </a:prstGeom>
                          </pic:spPr>
                        </pic:pic>
                      </wpg:grpSp>
                    </wpg:wgp>
                  </a:graphicData>
                </a:graphic>
              </wp:anchor>
            </w:drawing>
          </mc:Choice>
          <mc:Fallback>
            <w:pict>
              <v:group id="קבוצה 28" o:spid="_x0000_s1043" style="width:418.15pt;height:73.65pt;margin-top:15.55pt;margin-left:366.95pt;mso-position-horizontal:right;mso-position-horizontal-relative:margin;position:absolute;z-index:251665408" coordsize="53105,9353">
                <v:shape id="table" o:spid="_x0000_s1044" type="#_x0000_t75" style="width:53105;height:7684;mso-wrap-style:square;position:absolute;top:1669;visibility:visible">
                  <v:imagedata r:id="rId24" o:title="" cropbottom="7828f"/>
                </v:shape>
                <v:group id="קבוצה 22" o:spid="_x0000_s1045" style="width:2715;height:2667;left:25682;position:absolute" coordsize="17811,17811">
                  <v:shape id="תמונה 82" o:spid="_x0000_s1046" type="#_x0000_t75" style="width:17811;height:17811;mso-wrap-style:square;position:absolute;visibility:visible">
                    <v:imagedata r:id="rId9" o:title="" chromakey="white"/>
                  </v:shape>
                  <v:shape id="תמונה 83" o:spid="_x0000_s1047" type="#_x0000_t75" style="width:11767;height:10404;left:3022;mso-wrap-style:square;position:absolute;top:3714;visibility:visible">
                    <v:imagedata r:id="rId10" o:title="" croptop="13628f" cropbottom="13628f" cropleft="11121f" cropright="11121f"/>
                  </v:shape>
                </v:group>
                <w10:wrap anchorx="margin"/>
              </v:group>
            </w:pict>
          </mc:Fallback>
        </mc:AlternateContent>
      </w:r>
    </w:p>
    <w:p w:rsidR="00E303AD" w:rsidRPr="00E303AD" w:rsidP="00E303AD">
      <w:pPr>
        <w:spacing w:line="269" w:lineRule="auto"/>
        <w:rPr>
          <w:rFonts w:eastAsia="Calibri"/>
          <w:b/>
          <w:bCs/>
          <w:rtl/>
        </w:rPr>
      </w:pPr>
    </w:p>
    <w:p w:rsidR="00E303AD" w:rsidRPr="00E303AD" w:rsidP="00E303AD">
      <w:pPr>
        <w:spacing w:line="269" w:lineRule="auto"/>
        <w:rPr>
          <w:rFonts w:eastAsia="Calibri"/>
          <w:b/>
          <w:bCs/>
          <w:rtl/>
        </w:rPr>
      </w:pPr>
    </w:p>
    <w:p w:rsidR="00E303AD" w:rsidRPr="00E303AD" w:rsidP="00E303AD">
      <w:pPr>
        <w:spacing w:line="269" w:lineRule="auto"/>
        <w:ind w:left="360"/>
        <w:rPr>
          <w:rFonts w:eastAsia="Calibri"/>
        </w:rPr>
      </w:pPr>
    </w:p>
    <w:p w:rsidR="00E303AD" w:rsidRPr="00E303AD" w:rsidP="00E303AD">
      <w:pPr>
        <w:spacing w:line="269" w:lineRule="auto"/>
        <w:rPr>
          <w:rFonts w:eastAsia="Calibri"/>
          <w:rtl/>
        </w:rPr>
      </w:pPr>
      <w:bookmarkStart w:id="91" w:name="_Toc221474976"/>
    </w:p>
    <w:p w:rsidR="00E303AD" w:rsidRPr="00E303AD" w:rsidP="00E303AD">
      <w:pPr>
        <w:spacing w:line="269" w:lineRule="auto"/>
        <w:rPr>
          <w:rFonts w:eastAsia="Calibri"/>
          <w:rtl/>
        </w:rPr>
      </w:pPr>
    </w:p>
    <w:p w:rsidR="00E303AD" w:rsidRPr="00E303AD" w:rsidP="00E303AD">
      <w:pPr>
        <w:spacing w:line="269" w:lineRule="auto"/>
        <w:rPr>
          <w:rFonts w:eastAsia="Calibri"/>
          <w:rtl/>
        </w:rPr>
      </w:pPr>
    </w:p>
    <w:p w:rsidR="00E303AD" w:rsidRPr="00522B30" w:rsidP="00522B30">
      <w:pPr>
        <w:spacing w:line="269" w:lineRule="auto"/>
        <w:rPr>
          <w:rFonts w:eastAsia="Calibri"/>
          <w:rtl/>
        </w:rPr>
      </w:pPr>
      <w:bookmarkStart w:id="92" w:name="_Toc224808283"/>
      <w:bookmarkStart w:id="93" w:name="_Toc232696561"/>
    </w:p>
    <w:p w:rsidR="00E303AD" w:rsidRPr="00E303AD" w:rsidP="00E303AD">
      <w:pPr>
        <w:keepNext/>
        <w:keepLines/>
        <w:spacing w:line="269" w:lineRule="auto"/>
        <w:jc w:val="center"/>
        <w:outlineLvl w:val="1"/>
        <w:rPr>
          <w:rFonts w:eastAsia="Times New Roman"/>
          <w:bCs/>
          <w:szCs w:val="32"/>
          <w:rtl/>
        </w:rPr>
      </w:pPr>
      <w:r w:rsidRPr="00E303AD">
        <w:rPr>
          <w:rFonts w:eastAsia="Times New Roman" w:hint="cs"/>
          <w:bCs/>
          <w:szCs w:val="32"/>
          <w:rtl/>
        </w:rPr>
        <w:t>אכיפת החוק בעניין הסחר בבני אדם</w:t>
      </w:r>
      <w:bookmarkEnd w:id="91"/>
      <w:bookmarkEnd w:id="92"/>
      <w:bookmarkEnd w:id="93"/>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 xml:space="preserve">המאבק בסחר בבני אדם ובעבירות הקשורות לזנות </w:t>
      </w:r>
      <w:r w:rsidRPr="00E303AD">
        <w:rPr>
          <w:rFonts w:eastAsia="Calibri" w:hint="cs"/>
          <w:rtl/>
        </w:rPr>
        <w:t>מתבצע במסגרת</w:t>
      </w:r>
      <w:r w:rsidRPr="00E303AD">
        <w:rPr>
          <w:rFonts w:eastAsia="Calibri"/>
          <w:rtl/>
        </w:rPr>
        <w:t xml:space="preserve"> המאמץ הבי</w:t>
      </w:r>
      <w:r w:rsidRPr="00E303AD">
        <w:rPr>
          <w:rFonts w:eastAsia="Calibri" w:hint="cs"/>
          <w:rtl/>
        </w:rPr>
        <w:t>ן-</w:t>
      </w:r>
      <w:r w:rsidRPr="00E303AD">
        <w:rPr>
          <w:rFonts w:eastAsia="Calibri"/>
          <w:rtl/>
        </w:rPr>
        <w:t xml:space="preserve">לאומי שמדינת ישראל </w:t>
      </w:r>
      <w:r w:rsidRPr="00E303AD">
        <w:rPr>
          <w:rFonts w:eastAsia="Calibri" w:hint="cs"/>
          <w:rtl/>
        </w:rPr>
        <w:t xml:space="preserve">משתתפת בו, </w:t>
      </w:r>
      <w:r w:rsidRPr="00E303AD">
        <w:rPr>
          <w:rFonts w:eastAsia="Calibri"/>
          <w:rtl/>
        </w:rPr>
        <w:t xml:space="preserve">מתוקף התחייבויותיה לאמנות בין-לאומיות שעליהן </w:t>
      </w:r>
      <w:r w:rsidRPr="00E303AD">
        <w:rPr>
          <w:rFonts w:eastAsia="Calibri" w:hint="cs"/>
          <w:rtl/>
        </w:rPr>
        <w:t xml:space="preserve">היא </w:t>
      </w:r>
      <w:r w:rsidRPr="00E303AD">
        <w:rPr>
          <w:rFonts w:eastAsia="Calibri"/>
          <w:rtl/>
        </w:rPr>
        <w:t>חתומה</w:t>
      </w:r>
      <w:r w:rsidRPr="00E303AD">
        <w:rPr>
          <w:rFonts w:eastAsia="Calibri"/>
          <w:vertAlign w:val="superscript"/>
          <w:rtl/>
        </w:rPr>
        <w:t xml:space="preserve"> </w:t>
      </w:r>
      <w:r>
        <w:rPr>
          <w:rFonts w:eastAsia="Calibri"/>
          <w:vertAlign w:val="superscript"/>
          <w:rtl/>
        </w:rPr>
        <w:footnoteReference w:id="83"/>
      </w:r>
      <w:r w:rsidRPr="00E303AD">
        <w:rPr>
          <w:rFonts w:eastAsia="Calibri" w:hint="cs"/>
          <w:rtl/>
        </w:rPr>
        <w:t>.</w:t>
      </w:r>
      <w:r w:rsidRPr="00E303AD">
        <w:rPr>
          <w:rFonts w:eastAsia="Calibri"/>
        </w:rPr>
        <w:t> </w:t>
      </w:r>
      <w:r w:rsidRPr="00E303AD">
        <w:rPr>
          <w:rFonts w:eastAsia="Calibri" w:hint="cs"/>
          <w:rtl/>
        </w:rPr>
        <w:t>האיסור על סחר בבני אדם, בין היתר לשם הבאתו של אדם למעשה זנות, מוגדר בחוק העונשין, והפרתו היא בבחינת עבירה פלילית</w:t>
      </w:r>
      <w:r>
        <w:rPr>
          <w:rFonts w:eastAsia="Calibri"/>
          <w:vertAlign w:val="superscript"/>
          <w:rtl/>
        </w:rPr>
        <w:footnoteReference w:id="84"/>
      </w:r>
      <w:r w:rsidRPr="00E303AD">
        <w:rPr>
          <w:rFonts w:eastAsia="Calibri" w:hint="cs"/>
          <w:rtl/>
        </w:rPr>
        <w:t>. כמו כן</w:t>
      </w:r>
      <w:r w:rsidRPr="00E303AD">
        <w:rPr>
          <w:rFonts w:eastAsia="Calibri"/>
          <w:rtl/>
        </w:rPr>
        <w:t xml:space="preserve">, המשטרה והמשרד לביטחון לאומי </w:t>
      </w:r>
      <w:r w:rsidRPr="00E303AD">
        <w:rPr>
          <w:rFonts w:eastAsia="Calibri" w:hint="cs"/>
          <w:rtl/>
        </w:rPr>
        <w:t xml:space="preserve">מצהירים על כך שהם </w:t>
      </w:r>
      <w:r w:rsidRPr="00E303AD">
        <w:rPr>
          <w:rFonts w:eastAsia="Calibri"/>
          <w:rtl/>
        </w:rPr>
        <w:t xml:space="preserve">מייחסים לאכיפת </w:t>
      </w:r>
      <w:r w:rsidRPr="00E303AD">
        <w:rPr>
          <w:rFonts w:eastAsia="Calibri" w:hint="cs"/>
          <w:rtl/>
        </w:rPr>
        <w:t xml:space="preserve">החוק בעניינן של </w:t>
      </w:r>
      <w:r w:rsidRPr="00E303AD">
        <w:rPr>
          <w:rFonts w:eastAsia="Calibri"/>
          <w:rtl/>
        </w:rPr>
        <w:t>עבירות אלה </w:t>
      </w:r>
      <w:r w:rsidRPr="00E303AD">
        <w:rPr>
          <w:rFonts w:eastAsia="Calibri" w:hint="cs"/>
          <w:rtl/>
        </w:rPr>
        <w:t xml:space="preserve">"ערך מוסרי וחברתי ראשון במעלה, שנועד להגן על האוכלוסיות הפגיעות והשקופות ביותר".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מדינת </w:t>
      </w:r>
      <w:r w:rsidRPr="00E303AD">
        <w:rPr>
          <w:rFonts w:eastAsia="Calibri"/>
          <w:rtl/>
        </w:rPr>
        <w:t xml:space="preserve">ישראל </w:t>
      </w:r>
      <w:r w:rsidRPr="00E303AD">
        <w:rPr>
          <w:rFonts w:eastAsia="Calibri" w:hint="cs"/>
          <w:rtl/>
        </w:rPr>
        <w:t>נדרשת, מתוקף התחייבויותיה הבין-לאומיות,</w:t>
      </w:r>
      <w:r w:rsidRPr="00E303AD">
        <w:rPr>
          <w:rFonts w:eastAsia="Calibri"/>
          <w:rtl/>
        </w:rPr>
        <w:t xml:space="preserve"> </w:t>
      </w:r>
      <w:r w:rsidRPr="00E303AD">
        <w:rPr>
          <w:rFonts w:eastAsia="Calibri" w:hint="cs"/>
          <w:rtl/>
        </w:rPr>
        <w:t xml:space="preserve">לבצע </w:t>
      </w:r>
      <w:r w:rsidRPr="00E303AD">
        <w:rPr>
          <w:rFonts w:eastAsia="Calibri"/>
          <w:rtl/>
        </w:rPr>
        <w:t>פעולות אכיפה בתחום הסחר בבני אדם, לרבות סחר לצ</w:t>
      </w:r>
      <w:r w:rsidRPr="00E303AD">
        <w:rPr>
          <w:rFonts w:eastAsia="Calibri" w:hint="cs"/>
          <w:rtl/>
        </w:rPr>
        <w:t>ו</w:t>
      </w:r>
      <w:r w:rsidRPr="00E303AD">
        <w:rPr>
          <w:rFonts w:eastAsia="Calibri"/>
          <w:rtl/>
        </w:rPr>
        <w:t>רכי מין ועבירות</w:t>
      </w:r>
      <w:r w:rsidRPr="00E303AD">
        <w:rPr>
          <w:rFonts w:eastAsia="Calibri" w:hint="cs"/>
          <w:rtl/>
        </w:rPr>
        <w:t xml:space="preserve"> נלוות</w:t>
      </w:r>
      <w:r w:rsidRPr="00E303AD">
        <w:rPr>
          <w:rFonts w:eastAsia="Calibri"/>
          <w:rtl/>
        </w:rPr>
        <w:t>.</w:t>
      </w:r>
      <w:r w:rsidRPr="00E303AD">
        <w:rPr>
          <w:rFonts w:eastAsia="Calibri" w:hint="cs"/>
          <w:rtl/>
        </w:rPr>
        <w:t xml:space="preserve"> זאת, בין היתר, באמצעות </w:t>
      </w:r>
      <w:r w:rsidRPr="00E303AD">
        <w:rPr>
          <w:rFonts w:eastAsia="Calibri"/>
          <w:rtl/>
        </w:rPr>
        <w:t xml:space="preserve">חקירות פליליות, </w:t>
      </w:r>
      <w:r w:rsidRPr="00E303AD">
        <w:rPr>
          <w:rFonts w:eastAsia="Calibri" w:hint="cs"/>
          <w:rtl/>
        </w:rPr>
        <w:t xml:space="preserve">הגשת </w:t>
      </w:r>
      <w:r w:rsidRPr="00E303AD">
        <w:rPr>
          <w:rFonts w:eastAsia="Calibri"/>
          <w:rtl/>
        </w:rPr>
        <w:t xml:space="preserve">כתבי אישום, פעולות מניעה, הכשרות מקצועיות, שיתופי פעולה עם רשויות אכיפה בארץ ובעולם, וכן עם ארגוני </w:t>
      </w:r>
      <w:r w:rsidRPr="00E303AD">
        <w:rPr>
          <w:rFonts w:eastAsia="Calibri" w:hint="cs"/>
          <w:rtl/>
        </w:rPr>
        <w:t>ה</w:t>
      </w:r>
      <w:r w:rsidRPr="00E303AD">
        <w:rPr>
          <w:rFonts w:eastAsia="Calibri"/>
          <w:rtl/>
        </w:rPr>
        <w:t xml:space="preserve">מגזר </w:t>
      </w:r>
      <w:r w:rsidRPr="00E303AD">
        <w:rPr>
          <w:rFonts w:eastAsia="Calibri" w:hint="cs"/>
          <w:rtl/>
        </w:rPr>
        <w:t>ה</w:t>
      </w:r>
      <w:r w:rsidRPr="00E303AD">
        <w:rPr>
          <w:rFonts w:eastAsia="Calibri"/>
          <w:rtl/>
        </w:rPr>
        <w:t xml:space="preserve">שלישי. </w:t>
      </w:r>
      <w:r w:rsidRPr="00E303AD">
        <w:rPr>
          <w:rFonts w:eastAsia="Calibri" w:hint="cs"/>
          <w:rtl/>
        </w:rPr>
        <w:t>כמו כן</w:t>
      </w:r>
      <w:r w:rsidRPr="00E303AD">
        <w:rPr>
          <w:rFonts w:eastAsia="Calibri"/>
          <w:rtl/>
        </w:rPr>
        <w:t xml:space="preserve"> נדרש</w:t>
      </w:r>
      <w:r w:rsidRPr="00E303AD">
        <w:rPr>
          <w:rFonts w:eastAsia="Calibri" w:hint="cs"/>
          <w:rtl/>
        </w:rPr>
        <w:t xml:space="preserve">ת ישראל לנקוט </w:t>
      </w:r>
      <w:r w:rsidRPr="00E303AD">
        <w:rPr>
          <w:rFonts w:eastAsia="Calibri"/>
          <w:rtl/>
        </w:rPr>
        <w:t>צעדים לצורך הגנה על קורבנות סחר, ליווי ושיקום</w:t>
      </w:r>
      <w:r w:rsidRPr="00E303AD">
        <w:rPr>
          <w:rFonts w:eastAsia="Calibri" w:hint="cs"/>
          <w:rtl/>
        </w:rPr>
        <w:t xml:space="preserve"> שלהם</w:t>
      </w:r>
      <w:r>
        <w:rPr>
          <w:rFonts w:eastAsia="Calibri"/>
          <w:vertAlign w:val="superscript"/>
          <w:rtl/>
        </w:rPr>
        <w:footnoteReference w:id="85"/>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bookmarkStart w:id="94" w:name="_Hlk223346848"/>
      <w:bookmarkStart w:id="95" w:name="_Hlk222056258"/>
      <w:r w:rsidRPr="00E303AD">
        <w:rPr>
          <w:rFonts w:eastAsia="Calibri" w:hint="cs"/>
          <w:rtl/>
        </w:rPr>
        <w:t xml:space="preserve">בכל שנה ממשלת ארצות הברית מחייבת את מדינות העולם לדווח על פעולותיהן בתחום אכיפת החוקים הנוגעים לעבירות הסחר בבני אדם, ומפרסמת, במסגרת הדוח השנתי בנושא המאבק בסחר בבני אדם (הדוח האמריקאי), </w:t>
      </w:r>
      <w:r w:rsidRPr="00E303AD">
        <w:rPr>
          <w:rFonts w:eastAsia="Calibri"/>
          <w:rtl/>
        </w:rPr>
        <w:t>נתונים על מצב הסחר בבני אדם ו</w:t>
      </w:r>
      <w:r w:rsidRPr="00E303AD">
        <w:rPr>
          <w:rFonts w:eastAsia="Calibri" w:hint="cs"/>
          <w:rtl/>
        </w:rPr>
        <w:t xml:space="preserve">על </w:t>
      </w:r>
      <w:r w:rsidRPr="00E303AD">
        <w:rPr>
          <w:rFonts w:eastAsia="Calibri"/>
          <w:rtl/>
        </w:rPr>
        <w:t>המאמצים שנוקטות מדינות העולם כדי להיאבק ב</w:t>
      </w:r>
      <w:r w:rsidRPr="00E303AD">
        <w:rPr>
          <w:rFonts w:eastAsia="Calibri" w:hint="eastAsia"/>
          <w:rtl/>
        </w:rPr>
        <w:t>תופעה</w:t>
      </w:r>
      <w:r w:rsidRPr="00E303AD">
        <w:rPr>
          <w:rFonts w:eastAsia="Calibri"/>
          <w:rtl/>
        </w:rPr>
        <w:t xml:space="preserve"> </w:t>
      </w:r>
      <w:r w:rsidRPr="00E303AD">
        <w:rPr>
          <w:rFonts w:eastAsia="Calibri" w:hint="eastAsia"/>
          <w:rtl/>
        </w:rPr>
        <w:t>זו</w:t>
      </w:r>
      <w:r w:rsidRPr="00E303AD">
        <w:rPr>
          <w:rFonts w:eastAsia="Calibri" w:hint="cs"/>
          <w:rtl/>
        </w:rPr>
        <w:t>.</w:t>
      </w:r>
      <w:r w:rsidRPr="00E303AD">
        <w:rPr>
          <w:rFonts w:eastAsia="Calibri"/>
          <w:rtl/>
        </w:rPr>
        <w:t xml:space="preserve"> </w:t>
      </w:r>
      <w:r w:rsidRPr="00E303AD">
        <w:rPr>
          <w:rFonts w:eastAsia="Calibri" w:hint="cs"/>
          <w:rtl/>
        </w:rPr>
        <w:t>נתונים אלה מבוססים</w:t>
      </w:r>
      <w:r w:rsidRPr="00E303AD">
        <w:rPr>
          <w:rFonts w:eastAsia="Calibri"/>
          <w:rtl/>
        </w:rPr>
        <w:t xml:space="preserve"> על מידע ונתונים רשמיים ש</w:t>
      </w:r>
      <w:r w:rsidRPr="00E303AD">
        <w:rPr>
          <w:rFonts w:eastAsia="Calibri" w:hint="eastAsia"/>
          <w:rtl/>
        </w:rPr>
        <w:t>מקבלת</w:t>
      </w:r>
      <w:r w:rsidRPr="00E303AD">
        <w:rPr>
          <w:rFonts w:eastAsia="Calibri"/>
          <w:rtl/>
        </w:rPr>
        <w:t xml:space="preserve"> </w:t>
      </w:r>
      <w:r w:rsidRPr="00E303AD">
        <w:rPr>
          <w:rFonts w:eastAsia="Calibri" w:hint="cs"/>
          <w:rtl/>
        </w:rPr>
        <w:t xml:space="preserve">ארצות הברית </w:t>
      </w:r>
      <w:r w:rsidRPr="00E303AD">
        <w:rPr>
          <w:rFonts w:eastAsia="Calibri"/>
          <w:rtl/>
        </w:rPr>
        <w:t xml:space="preserve">מהמדינות עצמן, לצד מידע </w:t>
      </w:r>
      <w:r w:rsidRPr="00E303AD">
        <w:rPr>
          <w:rFonts w:eastAsia="Calibri" w:hint="cs"/>
          <w:rtl/>
        </w:rPr>
        <w:t xml:space="preserve">שהיא </w:t>
      </w:r>
      <w:r w:rsidRPr="00E303AD">
        <w:rPr>
          <w:rFonts w:eastAsia="Calibri" w:hint="eastAsia"/>
          <w:rtl/>
        </w:rPr>
        <w:t>מקבלת</w:t>
      </w:r>
      <w:r w:rsidRPr="00E303AD">
        <w:rPr>
          <w:rFonts w:eastAsia="Calibri" w:hint="cs"/>
          <w:rtl/>
        </w:rPr>
        <w:t xml:space="preserve"> </w:t>
      </w:r>
      <w:r w:rsidRPr="00E303AD">
        <w:rPr>
          <w:rFonts w:eastAsia="Calibri"/>
          <w:rtl/>
        </w:rPr>
        <w:t>משגרירויות</w:t>
      </w:r>
      <w:r w:rsidRPr="00E303AD">
        <w:rPr>
          <w:rFonts w:eastAsia="Calibri" w:hint="cs"/>
          <w:rtl/>
        </w:rPr>
        <w:t>יה</w:t>
      </w:r>
      <w:r w:rsidRPr="00E303AD">
        <w:rPr>
          <w:rFonts w:eastAsia="Calibri"/>
          <w:rtl/>
        </w:rPr>
        <w:t xml:space="preserve"> במדינות השונות, </w:t>
      </w:r>
      <w:r w:rsidRPr="00E303AD">
        <w:rPr>
          <w:rFonts w:eastAsia="Calibri" w:hint="cs"/>
          <w:rtl/>
        </w:rPr>
        <w:t>מ</w:t>
      </w:r>
      <w:r w:rsidRPr="00E303AD">
        <w:rPr>
          <w:rFonts w:eastAsia="Calibri"/>
          <w:rtl/>
        </w:rPr>
        <w:t xml:space="preserve">ארגונים לא ממשלתיים, </w:t>
      </w:r>
      <w:r w:rsidRPr="00E303AD">
        <w:rPr>
          <w:rFonts w:eastAsia="Calibri" w:hint="cs"/>
          <w:rtl/>
        </w:rPr>
        <w:t>מ</w:t>
      </w:r>
      <w:r w:rsidRPr="00E303AD">
        <w:rPr>
          <w:rFonts w:eastAsia="Calibri"/>
          <w:rtl/>
        </w:rPr>
        <w:t>ארגונים בין</w:t>
      </w:r>
      <w:r w:rsidR="00522B30">
        <w:rPr>
          <w:rFonts w:eastAsia="Calibri" w:hint="cs"/>
          <w:rtl/>
        </w:rPr>
        <w:t>-</w:t>
      </w:r>
      <w:r w:rsidRPr="00E303AD">
        <w:rPr>
          <w:rFonts w:eastAsia="Calibri"/>
          <w:rtl/>
        </w:rPr>
        <w:t>לאומיים</w:t>
      </w:r>
      <w:r w:rsidRPr="00E303AD">
        <w:rPr>
          <w:rFonts w:eastAsia="Calibri" w:hint="cs"/>
          <w:rtl/>
        </w:rPr>
        <w:t>,</w:t>
      </w:r>
      <w:r w:rsidRPr="00E303AD">
        <w:rPr>
          <w:rFonts w:eastAsia="Calibri"/>
          <w:rtl/>
        </w:rPr>
        <w:t xml:space="preserve"> </w:t>
      </w:r>
      <w:r w:rsidRPr="00E303AD">
        <w:rPr>
          <w:rFonts w:eastAsia="Calibri" w:hint="cs"/>
          <w:rtl/>
        </w:rPr>
        <w:t>מ</w:t>
      </w:r>
      <w:r w:rsidRPr="00E303AD">
        <w:rPr>
          <w:rFonts w:eastAsia="Calibri"/>
          <w:rtl/>
        </w:rPr>
        <w:t xml:space="preserve">פרסומים בתקשורת או </w:t>
      </w:r>
      <w:r w:rsidRPr="00E303AD">
        <w:rPr>
          <w:rFonts w:eastAsia="Calibri" w:hint="cs"/>
          <w:rtl/>
        </w:rPr>
        <w:t>מ</w:t>
      </w:r>
      <w:r w:rsidRPr="00E303AD">
        <w:rPr>
          <w:rFonts w:eastAsia="Calibri"/>
          <w:rtl/>
        </w:rPr>
        <w:t>מחקרים אקדמיים</w:t>
      </w:r>
      <w:r w:rsidRPr="00E303AD">
        <w:rPr>
          <w:rFonts w:eastAsia="Calibri" w:hint="cs"/>
          <w:rtl/>
        </w:rPr>
        <w:t xml:space="preserve">. הדוח השנתי נועד להבטיח שמדינות יעמדו בסטנדרטים בין-לאומיים מינימליים, והוא כולל המלצות מטעם ממשלת ארצות הברית לקידום </w:t>
      </w:r>
      <w:bookmarkEnd w:id="94"/>
      <w:r w:rsidRPr="00E303AD">
        <w:rPr>
          <w:rFonts w:eastAsia="Calibri" w:hint="cs"/>
          <w:rtl/>
        </w:rPr>
        <w:t>המאבק בסחר בבני אדם</w:t>
      </w:r>
      <w:r>
        <w:rPr>
          <w:rFonts w:eastAsia="Calibri"/>
          <w:vertAlign w:val="superscript"/>
          <w:rtl/>
        </w:rPr>
        <w:footnoteReference w:id="86"/>
      </w:r>
      <w:r w:rsidRPr="00E303AD">
        <w:rPr>
          <w:rFonts w:eastAsia="Calibri" w:hint="cs"/>
          <w:rtl/>
        </w:rPr>
        <w:t xml:space="preserve">. </w:t>
      </w:r>
      <w:bookmarkEnd w:id="95"/>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יחיד</w:t>
      </w:r>
      <w:r w:rsidRPr="00E303AD">
        <w:rPr>
          <w:rFonts w:eastAsia="Calibri" w:hint="cs"/>
          <w:rtl/>
        </w:rPr>
        <w:t xml:space="preserve">ת התיאום </w:t>
      </w:r>
      <w:r w:rsidRPr="00E303AD">
        <w:rPr>
          <w:rFonts w:eastAsia="Calibri"/>
          <w:rtl/>
        </w:rPr>
        <w:t xml:space="preserve">מרכזת את המידע </w:t>
      </w:r>
      <w:r w:rsidRPr="00E303AD">
        <w:rPr>
          <w:rFonts w:eastAsia="Calibri" w:hint="cs"/>
          <w:rtl/>
        </w:rPr>
        <w:t xml:space="preserve">המתקבל </w:t>
      </w:r>
      <w:r w:rsidRPr="00E303AD">
        <w:rPr>
          <w:rFonts w:eastAsia="Calibri"/>
          <w:rtl/>
        </w:rPr>
        <w:t>מכלל הגורמים הממשלתיים ומעבירה את הדיווח הרשמי למחלקת המדינה של ארצות הברית, בהתאם לדרישות הדין האמריקאי</w:t>
      </w:r>
      <w:r>
        <w:rPr>
          <w:rFonts w:eastAsia="Calibri"/>
          <w:vertAlign w:val="superscript"/>
          <w:rtl/>
        </w:rPr>
        <w:footnoteReference w:id="87"/>
      </w:r>
      <w:r w:rsidRPr="00E303AD">
        <w:rPr>
          <w:rFonts w:eastAsia="Calibri"/>
          <w:rtl/>
        </w:rPr>
        <w:t>.</w:t>
      </w:r>
      <w:r w:rsidRPr="00E303AD">
        <w:rPr>
          <w:rFonts w:eastAsia="Calibri" w:hint="cs"/>
          <w:rtl/>
        </w:rPr>
        <w:t xml:space="preserve"> </w:t>
      </w:r>
      <w:r w:rsidRPr="00E303AD">
        <w:rPr>
          <w:rFonts w:eastAsia="Calibri"/>
          <w:rtl/>
        </w:rPr>
        <w:t xml:space="preserve">המשטרה, כגורם </w:t>
      </w:r>
      <w:r w:rsidRPr="00E303AD">
        <w:rPr>
          <w:rFonts w:eastAsia="Calibri" w:hint="cs"/>
          <w:rtl/>
        </w:rPr>
        <w:t>ה</w:t>
      </w:r>
      <w:r w:rsidRPr="00E303AD">
        <w:rPr>
          <w:rFonts w:eastAsia="Calibri"/>
          <w:rtl/>
        </w:rPr>
        <w:t>אחראי לאכיפ</w:t>
      </w:r>
      <w:r w:rsidRPr="00E303AD">
        <w:rPr>
          <w:rFonts w:eastAsia="Calibri" w:hint="cs"/>
          <w:rtl/>
        </w:rPr>
        <w:t>ת החוק בישראל</w:t>
      </w:r>
      <w:r w:rsidRPr="00E303AD">
        <w:rPr>
          <w:rFonts w:eastAsia="Calibri"/>
          <w:rtl/>
        </w:rPr>
        <w:t xml:space="preserve"> וכמי ש</w:t>
      </w:r>
      <w:r w:rsidRPr="00E303AD">
        <w:rPr>
          <w:rFonts w:eastAsia="Calibri" w:hint="cs"/>
          <w:rtl/>
        </w:rPr>
        <w:t>מחזיקה ב</w:t>
      </w:r>
      <w:r w:rsidRPr="00E303AD">
        <w:rPr>
          <w:rFonts w:eastAsia="Calibri"/>
          <w:rtl/>
        </w:rPr>
        <w:t xml:space="preserve">מרבית המידע המבצעי הרלוונטי, </w:t>
      </w:r>
      <w:r w:rsidRPr="00E303AD">
        <w:rPr>
          <w:rFonts w:eastAsia="Calibri" w:hint="cs"/>
          <w:rtl/>
        </w:rPr>
        <w:t>אמונה על</w:t>
      </w:r>
      <w:r w:rsidRPr="00E303AD">
        <w:rPr>
          <w:rFonts w:eastAsia="Calibri"/>
          <w:rtl/>
        </w:rPr>
        <w:t xml:space="preserve"> העברת הנתונים הנדרשים ליחידת התיאום</w:t>
      </w:r>
      <w:r w:rsidRPr="00E303AD">
        <w:rPr>
          <w:rFonts w:eastAsia="Calibri" w:hint="cs"/>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 xml:space="preserve">בדוחות האמריקאיים </w:t>
      </w:r>
      <w:r w:rsidRPr="00E303AD">
        <w:rPr>
          <w:rFonts w:eastAsia="Calibri" w:hint="cs"/>
          <w:rtl/>
        </w:rPr>
        <w:t>צוין</w:t>
      </w:r>
      <w:r w:rsidRPr="00E303AD">
        <w:rPr>
          <w:rFonts w:eastAsia="Calibri"/>
          <w:rtl/>
        </w:rPr>
        <w:t xml:space="preserve"> כי</w:t>
      </w:r>
      <w:r w:rsidRPr="00E303AD">
        <w:rPr>
          <w:rFonts w:eastAsia="Calibri" w:hint="cs"/>
          <w:rtl/>
        </w:rPr>
        <w:t xml:space="preserve"> בשנים 2020 - 2023 השקיעה </w:t>
      </w:r>
      <w:r w:rsidRPr="00E303AD">
        <w:rPr>
          <w:rFonts w:eastAsia="Calibri"/>
          <w:rtl/>
        </w:rPr>
        <w:t xml:space="preserve">ישראל מאמצים ניכרים </w:t>
      </w:r>
      <w:r w:rsidRPr="00E303AD">
        <w:rPr>
          <w:rFonts w:eastAsia="Calibri" w:hint="cs"/>
          <w:rtl/>
        </w:rPr>
        <w:t>באכיפת החוק בנושא עבירות סחר בבני אדם</w:t>
      </w:r>
      <w:r w:rsidRPr="00E303AD">
        <w:rPr>
          <w:rFonts w:eastAsia="Calibri"/>
          <w:rtl/>
        </w:rPr>
        <w:t xml:space="preserve">, אך לעיתים לא עמדה בסטנדרטים מינימליים, </w:t>
      </w:r>
      <w:r w:rsidRPr="00E303AD">
        <w:rPr>
          <w:rFonts w:eastAsia="Calibri" w:hint="cs"/>
          <w:rtl/>
        </w:rPr>
        <w:t>בייחוד</w:t>
      </w:r>
      <w:r w:rsidRPr="00E303AD">
        <w:rPr>
          <w:rFonts w:eastAsia="Calibri"/>
          <w:rtl/>
        </w:rPr>
        <w:t xml:space="preserve"> בתחום איתור קורבנות </w:t>
      </w:r>
      <w:r w:rsidRPr="00E303AD">
        <w:rPr>
          <w:rFonts w:eastAsia="Calibri" w:hint="cs"/>
          <w:rtl/>
        </w:rPr>
        <w:t>והטלת אחריות פלילית על סוחרים</w:t>
      </w:r>
      <w:r>
        <w:rPr>
          <w:rFonts w:eastAsia="Calibri"/>
          <w:vertAlign w:val="superscript"/>
          <w:rtl/>
        </w:rPr>
        <w:footnoteReference w:id="88"/>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הדוח האמריקאי לשנת 2024 כלל המלצות למדינת ישראל להחמרת הענישה ולהגברת האכיפה והפיקוח בתחום הסחר בבני אדם, לרבות סחר לצורכי זנות</w:t>
      </w:r>
      <w:r>
        <w:rPr>
          <w:rFonts w:eastAsia="Calibri"/>
          <w:vertAlign w:val="superscript"/>
          <w:rtl/>
        </w:rPr>
        <w:footnoteReference w:id="89"/>
      </w:r>
      <w:r w:rsidRPr="00E303AD">
        <w:rPr>
          <w:rFonts w:eastAsia="Calibri" w:hint="cs"/>
          <w:rtl/>
        </w:rPr>
        <w:t>. בין היתר, הומלץ על נקיטת כמה</w:t>
      </w:r>
      <w:r w:rsidRPr="00E303AD">
        <w:rPr>
          <w:rFonts w:eastAsia="Calibri"/>
          <w:rtl/>
        </w:rPr>
        <w:t xml:space="preserve"> צעדים לשיפור המענה הממשלתי בתחום המאבק בסחר בבני אדם</w:t>
      </w:r>
      <w:r>
        <w:rPr>
          <w:rFonts w:eastAsia="Calibri"/>
          <w:vertAlign w:val="superscript"/>
          <w:rtl/>
        </w:rPr>
        <w:footnoteReference w:id="90"/>
      </w:r>
      <w:r w:rsidRPr="00E303AD">
        <w:rPr>
          <w:rFonts w:eastAsia="Calibri" w:hint="cs"/>
          <w:rtl/>
        </w:rPr>
        <w:t xml:space="preserve">, ובהם הגדלת היקף </w:t>
      </w:r>
      <w:r w:rsidRPr="00E303AD">
        <w:rPr>
          <w:rFonts w:eastAsia="Calibri"/>
          <w:rtl/>
        </w:rPr>
        <w:t>ההכשרות הייעודיות לזיהוי קורבנות סחר</w:t>
      </w:r>
      <w:r w:rsidRPr="00E303AD">
        <w:rPr>
          <w:rFonts w:eastAsia="Calibri" w:hint="cs"/>
          <w:rtl/>
        </w:rPr>
        <w:t xml:space="preserve"> בבני אדם</w:t>
      </w:r>
      <w:r w:rsidRPr="00E303AD">
        <w:rPr>
          <w:rFonts w:eastAsia="Calibri"/>
          <w:rtl/>
        </w:rPr>
        <w:t xml:space="preserve"> בקרב גורמים הפועלים </w:t>
      </w:r>
      <w:r w:rsidRPr="00E303AD">
        <w:rPr>
          <w:rFonts w:eastAsia="Calibri" w:hint="cs"/>
          <w:rtl/>
        </w:rPr>
        <w:t>"</w:t>
      </w:r>
      <w:r w:rsidRPr="00E303AD">
        <w:rPr>
          <w:rFonts w:eastAsia="Calibri"/>
          <w:rtl/>
        </w:rPr>
        <w:t>בקו הראשון</w:t>
      </w:r>
      <w:r w:rsidRPr="00E303AD">
        <w:rPr>
          <w:rFonts w:eastAsia="Calibri" w:hint="cs"/>
          <w:rtl/>
        </w:rPr>
        <w:t>"</w:t>
      </w:r>
      <w:r>
        <w:rPr>
          <w:rFonts w:eastAsia="Calibri"/>
          <w:vertAlign w:val="superscript"/>
          <w:rtl/>
        </w:rPr>
        <w:footnoteReference w:id="91"/>
      </w:r>
      <w:r w:rsidRPr="00E303AD">
        <w:rPr>
          <w:rFonts w:eastAsia="Calibri" w:hint="cs"/>
          <w:rtl/>
        </w:rPr>
        <w:t>;</w:t>
      </w:r>
      <w:r w:rsidRPr="00E303AD">
        <w:rPr>
          <w:rFonts w:eastAsia="Calibri"/>
          <w:rtl/>
        </w:rPr>
        <w:t xml:space="preserve"> </w:t>
      </w:r>
      <w:r w:rsidRPr="00E303AD">
        <w:rPr>
          <w:rFonts w:eastAsia="Calibri" w:hint="cs"/>
          <w:rtl/>
        </w:rPr>
        <w:t>וידוא ש</w:t>
      </w:r>
      <w:r w:rsidRPr="00E303AD">
        <w:rPr>
          <w:rFonts w:eastAsia="Calibri"/>
          <w:rtl/>
        </w:rPr>
        <w:t>כלל הקורבנות הזרים המוכרים על</w:t>
      </w:r>
      <w:r w:rsidRPr="00E303AD">
        <w:rPr>
          <w:rFonts w:eastAsia="Calibri" w:hint="cs"/>
          <w:rtl/>
        </w:rPr>
        <w:t xml:space="preserve"> </w:t>
      </w:r>
      <w:r w:rsidRPr="00E303AD">
        <w:rPr>
          <w:rFonts w:eastAsia="Calibri"/>
          <w:rtl/>
        </w:rPr>
        <w:t>ידי הרשויות יקבלו אשרת שיקום</w:t>
      </w:r>
      <w:r>
        <w:rPr>
          <w:rFonts w:eastAsia="Calibri"/>
          <w:vertAlign w:val="superscript"/>
          <w:rtl/>
        </w:rPr>
        <w:footnoteReference w:id="92"/>
      </w:r>
      <w:r w:rsidRPr="00E303AD">
        <w:rPr>
          <w:rFonts w:eastAsia="Calibri" w:hint="cs"/>
          <w:rtl/>
        </w:rPr>
        <w:t>;</w:t>
      </w:r>
      <w:r w:rsidRPr="00E303AD">
        <w:rPr>
          <w:rFonts w:eastAsia="Calibri"/>
          <w:rtl/>
        </w:rPr>
        <w:t xml:space="preserve"> </w:t>
      </w:r>
      <w:r w:rsidRPr="00E303AD">
        <w:rPr>
          <w:rFonts w:eastAsia="Calibri" w:hint="cs"/>
          <w:rtl/>
        </w:rPr>
        <w:t>גיבוש ופרסום</w:t>
      </w:r>
      <w:r w:rsidRPr="00E303AD">
        <w:rPr>
          <w:rFonts w:eastAsia="Calibri"/>
          <w:rtl/>
        </w:rPr>
        <w:t xml:space="preserve"> </w:t>
      </w:r>
      <w:r w:rsidRPr="00E303AD">
        <w:rPr>
          <w:rFonts w:eastAsia="Calibri" w:hint="cs"/>
          <w:rtl/>
        </w:rPr>
        <w:t xml:space="preserve">של </w:t>
      </w:r>
      <w:r w:rsidRPr="00E303AD">
        <w:rPr>
          <w:rFonts w:eastAsia="Calibri"/>
          <w:rtl/>
        </w:rPr>
        <w:t xml:space="preserve">מדיניות מפורשת </w:t>
      </w:r>
      <w:r w:rsidRPr="00E303AD">
        <w:rPr>
          <w:rFonts w:eastAsia="Calibri" w:hint="cs"/>
          <w:rtl/>
        </w:rPr>
        <w:t>ו</w:t>
      </w:r>
      <w:r w:rsidRPr="00E303AD">
        <w:rPr>
          <w:rFonts w:eastAsia="Calibri"/>
          <w:rtl/>
        </w:rPr>
        <w:t xml:space="preserve">לפיה מעמד הגירה זמני או בלתי מוסדר של אדם </w:t>
      </w:r>
      <w:r w:rsidRPr="00E303AD">
        <w:rPr>
          <w:rFonts w:eastAsia="Calibri" w:hint="cs"/>
          <w:rtl/>
        </w:rPr>
        <w:t xml:space="preserve">לא יובא בחשבון במסגרת ההחלטה אם להכיר בו כקורבן סחר בבני אדם.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כמו כן,</w:t>
      </w:r>
      <w:r w:rsidRPr="00E303AD">
        <w:rPr>
          <w:rFonts w:eastAsia="Calibri"/>
          <w:rtl/>
        </w:rPr>
        <w:t xml:space="preserve"> </w:t>
      </w:r>
      <w:r w:rsidRPr="00E303AD">
        <w:rPr>
          <w:rFonts w:eastAsia="Calibri" w:hint="cs"/>
          <w:rtl/>
        </w:rPr>
        <w:t xml:space="preserve">בדוח נכללו </w:t>
      </w:r>
      <w:r w:rsidRPr="00E303AD">
        <w:rPr>
          <w:rFonts w:eastAsia="Calibri"/>
          <w:rtl/>
        </w:rPr>
        <w:t xml:space="preserve">המלצות </w:t>
      </w:r>
      <w:r w:rsidRPr="00E303AD">
        <w:rPr>
          <w:rFonts w:eastAsia="Calibri" w:hint="cs"/>
          <w:rtl/>
        </w:rPr>
        <w:t>ל</w:t>
      </w:r>
      <w:r w:rsidRPr="00E303AD">
        <w:rPr>
          <w:rFonts w:eastAsia="Calibri"/>
          <w:rtl/>
        </w:rPr>
        <w:t xml:space="preserve">הרחבת </w:t>
      </w:r>
      <w:r w:rsidRPr="00E303AD">
        <w:rPr>
          <w:rFonts w:eastAsia="Calibri" w:hint="cs"/>
          <w:rtl/>
        </w:rPr>
        <w:t xml:space="preserve">היקף </w:t>
      </w:r>
      <w:r w:rsidRPr="00E303AD">
        <w:rPr>
          <w:rFonts w:eastAsia="Calibri"/>
          <w:rtl/>
        </w:rPr>
        <w:t xml:space="preserve">המשאבים וכוח האדם של </w:t>
      </w:r>
      <w:r w:rsidRPr="00E303AD">
        <w:rPr>
          <w:rFonts w:eastAsia="Calibri" w:hint="cs"/>
          <w:rtl/>
        </w:rPr>
        <w:t>יחידת התיאום;</w:t>
      </w:r>
      <w:r w:rsidRPr="00E303AD">
        <w:rPr>
          <w:rFonts w:eastAsia="Calibri"/>
          <w:rtl/>
        </w:rPr>
        <w:t xml:space="preserve"> </w:t>
      </w:r>
      <w:r w:rsidRPr="00E303AD">
        <w:rPr>
          <w:rFonts w:eastAsia="Calibri" w:hint="cs"/>
          <w:rtl/>
        </w:rPr>
        <w:t>ל</w:t>
      </w:r>
      <w:r w:rsidRPr="00E303AD">
        <w:rPr>
          <w:rFonts w:eastAsia="Calibri"/>
          <w:rtl/>
        </w:rPr>
        <w:t xml:space="preserve">הקצאת </w:t>
      </w:r>
      <w:r w:rsidRPr="00E303AD">
        <w:rPr>
          <w:rFonts w:eastAsia="Calibri" w:hint="cs"/>
          <w:rtl/>
        </w:rPr>
        <w:t>ה</w:t>
      </w:r>
      <w:r w:rsidRPr="00E303AD">
        <w:rPr>
          <w:rFonts w:eastAsia="Calibri"/>
          <w:rtl/>
        </w:rPr>
        <w:t xml:space="preserve">תקציבים </w:t>
      </w:r>
      <w:r w:rsidRPr="00E303AD">
        <w:rPr>
          <w:rFonts w:eastAsia="Calibri" w:hint="cs"/>
          <w:rtl/>
        </w:rPr>
        <w:t>ה</w:t>
      </w:r>
      <w:r w:rsidRPr="00E303AD">
        <w:rPr>
          <w:rFonts w:eastAsia="Calibri"/>
          <w:rtl/>
        </w:rPr>
        <w:t>נדרשים</w:t>
      </w:r>
      <w:r w:rsidRPr="00E303AD">
        <w:rPr>
          <w:rFonts w:eastAsia="Calibri" w:hint="cs"/>
          <w:rtl/>
        </w:rPr>
        <w:t>;</w:t>
      </w:r>
      <w:r w:rsidRPr="00E303AD">
        <w:rPr>
          <w:rFonts w:eastAsia="Calibri"/>
          <w:rtl/>
        </w:rPr>
        <w:t xml:space="preserve"> </w:t>
      </w:r>
      <w:r w:rsidRPr="00E303AD">
        <w:rPr>
          <w:rFonts w:eastAsia="Calibri" w:hint="cs"/>
          <w:rtl/>
        </w:rPr>
        <w:t>ל</w:t>
      </w:r>
      <w:r w:rsidRPr="00E303AD">
        <w:rPr>
          <w:rFonts w:eastAsia="Calibri"/>
          <w:rtl/>
        </w:rPr>
        <w:t xml:space="preserve">יישום מלא של התוכנית הלאומית למאבק בסחר </w:t>
      </w:r>
      <w:r w:rsidRPr="00E303AD">
        <w:rPr>
          <w:rFonts w:eastAsia="Calibri" w:hint="cs"/>
          <w:rtl/>
        </w:rPr>
        <w:t xml:space="preserve">בבני אדם; להגברת </w:t>
      </w:r>
      <w:r w:rsidRPr="00E303AD">
        <w:rPr>
          <w:rFonts w:eastAsia="Calibri"/>
          <w:rtl/>
        </w:rPr>
        <w:t xml:space="preserve">המאמצים להעלאת </w:t>
      </w:r>
      <w:r w:rsidRPr="00E303AD">
        <w:rPr>
          <w:rFonts w:eastAsia="Calibri" w:hint="cs"/>
          <w:rtl/>
        </w:rPr>
        <w:t>ה</w:t>
      </w:r>
      <w:r w:rsidRPr="00E303AD">
        <w:rPr>
          <w:rFonts w:eastAsia="Calibri"/>
          <w:rtl/>
        </w:rPr>
        <w:t xml:space="preserve">מודעות </w:t>
      </w:r>
      <w:r w:rsidRPr="00E303AD">
        <w:rPr>
          <w:rFonts w:eastAsia="Calibri" w:hint="cs"/>
          <w:rtl/>
        </w:rPr>
        <w:t>ה</w:t>
      </w:r>
      <w:r w:rsidRPr="00E303AD">
        <w:rPr>
          <w:rFonts w:eastAsia="Calibri"/>
          <w:rtl/>
        </w:rPr>
        <w:t>ציבורית לסחר לצורכי מין ולעבודת כפייה</w:t>
      </w:r>
      <w:r w:rsidRPr="00E303AD">
        <w:rPr>
          <w:rFonts w:eastAsia="Calibri" w:hint="cs"/>
          <w:rtl/>
        </w:rPr>
        <w:t>; וכן המלצות להגברת המאמצים לתיקון סעיפי חוק העונשין העוסקים בעבירות הנוגעות לסחר בבני אדם</w:t>
      </w:r>
      <w:r>
        <w:rPr>
          <w:rFonts w:eastAsia="Calibri"/>
          <w:vertAlign w:val="superscript"/>
          <w:rtl/>
        </w:rPr>
        <w:footnoteReference w:id="93"/>
      </w:r>
      <w:r w:rsidRPr="00E303AD">
        <w:rPr>
          <w:rFonts w:eastAsia="Calibri" w:hint="cs"/>
          <w:rtl/>
        </w:rPr>
        <w:t>,</w:t>
      </w:r>
      <w:r w:rsidRPr="00E303AD">
        <w:rPr>
          <w:rFonts w:eastAsia="Calibri"/>
          <w:rtl/>
        </w:rPr>
        <w:t xml:space="preserve"> </w:t>
      </w:r>
      <w:r w:rsidRPr="00E303AD">
        <w:rPr>
          <w:rFonts w:eastAsia="Calibri" w:hint="cs"/>
          <w:rtl/>
        </w:rPr>
        <w:t>באופן</w:t>
      </w:r>
      <w:r w:rsidRPr="00E303AD">
        <w:rPr>
          <w:rFonts w:eastAsia="Calibri"/>
          <w:rtl/>
        </w:rPr>
        <w:t xml:space="preserve"> </w:t>
      </w:r>
      <w:r w:rsidRPr="00E303AD">
        <w:rPr>
          <w:rFonts w:eastAsia="Calibri" w:hint="cs"/>
          <w:rtl/>
        </w:rPr>
        <w:t>שהן יהיו תואמות ל</w:t>
      </w:r>
      <w:r w:rsidRPr="00E303AD">
        <w:rPr>
          <w:rFonts w:eastAsia="Calibri"/>
          <w:rtl/>
        </w:rPr>
        <w:t>הגדרות המקובלות במשפט הבין</w:t>
      </w:r>
      <w:r w:rsidRPr="00E303AD">
        <w:rPr>
          <w:rFonts w:eastAsia="Calibri" w:hint="cs"/>
          <w:rtl/>
        </w:rPr>
        <w:t>-</w:t>
      </w:r>
      <w:r w:rsidRPr="00E303AD">
        <w:rPr>
          <w:rFonts w:eastAsia="Calibri"/>
          <w:rtl/>
        </w:rPr>
        <w:t>לאומי</w:t>
      </w:r>
      <w:r>
        <w:rPr>
          <w:rFonts w:eastAsia="Calibri"/>
          <w:vertAlign w:val="superscript"/>
          <w:rtl/>
        </w:rPr>
        <w:footnoteReference w:id="94"/>
      </w:r>
      <w:r w:rsidRPr="00E303AD">
        <w:rPr>
          <w:rFonts w:eastAsia="Calibri" w:hint="cs"/>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בתשובת המשרד לבל"ם צוין כי בשנת </w:t>
      </w:r>
      <w:r w:rsidRPr="00E303AD">
        <w:rPr>
          <w:rFonts w:eastAsia="Calibri"/>
          <w:rtl/>
        </w:rPr>
        <w:t xml:space="preserve">2025 הושקעו מאמצים רבים בתחום ההתמודדות עם עבירות הסחר בבני אדם והזנות. בהתייחסות המשרד לדוח מחלקת המדינה לשנת 2025, הוצגה פעילות ענפה בתחום זה, הן של </w:t>
      </w:r>
      <w:r w:rsidRPr="00E303AD">
        <w:rPr>
          <w:rFonts w:eastAsia="Calibri" w:hint="cs"/>
          <w:rtl/>
        </w:rPr>
        <w:t>ה</w:t>
      </w:r>
      <w:r w:rsidRPr="00E303AD">
        <w:rPr>
          <w:rFonts w:eastAsia="Calibri"/>
          <w:rtl/>
        </w:rPr>
        <w:t>משטר</w:t>
      </w:r>
      <w:r w:rsidRPr="00E303AD">
        <w:rPr>
          <w:rFonts w:eastAsia="Calibri" w:hint="cs"/>
          <w:rtl/>
        </w:rPr>
        <w:t xml:space="preserve">ה </w:t>
      </w:r>
      <w:r w:rsidRPr="00E303AD">
        <w:rPr>
          <w:rFonts w:eastAsia="Calibri"/>
          <w:rtl/>
        </w:rPr>
        <w:t>והן של הרשות לביטחון קהילתי במשרד לבל״</w:t>
      </w:r>
      <w:r w:rsidRPr="00E303AD">
        <w:rPr>
          <w:rFonts w:eastAsia="Calibri" w:hint="cs"/>
          <w:rtl/>
        </w:rPr>
        <w:t>ם</w:t>
      </w:r>
      <w:r w:rsidRPr="00E303AD">
        <w:rPr>
          <w:rFonts w:eastAsia="Calibri"/>
          <w:rtl/>
        </w:rPr>
        <w:t xml:space="preserve"> ושירות בתי הסוהר. </w:t>
      </w:r>
      <w:r w:rsidRPr="00E303AD">
        <w:rPr>
          <w:rFonts w:eastAsia="Calibri" w:hint="cs"/>
          <w:rtl/>
        </w:rPr>
        <w:t>בדוח זה מתואר</w:t>
      </w:r>
      <w:r w:rsidRPr="00E303AD">
        <w:rPr>
          <w:rFonts w:eastAsia="Calibri"/>
          <w:rtl/>
        </w:rPr>
        <w:t xml:space="preserve"> </w:t>
      </w:r>
      <w:r w:rsidRPr="00E303AD">
        <w:rPr>
          <w:rFonts w:eastAsia="Calibri" w:hint="cs"/>
          <w:rtl/>
        </w:rPr>
        <w:t>גידול ניכר</w:t>
      </w:r>
      <w:r w:rsidRPr="00E303AD">
        <w:rPr>
          <w:rFonts w:eastAsia="Calibri"/>
          <w:rtl/>
        </w:rPr>
        <w:t xml:space="preserve"> </w:t>
      </w:r>
      <w:r w:rsidRPr="00E303AD">
        <w:rPr>
          <w:rFonts w:eastAsia="Calibri" w:hint="cs"/>
          <w:rtl/>
        </w:rPr>
        <w:t>במספר</w:t>
      </w:r>
      <w:r w:rsidRPr="00E303AD">
        <w:rPr>
          <w:rFonts w:eastAsia="Calibri"/>
          <w:rtl/>
        </w:rPr>
        <w:t xml:space="preserve"> הפעולות ש</w:t>
      </w:r>
      <w:r w:rsidRPr="00E303AD">
        <w:rPr>
          <w:rFonts w:eastAsia="Calibri" w:hint="cs"/>
          <w:rtl/>
        </w:rPr>
        <w:t>נקטו</w:t>
      </w:r>
      <w:r w:rsidRPr="00E303AD">
        <w:rPr>
          <w:rFonts w:eastAsia="Calibri"/>
          <w:rtl/>
        </w:rPr>
        <w:t xml:space="preserve"> המשרד וגופיו ובאיכותן.</w:t>
      </w:r>
      <w:r w:rsidRPr="00E303AD">
        <w:rPr>
          <w:rFonts w:eastAsia="Calibri" w:hint="cs"/>
          <w:rtl/>
        </w:rPr>
        <w:t xml:space="preserve"> המשטרה ציינה בתשובתה כי</w:t>
      </w:r>
      <w:r w:rsidRPr="00E303AD">
        <w:rPr>
          <w:rFonts w:eastAsia="Calibri"/>
          <w:rtl/>
        </w:rPr>
        <w:t xml:space="preserve"> בכל מחוז</w:t>
      </w:r>
      <w:r w:rsidRPr="00E303AD">
        <w:rPr>
          <w:rFonts w:eastAsia="Calibri" w:hint="cs"/>
          <w:rtl/>
        </w:rPr>
        <w:t xml:space="preserve"> הוגדר </w:t>
      </w:r>
      <w:r w:rsidRPr="00E303AD">
        <w:rPr>
          <w:rFonts w:eastAsia="Calibri"/>
          <w:rtl/>
        </w:rPr>
        <w:t>ר</w:t>
      </w:r>
      <w:r w:rsidRPr="00E303AD">
        <w:rPr>
          <w:rFonts w:eastAsia="Calibri" w:hint="cs"/>
          <w:rtl/>
        </w:rPr>
        <w:t>אש</w:t>
      </w:r>
      <w:r w:rsidRPr="00E303AD">
        <w:rPr>
          <w:rFonts w:eastAsia="Calibri"/>
          <w:rtl/>
        </w:rPr>
        <w:t xml:space="preserve"> ענף החקירות</w:t>
      </w:r>
      <w:r w:rsidRPr="00E303AD">
        <w:rPr>
          <w:rFonts w:eastAsia="Calibri" w:hint="cs"/>
          <w:rtl/>
        </w:rPr>
        <w:t>,</w:t>
      </w:r>
      <w:r w:rsidRPr="00E303AD">
        <w:rPr>
          <w:rFonts w:eastAsia="Calibri"/>
          <w:rtl/>
        </w:rPr>
        <w:t xml:space="preserve"> או קצין מטעמו</w:t>
      </w:r>
      <w:r w:rsidRPr="00E303AD">
        <w:rPr>
          <w:rFonts w:eastAsia="Calibri" w:hint="cs"/>
          <w:rtl/>
        </w:rPr>
        <w:t>,</w:t>
      </w:r>
      <w:r w:rsidRPr="00E303AD">
        <w:rPr>
          <w:rFonts w:eastAsia="Calibri"/>
          <w:rtl/>
        </w:rPr>
        <w:t xml:space="preserve"> כרפרנט לתחום הסחר בבני אדם ועבירות נלוות, המלווה את תיקי החקירה ומ</w:t>
      </w:r>
      <w:r w:rsidRPr="00E303AD">
        <w:rPr>
          <w:rFonts w:eastAsia="Calibri" w:hint="cs"/>
          <w:rtl/>
        </w:rPr>
        <w:t>שמש</w:t>
      </w:r>
      <w:r w:rsidRPr="00E303AD">
        <w:rPr>
          <w:rFonts w:eastAsia="Calibri"/>
          <w:rtl/>
        </w:rPr>
        <w:t xml:space="preserve"> כתובת להתייעצות ולסיוע לגורמי פנים וחוץ.</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r w:rsidRPr="00E303AD">
        <w:rPr>
          <w:rFonts w:eastAsia="Calibri"/>
          <w:b/>
          <w:bCs/>
          <w:rtl/>
        </w:rPr>
        <w:t xml:space="preserve">המאבק בסחר בבני אדם ובעבירות הקשורות לזנות </w:t>
      </w:r>
      <w:r w:rsidRPr="00E303AD">
        <w:rPr>
          <w:rFonts w:eastAsia="Calibri" w:hint="cs"/>
          <w:b/>
          <w:bCs/>
          <w:rtl/>
        </w:rPr>
        <w:t xml:space="preserve">מתבצע, בין היתר, במסגרת </w:t>
      </w:r>
      <w:r w:rsidRPr="00E303AD">
        <w:rPr>
          <w:rFonts w:eastAsia="Calibri"/>
          <w:b/>
          <w:bCs/>
          <w:rtl/>
        </w:rPr>
        <w:t>התחייבויותיה</w:t>
      </w:r>
      <w:r w:rsidRPr="00E303AD">
        <w:rPr>
          <w:rFonts w:eastAsia="Calibri" w:hint="cs"/>
          <w:b/>
          <w:bCs/>
          <w:rtl/>
        </w:rPr>
        <w:t xml:space="preserve"> של המדינה מכוח</w:t>
      </w:r>
      <w:r w:rsidRPr="00E303AD">
        <w:rPr>
          <w:rFonts w:eastAsia="Calibri"/>
          <w:b/>
          <w:bCs/>
          <w:rtl/>
        </w:rPr>
        <w:t xml:space="preserve"> אמנות בין-לאומיות שעליהן </w:t>
      </w:r>
      <w:r w:rsidRPr="00E303AD">
        <w:rPr>
          <w:rFonts w:eastAsia="Calibri" w:hint="cs"/>
          <w:b/>
          <w:bCs/>
          <w:rtl/>
        </w:rPr>
        <w:t xml:space="preserve">היא </w:t>
      </w:r>
      <w:r w:rsidRPr="00E303AD">
        <w:rPr>
          <w:rFonts w:eastAsia="Calibri"/>
          <w:b/>
          <w:bCs/>
          <w:rtl/>
        </w:rPr>
        <w:t>חתומה</w:t>
      </w:r>
      <w:r w:rsidRPr="00E303AD">
        <w:rPr>
          <w:rFonts w:eastAsia="Calibri" w:hint="cs"/>
          <w:b/>
          <w:bCs/>
          <w:rtl/>
        </w:rPr>
        <w:t xml:space="preserve">. התחייבויות אלו כוללות ביצוע </w:t>
      </w:r>
      <w:r w:rsidRPr="00E303AD">
        <w:rPr>
          <w:rFonts w:eastAsia="Calibri"/>
          <w:b/>
          <w:bCs/>
          <w:rtl/>
        </w:rPr>
        <w:t>פעולות אכיפה בתחום הסחר בבני אדם, לרבות סחר לצ</w:t>
      </w:r>
      <w:r w:rsidRPr="00E303AD">
        <w:rPr>
          <w:rFonts w:eastAsia="Calibri" w:hint="cs"/>
          <w:b/>
          <w:bCs/>
          <w:rtl/>
        </w:rPr>
        <w:t>ו</w:t>
      </w:r>
      <w:r w:rsidRPr="00E303AD">
        <w:rPr>
          <w:rFonts w:eastAsia="Calibri"/>
          <w:b/>
          <w:bCs/>
          <w:rtl/>
        </w:rPr>
        <w:t>רכי מין ועבירות</w:t>
      </w:r>
      <w:r w:rsidRPr="00E303AD">
        <w:rPr>
          <w:rFonts w:eastAsia="Calibri" w:hint="cs"/>
          <w:b/>
          <w:bCs/>
          <w:rtl/>
        </w:rPr>
        <w:t xml:space="preserve"> נלוות, ו</w:t>
      </w:r>
      <w:r w:rsidRPr="00E303AD">
        <w:rPr>
          <w:rFonts w:eastAsia="Calibri"/>
          <w:b/>
          <w:bCs/>
          <w:rtl/>
        </w:rPr>
        <w:t>צעדים לצורך הגנה על קורבנות סחר, ליווי ושיקום</w:t>
      </w:r>
      <w:r w:rsidRPr="00E303AD">
        <w:rPr>
          <w:rFonts w:eastAsia="Calibri" w:hint="cs"/>
          <w:b/>
          <w:bCs/>
          <w:rtl/>
        </w:rPr>
        <w:t xml:space="preserve"> שלהם. כמו כן, ארצות הברית מפרסמת מדי שנה דוח בנושא המאבק בסחר בבני אדם </w:t>
      </w:r>
      <w:r w:rsidRPr="00E303AD">
        <w:rPr>
          <w:rFonts w:eastAsia="Calibri"/>
          <w:b/>
          <w:bCs/>
        </w:rPr>
        <w:t>(TIP Report)</w:t>
      </w:r>
      <w:r w:rsidRPr="00E303AD">
        <w:rPr>
          <w:rFonts w:eastAsia="Calibri" w:hint="cs"/>
          <w:b/>
          <w:bCs/>
          <w:rtl/>
        </w:rPr>
        <w:t xml:space="preserve">, ובו מרוכזים נתונים על פעולותיהן של מדינות שונות בתחום אכיפת החוקים הנוגעים לעבירות הסחר בבני אדם וכן המלצות מטעמה לקידום הנושא. בשנים 2020 - 2023 צוין בדוחות אלה כי על אף המאמץ שהשקיעה </w:t>
      </w:r>
      <w:r w:rsidRPr="00E303AD">
        <w:rPr>
          <w:rFonts w:eastAsia="Calibri"/>
          <w:b/>
          <w:bCs/>
          <w:rtl/>
        </w:rPr>
        <w:t xml:space="preserve">ישראל </w:t>
      </w:r>
      <w:r w:rsidRPr="00E303AD">
        <w:rPr>
          <w:rFonts w:eastAsia="Calibri" w:hint="cs"/>
          <w:b/>
          <w:bCs/>
          <w:rtl/>
        </w:rPr>
        <w:t>באכיפת החוק בנושא עבירות סחר בבני אדם</w:t>
      </w:r>
      <w:r w:rsidRPr="00E303AD">
        <w:rPr>
          <w:rFonts w:eastAsia="Calibri"/>
          <w:b/>
          <w:bCs/>
          <w:rtl/>
        </w:rPr>
        <w:t xml:space="preserve"> </w:t>
      </w:r>
      <w:r w:rsidRPr="00E303AD">
        <w:rPr>
          <w:rFonts w:eastAsia="Calibri" w:hint="cs"/>
          <w:b/>
          <w:bCs/>
          <w:rtl/>
        </w:rPr>
        <w:t>היא</w:t>
      </w:r>
      <w:r w:rsidRPr="00E303AD">
        <w:rPr>
          <w:rFonts w:eastAsia="Calibri"/>
          <w:b/>
          <w:bCs/>
          <w:rtl/>
        </w:rPr>
        <w:t xml:space="preserve"> לעיתים לא עמדה בסטנדרטים מינימליים</w:t>
      </w:r>
      <w:r w:rsidRPr="00E303AD">
        <w:rPr>
          <w:rFonts w:eastAsia="Calibri" w:hint="cs"/>
          <w:b/>
          <w:bCs/>
          <w:rtl/>
        </w:rPr>
        <w:t xml:space="preserve">, ובדוח לשנת 2024 הובאו המלצות על פעולות רבות שעל המדינה לנקוט </w:t>
      </w:r>
      <w:r w:rsidRPr="00E303AD">
        <w:rPr>
          <w:rFonts w:eastAsia="Calibri"/>
          <w:b/>
          <w:bCs/>
          <w:rtl/>
        </w:rPr>
        <w:t>לשיפור המענ</w:t>
      </w:r>
      <w:r w:rsidRPr="00E303AD">
        <w:rPr>
          <w:rFonts w:eastAsia="Calibri" w:hint="cs"/>
          <w:b/>
          <w:bCs/>
          <w:rtl/>
        </w:rPr>
        <w:t>ה</w:t>
      </w:r>
      <w:r w:rsidRPr="00E303AD">
        <w:rPr>
          <w:rFonts w:eastAsia="Calibri"/>
          <w:b/>
          <w:bCs/>
          <w:rtl/>
        </w:rPr>
        <w:t xml:space="preserve"> בתחום המאבק בסחר בבני אדם</w:t>
      </w:r>
      <w:r w:rsidRPr="00E303AD">
        <w:rPr>
          <w:rFonts w:eastAsia="Calibri" w:hint="cs"/>
          <w:b/>
          <w:bCs/>
          <w:rtl/>
        </w:rPr>
        <w:t xml:space="preserve">, לרבות בעניין תיקוני חקיקה, הגברת האכיפה, החמרת הענישה והקצאת המשאבים. </w:t>
      </w:r>
    </w:p>
    <w:p w:rsidR="00E303AD" w:rsidRPr="00E303AD" w:rsidP="00E303AD">
      <w:pPr>
        <w:spacing w:line="269" w:lineRule="auto"/>
        <w:rPr>
          <w:rFonts w:eastAsia="Calibri"/>
          <w:b/>
          <w:bCs/>
          <w:rtl/>
        </w:rPr>
      </w:pPr>
    </w:p>
    <w:p w:rsidR="00E303AD" w:rsidRPr="00E303AD" w:rsidP="00E303AD">
      <w:pPr>
        <w:spacing w:line="269" w:lineRule="auto"/>
        <w:ind w:left="-567"/>
        <w:rPr>
          <w:rFonts w:eastAsia="Calibri"/>
          <w:noProof/>
          <w:szCs w:val="20"/>
        </w:rPr>
      </w:pPr>
      <w:r w:rsidRPr="00E303AD">
        <w:rPr>
          <w:rFonts w:eastAsia="Calibri"/>
          <w:noProof/>
          <w:szCs w:val="20"/>
        </w:rPr>
        <mc:AlternateContent>
          <mc:Choice Requires="wpg">
            <w:drawing>
              <wp:anchor distT="0" distB="0" distL="114300" distR="114300" simplePos="0" relativeHeight="251666432" behindDoc="0" locked="0" layoutInCell="1" allowOverlap="1">
                <wp:simplePos x="0" y="0"/>
                <wp:positionH relativeFrom="column">
                  <wp:posOffset>40999</wp:posOffset>
                </wp:positionH>
                <wp:positionV relativeFrom="paragraph">
                  <wp:posOffset>30563</wp:posOffset>
                </wp:positionV>
                <wp:extent cx="5310505" cy="1040102"/>
                <wp:effectExtent l="0" t="0" r="4445" b="8255"/>
                <wp:wrapNone/>
                <wp:docPr id="29" name="קבוצה 29"/>
                <wp:cNvGraphicFramePr/>
                <a:graphic xmlns:a="http://schemas.openxmlformats.org/drawingml/2006/main">
                  <a:graphicData uri="http://schemas.microsoft.com/office/word/2010/wordprocessingGroup">
                    <wpg:wgp xmlns:wpg="http://schemas.microsoft.com/office/word/2010/wordprocessingGroup">
                      <wpg:cNvGrpSpPr/>
                      <wpg:grpSpPr>
                        <a:xfrm>
                          <a:off x="0" y="0"/>
                          <a:ext cx="5310505" cy="1040102"/>
                          <a:chOff x="0" y="0"/>
                          <a:chExt cx="5310505" cy="1040102"/>
                        </a:xfrm>
                      </wpg:grpSpPr>
                      <pic:pic xmlns:pic="http://schemas.openxmlformats.org/drawingml/2006/picture">
                        <pic:nvPicPr>
                          <pic:cNvPr id="31" name="table"/>
                          <pic:cNvPicPr>
                            <a:picLocks noChangeAspect="1"/>
                          </pic:cNvPicPr>
                        </pic:nvPicPr>
                        <pic:blipFill>
                          <a:blip xmlns:r="http://schemas.openxmlformats.org/officeDocument/2006/relationships" r:embed="rId25"/>
                          <a:stretch>
                            <a:fillRect/>
                          </a:stretch>
                        </pic:blipFill>
                        <pic:spPr>
                          <a:xfrm>
                            <a:off x="0" y="166977"/>
                            <a:ext cx="5310505" cy="873125"/>
                          </a:xfrm>
                          <a:prstGeom prst="rect">
                            <a:avLst/>
                          </a:prstGeom>
                        </pic:spPr>
                      </pic:pic>
                      <wpg:grpSp>
                        <wpg:cNvPr id="37" name="קבוצה 22"/>
                        <wpg:cNvGrpSpPr/>
                        <wpg:grpSpPr>
                          <a:xfrm>
                            <a:off x="2520563" y="0"/>
                            <a:ext cx="271463" cy="266700"/>
                            <a:chOff x="0" y="0"/>
                            <a:chExt cx="1781175" cy="1781175"/>
                          </a:xfrm>
                        </wpg:grpSpPr>
                        <pic:pic xmlns:pic="http://schemas.openxmlformats.org/drawingml/2006/picture">
                          <pic:nvPicPr>
                            <pic:cNvPr id="38" name="תמונה 38"/>
                            <pic:cNvPicPr>
                              <a:picLocks noChangeAspect="1"/>
                            </pic:cNvPicPr>
                          </pic:nvPicPr>
                          <pic:blipFill>
                            <a:blip xmlns:r="http://schemas.openxmlformats.org/officeDocument/2006/relationships" r:embed="rId9">
                              <a:clrChange>
                                <a:clrFrom>
                                  <a:srgbClr val="FFFFFF"/>
                                </a:clrFrom>
                                <a:clrTo>
                                  <a:srgbClr val="FFFFFF">
                                    <a:alpha val="0"/>
                                  </a:srgbClr>
                                </a:clrTo>
                              </a:clrChange>
                            </a:blip>
                            <a:stretch>
                              <a:fillRect/>
                            </a:stretch>
                          </pic:blipFill>
                          <pic:spPr>
                            <a:xfrm>
                              <a:off x="0" y="0"/>
                              <a:ext cx="1781175" cy="1781175"/>
                            </a:xfrm>
                            <a:prstGeom prst="rect">
                              <a:avLst/>
                            </a:prstGeom>
                          </pic:spPr>
                        </pic:pic>
                        <pic:pic xmlns:pic="http://schemas.openxmlformats.org/drawingml/2006/picture">
                          <pic:nvPicPr>
                            <pic:cNvPr id="39" name="תמונה 39"/>
                            <pic:cNvPicPr>
                              <a:picLocks noChangeAspect="1"/>
                            </pic:cNvPicPr>
                          </pic:nvPicPr>
                          <pic:blipFill>
                            <a:blip xmlns:r="http://schemas.openxmlformats.org/officeDocument/2006/relationships" r:embed="rId10"/>
                            <a:srcRect l="16969" t="20795" r="16969" b="20795"/>
                            <a:stretch>
                              <a:fillRect/>
                            </a:stretch>
                          </pic:blipFill>
                          <pic:spPr>
                            <a:xfrm>
                              <a:off x="302249" y="371444"/>
                              <a:ext cx="1176676" cy="1040392"/>
                            </a:xfrm>
                            <a:prstGeom prst="rect">
                              <a:avLst/>
                            </a:prstGeom>
                          </pic:spPr>
                        </pic:pic>
                      </wpg:grpSp>
                    </wpg:wgp>
                  </a:graphicData>
                </a:graphic>
              </wp:anchor>
            </w:drawing>
          </mc:Choice>
          <mc:Fallback>
            <w:pict>
              <v:group id="קבוצה 29" o:spid="_x0000_s1048" style="width:418.15pt;height:81.9pt;margin-top:2.4pt;margin-left:3.25pt;position:absolute;z-index:251667456" coordsize="53105,10401">
                <v:shape id="table" o:spid="_x0000_s1049" type="#_x0000_t75" style="width:53105;height:8732;mso-wrap-style:square;position:absolute;top:1669;visibility:visible">
                  <v:imagedata r:id="rId25" o:title=""/>
                </v:shape>
                <v:group id="קבוצה 22" o:spid="_x0000_s1050" style="width:2715;height:2667;left:25205;position:absolute" coordsize="17811,17811">
                  <v:shape id="תמונה 38" o:spid="_x0000_s1051" type="#_x0000_t75" style="width:17811;height:17811;mso-wrap-style:square;position:absolute;visibility:visible">
                    <v:imagedata r:id="rId9" o:title="" chromakey="white"/>
                  </v:shape>
                  <v:shape id="תמונה 39" o:spid="_x0000_s1052" type="#_x0000_t75" style="width:11767;height:10404;left:3022;mso-wrap-style:square;position:absolute;top:3714;visibility:visible">
                    <v:imagedata r:id="rId10" o:title="" croptop="13628f" cropbottom="13628f" cropleft="11121f" cropright="11121f"/>
                  </v:shape>
                </v:group>
              </v:group>
            </w:pict>
          </mc:Fallback>
        </mc:AlternateContent>
      </w:r>
    </w:p>
    <w:p w:rsidR="00E303AD" w:rsidRPr="00E303AD" w:rsidP="00E303AD">
      <w:pPr>
        <w:spacing w:line="269" w:lineRule="auto"/>
        <w:ind w:left="-567"/>
        <w:rPr>
          <w:rFonts w:eastAsia="Calibri"/>
          <w:noProof/>
          <w:szCs w:val="20"/>
        </w:rPr>
      </w:pPr>
    </w:p>
    <w:p w:rsidR="00E303AD" w:rsidRPr="00E303AD" w:rsidP="00E303AD">
      <w:pPr>
        <w:spacing w:line="269" w:lineRule="auto"/>
        <w:ind w:left="-567"/>
        <w:rPr>
          <w:rFonts w:eastAsia="Calibri"/>
          <w:noProof/>
          <w:szCs w:val="20"/>
        </w:rPr>
      </w:pPr>
    </w:p>
    <w:p w:rsidR="00E303AD" w:rsidRPr="00E303AD" w:rsidP="00E303AD">
      <w:pPr>
        <w:spacing w:line="269" w:lineRule="auto"/>
        <w:ind w:left="-567"/>
        <w:rPr>
          <w:rFonts w:eastAsia="Calibri"/>
          <w:noProof/>
          <w:szCs w:val="20"/>
        </w:rPr>
      </w:pPr>
    </w:p>
    <w:p w:rsidR="00E303AD" w:rsidRPr="00E303AD" w:rsidP="00E303AD">
      <w:pPr>
        <w:spacing w:line="269" w:lineRule="auto"/>
        <w:ind w:left="-567"/>
        <w:rPr>
          <w:rFonts w:eastAsia="Calibri"/>
          <w:noProof/>
          <w:szCs w:val="20"/>
        </w:rPr>
      </w:pPr>
    </w:p>
    <w:p w:rsidR="00E303AD" w:rsidRPr="00E303AD" w:rsidP="00E303AD">
      <w:pPr>
        <w:spacing w:line="269" w:lineRule="auto"/>
        <w:ind w:left="-567"/>
        <w:rPr>
          <w:rFonts w:eastAsia="Calibri"/>
          <w:noProof/>
          <w:szCs w:val="20"/>
          <w:rtl/>
        </w:rPr>
      </w:pPr>
    </w:p>
    <w:p w:rsidR="00E303AD" w:rsidRPr="00E303AD" w:rsidP="00E303AD">
      <w:pPr>
        <w:spacing w:line="269" w:lineRule="auto"/>
        <w:rPr>
          <w:rFonts w:eastAsia="Calibri"/>
          <w:rtl/>
        </w:rPr>
      </w:pPr>
      <w:bookmarkStart w:id="97" w:name="_Toc221474977"/>
      <w:bookmarkStart w:id="98" w:name="_Toc224808284"/>
      <w:bookmarkStart w:id="99" w:name="_Toc232696562"/>
    </w:p>
    <w:p w:rsidR="00E303AD" w:rsidRPr="00E303AD" w:rsidP="00E303AD">
      <w:pPr>
        <w:rPr>
          <w:rFonts w:eastAsia="Calibri"/>
          <w:rtl/>
        </w:rPr>
      </w:pPr>
    </w:p>
    <w:p w:rsidR="00E303AD" w:rsidRPr="00E303AD" w:rsidP="00E303AD">
      <w:pPr>
        <w:keepNext/>
        <w:keepLines/>
        <w:spacing w:line="269" w:lineRule="auto"/>
        <w:outlineLvl w:val="2"/>
        <w:rPr>
          <w:rFonts w:eastAsia="Times New Roman"/>
          <w:bCs/>
          <w:szCs w:val="28"/>
          <w:u w:val="single"/>
          <w:rtl/>
        </w:rPr>
      </w:pPr>
      <w:r w:rsidRPr="00E303AD">
        <w:rPr>
          <w:rFonts w:eastAsia="Times New Roman" w:hint="cs"/>
          <w:bCs/>
          <w:szCs w:val="28"/>
          <w:u w:val="single"/>
          <w:rtl/>
        </w:rPr>
        <w:t>יחידות משטרתיות ייעודיות לטיפול בעבירות סחר בבני אדם</w:t>
      </w:r>
      <w:bookmarkEnd w:id="97"/>
      <w:bookmarkEnd w:id="98"/>
      <w:bookmarkEnd w:id="99"/>
      <w:r w:rsidRPr="00E303AD">
        <w:rPr>
          <w:rFonts w:eastAsia="Times New Roman" w:hint="cs"/>
          <w:bCs/>
          <w:szCs w:val="28"/>
          <w:u w:val="single"/>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עד שנת 2011</w:t>
      </w:r>
      <w:r w:rsidRPr="00E303AD">
        <w:rPr>
          <w:rFonts w:eastAsia="Calibri"/>
          <w:rtl/>
        </w:rPr>
        <w:t xml:space="preserve"> </w:t>
      </w:r>
      <w:r w:rsidRPr="00E303AD">
        <w:rPr>
          <w:rFonts w:eastAsia="Calibri" w:hint="cs"/>
          <w:rtl/>
        </w:rPr>
        <w:t>פעלה</w:t>
      </w:r>
      <w:r w:rsidRPr="00E303AD">
        <w:rPr>
          <w:rFonts w:eastAsia="Calibri"/>
          <w:rtl/>
        </w:rPr>
        <w:t xml:space="preserve"> </w:t>
      </w:r>
      <w:r w:rsidRPr="00E303AD">
        <w:rPr>
          <w:rFonts w:eastAsia="Calibri" w:hint="cs"/>
          <w:rtl/>
        </w:rPr>
        <w:t>יחידה</w:t>
      </w:r>
      <w:r w:rsidRPr="00E303AD">
        <w:rPr>
          <w:rFonts w:eastAsia="Calibri"/>
          <w:rtl/>
        </w:rPr>
        <w:t xml:space="preserve"> משטרתית ייעודית </w:t>
      </w:r>
      <w:r w:rsidRPr="00E303AD">
        <w:rPr>
          <w:rFonts w:eastAsia="Calibri" w:hint="cs"/>
          <w:rtl/>
        </w:rPr>
        <w:t xml:space="preserve">- </w:t>
      </w:r>
      <w:r w:rsidRPr="00E303AD">
        <w:rPr>
          <w:rFonts w:eastAsia="Calibri"/>
          <w:rtl/>
        </w:rPr>
        <w:t>"זרוע סער"</w:t>
      </w:r>
      <w:r w:rsidRPr="00E303AD">
        <w:rPr>
          <w:rFonts w:eastAsia="Calibri" w:hint="cs"/>
          <w:rtl/>
        </w:rPr>
        <w:t xml:space="preserve"> -</w:t>
      </w:r>
      <w:r w:rsidRPr="00E303AD">
        <w:rPr>
          <w:rFonts w:eastAsia="Calibri"/>
          <w:rtl/>
        </w:rPr>
        <w:t xml:space="preserve"> ביחידת להב</w:t>
      </w:r>
      <w:r w:rsidRPr="00E303AD">
        <w:rPr>
          <w:rFonts w:eastAsia="Calibri" w:hint="cs"/>
          <w:rtl/>
        </w:rPr>
        <w:t xml:space="preserve"> 433 באח"ם, ש</w:t>
      </w:r>
      <w:r w:rsidRPr="00E303AD">
        <w:rPr>
          <w:rFonts w:eastAsia="Calibri"/>
          <w:rtl/>
        </w:rPr>
        <w:t xml:space="preserve">תפקידה </w:t>
      </w:r>
      <w:r w:rsidRPr="00E303AD">
        <w:rPr>
          <w:rFonts w:eastAsia="Calibri" w:hint="cs"/>
          <w:rtl/>
        </w:rPr>
        <w:t>העיקרי היה אכיפת החוק בנושא הסחר בבני אדם. התקן של יחידה זו מנה עשרות משרות של חוקרים ושוטרים, והיחידה ביצעה אכיפה בנושא</w:t>
      </w:r>
      <w:r w:rsidRPr="00E303AD">
        <w:rPr>
          <w:rFonts w:eastAsia="Calibri"/>
          <w:rtl/>
        </w:rPr>
        <w:t>. בשנת 2011 החליט מפכ"ל המשטרה דאז לפרק</w:t>
      </w:r>
      <w:r w:rsidRPr="00E303AD">
        <w:rPr>
          <w:rFonts w:eastAsia="Calibri" w:hint="cs"/>
          <w:rtl/>
        </w:rPr>
        <w:t xml:space="preserve"> </w:t>
      </w:r>
      <w:r w:rsidRPr="00E303AD">
        <w:rPr>
          <w:rFonts w:eastAsia="Calibri"/>
          <w:rtl/>
        </w:rPr>
        <w:t xml:space="preserve">את </w:t>
      </w:r>
      <w:r w:rsidRPr="00E303AD">
        <w:rPr>
          <w:rFonts w:eastAsia="Calibri" w:hint="cs"/>
          <w:rtl/>
        </w:rPr>
        <w:t xml:space="preserve">היחידה </w:t>
      </w:r>
      <w:r w:rsidRPr="00E303AD">
        <w:rPr>
          <w:rFonts w:eastAsia="Calibri"/>
          <w:rtl/>
        </w:rPr>
        <w:t xml:space="preserve">ולבזר את תחומי הטיפול </w:t>
      </w:r>
      <w:r w:rsidRPr="00E303AD">
        <w:rPr>
          <w:rFonts w:eastAsia="Calibri" w:hint="cs"/>
          <w:rtl/>
        </w:rPr>
        <w:t xml:space="preserve">בעבירות סחר בבני אדם </w:t>
      </w:r>
      <w:r w:rsidRPr="00E303AD">
        <w:rPr>
          <w:rFonts w:eastAsia="Calibri"/>
          <w:rtl/>
        </w:rPr>
        <w:t xml:space="preserve">בין היחידות </w:t>
      </w:r>
      <w:r w:rsidRPr="00E303AD">
        <w:rPr>
          <w:rFonts w:eastAsia="Calibri" w:hint="cs"/>
          <w:rtl/>
        </w:rPr>
        <w:t xml:space="preserve">המרכזיות בכל מחוז </w:t>
      </w:r>
      <w:r w:rsidRPr="00E303AD">
        <w:rPr>
          <w:rFonts w:eastAsia="Calibri"/>
          <w:rtl/>
        </w:rPr>
        <w:t>(ימ"רים) ובחוליית סחר בבני אדם, וזאת תוך הצהרת כוונות שאיכות</w:t>
      </w:r>
      <w:r w:rsidRPr="00E303AD">
        <w:rPr>
          <w:rFonts w:eastAsia="Calibri" w:hint="cs"/>
          <w:rtl/>
        </w:rPr>
        <w:t xml:space="preserve"> </w:t>
      </w:r>
      <w:r w:rsidRPr="00E303AD">
        <w:rPr>
          <w:rFonts w:eastAsia="Calibri"/>
          <w:rtl/>
        </w:rPr>
        <w:t xml:space="preserve">הטיפול באכיפת </w:t>
      </w:r>
      <w:r w:rsidRPr="00E303AD">
        <w:rPr>
          <w:rFonts w:eastAsia="Calibri" w:hint="cs"/>
          <w:rtl/>
        </w:rPr>
        <w:t xml:space="preserve">החוק בעניין עבירות </w:t>
      </w:r>
      <w:r w:rsidRPr="00E303AD">
        <w:rPr>
          <w:rFonts w:eastAsia="Calibri"/>
          <w:rtl/>
        </w:rPr>
        <w:t>סחר בבני אדם לא תיפגע בעקבות השינוי הארגוני</w:t>
      </w:r>
      <w:r w:rsidRPr="00E303AD">
        <w:rPr>
          <w:rFonts w:eastAsia="Calibri"/>
        </w:rPr>
        <w:t>.</w:t>
      </w:r>
      <w:r w:rsidRPr="00E303AD">
        <w:rPr>
          <w:rFonts w:eastAsia="Calibri" w:hint="cs"/>
          <w:rtl/>
        </w:rPr>
        <w:t xml:space="preserve"> בעקבות קבלת החלטה זו נותרה ביחידת להב 433, נכון למועד הביקורת, יחידה קטנה לטיפול בעבירות סחר בבני אדם ("מחלק סער"); ובמחוז תל אביב בלבד, באופן חריג יחסית לכלל המחוזות, פועל "מחלק מוסר" לטיפול בתופעת בתי הבושת, בעבירות נלוות לזנות ובתופעת ההימורים (ראו להלן בתת-הפרק בנושא "מחלקי מוסר במחוזות"). </w:t>
      </w:r>
    </w:p>
    <w:p w:rsidR="00221641">
      <w:pPr>
        <w:bidi w:val="0"/>
        <w:spacing w:after="200" w:line="276" w:lineRule="auto"/>
        <w:rPr>
          <w:rFonts w:eastAsia="Calibri"/>
          <w:rtl/>
        </w:rPr>
      </w:pPr>
      <w:r>
        <w:rPr>
          <w:rFonts w:eastAsia="Calibri"/>
          <w:rtl/>
        </w:rPr>
        <w:br w:type="page"/>
      </w:r>
    </w:p>
    <w:p w:rsidR="00E303AD" w:rsidRPr="00E303AD" w:rsidP="00E303AD">
      <w:pPr>
        <w:keepNext/>
        <w:keepLines/>
        <w:numPr>
          <w:ilvl w:val="0"/>
          <w:numId w:val="24"/>
        </w:numPr>
        <w:spacing w:line="269" w:lineRule="auto"/>
        <w:contextualSpacing/>
        <w:outlineLvl w:val="3"/>
        <w:rPr>
          <w:rFonts w:eastAsia="Times New Roman"/>
          <w:bCs/>
          <w:szCs w:val="26"/>
          <w:rtl/>
        </w:rPr>
      </w:pPr>
      <w:bookmarkStart w:id="100" w:name="_Toc221474978"/>
      <w:bookmarkStart w:id="101" w:name="_Toc224808285"/>
      <w:r w:rsidRPr="00E303AD">
        <w:rPr>
          <w:rFonts w:eastAsia="Times New Roman" w:hint="cs"/>
          <w:bCs/>
          <w:szCs w:val="26"/>
          <w:rtl/>
        </w:rPr>
        <w:t>חוליית סחר בבני אדם במטה הארצי של המשטרה</w:t>
      </w:r>
      <w:bookmarkEnd w:id="100"/>
      <w:bookmarkEnd w:id="101"/>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522B30">
      <w:pPr>
        <w:spacing w:line="269" w:lineRule="auto"/>
        <w:ind w:left="312"/>
        <w:rPr>
          <w:rFonts w:eastAsia="Calibri"/>
          <w:rtl/>
        </w:rPr>
      </w:pPr>
      <w:r w:rsidRPr="00E303AD">
        <w:rPr>
          <w:rFonts w:eastAsia="Calibri"/>
          <w:rtl/>
        </w:rPr>
        <w:t xml:space="preserve">חוליית סחר בבני אדם, </w:t>
      </w:r>
      <w:r w:rsidRPr="00E303AD">
        <w:rPr>
          <w:rFonts w:eastAsia="Calibri" w:hint="cs"/>
          <w:rtl/>
        </w:rPr>
        <w:t>הכפופה</w:t>
      </w:r>
      <w:r w:rsidRPr="00E303AD">
        <w:rPr>
          <w:rFonts w:eastAsia="Calibri"/>
          <w:rtl/>
        </w:rPr>
        <w:t xml:space="preserve"> </w:t>
      </w:r>
      <w:r w:rsidRPr="00E303AD">
        <w:rPr>
          <w:rFonts w:eastAsia="Calibri" w:hint="cs"/>
          <w:rtl/>
        </w:rPr>
        <w:t>ל</w:t>
      </w:r>
      <w:r w:rsidRPr="00E303AD">
        <w:rPr>
          <w:rFonts w:eastAsia="Calibri"/>
          <w:rtl/>
        </w:rPr>
        <w:t xml:space="preserve">חטיבת החקירות של המשטרה, אמונה על </w:t>
      </w:r>
      <w:r w:rsidRPr="00E303AD">
        <w:rPr>
          <w:rFonts w:eastAsia="Calibri" w:hint="cs"/>
          <w:rtl/>
        </w:rPr>
        <w:t>הליווי ה</w:t>
      </w:r>
      <w:r w:rsidRPr="00E303AD">
        <w:rPr>
          <w:rFonts w:eastAsia="Calibri"/>
          <w:rtl/>
        </w:rPr>
        <w:t xml:space="preserve">מקצועי של </w:t>
      </w:r>
      <w:r w:rsidRPr="00E303AD">
        <w:rPr>
          <w:rFonts w:eastAsia="Calibri" w:hint="cs"/>
          <w:rtl/>
        </w:rPr>
        <w:t>ה</w:t>
      </w:r>
      <w:r w:rsidRPr="00E303AD">
        <w:rPr>
          <w:rFonts w:eastAsia="Calibri"/>
          <w:rtl/>
        </w:rPr>
        <w:t>טיפול בעבירות סחר בבני אדם</w:t>
      </w:r>
      <w:r w:rsidRPr="00E303AD">
        <w:rPr>
          <w:rFonts w:eastAsia="Calibri" w:hint="cs"/>
          <w:rtl/>
        </w:rPr>
        <w:t xml:space="preserve"> המתבצע במחוזות</w:t>
      </w:r>
      <w:r w:rsidRPr="00E303AD">
        <w:rPr>
          <w:rFonts w:eastAsia="Calibri"/>
          <w:rtl/>
        </w:rPr>
        <w:t xml:space="preserve">. </w:t>
      </w:r>
      <w:r w:rsidRPr="00E303AD">
        <w:rPr>
          <w:rFonts w:eastAsia="Calibri" w:hint="cs"/>
          <w:rtl/>
        </w:rPr>
        <w:t xml:space="preserve">תפקיד </w:t>
      </w:r>
      <w:r w:rsidRPr="00E303AD">
        <w:rPr>
          <w:rFonts w:eastAsia="Calibri"/>
          <w:rtl/>
        </w:rPr>
        <w:t xml:space="preserve">החוליה </w:t>
      </w:r>
      <w:r w:rsidRPr="00E303AD">
        <w:rPr>
          <w:rFonts w:eastAsia="Calibri" w:hint="cs"/>
          <w:rtl/>
        </w:rPr>
        <w:t xml:space="preserve">לנתב וללוות </w:t>
      </w:r>
      <w:r w:rsidRPr="00E303AD">
        <w:rPr>
          <w:rFonts w:eastAsia="Calibri"/>
          <w:rtl/>
        </w:rPr>
        <w:t>באופן שוטף תיקי חקירה</w:t>
      </w:r>
      <w:r w:rsidRPr="00E303AD">
        <w:rPr>
          <w:rFonts w:eastAsia="Calibri" w:hint="cs"/>
          <w:rtl/>
        </w:rPr>
        <w:t xml:space="preserve"> ביחידות השטח</w:t>
      </w:r>
      <w:r>
        <w:rPr>
          <w:rFonts w:eastAsia="Calibri"/>
          <w:vertAlign w:val="superscript"/>
          <w:rtl/>
        </w:rPr>
        <w:footnoteReference w:id="95"/>
      </w:r>
      <w:r w:rsidRPr="00E303AD">
        <w:rPr>
          <w:rFonts w:eastAsia="Calibri"/>
          <w:rtl/>
        </w:rPr>
        <w:t xml:space="preserve">, </w:t>
      </w:r>
      <w:r w:rsidRPr="00E303AD">
        <w:rPr>
          <w:rFonts w:eastAsia="Calibri" w:hint="cs"/>
          <w:rtl/>
        </w:rPr>
        <w:t xml:space="preserve">להנגיש </w:t>
      </w:r>
      <w:r w:rsidRPr="00E303AD">
        <w:rPr>
          <w:rFonts w:eastAsia="Calibri"/>
          <w:rtl/>
        </w:rPr>
        <w:t>ידע מקצועי ו</w:t>
      </w:r>
      <w:r w:rsidRPr="00E303AD">
        <w:rPr>
          <w:rFonts w:eastAsia="Calibri" w:hint="cs"/>
          <w:rtl/>
        </w:rPr>
        <w:t>ל</w:t>
      </w:r>
      <w:r w:rsidRPr="00E303AD">
        <w:rPr>
          <w:rFonts w:eastAsia="Calibri"/>
          <w:rtl/>
        </w:rPr>
        <w:t>ספק הנחיה לגורמי אכיפה בשטח</w:t>
      </w:r>
      <w:r w:rsidRPr="00E303AD">
        <w:rPr>
          <w:rFonts w:eastAsia="Calibri" w:hint="cs"/>
          <w:rtl/>
        </w:rPr>
        <w:t>, לרבות באמצעות פגישות שוטפות עם מפקדי ימ"רים וקציני אח"ם מחוזיים בכל הארץ, כדי לקדם ולטייב את הטיפול בעבירות סחר בבני אדם, ובאמצעות הכשרות במכללה הלאומית לשוטרים</w:t>
      </w:r>
      <w:r w:rsidRPr="00E303AD">
        <w:rPr>
          <w:rFonts w:eastAsia="Calibri"/>
          <w:rtl/>
        </w:rPr>
        <w:t xml:space="preserve">. </w:t>
      </w:r>
      <w:r w:rsidRPr="00E303AD">
        <w:rPr>
          <w:rFonts w:eastAsia="Calibri" w:hint="cs"/>
          <w:rtl/>
        </w:rPr>
        <w:t xml:space="preserve">חלק מהחקירות שמלווה החוליה מתפתחות בעקבות מידע הנאסף במשטרה בנושאים הנוגעים לסחר בבני אדם ולעבירות נלוות. </w:t>
      </w:r>
      <w:r w:rsidRPr="00E303AD">
        <w:rPr>
          <w:rFonts w:eastAsia="Calibri"/>
          <w:rtl/>
        </w:rPr>
        <w:t xml:space="preserve">כמו כן, </w:t>
      </w:r>
      <w:r w:rsidRPr="00E303AD">
        <w:rPr>
          <w:rFonts w:eastAsia="Calibri" w:hint="cs"/>
          <w:rtl/>
        </w:rPr>
        <w:t xml:space="preserve">החוליה </w:t>
      </w:r>
      <w:r w:rsidRPr="00E303AD">
        <w:rPr>
          <w:rFonts w:eastAsia="Calibri"/>
          <w:rtl/>
        </w:rPr>
        <w:t>משמשת כתובת לפניות</w:t>
      </w:r>
      <w:r w:rsidRPr="00E303AD">
        <w:rPr>
          <w:rFonts w:eastAsia="Calibri" w:hint="cs"/>
          <w:rtl/>
        </w:rPr>
        <w:t xml:space="preserve"> לקבלת</w:t>
      </w:r>
      <w:r w:rsidRPr="00E303AD">
        <w:rPr>
          <w:rFonts w:eastAsia="Calibri"/>
          <w:rtl/>
        </w:rPr>
        <w:t xml:space="preserve"> ייעוץ וסיוע מקצועי, הן עבור גורמים פנימיים במשטרה והן </w:t>
      </w:r>
      <w:r w:rsidRPr="00E303AD">
        <w:rPr>
          <w:rFonts w:eastAsia="Calibri" w:hint="cs"/>
          <w:rtl/>
        </w:rPr>
        <w:t>עבור</w:t>
      </w:r>
      <w:r w:rsidRPr="00E303AD">
        <w:rPr>
          <w:rFonts w:eastAsia="Calibri"/>
          <w:rtl/>
        </w:rPr>
        <w:t xml:space="preserve"> שותפים חיצוניים העוסקים בתחום</w:t>
      </w:r>
      <w:r w:rsidRPr="00E303AD">
        <w:rPr>
          <w:rFonts w:eastAsia="Calibri" w:hint="cs"/>
          <w:rtl/>
        </w:rPr>
        <w:t>, ו</w:t>
      </w:r>
      <w:r w:rsidRPr="00E303AD">
        <w:rPr>
          <w:rFonts w:eastAsia="Calibri"/>
          <w:rtl/>
        </w:rPr>
        <w:t>בהם משרד הרווחה, משרד המשפטים</w:t>
      </w:r>
      <w:r w:rsidRPr="00E303AD">
        <w:rPr>
          <w:rFonts w:eastAsia="Calibri" w:hint="cs"/>
          <w:rtl/>
        </w:rPr>
        <w:t xml:space="preserve">, רשות האוכלוסין </w:t>
      </w:r>
      <w:r w:rsidRPr="00E303AD">
        <w:rPr>
          <w:rFonts w:eastAsia="Calibri"/>
          <w:rtl/>
        </w:rPr>
        <w:t>וארגוני סיוע</w:t>
      </w:r>
      <w:r w:rsidRPr="00E303AD">
        <w:rPr>
          <w:rFonts w:eastAsia="Calibri"/>
        </w:rPr>
        <w:t>.</w:t>
      </w:r>
      <w:r w:rsidRPr="00E303AD">
        <w:rPr>
          <w:rFonts w:eastAsia="Calibri" w:hint="cs"/>
          <w:noProof/>
          <w:rtl/>
        </w:rPr>
        <w:t xml:space="preserve"> החוליה שותפה גם להליכי חקיקה ולתיקוני חקיקה הקשורים בעבירות שבתחום עיסוקה, משתתפת בדיוני ועדות הכנסת העוסקות בנושא הסחר בבני אדם, משתתפת בצוותי עבודה העוסקים בנושא הסחר בבני אדם ומקיימת הרצאות המיועדות לגורמים אזרחיים שונים העוסקים בתחום (כמו בקרי גבול ברשות האוכלוסין).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522B30">
      <w:pPr>
        <w:spacing w:line="269" w:lineRule="auto"/>
        <w:ind w:left="312"/>
        <w:rPr>
          <w:rFonts w:eastAsia="Calibri"/>
          <w:noProof/>
          <w:rtl/>
        </w:rPr>
      </w:pPr>
      <w:r w:rsidRPr="00E303AD">
        <w:rPr>
          <w:rFonts w:eastAsia="Calibri" w:hint="cs"/>
          <w:noProof/>
          <w:rtl/>
        </w:rPr>
        <w:t xml:space="preserve">כפי שיפורט להלן, במשך השנים שבו והעלו גורמים במשטרה ובמשרד לביטחון לאומי וגורמים הפועלים מטעם מחלקת המדינה האמריקאית את הצורך להקצות כוח אדם נוסף לחוליית סחר בבני אדם. זאת, כדי שהיא תוכל לעמוד בייעודה ובתפקידים המוטלים עליה, ולמעשה כדי לאפשר את הגברת האכיפה בתחום המאבק בסחר בבני אדם: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522B30" w:rsidP="00522B30">
      <w:pPr>
        <w:pStyle w:val="ListParagraph"/>
        <w:numPr>
          <w:ilvl w:val="1"/>
          <w:numId w:val="24"/>
        </w:numPr>
        <w:spacing w:line="269" w:lineRule="auto"/>
        <w:rPr>
          <w:rFonts w:eastAsia="Calibri"/>
        </w:rPr>
      </w:pPr>
      <w:r w:rsidRPr="00522B30">
        <w:rPr>
          <w:rFonts w:eastAsia="Calibri" w:hint="cs"/>
          <w:rtl/>
        </w:rPr>
        <w:t>בדיווח שמסרה המשטרה לכנסת בפברואר 2021 היא עדכנה כי תקן חוליית סחר בבני אדם מונה רק קצינה אחת, וכי לנוכח עומס העבודה המוטל עליה, ולנוכח הערות חוזרות ונשנות בדוח האמריקאי, החליט מפכ"ל המשטרה להוסיף לתקן כוח האדם בחוליה שתי משרות, כלומר לקבוע כי החוליה תכלול שלוש משרות בסך הכול</w:t>
      </w:r>
      <w:r>
        <w:rPr>
          <w:vertAlign w:val="superscript"/>
          <w:rtl/>
        </w:rPr>
        <w:footnoteReference w:id="96"/>
      </w:r>
      <w:r w:rsidRPr="00522B30">
        <w:rPr>
          <w:rFonts w:eastAsia="Calibri" w:hint="cs"/>
          <w:rtl/>
        </w:rPr>
        <w:t xml:space="preserve">. </w:t>
      </w:r>
    </w:p>
    <w:p w:rsidR="00E303AD" w:rsidRPr="00E303AD" w:rsidP="00E303AD">
      <w:pPr>
        <w:spacing w:line="269" w:lineRule="auto"/>
        <w:ind w:left="-567"/>
        <w:rPr>
          <w:rFonts w:eastAsia="Calibri"/>
          <w:szCs w:val="20"/>
        </w:rPr>
      </w:pPr>
      <w:r w:rsidRPr="00E303AD">
        <w:rPr>
          <w:rFonts w:eastAsia="Calibri" w:hint="cs"/>
          <w:szCs w:val="20"/>
          <w:rtl/>
        </w:rPr>
        <w:t xml:space="preserve"> </w:t>
      </w:r>
    </w:p>
    <w:p w:rsidR="00E303AD" w:rsidRPr="00E303AD" w:rsidP="00522B30">
      <w:pPr>
        <w:pStyle w:val="ListParagraph"/>
        <w:numPr>
          <w:ilvl w:val="1"/>
          <w:numId w:val="24"/>
        </w:numPr>
        <w:spacing w:line="269" w:lineRule="auto"/>
        <w:rPr>
          <w:rFonts w:eastAsia="Calibri"/>
        </w:rPr>
      </w:pPr>
      <w:r w:rsidRPr="00E303AD">
        <w:rPr>
          <w:rFonts w:eastAsia="Calibri" w:hint="cs"/>
          <w:rtl/>
        </w:rPr>
        <w:t>הדוח האמריקאי לשנת 2022 עסק במפורש בחוליית סחר בבני אדם וצוין בו שיש בחוליה תת-איוש חמור זו השנה השישית ברציפות, והדבר פוגע ביעילות של הליכי זיהוי הקורבנות והפנייתם לשירותי הגנה</w:t>
      </w:r>
      <w:r>
        <w:rPr>
          <w:rFonts w:eastAsia="Calibri"/>
          <w:vertAlign w:val="superscript"/>
          <w:rtl/>
        </w:rPr>
        <w:footnoteReference w:id="97"/>
      </w:r>
      <w:r w:rsidRPr="00E303AD">
        <w:rPr>
          <w:rFonts w:eastAsia="Calibri" w:hint="cs"/>
          <w:rtl/>
        </w:rPr>
        <w:t>.</w:t>
      </w:r>
      <w:r w:rsidRPr="00E303AD">
        <w:rPr>
          <w:rFonts w:eastAsia="Calibri" w:hint="cs"/>
        </w:rPr>
        <w:t xml:space="preserve"> </w:t>
      </w:r>
      <w:r w:rsidRPr="00E303AD">
        <w:rPr>
          <w:rFonts w:eastAsia="Calibri" w:hint="cs"/>
          <w:rtl/>
        </w:rPr>
        <w:t xml:space="preserve">ההמלצה להגדיל את התקן של חוליית סחר בבני אדם נכללה גם בכל אחד מהדוחות האמריקאיים בשנים 2023 - 2025. </w:t>
      </w:r>
    </w:p>
    <w:p w:rsidR="00E303AD" w:rsidRPr="00E303AD" w:rsidP="00E303AD">
      <w:pPr>
        <w:spacing w:line="269" w:lineRule="auto"/>
        <w:ind w:left="-567"/>
        <w:rPr>
          <w:rFonts w:eastAsia="Calibri"/>
          <w:szCs w:val="20"/>
          <w:rtl/>
        </w:rPr>
      </w:pPr>
    </w:p>
    <w:p w:rsidR="00E303AD" w:rsidRPr="00E303AD" w:rsidP="00522B30">
      <w:pPr>
        <w:pStyle w:val="ListParagraph"/>
        <w:numPr>
          <w:ilvl w:val="1"/>
          <w:numId w:val="24"/>
        </w:numPr>
        <w:spacing w:line="269" w:lineRule="auto"/>
        <w:rPr>
          <w:rFonts w:eastAsia="Calibri"/>
        </w:rPr>
      </w:pPr>
      <w:r w:rsidRPr="00E303AD">
        <w:rPr>
          <w:rFonts w:eastAsia="Calibri" w:hint="cs"/>
          <w:rtl/>
        </w:rPr>
        <w:t>במסמך של המשרד לביטחון לאומי מינואר 2024 מפורטים הפערים בנושא. למשל, המשרד ציין כי משהוחלט לבזר את משימותיה של זרוע סער (בלהב 433) ביחידות המחוזיות (ימ"רים), נוצר מצב שבו חוליית סחר בבני אדם תלויה בעיקר בזמינות של הימ"רים - העמוסים ממילא - לחקור מידע משטרתי על חשד לסחר, והדבר פוגע באפקטיביות הטיפול המשטרתי. לנוכח זאת המליץ המשרד לביטחון לאומי, בין היתר, "לעבות" את חוליית סחר בבני אדם באופן שיאפשר לה לממש את ייעודה.</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522B30">
      <w:pPr>
        <w:spacing w:line="269" w:lineRule="auto"/>
        <w:ind w:left="312"/>
        <w:rPr>
          <w:rFonts w:eastAsia="Calibri"/>
          <w:rtl/>
        </w:rPr>
      </w:pPr>
      <w:r w:rsidRPr="00E303AD">
        <w:rPr>
          <w:rFonts w:eastAsia="Calibri" w:hint="cs"/>
          <w:b/>
          <w:bCs/>
          <w:rtl/>
        </w:rPr>
        <w:t xml:space="preserve">הביקורת העלתה כי אף שחוליית סחר בבני אדם במשטרה אמונה על תפקידים ומשימות רבים במסגרת המאבק בעבירות סחר בבני אדם, ובכלל זה קידום תיקי חקירה, שיתוף פעולה עם גורמי אכיפה אזרחיים וארגוני מגזר שלישי וקיום הכשרות בהיקף מספק, נכון למועד סיום הביקורת ביולי 2025 היה בה מחסור ניכר בכוח אדם והועסקה בה קצינה אחת בלבד. זאת אף שכבר בשנת 2020 הועלה הצורך להגדיל את היקף התקנים של חוליית סחר בבני אדם הן על ידי המשטרה, הן על ידי המשרד לביטחון לאומי והן על ידי מחלקת המדינה האמריקאית בדוח השנתי בנושא. בשנת 2021 התחייבה המשטרה להרחיב את התקן של חוליית סחר בבני אדם ממשרה אחת לשלוש משרות, ואולם בביקורת נמצא כי רק בשנת 2025 אושרה הוספת משרות נוספות לתקני החוליה, ונכון למועד סיום הביקורת משרות אלו לא אוישו.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522B30">
      <w:pPr>
        <w:spacing w:line="269" w:lineRule="auto"/>
        <w:ind w:left="312"/>
        <w:rPr>
          <w:rFonts w:eastAsia="Calibri"/>
          <w:rtl/>
        </w:rPr>
      </w:pPr>
      <w:r w:rsidRPr="00E303AD">
        <w:rPr>
          <w:rFonts w:eastAsia="Calibri" w:hint="cs"/>
          <w:b/>
          <w:bCs/>
          <w:rtl/>
        </w:rPr>
        <w:t>חוליית סחר בבני אדם ממלאת תפקיד מרכזי במאבק בתופעה זו. ואולם החוליה - שבמועד הביקורת פעלה באמצעות קצינה אחת בלבד - לא הייתה מצוידת במשאבי כוח האדם הנדרשים לה כדי לבצע באופן המיטבי את משימותיה הרבות ולממש את ייעודה, באופן העלול לפגוע באפקטיביות הטיפול המשטרתי במאבק בסחר בבני אדם.</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522B30">
      <w:pPr>
        <w:spacing w:line="269" w:lineRule="auto"/>
        <w:ind w:left="312"/>
        <w:rPr>
          <w:rFonts w:eastAsia="Calibri"/>
          <w:rtl/>
        </w:rPr>
      </w:pPr>
      <w:r w:rsidRPr="00E303AD">
        <w:rPr>
          <w:rFonts w:eastAsia="Calibri" w:hint="cs"/>
          <w:rtl/>
        </w:rPr>
        <w:t>בתשובת המשטרה נמסר כי במהלך שנת 2026 אוישו התקנים בחוליה - חוקרת החלה את עבודתה ושוטר שנבחר לתפקיד קצין חוליה ממתין לתאריך העברה לחוליה.</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522B30">
      <w:pPr>
        <w:spacing w:line="269" w:lineRule="auto"/>
        <w:ind w:left="312"/>
        <w:rPr>
          <w:rFonts w:eastAsia="Calibri"/>
          <w:b/>
          <w:bCs/>
          <w:rtl/>
        </w:rPr>
      </w:pPr>
      <w:r w:rsidRPr="00E303AD">
        <w:rPr>
          <w:rFonts w:eastAsia="Calibri" w:hint="cs"/>
          <w:b/>
          <w:bCs/>
          <w:rtl/>
        </w:rPr>
        <w:t xml:space="preserve">על המשטרה להשלים את איוש המשרה של קצין חוליית סחר בבני אדם. מוצע כי המשטרה תבחן את ההתאמה בין משימותיה הרבות של החוליה ובין המשאבים המוקצים לה ותתאים את דרכי פעולתה לנסיבות הקיימות. </w:t>
      </w:r>
    </w:p>
    <w:p w:rsidR="00E303AD" w:rsidRPr="00E303AD" w:rsidP="00E303AD">
      <w:pPr>
        <w:spacing w:line="269" w:lineRule="auto"/>
        <w:rPr>
          <w:rFonts w:eastAsia="Calibri"/>
          <w:rtl/>
        </w:rPr>
      </w:pPr>
    </w:p>
    <w:p w:rsidR="00E303AD" w:rsidRPr="00E303AD" w:rsidP="00E303AD">
      <w:pPr>
        <w:keepNext/>
        <w:keepLines/>
        <w:numPr>
          <w:ilvl w:val="0"/>
          <w:numId w:val="24"/>
        </w:numPr>
        <w:spacing w:line="269" w:lineRule="auto"/>
        <w:contextualSpacing/>
        <w:outlineLvl w:val="3"/>
        <w:rPr>
          <w:rFonts w:eastAsia="Times New Roman"/>
          <w:bCs/>
          <w:szCs w:val="26"/>
          <w:rtl/>
        </w:rPr>
      </w:pPr>
      <w:bookmarkStart w:id="102" w:name="_Toc221474979"/>
      <w:bookmarkStart w:id="103" w:name="_Toc224808286"/>
      <w:r w:rsidRPr="00E303AD">
        <w:rPr>
          <w:rFonts w:eastAsia="Times New Roman" w:hint="cs"/>
          <w:bCs/>
          <w:szCs w:val="26"/>
          <w:rtl/>
        </w:rPr>
        <w:t>מחלקי מוסר במחוזות</w:t>
      </w:r>
      <w:bookmarkEnd w:id="102"/>
      <w:bookmarkEnd w:id="103"/>
      <w:r w:rsidRPr="00E303AD">
        <w:rPr>
          <w:rFonts w:eastAsia="Times New Roman" w:hint="cs"/>
          <w:bCs/>
          <w:szCs w:val="26"/>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522B30">
      <w:pPr>
        <w:spacing w:line="269" w:lineRule="auto"/>
        <w:ind w:left="312"/>
        <w:rPr>
          <w:rFonts w:eastAsia="Calibri"/>
          <w:rtl/>
        </w:rPr>
      </w:pPr>
      <w:r w:rsidRPr="00E303AD">
        <w:rPr>
          <w:rFonts w:eastAsia="Calibri" w:hint="cs"/>
          <w:rtl/>
        </w:rPr>
        <w:t>במשך השנים ובמסגרת המאבק בסחר בבני אדם, שב ועלה במשטרה הצורך בהקצאת משאבים וכוח אדם לצורך הטיפול בתופעת הסחר בבני אדם, ובכלל זה בתופעת הזנות. במסמך של אגף תכנון משנת 2017 התייחסה המשטרה לכך שמחוז תל אביב הוא המחוז היחיד שיש בו מחלקים ייעודיים לטיפול בעבירות סחר בבני אדם ובעבירות הנלוות להן (להלן - מחלקי מוסר)</w:t>
      </w:r>
      <w:r w:rsidRPr="00E303AD">
        <w:rPr>
          <w:rFonts w:eastAsia="Calibri"/>
          <w:rtl/>
        </w:rPr>
        <w:t xml:space="preserve">. </w:t>
      </w:r>
      <w:r w:rsidRPr="00E303AD">
        <w:rPr>
          <w:rFonts w:eastAsia="Calibri" w:hint="cs"/>
          <w:rtl/>
        </w:rPr>
        <w:t xml:space="preserve">במסמך זה צוין כי </w:t>
      </w:r>
      <w:r w:rsidRPr="00E303AD">
        <w:rPr>
          <w:rFonts w:eastAsia="Calibri"/>
          <w:rtl/>
        </w:rPr>
        <w:t>מחלקי</w:t>
      </w:r>
      <w:r w:rsidRPr="00E303AD">
        <w:rPr>
          <w:rFonts w:eastAsia="Calibri" w:hint="cs"/>
          <w:rtl/>
        </w:rPr>
        <w:t xml:space="preserve"> מוסר אלה</w:t>
      </w:r>
      <w:r w:rsidRPr="00E303AD">
        <w:rPr>
          <w:rFonts w:eastAsia="Calibri"/>
          <w:rtl/>
        </w:rPr>
        <w:t xml:space="preserve"> הכרחיים לטיוב</w:t>
      </w:r>
      <w:r w:rsidRPr="00E303AD">
        <w:rPr>
          <w:rFonts w:eastAsia="Calibri" w:hint="cs"/>
          <w:rtl/>
        </w:rPr>
        <w:t xml:space="preserve"> </w:t>
      </w:r>
      <w:r w:rsidRPr="00E303AD">
        <w:rPr>
          <w:rFonts w:eastAsia="Calibri"/>
          <w:rtl/>
        </w:rPr>
        <w:t>הטיפול</w:t>
      </w:r>
      <w:r w:rsidRPr="00E303AD">
        <w:rPr>
          <w:rFonts w:eastAsia="Calibri" w:hint="cs"/>
          <w:rtl/>
        </w:rPr>
        <w:t xml:space="preserve"> בעבירות סחר בבני אדם ובעבירות נלוות, </w:t>
      </w:r>
      <w:r w:rsidRPr="00E303AD">
        <w:rPr>
          <w:rFonts w:eastAsia="Calibri"/>
          <w:rtl/>
        </w:rPr>
        <w:t xml:space="preserve">מתוך הבנת הצורך </w:t>
      </w:r>
      <w:r w:rsidRPr="00E303AD">
        <w:rPr>
          <w:rFonts w:eastAsia="Calibri" w:hint="cs"/>
          <w:rtl/>
        </w:rPr>
        <w:t>ב</w:t>
      </w:r>
      <w:r w:rsidRPr="00E303AD">
        <w:rPr>
          <w:rFonts w:eastAsia="Calibri"/>
          <w:rtl/>
        </w:rPr>
        <w:t>כ</w:t>
      </w:r>
      <w:r w:rsidRPr="00E303AD">
        <w:rPr>
          <w:rFonts w:eastAsia="Calibri" w:hint="cs"/>
          <w:rtl/>
        </w:rPr>
        <w:t>ו</w:t>
      </w:r>
      <w:r w:rsidRPr="00E303AD">
        <w:rPr>
          <w:rFonts w:eastAsia="Calibri"/>
          <w:rtl/>
        </w:rPr>
        <w:t xml:space="preserve">ח אדם ייעודי ומקצועי </w:t>
      </w:r>
      <w:r w:rsidRPr="00E303AD">
        <w:rPr>
          <w:rFonts w:eastAsia="Calibri" w:hint="cs"/>
          <w:rtl/>
        </w:rPr>
        <w:t xml:space="preserve">שיעסוק </w:t>
      </w:r>
      <w:r w:rsidRPr="00E303AD">
        <w:rPr>
          <w:rFonts w:eastAsia="Calibri"/>
          <w:rtl/>
        </w:rPr>
        <w:t>בתחום זה</w:t>
      </w:r>
      <w:r w:rsidRPr="00E303AD">
        <w:rPr>
          <w:rFonts w:eastAsia="Calibri" w:hint="cs"/>
          <w:rtl/>
        </w:rPr>
        <w:t>.</w:t>
      </w:r>
      <w:r w:rsidRPr="00E303AD">
        <w:rPr>
          <w:rFonts w:eastAsia="Calibri"/>
          <w:rtl/>
        </w:rPr>
        <w:t xml:space="preserve"> </w:t>
      </w:r>
      <w:r w:rsidRPr="00E303AD">
        <w:rPr>
          <w:rFonts w:eastAsia="Calibri" w:hint="cs"/>
          <w:rtl/>
        </w:rPr>
        <w:t xml:space="preserve">המשטרה דרשה כי לתקני המחלקים הייעודיים יוקצו 143 משרות.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522B30">
      <w:pPr>
        <w:spacing w:line="269" w:lineRule="auto"/>
        <w:ind w:left="312"/>
        <w:rPr>
          <w:rFonts w:eastAsia="Calibri"/>
          <w:rtl/>
        </w:rPr>
      </w:pPr>
      <w:r w:rsidRPr="00E303AD">
        <w:rPr>
          <w:rFonts w:eastAsia="Calibri" w:hint="cs"/>
          <w:rtl/>
        </w:rPr>
        <w:t xml:space="preserve">בדצמבר 2021 ציין המשרד לביטחון לאומי כי המענה שנותנת כיום המשטרה באמצעות ראשי ענף החקירות (רענ"חים) המחוזיים לתכלול ההתמודדות של המשטרה עם עבירות סחר בבני אדם ועם עבירות נלוות לזנות ברמה המחוזית "אינו מספיק לעיבוי האכיפה של התופעה".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522B30">
      <w:pPr>
        <w:spacing w:line="269" w:lineRule="auto"/>
        <w:ind w:left="312"/>
        <w:rPr>
          <w:rFonts w:eastAsia="Calibri"/>
          <w:rtl/>
        </w:rPr>
      </w:pPr>
      <w:r w:rsidRPr="00E303AD">
        <w:rPr>
          <w:rFonts w:eastAsia="Calibri" w:hint="cs"/>
          <w:rtl/>
        </w:rPr>
        <w:t xml:space="preserve">בשנת 2022 ביקש המשנה למנכ"ל המשרד לביטחון לאומי מהמשטרה לקדם הקמה מדורגת של מחלקי מוסר במחוזות משטרה נוספים בשנים 2023 - 2024 לפי הסדר הזה: מרכז, חוף, דרום, צפון וירושלים וכן במרחבים אילת, נגב ולכיש. בכלל זה ביקש המשנה למנכ"ל כי יוקצו למחלקי המוסר הכלים, הידע והאמצעים הדרושים לטיפול בעבירות סחר בבני אדם ובעבירות הנלוות להן.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522B30">
      <w:pPr>
        <w:spacing w:line="269" w:lineRule="auto"/>
        <w:ind w:left="312"/>
        <w:rPr>
          <w:rFonts w:eastAsia="Calibri"/>
          <w:rtl/>
        </w:rPr>
      </w:pPr>
      <w:r w:rsidRPr="00E303AD">
        <w:rPr>
          <w:rFonts w:eastAsia="Calibri" w:hint="cs"/>
          <w:rtl/>
        </w:rPr>
        <w:t>בדיון של חטיבת התביעות במשטרה ממאי 2023, שעסק בתובנות מהטיפול בעבירות זנות, הוער כי מאחר שלא פועל מחלק מוסר בכלל המרחבים, בפועל כמעט שלא מתבצעת פעילות בנושא. במסמך של אגף התכנון במשטרה מספטמבר 2023 הוצגה עבודת המטה ולפיה יש צורך באיוש משרות רבות לשם התמודדות עם תופעת הסחר בבני אדם. אף שהייתה הסכמה עקרונית בין המשטרה למשרד לביטחון לאומי בדבר הצורך בעיבוי כוח האדם במחלקי המוסר, בפועל בשל היעדר המשאבים לכך הוחלט להקים שני</w:t>
      </w:r>
      <w:r w:rsidRPr="00E303AD">
        <w:rPr>
          <w:rFonts w:eastAsia="Calibri"/>
          <w:rtl/>
        </w:rPr>
        <w:t xml:space="preserve"> מחלקי מוסר, במחוזות</w:t>
      </w:r>
      <w:r w:rsidRPr="00E303AD">
        <w:rPr>
          <w:rFonts w:eastAsia="Calibri" w:hint="cs"/>
          <w:rtl/>
        </w:rPr>
        <w:t xml:space="preserve"> </w:t>
      </w:r>
      <w:r w:rsidRPr="00E303AD">
        <w:rPr>
          <w:rFonts w:eastAsia="Calibri"/>
          <w:rtl/>
        </w:rPr>
        <w:t>מרכז וחוף</w:t>
      </w:r>
      <w:r w:rsidRPr="00E303AD">
        <w:rPr>
          <w:rFonts w:eastAsia="Calibri" w:hint="cs"/>
          <w:rtl/>
        </w:rPr>
        <w:t xml:space="preserve">, נוסף </w:t>
      </w:r>
      <w:r w:rsidRPr="00E303AD">
        <w:rPr>
          <w:rFonts w:eastAsia="Calibri" w:hint="cs"/>
          <w:rtl/>
        </w:rPr>
        <w:t xml:space="preserve">על המחלק שפועל </w:t>
      </w:r>
      <w:r w:rsidRPr="00E303AD">
        <w:rPr>
          <w:rFonts w:eastAsia="Calibri"/>
          <w:rtl/>
        </w:rPr>
        <w:t xml:space="preserve">במחוז </w:t>
      </w:r>
      <w:r w:rsidRPr="00E303AD">
        <w:rPr>
          <w:rFonts w:eastAsia="Calibri" w:hint="cs"/>
          <w:rtl/>
        </w:rPr>
        <w:t>תל אביב</w:t>
      </w:r>
      <w:r w:rsidRPr="00E303AD">
        <w:rPr>
          <w:rFonts w:eastAsia="Calibri"/>
          <w:rtl/>
        </w:rPr>
        <w:t xml:space="preserve">. </w:t>
      </w:r>
      <w:r w:rsidRPr="00E303AD">
        <w:rPr>
          <w:rFonts w:eastAsia="Calibri" w:hint="cs"/>
          <w:rtl/>
        </w:rPr>
        <w:t xml:space="preserve">על פי ההחלטה הוקצו עשר משרות </w:t>
      </w:r>
      <w:r w:rsidRPr="00E303AD">
        <w:rPr>
          <w:rFonts w:eastAsia="Calibri"/>
          <w:rtl/>
        </w:rPr>
        <w:t>ל</w:t>
      </w:r>
      <w:r w:rsidRPr="00E303AD">
        <w:rPr>
          <w:rFonts w:eastAsia="Calibri" w:hint="cs"/>
          <w:rtl/>
        </w:rPr>
        <w:t xml:space="preserve">שם </w:t>
      </w:r>
      <w:r w:rsidRPr="00E303AD">
        <w:rPr>
          <w:rFonts w:eastAsia="Calibri"/>
          <w:rtl/>
        </w:rPr>
        <w:t xml:space="preserve">הקמת </w:t>
      </w:r>
      <w:r w:rsidRPr="00E303AD">
        <w:rPr>
          <w:rFonts w:eastAsia="Calibri" w:hint="cs"/>
          <w:rtl/>
        </w:rPr>
        <w:t>שני ה</w:t>
      </w:r>
      <w:r w:rsidRPr="00E303AD">
        <w:rPr>
          <w:rFonts w:eastAsia="Calibri"/>
          <w:rtl/>
        </w:rPr>
        <w:t>מחלקים</w:t>
      </w:r>
      <w:r w:rsidRPr="00E303AD">
        <w:rPr>
          <w:rFonts w:eastAsia="Calibri" w:hint="cs"/>
          <w:rtl/>
        </w:rPr>
        <w:t xml:space="preserve"> במהלך שנת 2024</w:t>
      </w:r>
      <w:r w:rsidRPr="00E303AD">
        <w:rPr>
          <w:rFonts w:eastAsia="Calibri"/>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522B30">
      <w:pPr>
        <w:spacing w:line="269" w:lineRule="auto"/>
        <w:ind w:left="312"/>
        <w:rPr>
          <w:rFonts w:eastAsia="Calibri"/>
          <w:b/>
          <w:bCs/>
          <w:rtl/>
        </w:rPr>
      </w:pPr>
      <w:bookmarkStart w:id="104" w:name="_Hlk222311539"/>
      <w:r w:rsidRPr="00E303AD">
        <w:rPr>
          <w:rFonts w:eastAsia="Calibri" w:hint="cs"/>
          <w:b/>
          <w:bCs/>
          <w:rtl/>
        </w:rPr>
        <w:t>במהלך הביקורת עלה כי מחוז תל אביב הוא המחוז היחיד שפועל בו מחלק ייעודי לטיפול בעבירות סחר בבני אדם ובעבירות הנלוות להן (מחלק מוסר).</w:t>
      </w:r>
      <w:r w:rsidRPr="00E303AD">
        <w:rPr>
          <w:rFonts w:eastAsia="Calibri" w:hint="cs"/>
          <w:rtl/>
        </w:rPr>
        <w:t xml:space="preserve"> </w:t>
      </w:r>
      <w:r w:rsidRPr="00E303AD">
        <w:rPr>
          <w:rFonts w:eastAsia="Calibri" w:hint="cs"/>
          <w:b/>
          <w:bCs/>
          <w:rtl/>
        </w:rPr>
        <w:t xml:space="preserve">בספטמבר 2023 החליטה </w:t>
      </w:r>
      <w:bookmarkEnd w:id="104"/>
      <w:r w:rsidRPr="00E303AD">
        <w:rPr>
          <w:rFonts w:eastAsia="Calibri" w:hint="cs"/>
          <w:b/>
          <w:bCs/>
          <w:rtl/>
        </w:rPr>
        <w:t>המשטרה כי בשנת 2024 יוקמו במחוזות מרכז וחוף שני מחלקי מוסר חדשים אשר יהיו אמונים על אכיפה ייעודית בתחום הסחר בבני אדם. בפועל רק במהלך הביקורת, בפברואר 2025, ניתנה</w:t>
      </w:r>
      <w:r w:rsidRPr="00E303AD">
        <w:rPr>
          <w:rFonts w:eastAsia="Calibri" w:hint="cs"/>
          <w:b/>
          <w:bCs/>
          <w:rtl/>
        </w:rPr>
        <w:t xml:space="preserve"> </w:t>
      </w:r>
      <w:r w:rsidRPr="00E303AD">
        <w:rPr>
          <w:rFonts w:eastAsia="Calibri" w:hint="cs"/>
          <w:b/>
          <w:bCs/>
          <w:rtl/>
        </w:rPr>
        <w:t xml:space="preserve">פקודה להקמת שני מחלקי המוסר. נכון לאוגוסט 2025, ועל אף החשיבות שבפעולתם, טרם הושלמה הקמת מחלקי המוסר במחוזות. מאחר שהנעת הפעולות להקמת מחלקים אלו ולהכשרת בעלי התפקידים בהם לעיסוק בתחום החלה בעיכוב - כשנה וחצי לאחר שהתקבלה ההחלטה להקימם - נפגעה הלכה למעשה יכולת המשטרה ליזום, להרחיב ולהעמיק את האכיפה בתחום עבירות הסחר בבני אדם והעבירות הנלוות להן.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522B30">
      <w:pPr>
        <w:spacing w:line="269" w:lineRule="auto"/>
        <w:ind w:left="312"/>
        <w:rPr>
          <w:rFonts w:eastAsia="Calibri"/>
          <w:rtl/>
        </w:rPr>
      </w:pPr>
      <w:r w:rsidRPr="00E303AD">
        <w:rPr>
          <w:rFonts w:eastAsia="Calibri" w:hint="cs"/>
          <w:rtl/>
        </w:rPr>
        <w:t xml:space="preserve">בתשובת המשטרה נמסר כי </w:t>
      </w:r>
      <w:r w:rsidRPr="00E303AD">
        <w:rPr>
          <w:rFonts w:eastAsia="Calibri"/>
          <w:rtl/>
        </w:rPr>
        <w:t xml:space="preserve">בשנת 2025 </w:t>
      </w:r>
      <w:r w:rsidRPr="00E303AD">
        <w:rPr>
          <w:rFonts w:eastAsia="Calibri" w:hint="cs"/>
          <w:rtl/>
        </w:rPr>
        <w:t xml:space="preserve">(לאחר סיום הביקורת) </w:t>
      </w:r>
      <w:r w:rsidRPr="00E303AD">
        <w:rPr>
          <w:rFonts w:eastAsia="Calibri"/>
          <w:rtl/>
        </w:rPr>
        <w:t xml:space="preserve">הוקמו שני מחלקי </w:t>
      </w:r>
      <w:r w:rsidRPr="00E303AD">
        <w:rPr>
          <w:rFonts w:eastAsia="Calibri" w:hint="cs"/>
          <w:rtl/>
        </w:rPr>
        <w:t>מוסר</w:t>
      </w:r>
      <w:r w:rsidRPr="00E303AD">
        <w:rPr>
          <w:rFonts w:eastAsia="Calibri"/>
          <w:rtl/>
        </w:rPr>
        <w:t xml:space="preserve"> </w:t>
      </w:r>
      <w:r w:rsidRPr="00E303AD">
        <w:rPr>
          <w:rFonts w:ascii="David" w:eastAsia="Calibri" w:hAnsi="David" w:hint="cs"/>
          <w:rtl/>
        </w:rPr>
        <w:t>במחוז</w:t>
      </w:r>
      <w:r w:rsidRPr="00E303AD">
        <w:rPr>
          <w:rFonts w:eastAsia="Calibri"/>
          <w:rtl/>
        </w:rPr>
        <w:t xml:space="preserve"> </w:t>
      </w:r>
      <w:r w:rsidRPr="00E303AD">
        <w:rPr>
          <w:rFonts w:ascii="David" w:eastAsia="Calibri" w:hAnsi="David" w:hint="cs"/>
          <w:rtl/>
        </w:rPr>
        <w:t>חוף</w:t>
      </w:r>
      <w:r w:rsidRPr="00E303AD">
        <w:rPr>
          <w:rFonts w:eastAsia="Calibri"/>
          <w:rtl/>
        </w:rPr>
        <w:t xml:space="preserve"> </w:t>
      </w:r>
      <w:r w:rsidRPr="00E303AD">
        <w:rPr>
          <w:rFonts w:ascii="David" w:eastAsia="Calibri" w:hAnsi="David" w:hint="cs"/>
          <w:rtl/>
        </w:rPr>
        <w:t>ובמחוז</w:t>
      </w:r>
      <w:r w:rsidRPr="00E303AD">
        <w:rPr>
          <w:rFonts w:eastAsia="Calibri"/>
          <w:rtl/>
        </w:rPr>
        <w:t xml:space="preserve"> </w:t>
      </w:r>
      <w:r w:rsidRPr="00E303AD">
        <w:rPr>
          <w:rFonts w:ascii="David" w:eastAsia="Calibri" w:hAnsi="David" w:hint="cs"/>
          <w:rtl/>
        </w:rPr>
        <w:t>מרכז</w:t>
      </w:r>
      <w:r w:rsidRPr="00E303AD">
        <w:rPr>
          <w:rFonts w:eastAsia="Calibri"/>
          <w:rtl/>
        </w:rPr>
        <w:t xml:space="preserve">, </w:t>
      </w:r>
      <w:r w:rsidRPr="00E303AD">
        <w:rPr>
          <w:rFonts w:ascii="David" w:eastAsia="Calibri" w:hAnsi="David" w:hint="cs"/>
          <w:rtl/>
        </w:rPr>
        <w:t>וכי</w:t>
      </w:r>
      <w:r w:rsidRPr="00E303AD">
        <w:rPr>
          <w:rFonts w:eastAsia="Calibri"/>
          <w:rtl/>
        </w:rPr>
        <w:t xml:space="preserve"> </w:t>
      </w:r>
      <w:r w:rsidRPr="00E303AD">
        <w:rPr>
          <w:rFonts w:ascii="David" w:eastAsia="Calibri" w:hAnsi="David" w:hint="cs"/>
          <w:rtl/>
        </w:rPr>
        <w:t>לכל</w:t>
      </w:r>
      <w:r w:rsidRPr="00E303AD">
        <w:rPr>
          <w:rFonts w:eastAsia="Calibri"/>
          <w:rtl/>
        </w:rPr>
        <w:t xml:space="preserve"> </w:t>
      </w:r>
      <w:r w:rsidRPr="00E303AD">
        <w:rPr>
          <w:rFonts w:ascii="David" w:eastAsia="Calibri" w:hAnsi="David" w:hint="cs"/>
          <w:rtl/>
        </w:rPr>
        <w:t>מחלק</w:t>
      </w:r>
      <w:r w:rsidRPr="00E303AD">
        <w:rPr>
          <w:rFonts w:eastAsia="Calibri"/>
          <w:rtl/>
        </w:rPr>
        <w:t xml:space="preserve"> </w:t>
      </w:r>
      <w:r w:rsidRPr="00E303AD">
        <w:rPr>
          <w:rFonts w:ascii="David" w:eastAsia="Calibri" w:hAnsi="David" w:hint="cs"/>
          <w:rtl/>
        </w:rPr>
        <w:t>תוק</w:t>
      </w:r>
      <w:r w:rsidRPr="00E303AD">
        <w:rPr>
          <w:rFonts w:eastAsia="Calibri"/>
          <w:rtl/>
        </w:rPr>
        <w:t xml:space="preserve">ננו </w:t>
      </w:r>
      <w:r w:rsidRPr="00E303AD">
        <w:rPr>
          <w:rFonts w:eastAsia="Calibri" w:hint="cs"/>
          <w:rtl/>
        </w:rPr>
        <w:t>חמישה</w:t>
      </w:r>
      <w:r w:rsidRPr="00E303AD">
        <w:rPr>
          <w:rFonts w:eastAsia="Calibri"/>
          <w:rtl/>
        </w:rPr>
        <w:t xml:space="preserve"> שוטרים. כלל התקני</w:t>
      </w:r>
      <w:r w:rsidRPr="00E303AD">
        <w:rPr>
          <w:rFonts w:eastAsia="Calibri" w:hint="cs"/>
          <w:rtl/>
        </w:rPr>
        <w:t>ם</w:t>
      </w:r>
      <w:r w:rsidRPr="00E303AD">
        <w:rPr>
          <w:rFonts w:eastAsia="Calibri"/>
          <w:rtl/>
        </w:rPr>
        <w:t xml:space="preserve"> </w:t>
      </w:r>
      <w:r w:rsidRPr="00E303AD">
        <w:rPr>
          <w:rFonts w:ascii="David" w:eastAsia="Calibri" w:hAnsi="David" w:hint="cs"/>
          <w:rtl/>
        </w:rPr>
        <w:t>אוישו</w:t>
      </w:r>
      <w:r w:rsidRPr="00E303AD">
        <w:rPr>
          <w:rFonts w:eastAsia="Calibri"/>
          <w:rtl/>
        </w:rPr>
        <w:t xml:space="preserve"> </w:t>
      </w:r>
      <w:r w:rsidRPr="00E303AD">
        <w:rPr>
          <w:rFonts w:ascii="David" w:eastAsia="Calibri" w:hAnsi="David" w:hint="cs"/>
          <w:rtl/>
        </w:rPr>
        <w:t>למעט</w:t>
      </w:r>
      <w:r w:rsidRPr="00E303AD">
        <w:rPr>
          <w:rFonts w:eastAsia="Calibri" w:hint="cs"/>
          <w:rtl/>
        </w:rPr>
        <w:t xml:space="preserve"> שני</w:t>
      </w:r>
      <w:r w:rsidRPr="00E303AD">
        <w:rPr>
          <w:rFonts w:eastAsia="Calibri"/>
          <w:rtl/>
        </w:rPr>
        <w:t xml:space="preserve"> </w:t>
      </w:r>
      <w:r w:rsidRPr="00E303AD">
        <w:rPr>
          <w:rFonts w:ascii="David" w:eastAsia="Calibri" w:hAnsi="David" w:hint="cs"/>
          <w:rtl/>
        </w:rPr>
        <w:t>תקנים</w:t>
      </w:r>
      <w:r w:rsidRPr="00E303AD">
        <w:rPr>
          <w:rFonts w:eastAsia="Calibri" w:hint="cs"/>
          <w:rtl/>
        </w:rPr>
        <w:t>,</w:t>
      </w:r>
      <w:r w:rsidRPr="00E303AD">
        <w:rPr>
          <w:rFonts w:eastAsia="Calibri"/>
          <w:rtl/>
        </w:rPr>
        <w:t xml:space="preserve"> </w:t>
      </w:r>
      <w:r w:rsidRPr="00E303AD">
        <w:rPr>
          <w:rFonts w:ascii="David" w:eastAsia="Calibri" w:hAnsi="David" w:hint="cs"/>
          <w:rtl/>
        </w:rPr>
        <w:t>אחד</w:t>
      </w:r>
      <w:r w:rsidRPr="00E303AD">
        <w:rPr>
          <w:rFonts w:eastAsia="Calibri"/>
          <w:rtl/>
        </w:rPr>
        <w:t xml:space="preserve"> </w:t>
      </w:r>
      <w:r w:rsidRPr="00E303AD">
        <w:rPr>
          <w:rFonts w:ascii="David" w:eastAsia="Calibri" w:hAnsi="David" w:hint="cs"/>
          <w:rtl/>
        </w:rPr>
        <w:t>בכל מחוז</w:t>
      </w:r>
      <w:r w:rsidRPr="00E303AD">
        <w:rPr>
          <w:rFonts w:eastAsia="Calibri"/>
          <w:rtl/>
        </w:rPr>
        <w:t>.</w:t>
      </w:r>
      <w:r w:rsidRPr="00E303AD">
        <w:rPr>
          <w:rFonts w:eastAsia="Calibri" w:hint="cs"/>
          <w:rtl/>
        </w:rPr>
        <w:t xml:space="preserve"> </w:t>
      </w:r>
      <w:r w:rsidRPr="00E303AD">
        <w:rPr>
          <w:rFonts w:eastAsia="Calibri"/>
          <w:rtl/>
        </w:rPr>
        <w:t>אף שמחלקי הסחר הוקמו רק במהלך שנת 2025, ניכרת פעילות משמעותית בשטח.</w:t>
      </w:r>
      <w:r w:rsidRPr="00E303AD">
        <w:rPr>
          <w:rFonts w:eastAsia="Calibri" w:hint="cs"/>
          <w:rtl/>
        </w:rPr>
        <w:t xml:space="preserve"> </w:t>
      </w:r>
      <w:r w:rsidRPr="00E303AD">
        <w:rPr>
          <w:rFonts w:eastAsia="Calibri"/>
          <w:rtl/>
        </w:rPr>
        <w:t>ראיה לכך ניתן למצוא במספר התיקים המתנהלים במחלקים</w:t>
      </w:r>
      <w:r w:rsidRPr="00E303AD">
        <w:rPr>
          <w:rFonts w:eastAsia="Calibri" w:hint="cs"/>
          <w:rtl/>
        </w:rPr>
        <w:t xml:space="preserve"> אלו. </w:t>
      </w:r>
      <w:r w:rsidRPr="00E303AD">
        <w:rPr>
          <w:rFonts w:eastAsia="Calibri"/>
          <w:rtl/>
        </w:rPr>
        <w:t>כמו כן, בשנת 2025 הוגש כתב אישו</w:t>
      </w:r>
      <w:r w:rsidRPr="00E303AD">
        <w:rPr>
          <w:rFonts w:eastAsia="Calibri" w:hint="cs"/>
          <w:rtl/>
        </w:rPr>
        <w:t>ם</w:t>
      </w:r>
      <w:r w:rsidRPr="00E303AD">
        <w:rPr>
          <w:rFonts w:eastAsia="Calibri"/>
          <w:rtl/>
        </w:rPr>
        <w:t xml:space="preserve"> </w:t>
      </w:r>
      <w:r w:rsidRPr="00E303AD">
        <w:rPr>
          <w:rFonts w:ascii="David" w:eastAsia="Calibri" w:hAnsi="David" w:hint="cs"/>
          <w:rtl/>
        </w:rPr>
        <w:t>חמור</w:t>
      </w:r>
      <w:r w:rsidRPr="00E303AD">
        <w:rPr>
          <w:rFonts w:eastAsia="Calibri"/>
          <w:rtl/>
        </w:rPr>
        <w:t xml:space="preserve"> </w:t>
      </w:r>
      <w:r w:rsidRPr="00E303AD">
        <w:rPr>
          <w:rFonts w:ascii="David" w:eastAsia="Calibri" w:hAnsi="David" w:hint="cs"/>
          <w:rtl/>
        </w:rPr>
        <w:t>בעבירות</w:t>
      </w:r>
      <w:r w:rsidRPr="00E303AD">
        <w:rPr>
          <w:rFonts w:eastAsia="Calibri"/>
          <w:rtl/>
        </w:rPr>
        <w:t xml:space="preserve"> </w:t>
      </w:r>
      <w:r w:rsidRPr="00E303AD">
        <w:rPr>
          <w:rFonts w:ascii="David" w:eastAsia="Calibri" w:hAnsi="David" w:hint="cs"/>
          <w:rtl/>
        </w:rPr>
        <w:t>נלוות</w:t>
      </w:r>
      <w:r w:rsidRPr="00E303AD">
        <w:rPr>
          <w:rFonts w:eastAsia="Calibri"/>
          <w:rtl/>
        </w:rPr>
        <w:t xml:space="preserve"> </w:t>
      </w:r>
      <w:r w:rsidRPr="00E303AD">
        <w:rPr>
          <w:rFonts w:ascii="David" w:eastAsia="Calibri" w:hAnsi="David" w:hint="cs"/>
          <w:rtl/>
        </w:rPr>
        <w:t>לזנות</w:t>
      </w:r>
      <w:r w:rsidRPr="00E303AD">
        <w:rPr>
          <w:rFonts w:eastAsia="Calibri"/>
          <w:rtl/>
        </w:rPr>
        <w:t xml:space="preserve"> </w:t>
      </w:r>
      <w:r w:rsidRPr="00E303AD">
        <w:rPr>
          <w:rFonts w:ascii="David" w:eastAsia="Calibri" w:hAnsi="David" w:hint="cs"/>
          <w:rtl/>
        </w:rPr>
        <w:t>במחלק</w:t>
      </w:r>
      <w:r w:rsidRPr="00E303AD">
        <w:rPr>
          <w:rFonts w:eastAsia="Calibri"/>
          <w:rtl/>
        </w:rPr>
        <w:t xml:space="preserve"> </w:t>
      </w:r>
      <w:r w:rsidRPr="00E303AD">
        <w:rPr>
          <w:rFonts w:ascii="David" w:eastAsia="Calibri" w:hAnsi="David" w:hint="cs"/>
          <w:rtl/>
        </w:rPr>
        <w:t>סחר</w:t>
      </w:r>
      <w:r w:rsidRPr="00E303AD">
        <w:rPr>
          <w:rFonts w:eastAsia="Calibri"/>
          <w:rtl/>
        </w:rPr>
        <w:t xml:space="preserve"> </w:t>
      </w:r>
      <w:r w:rsidRPr="00E303AD">
        <w:rPr>
          <w:rFonts w:ascii="David" w:eastAsia="Calibri" w:hAnsi="David" w:hint="cs"/>
          <w:rtl/>
        </w:rPr>
        <w:t>במחוז</w:t>
      </w:r>
      <w:r w:rsidRPr="00E303AD">
        <w:rPr>
          <w:rFonts w:eastAsia="Calibri"/>
          <w:rtl/>
        </w:rPr>
        <w:t xml:space="preserve"> </w:t>
      </w:r>
      <w:r w:rsidRPr="00E303AD">
        <w:rPr>
          <w:rFonts w:ascii="David" w:eastAsia="Calibri" w:hAnsi="David" w:hint="cs"/>
          <w:rtl/>
        </w:rPr>
        <w:t>חוף</w:t>
      </w:r>
      <w:r w:rsidRPr="00E303AD">
        <w:rPr>
          <w:rFonts w:eastAsia="Calibri"/>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522B30">
      <w:pPr>
        <w:spacing w:line="269" w:lineRule="auto"/>
        <w:ind w:left="312"/>
        <w:rPr>
          <w:rFonts w:eastAsia="Calibri"/>
          <w:b/>
          <w:bCs/>
          <w:rtl/>
        </w:rPr>
      </w:pPr>
      <w:r w:rsidRPr="00E303AD">
        <w:rPr>
          <w:rFonts w:eastAsia="Calibri"/>
          <w:b/>
          <w:bCs/>
          <w:rtl/>
        </w:rPr>
        <w:t>מומלץ כי המשטרה תפעל להשלמ</w:t>
      </w:r>
      <w:r w:rsidRPr="00E303AD">
        <w:rPr>
          <w:rFonts w:eastAsia="Calibri" w:hint="cs"/>
          <w:b/>
          <w:bCs/>
          <w:rtl/>
        </w:rPr>
        <w:t>ה של</w:t>
      </w:r>
      <w:r w:rsidRPr="00E303AD">
        <w:rPr>
          <w:rFonts w:eastAsia="Calibri"/>
          <w:b/>
          <w:bCs/>
          <w:rtl/>
        </w:rPr>
        <w:t xml:space="preserve"> הקמת </w:t>
      </w:r>
      <w:r w:rsidRPr="00E303AD">
        <w:rPr>
          <w:rFonts w:eastAsia="Calibri" w:hint="cs"/>
          <w:b/>
          <w:bCs/>
          <w:rtl/>
        </w:rPr>
        <w:t>מחלקי המוסר</w:t>
      </w:r>
      <w:r w:rsidRPr="00E303AD">
        <w:rPr>
          <w:rFonts w:eastAsia="Calibri"/>
          <w:b/>
          <w:bCs/>
          <w:rtl/>
        </w:rPr>
        <w:t xml:space="preserve"> באופן מלא, </w:t>
      </w:r>
      <w:r w:rsidRPr="00E303AD">
        <w:rPr>
          <w:rFonts w:eastAsia="Calibri" w:hint="cs"/>
          <w:b/>
          <w:bCs/>
          <w:rtl/>
        </w:rPr>
        <w:t>תוך איוש מלא של התקנים בכל אחד מהמחלקים, ותוודא כי כל אחד מ</w:t>
      </w:r>
      <w:r w:rsidRPr="00E303AD">
        <w:rPr>
          <w:rFonts w:eastAsia="Calibri"/>
          <w:b/>
          <w:bCs/>
          <w:rtl/>
        </w:rPr>
        <w:t>בעלי התפקידים הנדרשים</w:t>
      </w:r>
      <w:r w:rsidRPr="00E303AD">
        <w:rPr>
          <w:rFonts w:eastAsia="Calibri" w:hint="cs"/>
          <w:b/>
          <w:bCs/>
          <w:rtl/>
        </w:rPr>
        <w:t xml:space="preserve"> מקבל את ההכשרה הנדרשת למילוי תפקידו</w:t>
      </w:r>
      <w:r w:rsidRPr="00E303AD">
        <w:rPr>
          <w:rFonts w:eastAsia="Calibri"/>
          <w:b/>
          <w:bCs/>
          <w:rtl/>
        </w:rPr>
        <w:t xml:space="preserve">. פעולות אלו דרושות </w:t>
      </w:r>
      <w:r w:rsidRPr="00E303AD">
        <w:rPr>
          <w:rFonts w:eastAsia="Calibri" w:hint="cs"/>
          <w:b/>
          <w:bCs/>
          <w:rtl/>
        </w:rPr>
        <w:t>לשיפור</w:t>
      </w:r>
      <w:r w:rsidRPr="00E303AD">
        <w:rPr>
          <w:rFonts w:eastAsia="Calibri"/>
          <w:b/>
          <w:bCs/>
          <w:rtl/>
        </w:rPr>
        <w:t xml:space="preserve"> יכולתה של המשטרה לבצע אכיפה יזומה ואפקטיבית </w:t>
      </w:r>
      <w:r w:rsidRPr="00E303AD">
        <w:rPr>
          <w:rFonts w:eastAsia="Calibri" w:hint="cs"/>
          <w:b/>
          <w:bCs/>
          <w:rtl/>
        </w:rPr>
        <w:t>של החוקים שתכליתם מאבק ב</w:t>
      </w:r>
      <w:r w:rsidRPr="00E303AD">
        <w:rPr>
          <w:rFonts w:eastAsia="Calibri"/>
          <w:b/>
          <w:bCs/>
          <w:rtl/>
        </w:rPr>
        <w:t>עבירות סחר בבני אדם ו</w:t>
      </w:r>
      <w:r w:rsidRPr="00E303AD">
        <w:rPr>
          <w:rFonts w:eastAsia="Calibri" w:hint="cs"/>
          <w:b/>
          <w:bCs/>
          <w:rtl/>
        </w:rPr>
        <w:t>ב</w:t>
      </w:r>
      <w:r w:rsidRPr="00E303AD">
        <w:rPr>
          <w:rFonts w:eastAsia="Calibri"/>
          <w:b/>
          <w:bCs/>
          <w:rtl/>
        </w:rPr>
        <w:t xml:space="preserve">עבירות נלוות ולצמצם </w:t>
      </w:r>
      <w:r w:rsidRPr="00E303AD">
        <w:rPr>
          <w:rFonts w:eastAsia="Calibri" w:hint="cs"/>
          <w:b/>
          <w:bCs/>
          <w:rtl/>
        </w:rPr>
        <w:t xml:space="preserve">את </w:t>
      </w:r>
      <w:r w:rsidRPr="00E303AD">
        <w:rPr>
          <w:rFonts w:eastAsia="Calibri"/>
          <w:b/>
          <w:bCs/>
          <w:rtl/>
        </w:rPr>
        <w:t xml:space="preserve">הפער שנוצר באכיפת </w:t>
      </w:r>
      <w:r w:rsidRPr="00E303AD">
        <w:rPr>
          <w:rFonts w:eastAsia="Calibri" w:hint="cs"/>
          <w:b/>
          <w:bCs/>
          <w:rtl/>
        </w:rPr>
        <w:t xml:space="preserve">חוקים </w:t>
      </w:r>
      <w:r w:rsidRPr="00E303AD">
        <w:rPr>
          <w:rFonts w:eastAsia="Calibri"/>
          <w:b/>
          <w:bCs/>
          <w:rtl/>
        </w:rPr>
        <w:t>אלו</w:t>
      </w:r>
      <w:r w:rsidRPr="00E303AD">
        <w:rPr>
          <w:rFonts w:eastAsia="Calibri"/>
          <w:b/>
          <w:bCs/>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522B30">
      <w:pPr>
        <w:spacing w:line="269" w:lineRule="auto"/>
        <w:ind w:left="312"/>
        <w:rPr>
          <w:rFonts w:eastAsia="Calibri"/>
          <w:b/>
          <w:bCs/>
          <w:rtl/>
        </w:rPr>
      </w:pPr>
      <w:r w:rsidRPr="00E303AD">
        <w:rPr>
          <w:rFonts w:eastAsia="Calibri" w:hint="eastAsia"/>
          <w:b/>
          <w:bCs/>
          <w:rtl/>
        </w:rPr>
        <w:t>משרד</w:t>
      </w:r>
      <w:r w:rsidRPr="00E303AD">
        <w:rPr>
          <w:rFonts w:eastAsia="Calibri"/>
          <w:b/>
          <w:bCs/>
          <w:rtl/>
        </w:rPr>
        <w:t xml:space="preserve"> מבקר המדינה מציין לחיוב את </w:t>
      </w:r>
      <w:r w:rsidRPr="00E303AD">
        <w:rPr>
          <w:rFonts w:eastAsia="Calibri" w:hint="eastAsia"/>
          <w:b/>
          <w:bCs/>
          <w:rtl/>
        </w:rPr>
        <w:t>התמקדותו</w:t>
      </w:r>
      <w:r w:rsidRPr="00E303AD">
        <w:rPr>
          <w:rFonts w:eastAsia="Calibri"/>
          <w:b/>
          <w:bCs/>
          <w:rtl/>
        </w:rPr>
        <w:t xml:space="preserve"> של </w:t>
      </w:r>
      <w:r w:rsidRPr="00E303AD">
        <w:rPr>
          <w:rFonts w:eastAsia="Calibri" w:hint="eastAsia"/>
          <w:b/>
          <w:bCs/>
          <w:rtl/>
        </w:rPr>
        <w:t>מחלק</w:t>
      </w:r>
      <w:r w:rsidRPr="00E303AD">
        <w:rPr>
          <w:rFonts w:eastAsia="Calibri"/>
          <w:b/>
          <w:bCs/>
          <w:rtl/>
        </w:rPr>
        <w:t xml:space="preserve"> מוסר במחוז </w:t>
      </w:r>
      <w:r w:rsidRPr="00E303AD">
        <w:rPr>
          <w:rFonts w:eastAsia="Calibri" w:hint="eastAsia"/>
          <w:b/>
          <w:bCs/>
          <w:rtl/>
        </w:rPr>
        <w:t>תל</w:t>
      </w:r>
      <w:r w:rsidRPr="00E303AD">
        <w:rPr>
          <w:rFonts w:eastAsia="Calibri" w:hint="cs"/>
          <w:b/>
          <w:bCs/>
          <w:rtl/>
        </w:rPr>
        <w:t xml:space="preserve"> </w:t>
      </w:r>
      <w:r w:rsidRPr="00E303AD">
        <w:rPr>
          <w:rFonts w:eastAsia="Calibri"/>
          <w:b/>
          <w:bCs/>
          <w:rtl/>
        </w:rPr>
        <w:t xml:space="preserve">אביב </w:t>
      </w:r>
      <w:r w:rsidRPr="00E303AD">
        <w:rPr>
          <w:rFonts w:eastAsia="Calibri" w:hint="eastAsia"/>
          <w:b/>
          <w:bCs/>
          <w:rtl/>
        </w:rPr>
        <w:t>בטיפול</w:t>
      </w:r>
      <w:r w:rsidRPr="00E303AD">
        <w:rPr>
          <w:rFonts w:eastAsia="Calibri"/>
          <w:b/>
          <w:bCs/>
          <w:rtl/>
        </w:rPr>
        <w:t xml:space="preserve"> </w:t>
      </w:r>
      <w:r w:rsidRPr="00E303AD">
        <w:rPr>
          <w:rFonts w:eastAsia="Calibri" w:hint="eastAsia"/>
          <w:b/>
          <w:bCs/>
          <w:rtl/>
        </w:rPr>
        <w:t>בעבירות</w:t>
      </w:r>
      <w:r w:rsidRPr="00E303AD">
        <w:rPr>
          <w:rFonts w:eastAsia="Calibri"/>
          <w:b/>
          <w:bCs/>
          <w:rtl/>
        </w:rPr>
        <w:t xml:space="preserve"> </w:t>
      </w:r>
      <w:r w:rsidRPr="00E303AD">
        <w:rPr>
          <w:rFonts w:eastAsia="Calibri" w:hint="eastAsia"/>
          <w:b/>
          <w:bCs/>
          <w:rtl/>
        </w:rPr>
        <w:t>סחר</w:t>
      </w:r>
      <w:r w:rsidRPr="00E303AD">
        <w:rPr>
          <w:rFonts w:eastAsia="Calibri"/>
          <w:b/>
          <w:bCs/>
          <w:rtl/>
        </w:rPr>
        <w:t xml:space="preserve"> </w:t>
      </w:r>
      <w:r w:rsidRPr="00E303AD">
        <w:rPr>
          <w:rFonts w:eastAsia="Calibri" w:hint="eastAsia"/>
          <w:b/>
          <w:bCs/>
          <w:rtl/>
        </w:rPr>
        <w:t>בבני</w:t>
      </w:r>
      <w:r w:rsidRPr="00E303AD">
        <w:rPr>
          <w:rFonts w:eastAsia="Calibri"/>
          <w:b/>
          <w:bCs/>
          <w:rtl/>
        </w:rPr>
        <w:t xml:space="preserve"> </w:t>
      </w:r>
      <w:r w:rsidRPr="00E303AD">
        <w:rPr>
          <w:rFonts w:eastAsia="Calibri" w:hint="eastAsia"/>
          <w:b/>
          <w:bCs/>
          <w:rtl/>
        </w:rPr>
        <w:t>אדם</w:t>
      </w:r>
      <w:r w:rsidRPr="00E303AD">
        <w:rPr>
          <w:rFonts w:eastAsia="Calibri"/>
          <w:b/>
          <w:bCs/>
          <w:rtl/>
        </w:rPr>
        <w:t>, אשר מוביל</w:t>
      </w:r>
      <w:r w:rsidRPr="00E303AD">
        <w:rPr>
          <w:rFonts w:eastAsia="Calibri" w:hint="eastAsia"/>
          <w:b/>
          <w:bCs/>
          <w:rtl/>
        </w:rPr>
        <w:t>ה</w:t>
      </w:r>
      <w:r w:rsidRPr="00E303AD">
        <w:rPr>
          <w:rFonts w:eastAsia="Calibri"/>
          <w:b/>
          <w:bCs/>
          <w:rtl/>
        </w:rPr>
        <w:t xml:space="preserve"> לכך שבפועל </w:t>
      </w:r>
      <w:r w:rsidRPr="00E303AD">
        <w:rPr>
          <w:rFonts w:eastAsia="Calibri" w:hint="eastAsia"/>
          <w:b/>
          <w:bCs/>
          <w:rtl/>
        </w:rPr>
        <w:t>אכיפת</w:t>
      </w:r>
      <w:r w:rsidRPr="00E303AD">
        <w:rPr>
          <w:rFonts w:eastAsia="Calibri"/>
          <w:b/>
          <w:bCs/>
          <w:rtl/>
        </w:rPr>
        <w:t xml:space="preserve"> החוק בעניין </w:t>
      </w:r>
      <w:r w:rsidRPr="00E303AD">
        <w:rPr>
          <w:rFonts w:eastAsia="Calibri" w:hint="eastAsia"/>
          <w:b/>
          <w:bCs/>
          <w:rtl/>
        </w:rPr>
        <w:t>עבירות</w:t>
      </w:r>
      <w:r w:rsidRPr="00E303AD">
        <w:rPr>
          <w:rFonts w:eastAsia="Calibri"/>
          <w:b/>
          <w:bCs/>
          <w:rtl/>
        </w:rPr>
        <w:t xml:space="preserve"> סחר בבני אדם </w:t>
      </w:r>
      <w:r w:rsidRPr="00E303AD">
        <w:rPr>
          <w:rFonts w:eastAsia="Calibri" w:hint="eastAsia"/>
          <w:b/>
          <w:bCs/>
          <w:rtl/>
        </w:rPr>
        <w:t>במחוז</w:t>
      </w:r>
      <w:r w:rsidRPr="00E303AD">
        <w:rPr>
          <w:rFonts w:eastAsia="Calibri"/>
          <w:b/>
          <w:bCs/>
          <w:rtl/>
        </w:rPr>
        <w:t xml:space="preserve"> </w:t>
      </w:r>
      <w:r w:rsidRPr="00E303AD">
        <w:rPr>
          <w:rFonts w:eastAsia="Calibri" w:hint="eastAsia"/>
          <w:b/>
          <w:bCs/>
          <w:rtl/>
        </w:rPr>
        <w:t>זה</w:t>
      </w:r>
      <w:r w:rsidRPr="00E303AD">
        <w:rPr>
          <w:rFonts w:eastAsia="Calibri"/>
          <w:b/>
          <w:bCs/>
          <w:rtl/>
        </w:rPr>
        <w:t xml:space="preserve"> </w:t>
      </w:r>
      <w:r w:rsidRPr="00E303AD">
        <w:rPr>
          <w:rFonts w:eastAsia="Calibri" w:hint="eastAsia"/>
          <w:b/>
          <w:bCs/>
          <w:rtl/>
        </w:rPr>
        <w:t>בולטת</w:t>
      </w:r>
      <w:r w:rsidRPr="00E303AD">
        <w:rPr>
          <w:rFonts w:eastAsia="Calibri"/>
          <w:b/>
          <w:bCs/>
          <w:rtl/>
        </w:rPr>
        <w:t xml:space="preserve"> </w:t>
      </w:r>
      <w:r w:rsidRPr="00E303AD">
        <w:rPr>
          <w:rFonts w:eastAsia="Calibri" w:hint="eastAsia"/>
          <w:b/>
          <w:bCs/>
          <w:rtl/>
        </w:rPr>
        <w:t>לטובה</w:t>
      </w:r>
      <w:r w:rsidRPr="00E303AD">
        <w:rPr>
          <w:rFonts w:eastAsia="Calibri"/>
          <w:b/>
          <w:bCs/>
          <w:rtl/>
        </w:rPr>
        <w:t xml:space="preserve"> </w:t>
      </w:r>
      <w:r w:rsidRPr="00E303AD">
        <w:rPr>
          <w:rFonts w:eastAsia="Calibri" w:hint="eastAsia"/>
          <w:b/>
          <w:bCs/>
          <w:rtl/>
        </w:rPr>
        <w:t>יחסית</w:t>
      </w:r>
      <w:r w:rsidRPr="00E303AD">
        <w:rPr>
          <w:rFonts w:eastAsia="Calibri"/>
          <w:b/>
          <w:bCs/>
          <w:rtl/>
        </w:rPr>
        <w:t xml:space="preserve"> </w:t>
      </w:r>
      <w:r w:rsidRPr="00E303AD">
        <w:rPr>
          <w:rFonts w:eastAsia="Calibri" w:hint="eastAsia"/>
          <w:b/>
          <w:bCs/>
          <w:rtl/>
        </w:rPr>
        <w:t>לשאר</w:t>
      </w:r>
      <w:r w:rsidRPr="00E303AD">
        <w:rPr>
          <w:rFonts w:eastAsia="Calibri"/>
          <w:b/>
          <w:bCs/>
          <w:rtl/>
        </w:rPr>
        <w:t xml:space="preserve"> המחוזות </w:t>
      </w:r>
      <w:r w:rsidRPr="00E303AD">
        <w:rPr>
          <w:rFonts w:eastAsia="Calibri" w:hint="eastAsia"/>
          <w:b/>
          <w:bCs/>
          <w:rtl/>
        </w:rPr>
        <w:t>במשך</w:t>
      </w:r>
      <w:r w:rsidRPr="00E303AD">
        <w:rPr>
          <w:rFonts w:eastAsia="Calibri"/>
          <w:b/>
          <w:bCs/>
          <w:rtl/>
        </w:rPr>
        <w:t xml:space="preserve"> </w:t>
      </w:r>
      <w:r w:rsidRPr="00E303AD">
        <w:rPr>
          <w:rFonts w:eastAsia="Calibri" w:hint="eastAsia"/>
          <w:b/>
          <w:bCs/>
          <w:rtl/>
        </w:rPr>
        <w:t>שנים</w:t>
      </w:r>
      <w:r w:rsidRPr="00E303AD">
        <w:rPr>
          <w:rFonts w:eastAsia="Calibri"/>
          <w:b/>
          <w:bCs/>
          <w:rtl/>
        </w:rPr>
        <w:t xml:space="preserve">. </w:t>
      </w:r>
      <w:r w:rsidRPr="00E303AD">
        <w:rPr>
          <w:rFonts w:eastAsia="Calibri" w:hint="eastAsia"/>
          <w:b/>
          <w:bCs/>
          <w:rtl/>
        </w:rPr>
        <w:t>בשנים</w:t>
      </w:r>
      <w:r w:rsidRPr="00E303AD">
        <w:rPr>
          <w:rFonts w:eastAsia="Calibri"/>
          <w:b/>
          <w:bCs/>
          <w:rtl/>
        </w:rPr>
        <w:t xml:space="preserve"> 2022 - 2024 </w:t>
      </w:r>
      <w:r w:rsidRPr="00E303AD">
        <w:rPr>
          <w:rFonts w:eastAsia="Calibri" w:hint="eastAsia"/>
          <w:b/>
          <w:bCs/>
          <w:rtl/>
        </w:rPr>
        <w:t>נפתחו</w:t>
      </w:r>
      <w:r w:rsidRPr="00E303AD">
        <w:rPr>
          <w:rFonts w:eastAsia="Calibri"/>
          <w:b/>
          <w:bCs/>
          <w:rtl/>
        </w:rPr>
        <w:t xml:space="preserve"> במחוז 13 תיקים רחבי היקף ומשמעותיים, הכוללים חקירות מורכבות, כתבי אישום והליכים שהסתיימו בהרשעות.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522B30">
      <w:pPr>
        <w:spacing w:line="269" w:lineRule="auto"/>
        <w:ind w:left="312"/>
        <w:rPr>
          <w:rFonts w:eastAsia="Calibri"/>
          <w:rtl/>
        </w:rPr>
      </w:pPr>
      <w:r w:rsidRPr="00E303AD">
        <w:rPr>
          <w:rFonts w:eastAsia="Calibri"/>
          <w:rtl/>
        </w:rPr>
        <w:t>לדברי ראש חוליית סחר בבני אדם</w:t>
      </w:r>
      <w:r w:rsidRPr="00E303AD">
        <w:rPr>
          <w:rFonts w:eastAsia="Calibri" w:hint="cs"/>
          <w:rtl/>
        </w:rPr>
        <w:t>,</w:t>
      </w:r>
      <w:r w:rsidRPr="00E303AD">
        <w:rPr>
          <w:rFonts w:eastAsia="Calibri"/>
          <w:rtl/>
        </w:rPr>
        <w:t xml:space="preserve"> אפקטיביות האכיפה </w:t>
      </w:r>
      <w:r w:rsidRPr="00E303AD">
        <w:rPr>
          <w:rFonts w:eastAsia="Calibri" w:hint="eastAsia"/>
          <w:rtl/>
        </w:rPr>
        <w:t>במחוז</w:t>
      </w:r>
      <w:r w:rsidRPr="00E303AD">
        <w:rPr>
          <w:rFonts w:eastAsia="Calibri"/>
          <w:rtl/>
        </w:rPr>
        <w:t xml:space="preserve"> </w:t>
      </w:r>
      <w:r w:rsidRPr="00E303AD">
        <w:rPr>
          <w:rFonts w:eastAsia="Calibri" w:hint="eastAsia"/>
          <w:rtl/>
        </w:rPr>
        <w:t>תל</w:t>
      </w:r>
      <w:r w:rsidRPr="00E303AD">
        <w:rPr>
          <w:rFonts w:eastAsia="Calibri" w:hint="cs"/>
          <w:rtl/>
        </w:rPr>
        <w:t xml:space="preserve"> </w:t>
      </w:r>
      <w:r w:rsidRPr="00E303AD">
        <w:rPr>
          <w:rFonts w:eastAsia="Calibri"/>
          <w:rtl/>
        </w:rPr>
        <w:t>אביב אינה מתמצ</w:t>
      </w:r>
      <w:r w:rsidRPr="00E303AD">
        <w:rPr>
          <w:rFonts w:eastAsia="Calibri" w:hint="cs"/>
          <w:rtl/>
        </w:rPr>
        <w:t>ית</w:t>
      </w:r>
      <w:r w:rsidRPr="00E303AD">
        <w:rPr>
          <w:rFonts w:eastAsia="Calibri"/>
          <w:rtl/>
        </w:rPr>
        <w:t xml:space="preserve"> בהגשת כתבי אישום בלבד, אלא משתקפת גם בשיתופי </w:t>
      </w:r>
      <w:r w:rsidRPr="00E303AD">
        <w:rPr>
          <w:rFonts w:eastAsia="Calibri" w:hint="cs"/>
          <w:rtl/>
        </w:rPr>
        <w:t>ה</w:t>
      </w:r>
      <w:r w:rsidRPr="00E303AD">
        <w:rPr>
          <w:rFonts w:eastAsia="Calibri"/>
          <w:rtl/>
        </w:rPr>
        <w:t xml:space="preserve">פעולה </w:t>
      </w:r>
      <w:r w:rsidRPr="00E303AD">
        <w:rPr>
          <w:rFonts w:eastAsia="Calibri" w:hint="cs"/>
          <w:rtl/>
        </w:rPr>
        <w:t>ה</w:t>
      </w:r>
      <w:r w:rsidRPr="00E303AD">
        <w:rPr>
          <w:rFonts w:eastAsia="Calibri"/>
          <w:rtl/>
        </w:rPr>
        <w:t xml:space="preserve">הדוקים </w:t>
      </w:r>
      <w:r w:rsidRPr="00E303AD">
        <w:rPr>
          <w:rFonts w:eastAsia="Calibri" w:hint="eastAsia"/>
          <w:rtl/>
        </w:rPr>
        <w:t>שהתקיימו</w:t>
      </w:r>
      <w:r w:rsidRPr="00E303AD">
        <w:rPr>
          <w:rFonts w:eastAsia="Calibri"/>
          <w:rtl/>
        </w:rPr>
        <w:t xml:space="preserve"> בין גורמי האכיפה הפליליים והאזרחיים במחוז.</w:t>
      </w:r>
    </w:p>
    <w:p w:rsidR="00E303AD" w:rsidRPr="00E303AD" w:rsidP="00E303AD">
      <w:pPr>
        <w:spacing w:line="269" w:lineRule="auto"/>
        <w:rPr>
          <w:rFonts w:eastAsia="Calibri"/>
          <w:rtl/>
        </w:rPr>
      </w:pPr>
    </w:p>
    <w:p w:rsidR="00E303AD" w:rsidRPr="00E303AD" w:rsidP="00E303AD">
      <w:pPr>
        <w:keepNext/>
        <w:keepLines/>
        <w:spacing w:line="269" w:lineRule="auto"/>
        <w:outlineLvl w:val="2"/>
        <w:rPr>
          <w:rFonts w:eastAsia="Times New Roman"/>
          <w:bCs/>
          <w:szCs w:val="28"/>
          <w:u w:val="single"/>
          <w:rtl/>
        </w:rPr>
      </w:pPr>
      <w:bookmarkStart w:id="105" w:name="_Toc221474980"/>
      <w:bookmarkStart w:id="106" w:name="_Toc224808287"/>
      <w:bookmarkStart w:id="107" w:name="_Toc232696563"/>
      <w:bookmarkStart w:id="108" w:name="_Hlk231816882"/>
      <w:r w:rsidRPr="00E303AD">
        <w:rPr>
          <w:rFonts w:eastAsia="Times New Roman" w:hint="cs"/>
          <w:bCs/>
          <w:szCs w:val="28"/>
          <w:u w:val="single"/>
          <w:rtl/>
        </w:rPr>
        <w:t>פעולות האכיפה בתחום הסחר בבני אדם למטרות זנות בהתבסס על תמונת המודיעין</w:t>
      </w:r>
      <w:bookmarkEnd w:id="105"/>
      <w:bookmarkEnd w:id="106"/>
      <w:bookmarkEnd w:id="107"/>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Pr>
      </w:pPr>
      <w:r w:rsidRPr="00E303AD">
        <w:rPr>
          <w:rFonts w:eastAsia="Calibri"/>
          <w:rtl/>
        </w:rPr>
        <w:t xml:space="preserve">סחר בבני אדם הוא </w:t>
      </w:r>
      <w:r w:rsidRPr="00E303AD">
        <w:rPr>
          <w:rFonts w:eastAsia="Calibri" w:hint="cs"/>
          <w:rtl/>
        </w:rPr>
        <w:t>תופעה מורכבת ודינמית, המשתנה בהתאם</w:t>
      </w:r>
      <w:r w:rsidRPr="00E303AD">
        <w:rPr>
          <w:rFonts w:eastAsia="Calibri"/>
          <w:rtl/>
        </w:rPr>
        <w:t xml:space="preserve"> </w:t>
      </w:r>
      <w:r w:rsidRPr="00E303AD">
        <w:rPr>
          <w:rFonts w:eastAsia="Calibri" w:hint="cs"/>
          <w:rtl/>
        </w:rPr>
        <w:t xml:space="preserve">למגמות חברתיות, כלכליות וטכנולוגיות. </w:t>
      </w:r>
      <w:r w:rsidRPr="00E303AD">
        <w:rPr>
          <w:rFonts w:eastAsia="Calibri"/>
          <w:rtl/>
        </w:rPr>
        <w:t>כדי ל</w:t>
      </w:r>
      <w:r w:rsidRPr="00E303AD">
        <w:rPr>
          <w:rFonts w:eastAsia="Calibri" w:hint="cs"/>
          <w:rtl/>
        </w:rPr>
        <w:t xml:space="preserve">התמודד ביעילות עם התופעה </w:t>
      </w:r>
      <w:r w:rsidRPr="00E303AD">
        <w:rPr>
          <w:rFonts w:eastAsia="Calibri"/>
          <w:rtl/>
        </w:rPr>
        <w:t>נדרשת תמונת מודיעין עדכנית ומקיפה, המבוססת על איסוף שיטתי של נתונים. תמונ</w:t>
      </w:r>
      <w:r w:rsidRPr="00E303AD">
        <w:rPr>
          <w:rFonts w:eastAsia="Calibri" w:hint="cs"/>
          <w:rtl/>
        </w:rPr>
        <w:t>ת מצב כזאת</w:t>
      </w:r>
      <w:r w:rsidRPr="00E303AD">
        <w:rPr>
          <w:rFonts w:eastAsia="Calibri"/>
          <w:rtl/>
        </w:rPr>
        <w:t xml:space="preserve"> מאפשרת </w:t>
      </w:r>
      <w:r w:rsidRPr="00E303AD">
        <w:rPr>
          <w:rFonts w:eastAsia="Calibri" w:hint="cs"/>
          <w:rtl/>
        </w:rPr>
        <w:t xml:space="preserve">לזהות, בין היתר, </w:t>
      </w:r>
      <w:r w:rsidRPr="00E303AD">
        <w:rPr>
          <w:rFonts w:eastAsia="Calibri"/>
          <w:rtl/>
        </w:rPr>
        <w:t xml:space="preserve">דפוסי פעילות, אזורי סיכון </w:t>
      </w:r>
      <w:r w:rsidRPr="00E303AD">
        <w:rPr>
          <w:rFonts w:eastAsia="Calibri" w:hint="cs"/>
          <w:rtl/>
        </w:rPr>
        <w:t>ו</w:t>
      </w:r>
      <w:r w:rsidRPr="00E303AD">
        <w:rPr>
          <w:rFonts w:eastAsia="Calibri"/>
          <w:rtl/>
        </w:rPr>
        <w:t xml:space="preserve">אוכלוסיות חשופות, </w:t>
      </w:r>
      <w:r w:rsidRPr="00E303AD">
        <w:rPr>
          <w:rFonts w:eastAsia="Calibri" w:hint="cs"/>
          <w:rtl/>
        </w:rPr>
        <w:t>והיא אף מספקת</w:t>
      </w:r>
      <w:r w:rsidRPr="00E303AD">
        <w:rPr>
          <w:rFonts w:eastAsia="Calibri"/>
          <w:rtl/>
        </w:rPr>
        <w:t xml:space="preserve"> תשתית הכרחית לקביעת סדרי עדיפויות באכיפה, לגיבוש מדיניות מונעת, להקצאת משאבים ולהערכת יעילות</w:t>
      </w:r>
      <w:r w:rsidRPr="00E303AD">
        <w:rPr>
          <w:rFonts w:eastAsia="Calibri" w:hint="cs"/>
          <w:rtl/>
        </w:rPr>
        <w:t xml:space="preserve"> הפעולות הננקטות</w:t>
      </w:r>
      <w:r w:rsidRPr="00E303AD">
        <w:rPr>
          <w:rFonts w:eastAsia="Calibri"/>
          <w:rtl/>
        </w:rPr>
        <w:t xml:space="preserve">. ללא תמונת מודיעין רחבה ועדכנית, </w:t>
      </w:r>
      <w:r w:rsidRPr="00E303AD">
        <w:rPr>
          <w:rFonts w:eastAsia="Calibri" w:hint="cs"/>
          <w:rtl/>
        </w:rPr>
        <w:t xml:space="preserve">נשקף </w:t>
      </w:r>
      <w:r w:rsidRPr="00E303AD">
        <w:rPr>
          <w:rFonts w:eastAsia="Calibri"/>
          <w:rtl/>
        </w:rPr>
        <w:t xml:space="preserve">סיכון כי </w:t>
      </w:r>
      <w:r w:rsidRPr="00E303AD">
        <w:rPr>
          <w:rFonts w:eastAsia="Calibri" w:hint="cs"/>
          <w:rtl/>
        </w:rPr>
        <w:t xml:space="preserve">הניסיונות </w:t>
      </w:r>
      <w:r w:rsidRPr="00E303AD">
        <w:rPr>
          <w:rFonts w:eastAsia="Calibri"/>
          <w:rtl/>
        </w:rPr>
        <w:t xml:space="preserve">להתמודדות עם התופעה יהיו </w:t>
      </w:r>
      <w:r w:rsidRPr="00E303AD">
        <w:rPr>
          <w:rFonts w:eastAsia="Calibri" w:hint="cs"/>
          <w:rtl/>
        </w:rPr>
        <w:t>לא מספקים</w:t>
      </w:r>
      <w:r w:rsidRPr="00E303AD">
        <w:rPr>
          <w:rFonts w:eastAsia="Calibri"/>
          <w:rtl/>
        </w:rPr>
        <w:t xml:space="preserve">, </w:t>
      </w:r>
      <w:r w:rsidRPr="00E303AD">
        <w:rPr>
          <w:rFonts w:eastAsia="Calibri" w:hint="cs"/>
          <w:rtl/>
        </w:rPr>
        <w:t xml:space="preserve">יתבצעו באיחור </w:t>
      </w:r>
      <w:r w:rsidRPr="00E303AD">
        <w:rPr>
          <w:rFonts w:eastAsia="Calibri"/>
          <w:rtl/>
        </w:rPr>
        <w:t>או לא יתאימו למציאות המשתנה בשטח.</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המשטרה מגבשת את תמונת המודיעין באמצעות איסוף מידע, איתור קורבנות וזיהוי סוחרים וסרסורים. המשטרה ערה לצורך במעקב המודיעיני התמידי הנדרש ולצורך בהגברת איסוף מידע על הקורבנות והעבריינים, בייחוד לנוכח התמורות שחלות בתחום זה במשך השנים. ואולם האכיפה בנושא הסחר בבני אדם לא זכתה במשך השנים לעדיפות גבוהה בפעילותה השוטפת, אף </w:t>
      </w:r>
      <w:r w:rsidRPr="00E303AD">
        <w:rPr>
          <w:rFonts w:eastAsia="Calibri" w:hint="cs"/>
          <w:rtl/>
        </w:rPr>
        <w:t>לטענת המשטרה עצמה</w:t>
      </w:r>
      <w:r w:rsidRPr="00E303AD">
        <w:rPr>
          <w:rFonts w:eastAsia="Calibri"/>
          <w:rtl/>
        </w:rPr>
        <w:t>.</w:t>
      </w:r>
      <w:r w:rsidRPr="00E303AD">
        <w:rPr>
          <w:rFonts w:eastAsia="Calibri" w:hint="cs"/>
          <w:rtl/>
        </w:rPr>
        <w:t xml:space="preserve"> זאת לנוכח מתן קדימות למשימות אחרות, הנתפסות כחיוניות יותר לשמירה על ביטחון הציבור והסדר הציבורי.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אומנם זה כעשור</w:t>
      </w:r>
      <w:r>
        <w:rPr>
          <w:rFonts w:eastAsia="Calibri"/>
          <w:vertAlign w:val="superscript"/>
          <w:rtl/>
        </w:rPr>
        <w:footnoteReference w:id="98"/>
      </w:r>
      <w:r w:rsidRPr="00E303AD">
        <w:rPr>
          <w:rFonts w:eastAsia="Calibri" w:hint="cs"/>
          <w:rtl/>
        </w:rPr>
        <w:t xml:space="preserve"> עולה מתמונת המודיעין שבידי המשטרה כי תופעת הסחר בבני אדם אינה מסתמנת כתופעה רווחת, אך במשטרה מעריכים כי המידע שעליו מתבססת הערכה זו אינו משקף נאמנה את היקף התופעה בפועל.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לעניין מיצוי המידע מתוך תמונת המודיעין הקיימת (שכאמור, להערכת המשטרה, אינה משקפת את היקף התופעה במלואה) - </w:t>
      </w:r>
      <w:r w:rsidRPr="00E303AD">
        <w:rPr>
          <w:rFonts w:eastAsia="Calibri"/>
          <w:rtl/>
        </w:rPr>
        <w:t xml:space="preserve">בהתייחסותה של חטיבת </w:t>
      </w:r>
      <w:r w:rsidRPr="00E303AD">
        <w:rPr>
          <w:rFonts w:eastAsia="Calibri" w:hint="cs"/>
          <w:rtl/>
        </w:rPr>
        <w:t xml:space="preserve">החקירות </w:t>
      </w:r>
      <w:r w:rsidRPr="00E303AD">
        <w:rPr>
          <w:rFonts w:eastAsia="Calibri"/>
          <w:rtl/>
        </w:rPr>
        <w:t>של המשטרה ל</w:t>
      </w:r>
      <w:r w:rsidRPr="00E303AD">
        <w:rPr>
          <w:rFonts w:eastAsia="Calibri" w:hint="cs"/>
          <w:rtl/>
        </w:rPr>
        <w:t>פעילות ב</w:t>
      </w:r>
      <w:r w:rsidRPr="00E303AD">
        <w:rPr>
          <w:rFonts w:eastAsia="Calibri"/>
          <w:rtl/>
        </w:rPr>
        <w:t xml:space="preserve">שנת 2024 </w:t>
      </w:r>
      <w:r w:rsidRPr="00E303AD">
        <w:rPr>
          <w:rFonts w:eastAsia="Calibri" w:hint="cs"/>
          <w:rtl/>
        </w:rPr>
        <w:t xml:space="preserve">לצורך הדוח האמריקאי </w:t>
      </w:r>
      <w:r w:rsidRPr="00E303AD">
        <w:rPr>
          <w:rFonts w:eastAsia="Calibri"/>
          <w:rtl/>
        </w:rPr>
        <w:t>צוין כי מתוך כלל הידיעות שנפתחו בנושאים הקשורים לניצול מיני ו</w:t>
      </w:r>
      <w:r w:rsidRPr="00E303AD">
        <w:rPr>
          <w:rFonts w:eastAsia="Calibri" w:hint="cs"/>
          <w:rtl/>
        </w:rPr>
        <w:t>ל</w:t>
      </w:r>
      <w:r w:rsidRPr="00E303AD">
        <w:rPr>
          <w:rFonts w:eastAsia="Calibri"/>
          <w:rtl/>
        </w:rPr>
        <w:t>סחר בבני אדם 28% מהידיעות טופלו ואומתו; 9% מהידיעות טופלו אך לא הניבו תוצאה מבצעית ו-7% טופלו במסגרת פעילויות של יחידות אחרות (כמו מחלקי הנוער). בסך הכול ניתן מענה מעשי</w:t>
      </w:r>
      <w:r w:rsidRPr="00E303AD">
        <w:rPr>
          <w:rFonts w:eastAsia="Calibri" w:hint="cs"/>
          <w:rtl/>
        </w:rPr>
        <w:t xml:space="preserve"> על</w:t>
      </w:r>
      <w:r w:rsidRPr="00E303AD">
        <w:rPr>
          <w:rFonts w:eastAsia="Calibri"/>
          <w:rtl/>
        </w:rPr>
        <w:t xml:space="preserve"> </w:t>
      </w:r>
      <w:r w:rsidRPr="00E303AD">
        <w:rPr>
          <w:rFonts w:eastAsia="Calibri" w:hint="cs"/>
          <w:rtl/>
        </w:rPr>
        <w:t>כ</w:t>
      </w:r>
      <w:r w:rsidRPr="00E303AD">
        <w:rPr>
          <w:rFonts w:eastAsia="Calibri"/>
          <w:rtl/>
        </w:rPr>
        <w:t>-44% מהידיעות.</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r w:rsidRPr="00E303AD">
        <w:rPr>
          <w:rFonts w:eastAsia="Calibri" w:hint="cs"/>
          <w:b/>
          <w:bCs/>
          <w:rtl/>
        </w:rPr>
        <w:t xml:space="preserve">על פי הערכת המשטרה תמונת המודיעין שבידיה בנושא תופעת הסחר בבני אדם מצומצמת יחסית להיקף התופעה בפועל. בשנת 2024 המשטרה תרגמה לפעילות מעשית רק 44% </w:t>
      </w:r>
      <w:r w:rsidRPr="00E303AD">
        <w:rPr>
          <w:rFonts w:eastAsia="Calibri" w:hint="cs"/>
          <w:b/>
          <w:bCs/>
          <w:rtl/>
        </w:rPr>
        <w:t xml:space="preserve">מהמידע המודיעיני </w:t>
      </w:r>
      <w:r w:rsidRPr="00E303AD">
        <w:rPr>
          <w:rFonts w:eastAsia="Calibri" w:hint="cs"/>
          <w:b/>
          <w:bCs/>
          <w:rtl/>
        </w:rPr>
        <w:t xml:space="preserve">שבידיה, אשר ממילא היה מצומצם כאמור, </w:t>
      </w:r>
      <w:r w:rsidRPr="00E303AD">
        <w:rPr>
          <w:rFonts w:eastAsia="Calibri" w:hint="cs"/>
          <w:b/>
          <w:bCs/>
          <w:rtl/>
        </w:rPr>
        <w:t>לצורך אכיפה יזומה ומעשית בתחום הסחר בבני א</w:t>
      </w:r>
      <w:r w:rsidRPr="00E303AD">
        <w:rPr>
          <w:rFonts w:eastAsia="Calibri" w:hint="cs"/>
          <w:b/>
          <w:bCs/>
          <w:rtl/>
        </w:rPr>
        <w:t>דם. מכאן עולה כי חלק ניכר מהמידע המודיעיני שבידיה (56%) לא מוצה.</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b/>
          <w:bCs/>
          <w:rtl/>
        </w:rPr>
        <w:t xml:space="preserve">מומלץ כי המשטרה תפעל למיצוי </w:t>
      </w:r>
      <w:r w:rsidRPr="00E303AD">
        <w:rPr>
          <w:rFonts w:eastAsia="Calibri" w:hint="cs"/>
          <w:b/>
          <w:bCs/>
          <w:rtl/>
        </w:rPr>
        <w:t>המידע שברשותה לגבי תופעת ה</w:t>
      </w:r>
      <w:r w:rsidRPr="00E303AD">
        <w:rPr>
          <w:rFonts w:eastAsia="Calibri"/>
          <w:b/>
          <w:bCs/>
          <w:rtl/>
        </w:rPr>
        <w:t xml:space="preserve">סחר בבני אדם </w:t>
      </w:r>
      <w:r w:rsidRPr="00E303AD">
        <w:rPr>
          <w:rFonts w:eastAsia="Calibri" w:hint="cs"/>
          <w:b/>
          <w:bCs/>
          <w:rtl/>
        </w:rPr>
        <w:t xml:space="preserve">ולהרחבת המודיעין בתחום זה </w:t>
      </w:r>
      <w:r w:rsidRPr="00E303AD">
        <w:rPr>
          <w:rFonts w:eastAsia="Calibri"/>
          <w:b/>
          <w:bCs/>
          <w:rtl/>
        </w:rPr>
        <w:t>לצורך בחינה שיטתית של היקף התופעה</w:t>
      </w:r>
      <w:r w:rsidRPr="00E303AD">
        <w:rPr>
          <w:rFonts w:eastAsia="Calibri" w:hint="cs"/>
          <w:b/>
          <w:bCs/>
          <w:rtl/>
        </w:rPr>
        <w:t xml:space="preserve">, זיהוי </w:t>
      </w:r>
      <w:r w:rsidRPr="00E303AD">
        <w:rPr>
          <w:rFonts w:eastAsia="Calibri"/>
          <w:b/>
          <w:bCs/>
          <w:rtl/>
        </w:rPr>
        <w:t xml:space="preserve">מגמות מרכזיות </w:t>
      </w:r>
      <w:r w:rsidRPr="00E303AD">
        <w:rPr>
          <w:rFonts w:eastAsia="Calibri" w:hint="cs"/>
          <w:b/>
          <w:bCs/>
          <w:rtl/>
        </w:rPr>
        <w:t>וסיוע במיקוד הצעדים ה</w:t>
      </w:r>
      <w:r w:rsidRPr="00E303AD">
        <w:rPr>
          <w:rFonts w:eastAsia="Calibri"/>
          <w:b/>
          <w:bCs/>
          <w:rtl/>
        </w:rPr>
        <w:t>אופרטיביים לאכיפה בתחום</w:t>
      </w:r>
      <w:r w:rsidRPr="00E303AD">
        <w:rPr>
          <w:rFonts w:eastAsia="Calibri"/>
          <w:b/>
          <w:bCs/>
        </w:rPr>
        <w:t>.</w:t>
      </w:r>
    </w:p>
    <w:bookmarkEnd w:id="108"/>
    <w:p w:rsidR="00E303AD" w:rsidRPr="00E303AD" w:rsidP="00E303AD">
      <w:pPr>
        <w:spacing w:line="269" w:lineRule="auto"/>
        <w:rPr>
          <w:rFonts w:eastAsia="Calibri"/>
          <w:highlight w:val="green"/>
          <w:rtl/>
        </w:rPr>
      </w:pPr>
    </w:p>
    <w:p w:rsidR="00E303AD" w:rsidRPr="00E303AD" w:rsidP="00522B30">
      <w:pPr>
        <w:keepNext/>
        <w:keepLines/>
        <w:spacing w:before="120" w:line="269" w:lineRule="auto"/>
        <w:outlineLvl w:val="3"/>
        <w:rPr>
          <w:rFonts w:eastAsia="Times New Roman"/>
          <w:bCs/>
          <w:szCs w:val="26"/>
          <w:rtl/>
        </w:rPr>
      </w:pPr>
      <w:bookmarkStart w:id="109" w:name="_Toc221474981"/>
      <w:bookmarkStart w:id="110" w:name="_Toc224808288"/>
      <w:r w:rsidRPr="00E303AD">
        <w:rPr>
          <w:rFonts w:eastAsia="Times New Roman" w:hint="cs"/>
          <w:bCs/>
          <w:szCs w:val="26"/>
          <w:rtl/>
        </w:rPr>
        <w:t>מידת העמידה ביעדי פיצוח פרשיות סחר בבני אדם</w:t>
      </w:r>
      <w:bookmarkEnd w:id="109"/>
      <w:bookmarkEnd w:id="110"/>
      <w:r w:rsidRPr="00E303AD">
        <w:rPr>
          <w:rFonts w:eastAsia="Times New Roman" w:hint="cs"/>
          <w:bCs/>
          <w:szCs w:val="26"/>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בתוכניותיה השנתיות של המשטרה היא מגדירה יעדים כמותיים ואיכותיים בתחומים שונים. למשל תוכנית המשטרה לשנת 2025, כפי שבאה לידי ביטוי בתוכנית אסטרטגית משטרתית ("בראשית") </w:t>
      </w:r>
      <w:r w:rsidRPr="00E303AD">
        <w:rPr>
          <w:rFonts w:eastAsia="Calibri"/>
          <w:rtl/>
        </w:rPr>
        <w:t>מ</w:t>
      </w:r>
      <w:r w:rsidRPr="00E303AD">
        <w:rPr>
          <w:rFonts w:eastAsia="Calibri" w:hint="cs"/>
          <w:rtl/>
        </w:rPr>
        <w:t>שמשת עבור המשטרה</w:t>
      </w:r>
      <w:r w:rsidRPr="00E303AD">
        <w:rPr>
          <w:rFonts w:eastAsia="Calibri"/>
          <w:rtl/>
        </w:rPr>
        <w:t xml:space="preserve"> מסגרת מדידה ובקרה פנימית </w:t>
      </w:r>
      <w:r w:rsidRPr="00E303AD">
        <w:rPr>
          <w:rFonts w:eastAsia="Calibri" w:hint="cs"/>
          <w:rtl/>
        </w:rPr>
        <w:t>שבה מוגדרים</w:t>
      </w:r>
      <w:r w:rsidRPr="00E303AD">
        <w:rPr>
          <w:rFonts w:eastAsia="Calibri"/>
          <w:rtl/>
        </w:rPr>
        <w:t xml:space="preserve"> יעדים כמותיים ואיכותיים בתחומים שונים, לרבות</w:t>
      </w:r>
      <w:r w:rsidRPr="00E303AD">
        <w:rPr>
          <w:rFonts w:eastAsia="Calibri" w:hint="cs"/>
          <w:rtl/>
        </w:rPr>
        <w:t xml:space="preserve"> בתחום של</w:t>
      </w:r>
      <w:r w:rsidRPr="00E303AD">
        <w:rPr>
          <w:rFonts w:eastAsia="Calibri"/>
          <w:rtl/>
        </w:rPr>
        <w:t xml:space="preserve"> עבירות סחר בבני אדם וזנות</w:t>
      </w:r>
      <w:r w:rsidRPr="00E303AD">
        <w:rPr>
          <w:rFonts w:eastAsia="Calibri"/>
        </w:rPr>
        <w:t>.</w:t>
      </w:r>
      <w:r w:rsidRPr="00E303AD">
        <w:rPr>
          <w:rFonts w:eastAsia="Calibri" w:hint="cs"/>
          <w:rtl/>
        </w:rPr>
        <w:t xml:space="preserve"> </w:t>
      </w:r>
    </w:p>
    <w:p w:rsidR="00E303AD" w:rsidRPr="00E303AD" w:rsidP="00E303AD">
      <w:pPr>
        <w:spacing w:line="269" w:lineRule="auto"/>
        <w:ind w:left="-567"/>
        <w:rPr>
          <w:rFonts w:eastAsia="Calibri"/>
          <w:szCs w:val="20"/>
          <w:rtl/>
        </w:rPr>
      </w:pPr>
    </w:p>
    <w:p w:rsidR="00E303AD" w:rsidRPr="00E303AD" w:rsidP="00E303AD">
      <w:pPr>
        <w:spacing w:line="269" w:lineRule="auto"/>
        <w:rPr>
          <w:rFonts w:eastAsia="Calibri"/>
          <w:rtl/>
        </w:rPr>
      </w:pPr>
      <w:r w:rsidRPr="00E303AD">
        <w:rPr>
          <w:rFonts w:eastAsia="Calibri" w:hint="cs"/>
          <w:rtl/>
        </w:rPr>
        <w:t>בתוכנית מצוין היעד השנתי של ימ"ר</w:t>
      </w:r>
      <w:r w:rsidRPr="00E303AD">
        <w:rPr>
          <w:rFonts w:eastAsia="Calibri" w:hint="cs"/>
        </w:rPr>
        <w:t xml:space="preserve"> </w:t>
      </w:r>
      <w:r w:rsidRPr="00E303AD">
        <w:rPr>
          <w:rFonts w:eastAsia="Calibri" w:hint="cs"/>
          <w:rtl/>
        </w:rPr>
        <w:t>בכל מחוז מבחינת פיצוח פרשיות של סחר בבני אדם</w:t>
      </w:r>
      <w:r>
        <w:rPr>
          <w:rFonts w:eastAsia="Calibri"/>
          <w:vertAlign w:val="superscript"/>
          <w:rtl/>
        </w:rPr>
        <w:footnoteReference w:id="99"/>
      </w:r>
      <w:r w:rsidRPr="00E303AD">
        <w:rPr>
          <w:rFonts w:eastAsia="Calibri" w:hint="cs"/>
          <w:rtl/>
        </w:rPr>
        <w:t>. למשל, בשנת 2024 נקבע יעד ברמה הארצית ולפיו כל הימ"רים יחד יפצחו שש פרשיות בסך הכול</w:t>
      </w:r>
      <w:r>
        <w:rPr>
          <w:rFonts w:eastAsia="Calibri"/>
          <w:vertAlign w:val="superscript"/>
          <w:rtl/>
        </w:rPr>
        <w:footnoteReference w:id="100"/>
      </w:r>
      <w:r w:rsidRPr="00E303AD">
        <w:rPr>
          <w:rFonts w:eastAsia="Calibri" w:hint="cs"/>
          <w:rtl/>
        </w:rPr>
        <w:t>. כמו כן</w:t>
      </w:r>
      <w:r w:rsidRPr="00E303AD">
        <w:rPr>
          <w:rFonts w:eastAsia="Calibri"/>
          <w:rtl/>
        </w:rPr>
        <w:t xml:space="preserve">, כל תחנת משטרה </w:t>
      </w:r>
      <w:r w:rsidRPr="00E303AD">
        <w:rPr>
          <w:rFonts w:eastAsia="Calibri" w:hint="cs"/>
          <w:rtl/>
        </w:rPr>
        <w:t>נדרשת</w:t>
      </w:r>
      <w:r w:rsidRPr="00E303AD">
        <w:rPr>
          <w:rFonts w:eastAsia="Calibri"/>
          <w:rtl/>
        </w:rPr>
        <w:t xml:space="preserve"> לעסוק </w:t>
      </w:r>
      <w:r w:rsidRPr="00E303AD">
        <w:rPr>
          <w:rFonts w:eastAsia="Calibri" w:hint="cs"/>
          <w:rtl/>
        </w:rPr>
        <w:t xml:space="preserve">בנושא הסחר בבני אדם בהתאם </w:t>
      </w:r>
      <w:r w:rsidRPr="00E303AD">
        <w:rPr>
          <w:rFonts w:eastAsia="Calibri"/>
          <w:rtl/>
        </w:rPr>
        <w:t>למאפיינים הייחודיים לתחו</w:t>
      </w:r>
      <w:r w:rsidRPr="00E303AD">
        <w:rPr>
          <w:rFonts w:eastAsia="Calibri" w:hint="cs"/>
          <w:rtl/>
        </w:rPr>
        <w:t>ם שיפוטה ובהתאם לצורכי השטח</w:t>
      </w:r>
      <w:r w:rsidRPr="00E303AD">
        <w:rPr>
          <w:rFonts w:eastAsia="Calibri"/>
        </w:rPr>
        <w:t>.</w:t>
      </w:r>
      <w:r w:rsidRPr="00E303AD">
        <w:rPr>
          <w:rFonts w:eastAsia="Calibri"/>
          <w:rtl/>
        </w:rPr>
        <w:t xml:space="preserve"> התוכנית נועדה לייעל את פעילות המשטרה ולשפר את אפקטיביות האכיפה.</w:t>
      </w:r>
      <w:r w:rsidRPr="00E303AD">
        <w:rPr>
          <w:rFonts w:eastAsia="Calibri" w:hint="cs"/>
          <w:rtl/>
        </w:rPr>
        <w:t xml:space="preserve"> </w:t>
      </w:r>
    </w:p>
    <w:p w:rsidR="00E303AD" w:rsidRPr="00E303AD" w:rsidP="00E303AD">
      <w:pPr>
        <w:bidi w:val="0"/>
        <w:spacing w:line="269" w:lineRule="auto"/>
        <w:rPr>
          <w:rFonts w:eastAsia="Calibri"/>
          <w:szCs w:val="20"/>
          <w:rtl/>
        </w:rPr>
      </w:pPr>
      <w:bookmarkStart w:id="111" w:name="_Hlk209946017"/>
      <w:r w:rsidRPr="00E303AD">
        <w:rPr>
          <w:rFonts w:eastAsia="Calibri"/>
          <w:szCs w:val="20"/>
          <w:rtl/>
        </w:rPr>
        <w:br w:type="page"/>
      </w:r>
    </w:p>
    <w:p w:rsidR="00E303AD" w:rsidRPr="00E303AD" w:rsidP="00E303AD">
      <w:pPr>
        <w:spacing w:line="269" w:lineRule="auto"/>
        <w:jc w:val="center"/>
        <w:rPr>
          <w:rFonts w:eastAsia="Calibri"/>
          <w:b/>
          <w:bCs/>
          <w:highlight w:val="yellow"/>
          <w:rtl/>
        </w:rPr>
      </w:pPr>
      <w:r w:rsidRPr="00E303AD">
        <w:rPr>
          <w:rFonts w:eastAsia="Calibri" w:hint="cs"/>
          <w:rtl/>
        </w:rPr>
        <w:t>לוח 3:</w:t>
      </w:r>
      <w:r w:rsidRPr="00E303AD">
        <w:rPr>
          <w:rFonts w:eastAsia="Calibri" w:hint="cs"/>
          <w:b/>
          <w:bCs/>
          <w:rtl/>
        </w:rPr>
        <w:t xml:space="preserve"> יעדי המשטרה לעניין פיצוח פרשיות של עבירות סחר בבני אדם ומספר הפרשיות שפוצחו בפועל, לפי מחוזות, 2022 - 2024*</w:t>
      </w:r>
    </w:p>
    <w:tbl>
      <w:tblPr>
        <w:tblStyle w:val="TableGrid"/>
        <w:bidiVisual/>
        <w:tblW w:w="5955" w:type="dxa"/>
        <w:jc w:val="center"/>
        <w:tblLook w:val="04A0"/>
      </w:tblPr>
      <w:tblGrid>
        <w:gridCol w:w="1524"/>
        <w:gridCol w:w="762"/>
        <w:gridCol w:w="762"/>
        <w:gridCol w:w="762"/>
        <w:gridCol w:w="762"/>
        <w:gridCol w:w="642"/>
        <w:gridCol w:w="741"/>
      </w:tblGrid>
      <w:tr w:rsidTr="00562836">
        <w:tblPrEx>
          <w:tblW w:w="5955" w:type="dxa"/>
          <w:jc w:val="center"/>
          <w:tblLook w:val="04A0"/>
        </w:tblPrEx>
        <w:trPr>
          <w:jc w:val="center"/>
        </w:trPr>
        <w:tc>
          <w:tcPr>
            <w:tcW w:w="1524" w:type="dxa"/>
            <w:vMerge w:val="restart"/>
          </w:tcPr>
          <w:p w:rsidR="00E303AD" w:rsidRPr="00E303AD" w:rsidP="00E303AD">
            <w:pPr>
              <w:spacing w:line="269" w:lineRule="auto"/>
              <w:jc w:val="center"/>
              <w:rPr>
                <w:rFonts w:eastAsia="Calibri"/>
                <w:b/>
                <w:bCs/>
                <w:sz w:val="22"/>
                <w:szCs w:val="22"/>
                <w:rtl/>
              </w:rPr>
            </w:pPr>
            <w:r w:rsidRPr="00E303AD">
              <w:rPr>
                <w:rFonts w:eastAsia="Calibri" w:hint="cs"/>
                <w:b/>
                <w:bCs/>
                <w:sz w:val="22"/>
                <w:szCs w:val="22"/>
                <w:rtl/>
              </w:rPr>
              <w:t>המחוז</w:t>
            </w:r>
          </w:p>
        </w:tc>
        <w:tc>
          <w:tcPr>
            <w:tcW w:w="1524" w:type="dxa"/>
            <w:gridSpan w:val="2"/>
          </w:tcPr>
          <w:p w:rsidR="00E303AD" w:rsidRPr="00E303AD" w:rsidP="00E303AD">
            <w:pPr>
              <w:spacing w:line="269" w:lineRule="auto"/>
              <w:jc w:val="center"/>
              <w:rPr>
                <w:rFonts w:eastAsia="Calibri"/>
                <w:b/>
                <w:bCs/>
                <w:sz w:val="22"/>
                <w:szCs w:val="22"/>
                <w:rtl/>
              </w:rPr>
            </w:pPr>
            <w:r w:rsidRPr="00E303AD">
              <w:rPr>
                <w:rFonts w:eastAsia="Calibri" w:hint="cs"/>
                <w:b/>
                <w:bCs/>
                <w:sz w:val="22"/>
                <w:szCs w:val="22"/>
                <w:rtl/>
              </w:rPr>
              <w:t>2022</w:t>
            </w:r>
          </w:p>
        </w:tc>
        <w:tc>
          <w:tcPr>
            <w:tcW w:w="1524" w:type="dxa"/>
            <w:gridSpan w:val="2"/>
          </w:tcPr>
          <w:p w:rsidR="00E303AD" w:rsidRPr="00E303AD" w:rsidP="00E303AD">
            <w:pPr>
              <w:spacing w:line="269" w:lineRule="auto"/>
              <w:jc w:val="center"/>
              <w:rPr>
                <w:rFonts w:eastAsia="Calibri"/>
                <w:b/>
                <w:bCs/>
                <w:sz w:val="22"/>
                <w:szCs w:val="22"/>
                <w:rtl/>
              </w:rPr>
            </w:pPr>
            <w:r w:rsidRPr="00E303AD">
              <w:rPr>
                <w:rFonts w:eastAsia="Calibri" w:hint="cs"/>
                <w:b/>
                <w:bCs/>
                <w:sz w:val="22"/>
                <w:szCs w:val="22"/>
                <w:rtl/>
              </w:rPr>
              <w:t>2023</w:t>
            </w:r>
          </w:p>
        </w:tc>
        <w:tc>
          <w:tcPr>
            <w:tcW w:w="1383" w:type="dxa"/>
            <w:gridSpan w:val="2"/>
          </w:tcPr>
          <w:p w:rsidR="00E303AD" w:rsidRPr="00E303AD" w:rsidP="00E303AD">
            <w:pPr>
              <w:spacing w:line="269" w:lineRule="auto"/>
              <w:jc w:val="center"/>
              <w:rPr>
                <w:rFonts w:eastAsia="Calibri"/>
                <w:b/>
                <w:bCs/>
                <w:sz w:val="22"/>
                <w:szCs w:val="22"/>
                <w:rtl/>
              </w:rPr>
            </w:pPr>
            <w:r w:rsidRPr="00E303AD">
              <w:rPr>
                <w:rFonts w:eastAsia="Calibri" w:hint="cs"/>
                <w:b/>
                <w:bCs/>
                <w:sz w:val="22"/>
                <w:szCs w:val="22"/>
                <w:rtl/>
              </w:rPr>
              <w:t>2024</w:t>
            </w:r>
          </w:p>
        </w:tc>
      </w:tr>
      <w:tr w:rsidTr="00562836">
        <w:tblPrEx>
          <w:tblW w:w="5955" w:type="dxa"/>
          <w:jc w:val="center"/>
          <w:tblLook w:val="04A0"/>
        </w:tblPrEx>
        <w:trPr>
          <w:jc w:val="center"/>
        </w:trPr>
        <w:tc>
          <w:tcPr>
            <w:tcW w:w="1524" w:type="dxa"/>
            <w:vMerge/>
          </w:tcPr>
          <w:p w:rsidR="00E303AD" w:rsidRPr="00E303AD" w:rsidP="00E303AD">
            <w:pPr>
              <w:spacing w:line="269" w:lineRule="auto"/>
              <w:jc w:val="center"/>
              <w:rPr>
                <w:rFonts w:eastAsia="Calibri"/>
                <w:b/>
                <w:bCs/>
                <w:sz w:val="22"/>
                <w:szCs w:val="22"/>
                <w:rtl/>
              </w:rPr>
            </w:pPr>
          </w:p>
        </w:tc>
        <w:tc>
          <w:tcPr>
            <w:tcW w:w="762" w:type="dxa"/>
          </w:tcPr>
          <w:p w:rsidR="00E303AD" w:rsidRPr="00E303AD" w:rsidP="00E303AD">
            <w:pPr>
              <w:spacing w:line="269" w:lineRule="auto"/>
              <w:jc w:val="center"/>
              <w:rPr>
                <w:rFonts w:eastAsia="Calibri"/>
                <w:b/>
                <w:bCs/>
                <w:sz w:val="22"/>
                <w:szCs w:val="22"/>
                <w:rtl/>
              </w:rPr>
            </w:pPr>
            <w:r w:rsidRPr="00E303AD">
              <w:rPr>
                <w:rFonts w:eastAsia="Calibri" w:hint="cs"/>
                <w:b/>
                <w:bCs/>
                <w:sz w:val="22"/>
                <w:szCs w:val="22"/>
                <w:rtl/>
              </w:rPr>
              <w:t>היעד</w:t>
            </w:r>
          </w:p>
        </w:tc>
        <w:tc>
          <w:tcPr>
            <w:tcW w:w="762" w:type="dxa"/>
          </w:tcPr>
          <w:p w:rsidR="00E303AD" w:rsidRPr="00E303AD" w:rsidP="00E303AD">
            <w:pPr>
              <w:spacing w:line="269" w:lineRule="auto"/>
              <w:jc w:val="center"/>
              <w:rPr>
                <w:rFonts w:eastAsia="Calibri"/>
                <w:b/>
                <w:bCs/>
                <w:sz w:val="22"/>
                <w:szCs w:val="22"/>
                <w:rtl/>
              </w:rPr>
            </w:pPr>
            <w:r w:rsidRPr="00E303AD">
              <w:rPr>
                <w:rFonts w:eastAsia="Calibri" w:hint="cs"/>
                <w:b/>
                <w:bCs/>
                <w:sz w:val="22"/>
                <w:szCs w:val="22"/>
                <w:rtl/>
              </w:rPr>
              <w:t>בוצע</w:t>
            </w:r>
          </w:p>
        </w:tc>
        <w:tc>
          <w:tcPr>
            <w:tcW w:w="762" w:type="dxa"/>
          </w:tcPr>
          <w:p w:rsidR="00E303AD" w:rsidRPr="00E303AD" w:rsidP="00E303AD">
            <w:pPr>
              <w:spacing w:line="269" w:lineRule="auto"/>
              <w:jc w:val="center"/>
              <w:rPr>
                <w:rFonts w:eastAsia="Calibri"/>
                <w:b/>
                <w:bCs/>
                <w:sz w:val="22"/>
                <w:szCs w:val="22"/>
                <w:rtl/>
              </w:rPr>
            </w:pPr>
            <w:r w:rsidRPr="00E303AD">
              <w:rPr>
                <w:rFonts w:eastAsia="Calibri" w:hint="cs"/>
                <w:b/>
                <w:bCs/>
                <w:sz w:val="22"/>
                <w:szCs w:val="22"/>
                <w:rtl/>
              </w:rPr>
              <w:t>היעד</w:t>
            </w:r>
          </w:p>
        </w:tc>
        <w:tc>
          <w:tcPr>
            <w:tcW w:w="762" w:type="dxa"/>
          </w:tcPr>
          <w:p w:rsidR="00E303AD" w:rsidRPr="00E303AD" w:rsidP="00E303AD">
            <w:pPr>
              <w:spacing w:line="269" w:lineRule="auto"/>
              <w:jc w:val="center"/>
              <w:rPr>
                <w:rFonts w:eastAsia="Calibri"/>
                <w:b/>
                <w:bCs/>
                <w:sz w:val="22"/>
                <w:szCs w:val="22"/>
                <w:rtl/>
              </w:rPr>
            </w:pPr>
            <w:r w:rsidRPr="00E303AD">
              <w:rPr>
                <w:rFonts w:eastAsia="Calibri" w:hint="cs"/>
                <w:b/>
                <w:bCs/>
                <w:sz w:val="22"/>
                <w:szCs w:val="22"/>
                <w:rtl/>
              </w:rPr>
              <w:t>בוצע</w:t>
            </w:r>
          </w:p>
        </w:tc>
        <w:tc>
          <w:tcPr>
            <w:tcW w:w="642" w:type="dxa"/>
          </w:tcPr>
          <w:p w:rsidR="00E303AD" w:rsidRPr="00E303AD" w:rsidP="00E303AD">
            <w:pPr>
              <w:spacing w:line="269" w:lineRule="auto"/>
              <w:jc w:val="center"/>
              <w:rPr>
                <w:rFonts w:eastAsia="Calibri"/>
                <w:b/>
                <w:bCs/>
                <w:sz w:val="22"/>
                <w:szCs w:val="22"/>
                <w:rtl/>
              </w:rPr>
            </w:pPr>
            <w:r w:rsidRPr="00E303AD">
              <w:rPr>
                <w:rFonts w:eastAsia="Calibri" w:hint="cs"/>
                <w:b/>
                <w:bCs/>
                <w:sz w:val="22"/>
                <w:szCs w:val="22"/>
                <w:rtl/>
              </w:rPr>
              <w:t>יעד</w:t>
            </w:r>
          </w:p>
        </w:tc>
        <w:tc>
          <w:tcPr>
            <w:tcW w:w="741" w:type="dxa"/>
          </w:tcPr>
          <w:p w:rsidR="00E303AD" w:rsidRPr="00E303AD" w:rsidP="00E303AD">
            <w:pPr>
              <w:spacing w:line="269" w:lineRule="auto"/>
              <w:jc w:val="center"/>
              <w:rPr>
                <w:rFonts w:eastAsia="Calibri"/>
                <w:b/>
                <w:bCs/>
                <w:sz w:val="22"/>
                <w:szCs w:val="22"/>
                <w:rtl/>
              </w:rPr>
            </w:pPr>
            <w:r w:rsidRPr="00E303AD">
              <w:rPr>
                <w:rFonts w:eastAsia="Calibri" w:hint="cs"/>
                <w:b/>
                <w:bCs/>
                <w:sz w:val="22"/>
                <w:szCs w:val="22"/>
                <w:rtl/>
              </w:rPr>
              <w:t>בוצע</w:t>
            </w:r>
          </w:p>
        </w:tc>
      </w:tr>
      <w:tr w:rsidTr="00562836">
        <w:tblPrEx>
          <w:tblW w:w="5955" w:type="dxa"/>
          <w:jc w:val="center"/>
          <w:tblLook w:val="04A0"/>
        </w:tblPrEx>
        <w:trPr>
          <w:jc w:val="center"/>
        </w:trPr>
        <w:tc>
          <w:tcPr>
            <w:tcW w:w="1524" w:type="dxa"/>
          </w:tcPr>
          <w:p w:rsidR="00E303AD" w:rsidRPr="00E303AD" w:rsidP="00E303AD">
            <w:pPr>
              <w:spacing w:line="269" w:lineRule="auto"/>
              <w:jc w:val="left"/>
              <w:rPr>
                <w:rFonts w:eastAsia="Calibri"/>
                <w:sz w:val="22"/>
                <w:szCs w:val="22"/>
                <w:rtl/>
              </w:rPr>
            </w:pPr>
            <w:r w:rsidRPr="00E303AD">
              <w:rPr>
                <w:rFonts w:eastAsia="Calibri" w:hint="cs"/>
                <w:sz w:val="22"/>
                <w:szCs w:val="22"/>
                <w:rtl/>
              </w:rPr>
              <w:t>צפון</w:t>
            </w:r>
          </w:p>
        </w:tc>
        <w:tc>
          <w:tcPr>
            <w:tcW w:w="76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1</w:t>
            </w:r>
          </w:p>
        </w:tc>
        <w:tc>
          <w:tcPr>
            <w:tcW w:w="76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0</w:t>
            </w:r>
          </w:p>
        </w:tc>
        <w:tc>
          <w:tcPr>
            <w:tcW w:w="76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1</w:t>
            </w:r>
          </w:p>
        </w:tc>
        <w:tc>
          <w:tcPr>
            <w:tcW w:w="76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0</w:t>
            </w:r>
          </w:p>
        </w:tc>
        <w:tc>
          <w:tcPr>
            <w:tcW w:w="64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1</w:t>
            </w:r>
          </w:p>
        </w:tc>
        <w:tc>
          <w:tcPr>
            <w:tcW w:w="741" w:type="dxa"/>
          </w:tcPr>
          <w:p w:rsidR="00E303AD" w:rsidRPr="00E303AD" w:rsidP="00E303AD">
            <w:pPr>
              <w:spacing w:line="269" w:lineRule="auto"/>
              <w:jc w:val="left"/>
              <w:rPr>
                <w:rFonts w:eastAsia="Calibri"/>
                <w:sz w:val="22"/>
                <w:szCs w:val="22"/>
                <w:rtl/>
              </w:rPr>
            </w:pPr>
            <w:r w:rsidRPr="00E303AD">
              <w:rPr>
                <w:rFonts w:eastAsia="Calibri" w:hint="cs"/>
                <w:sz w:val="22"/>
                <w:szCs w:val="22"/>
                <w:rtl/>
              </w:rPr>
              <w:t>1</w:t>
            </w:r>
          </w:p>
        </w:tc>
      </w:tr>
      <w:tr w:rsidTr="00562836">
        <w:tblPrEx>
          <w:tblW w:w="5955" w:type="dxa"/>
          <w:jc w:val="center"/>
          <w:tblLook w:val="04A0"/>
        </w:tblPrEx>
        <w:trPr>
          <w:jc w:val="center"/>
        </w:trPr>
        <w:tc>
          <w:tcPr>
            <w:tcW w:w="1524" w:type="dxa"/>
          </w:tcPr>
          <w:p w:rsidR="00E303AD" w:rsidRPr="00E303AD" w:rsidP="00E303AD">
            <w:pPr>
              <w:spacing w:line="269" w:lineRule="auto"/>
              <w:jc w:val="left"/>
              <w:rPr>
                <w:rFonts w:eastAsia="Calibri"/>
                <w:sz w:val="22"/>
                <w:szCs w:val="22"/>
                <w:rtl/>
              </w:rPr>
            </w:pPr>
            <w:r w:rsidRPr="00E303AD">
              <w:rPr>
                <w:rFonts w:eastAsia="Calibri" w:hint="cs"/>
                <w:sz w:val="22"/>
                <w:szCs w:val="22"/>
                <w:rtl/>
              </w:rPr>
              <w:t>חוף</w:t>
            </w:r>
          </w:p>
        </w:tc>
        <w:tc>
          <w:tcPr>
            <w:tcW w:w="76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1</w:t>
            </w:r>
          </w:p>
        </w:tc>
        <w:tc>
          <w:tcPr>
            <w:tcW w:w="76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0</w:t>
            </w:r>
          </w:p>
        </w:tc>
        <w:tc>
          <w:tcPr>
            <w:tcW w:w="76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1</w:t>
            </w:r>
          </w:p>
        </w:tc>
        <w:tc>
          <w:tcPr>
            <w:tcW w:w="76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0</w:t>
            </w:r>
          </w:p>
        </w:tc>
        <w:tc>
          <w:tcPr>
            <w:tcW w:w="64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1</w:t>
            </w:r>
          </w:p>
        </w:tc>
        <w:tc>
          <w:tcPr>
            <w:tcW w:w="741" w:type="dxa"/>
          </w:tcPr>
          <w:p w:rsidR="00E303AD" w:rsidRPr="00E303AD" w:rsidP="00E303AD">
            <w:pPr>
              <w:spacing w:line="269" w:lineRule="auto"/>
              <w:jc w:val="left"/>
              <w:rPr>
                <w:rFonts w:eastAsia="Calibri"/>
                <w:sz w:val="22"/>
                <w:szCs w:val="22"/>
                <w:rtl/>
              </w:rPr>
            </w:pPr>
            <w:r w:rsidRPr="00E303AD">
              <w:rPr>
                <w:rFonts w:eastAsia="Calibri" w:hint="cs"/>
                <w:sz w:val="22"/>
                <w:szCs w:val="22"/>
                <w:rtl/>
              </w:rPr>
              <w:t>0</w:t>
            </w:r>
          </w:p>
        </w:tc>
      </w:tr>
      <w:tr w:rsidTr="00562836">
        <w:tblPrEx>
          <w:tblW w:w="5955" w:type="dxa"/>
          <w:jc w:val="center"/>
          <w:tblLook w:val="04A0"/>
        </w:tblPrEx>
        <w:trPr>
          <w:jc w:val="center"/>
        </w:trPr>
        <w:tc>
          <w:tcPr>
            <w:tcW w:w="1524" w:type="dxa"/>
          </w:tcPr>
          <w:p w:rsidR="00E303AD" w:rsidRPr="00E303AD" w:rsidP="00E303AD">
            <w:pPr>
              <w:spacing w:line="269" w:lineRule="auto"/>
              <w:jc w:val="left"/>
              <w:rPr>
                <w:rFonts w:eastAsia="Calibri"/>
                <w:sz w:val="22"/>
                <w:szCs w:val="22"/>
                <w:rtl/>
              </w:rPr>
            </w:pPr>
            <w:r w:rsidRPr="00E303AD">
              <w:rPr>
                <w:rFonts w:eastAsia="Calibri" w:hint="cs"/>
                <w:sz w:val="22"/>
                <w:szCs w:val="22"/>
                <w:rtl/>
              </w:rPr>
              <w:t>מרכז</w:t>
            </w:r>
          </w:p>
        </w:tc>
        <w:tc>
          <w:tcPr>
            <w:tcW w:w="76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1</w:t>
            </w:r>
          </w:p>
        </w:tc>
        <w:tc>
          <w:tcPr>
            <w:tcW w:w="76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0</w:t>
            </w:r>
          </w:p>
        </w:tc>
        <w:tc>
          <w:tcPr>
            <w:tcW w:w="76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1</w:t>
            </w:r>
          </w:p>
        </w:tc>
        <w:tc>
          <w:tcPr>
            <w:tcW w:w="76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0</w:t>
            </w:r>
          </w:p>
        </w:tc>
        <w:tc>
          <w:tcPr>
            <w:tcW w:w="64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1</w:t>
            </w:r>
          </w:p>
        </w:tc>
        <w:tc>
          <w:tcPr>
            <w:tcW w:w="741" w:type="dxa"/>
          </w:tcPr>
          <w:p w:rsidR="00E303AD" w:rsidRPr="00E303AD" w:rsidP="00E303AD">
            <w:pPr>
              <w:spacing w:line="269" w:lineRule="auto"/>
              <w:jc w:val="left"/>
              <w:rPr>
                <w:rFonts w:eastAsia="Calibri"/>
                <w:sz w:val="22"/>
                <w:szCs w:val="22"/>
                <w:rtl/>
              </w:rPr>
            </w:pPr>
            <w:r w:rsidRPr="00E303AD">
              <w:rPr>
                <w:rFonts w:eastAsia="Calibri" w:hint="cs"/>
                <w:sz w:val="22"/>
                <w:szCs w:val="22"/>
                <w:rtl/>
              </w:rPr>
              <w:t>0</w:t>
            </w:r>
          </w:p>
        </w:tc>
      </w:tr>
      <w:tr w:rsidTr="00562836">
        <w:tblPrEx>
          <w:tblW w:w="5955" w:type="dxa"/>
          <w:jc w:val="center"/>
          <w:tblLook w:val="04A0"/>
        </w:tblPrEx>
        <w:trPr>
          <w:jc w:val="center"/>
        </w:trPr>
        <w:tc>
          <w:tcPr>
            <w:tcW w:w="1524" w:type="dxa"/>
          </w:tcPr>
          <w:p w:rsidR="00E303AD" w:rsidRPr="00E303AD" w:rsidP="00E303AD">
            <w:pPr>
              <w:spacing w:line="269" w:lineRule="auto"/>
              <w:jc w:val="left"/>
              <w:rPr>
                <w:rFonts w:eastAsia="Calibri"/>
                <w:sz w:val="22"/>
                <w:szCs w:val="22"/>
                <w:rtl/>
              </w:rPr>
            </w:pPr>
            <w:r w:rsidRPr="00E303AD">
              <w:rPr>
                <w:rFonts w:eastAsia="Calibri" w:hint="cs"/>
                <w:sz w:val="22"/>
                <w:szCs w:val="22"/>
                <w:rtl/>
              </w:rPr>
              <w:t>תל אביב</w:t>
            </w:r>
          </w:p>
        </w:tc>
        <w:tc>
          <w:tcPr>
            <w:tcW w:w="76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1</w:t>
            </w:r>
          </w:p>
        </w:tc>
        <w:tc>
          <w:tcPr>
            <w:tcW w:w="76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2</w:t>
            </w:r>
          </w:p>
        </w:tc>
        <w:tc>
          <w:tcPr>
            <w:tcW w:w="76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1</w:t>
            </w:r>
          </w:p>
        </w:tc>
        <w:tc>
          <w:tcPr>
            <w:tcW w:w="76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1</w:t>
            </w:r>
          </w:p>
        </w:tc>
        <w:tc>
          <w:tcPr>
            <w:tcW w:w="64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1</w:t>
            </w:r>
          </w:p>
        </w:tc>
        <w:tc>
          <w:tcPr>
            <w:tcW w:w="741" w:type="dxa"/>
          </w:tcPr>
          <w:p w:rsidR="00E303AD" w:rsidRPr="00E303AD" w:rsidP="00E303AD">
            <w:pPr>
              <w:spacing w:line="269" w:lineRule="auto"/>
              <w:jc w:val="left"/>
              <w:rPr>
                <w:rFonts w:eastAsia="Calibri"/>
                <w:sz w:val="22"/>
                <w:szCs w:val="22"/>
                <w:rtl/>
              </w:rPr>
            </w:pPr>
            <w:r w:rsidRPr="00E303AD">
              <w:rPr>
                <w:rFonts w:eastAsia="Calibri" w:hint="cs"/>
                <w:sz w:val="22"/>
                <w:szCs w:val="22"/>
                <w:rtl/>
              </w:rPr>
              <w:t>1</w:t>
            </w:r>
          </w:p>
        </w:tc>
      </w:tr>
      <w:tr w:rsidTr="00562836">
        <w:tblPrEx>
          <w:tblW w:w="5955" w:type="dxa"/>
          <w:jc w:val="center"/>
          <w:tblLook w:val="04A0"/>
        </w:tblPrEx>
        <w:trPr>
          <w:jc w:val="center"/>
        </w:trPr>
        <w:tc>
          <w:tcPr>
            <w:tcW w:w="1524" w:type="dxa"/>
          </w:tcPr>
          <w:p w:rsidR="00E303AD" w:rsidRPr="00E303AD" w:rsidP="00E303AD">
            <w:pPr>
              <w:spacing w:line="269" w:lineRule="auto"/>
              <w:jc w:val="left"/>
              <w:rPr>
                <w:rFonts w:eastAsia="Calibri"/>
                <w:sz w:val="22"/>
                <w:szCs w:val="22"/>
                <w:rtl/>
              </w:rPr>
            </w:pPr>
            <w:r w:rsidRPr="00E303AD">
              <w:rPr>
                <w:rFonts w:eastAsia="Calibri" w:hint="cs"/>
                <w:sz w:val="22"/>
                <w:szCs w:val="22"/>
                <w:rtl/>
              </w:rPr>
              <w:t>דרום</w:t>
            </w:r>
          </w:p>
        </w:tc>
        <w:tc>
          <w:tcPr>
            <w:tcW w:w="76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2</w:t>
            </w:r>
          </w:p>
        </w:tc>
        <w:tc>
          <w:tcPr>
            <w:tcW w:w="76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0</w:t>
            </w:r>
          </w:p>
        </w:tc>
        <w:tc>
          <w:tcPr>
            <w:tcW w:w="76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2</w:t>
            </w:r>
          </w:p>
        </w:tc>
        <w:tc>
          <w:tcPr>
            <w:tcW w:w="76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2</w:t>
            </w:r>
          </w:p>
        </w:tc>
        <w:tc>
          <w:tcPr>
            <w:tcW w:w="64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1</w:t>
            </w:r>
          </w:p>
        </w:tc>
        <w:tc>
          <w:tcPr>
            <w:tcW w:w="741" w:type="dxa"/>
          </w:tcPr>
          <w:p w:rsidR="00E303AD" w:rsidRPr="00E303AD" w:rsidP="00E303AD">
            <w:pPr>
              <w:spacing w:line="269" w:lineRule="auto"/>
              <w:jc w:val="left"/>
              <w:rPr>
                <w:rFonts w:eastAsia="Calibri"/>
                <w:sz w:val="22"/>
                <w:szCs w:val="22"/>
                <w:rtl/>
              </w:rPr>
            </w:pPr>
            <w:r w:rsidRPr="00E303AD">
              <w:rPr>
                <w:rFonts w:eastAsia="Calibri" w:hint="cs"/>
                <w:sz w:val="22"/>
                <w:szCs w:val="22"/>
                <w:rtl/>
              </w:rPr>
              <w:t>0</w:t>
            </w:r>
          </w:p>
        </w:tc>
      </w:tr>
      <w:tr w:rsidTr="00562836">
        <w:tblPrEx>
          <w:tblW w:w="5955" w:type="dxa"/>
          <w:jc w:val="center"/>
          <w:tblLook w:val="04A0"/>
        </w:tblPrEx>
        <w:trPr>
          <w:jc w:val="center"/>
        </w:trPr>
        <w:tc>
          <w:tcPr>
            <w:tcW w:w="1524" w:type="dxa"/>
          </w:tcPr>
          <w:p w:rsidR="00E303AD" w:rsidRPr="00E303AD" w:rsidP="00E303AD">
            <w:pPr>
              <w:spacing w:line="269" w:lineRule="auto"/>
              <w:jc w:val="left"/>
              <w:rPr>
                <w:rFonts w:eastAsia="Calibri"/>
                <w:sz w:val="22"/>
                <w:szCs w:val="22"/>
                <w:rtl/>
              </w:rPr>
            </w:pPr>
            <w:r w:rsidRPr="00E303AD">
              <w:rPr>
                <w:rFonts w:eastAsia="Calibri" w:hint="cs"/>
                <w:sz w:val="22"/>
                <w:szCs w:val="22"/>
                <w:rtl/>
              </w:rPr>
              <w:t>ירושלים</w:t>
            </w:r>
          </w:p>
        </w:tc>
        <w:tc>
          <w:tcPr>
            <w:tcW w:w="76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1</w:t>
            </w:r>
          </w:p>
        </w:tc>
        <w:tc>
          <w:tcPr>
            <w:tcW w:w="76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0</w:t>
            </w:r>
          </w:p>
        </w:tc>
        <w:tc>
          <w:tcPr>
            <w:tcW w:w="76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1</w:t>
            </w:r>
          </w:p>
        </w:tc>
        <w:tc>
          <w:tcPr>
            <w:tcW w:w="76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1</w:t>
            </w:r>
          </w:p>
        </w:tc>
        <w:tc>
          <w:tcPr>
            <w:tcW w:w="64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1</w:t>
            </w:r>
          </w:p>
        </w:tc>
        <w:tc>
          <w:tcPr>
            <w:tcW w:w="741" w:type="dxa"/>
          </w:tcPr>
          <w:p w:rsidR="00E303AD" w:rsidRPr="00E303AD" w:rsidP="00E303AD">
            <w:pPr>
              <w:spacing w:line="269" w:lineRule="auto"/>
              <w:jc w:val="left"/>
              <w:rPr>
                <w:rFonts w:eastAsia="Calibri"/>
                <w:sz w:val="22"/>
                <w:szCs w:val="22"/>
                <w:rtl/>
              </w:rPr>
            </w:pPr>
            <w:r w:rsidRPr="00E303AD">
              <w:rPr>
                <w:rFonts w:eastAsia="Calibri" w:hint="cs"/>
                <w:sz w:val="22"/>
                <w:szCs w:val="22"/>
                <w:rtl/>
              </w:rPr>
              <w:t>1</w:t>
            </w:r>
          </w:p>
        </w:tc>
      </w:tr>
      <w:tr w:rsidTr="00562836">
        <w:tblPrEx>
          <w:tblW w:w="5955" w:type="dxa"/>
          <w:jc w:val="center"/>
          <w:tblLook w:val="04A0"/>
        </w:tblPrEx>
        <w:trPr>
          <w:jc w:val="center"/>
        </w:trPr>
        <w:tc>
          <w:tcPr>
            <w:tcW w:w="1524" w:type="dxa"/>
          </w:tcPr>
          <w:p w:rsidR="00E303AD" w:rsidRPr="00E303AD" w:rsidP="00E303AD">
            <w:pPr>
              <w:spacing w:line="269" w:lineRule="auto"/>
              <w:jc w:val="left"/>
              <w:rPr>
                <w:rFonts w:eastAsia="Calibri"/>
                <w:sz w:val="22"/>
                <w:szCs w:val="22"/>
                <w:rtl/>
              </w:rPr>
            </w:pPr>
            <w:r w:rsidRPr="00E303AD">
              <w:rPr>
                <w:rFonts w:eastAsia="Calibri" w:hint="cs"/>
                <w:sz w:val="22"/>
                <w:szCs w:val="22"/>
                <w:rtl/>
              </w:rPr>
              <w:t>ש"י</w:t>
            </w:r>
          </w:p>
        </w:tc>
        <w:tc>
          <w:tcPr>
            <w:tcW w:w="76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1</w:t>
            </w:r>
          </w:p>
        </w:tc>
        <w:tc>
          <w:tcPr>
            <w:tcW w:w="76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0</w:t>
            </w:r>
          </w:p>
        </w:tc>
        <w:tc>
          <w:tcPr>
            <w:tcW w:w="76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1</w:t>
            </w:r>
          </w:p>
        </w:tc>
        <w:tc>
          <w:tcPr>
            <w:tcW w:w="76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0</w:t>
            </w:r>
          </w:p>
        </w:tc>
        <w:tc>
          <w:tcPr>
            <w:tcW w:w="642" w:type="dxa"/>
          </w:tcPr>
          <w:p w:rsidR="00E303AD" w:rsidRPr="00E303AD" w:rsidP="00E303AD">
            <w:pPr>
              <w:spacing w:line="269" w:lineRule="auto"/>
              <w:jc w:val="left"/>
              <w:rPr>
                <w:rFonts w:eastAsia="Calibri"/>
                <w:sz w:val="22"/>
                <w:szCs w:val="22"/>
                <w:rtl/>
              </w:rPr>
            </w:pPr>
            <w:r w:rsidRPr="00E303AD">
              <w:rPr>
                <w:rFonts w:eastAsia="Calibri" w:hint="cs"/>
                <w:sz w:val="22"/>
                <w:szCs w:val="22"/>
                <w:rtl/>
              </w:rPr>
              <w:t>0</w:t>
            </w:r>
          </w:p>
        </w:tc>
        <w:tc>
          <w:tcPr>
            <w:tcW w:w="741" w:type="dxa"/>
          </w:tcPr>
          <w:p w:rsidR="00E303AD" w:rsidRPr="00E303AD" w:rsidP="00E303AD">
            <w:pPr>
              <w:spacing w:line="269" w:lineRule="auto"/>
              <w:jc w:val="left"/>
              <w:rPr>
                <w:rFonts w:eastAsia="Calibri"/>
                <w:sz w:val="22"/>
                <w:szCs w:val="22"/>
                <w:rtl/>
              </w:rPr>
            </w:pPr>
            <w:r w:rsidRPr="00E303AD">
              <w:rPr>
                <w:rFonts w:eastAsia="Calibri" w:hint="cs"/>
                <w:sz w:val="22"/>
                <w:szCs w:val="22"/>
                <w:rtl/>
              </w:rPr>
              <w:t>0</w:t>
            </w:r>
          </w:p>
        </w:tc>
      </w:tr>
      <w:tr w:rsidTr="00562836">
        <w:tblPrEx>
          <w:tblW w:w="5955" w:type="dxa"/>
          <w:jc w:val="center"/>
          <w:tblLook w:val="04A0"/>
        </w:tblPrEx>
        <w:trPr>
          <w:jc w:val="center"/>
        </w:trPr>
        <w:tc>
          <w:tcPr>
            <w:tcW w:w="1524" w:type="dxa"/>
          </w:tcPr>
          <w:p w:rsidR="00E303AD" w:rsidRPr="00E303AD" w:rsidP="00E303AD">
            <w:pPr>
              <w:spacing w:line="269" w:lineRule="auto"/>
              <w:jc w:val="left"/>
              <w:rPr>
                <w:rFonts w:eastAsia="Calibri"/>
                <w:b/>
                <w:bCs/>
                <w:sz w:val="22"/>
                <w:szCs w:val="22"/>
                <w:rtl/>
              </w:rPr>
            </w:pPr>
            <w:r w:rsidRPr="00E303AD">
              <w:rPr>
                <w:rFonts w:eastAsia="Calibri" w:hint="cs"/>
                <w:b/>
                <w:bCs/>
                <w:sz w:val="22"/>
                <w:szCs w:val="22"/>
                <w:rtl/>
              </w:rPr>
              <w:t>סה"כ</w:t>
            </w:r>
          </w:p>
        </w:tc>
        <w:tc>
          <w:tcPr>
            <w:tcW w:w="762" w:type="dxa"/>
          </w:tcPr>
          <w:p w:rsidR="00E303AD" w:rsidRPr="00E303AD" w:rsidP="00E303AD">
            <w:pPr>
              <w:spacing w:line="269" w:lineRule="auto"/>
              <w:jc w:val="left"/>
              <w:rPr>
                <w:rFonts w:eastAsia="Calibri"/>
                <w:b/>
                <w:bCs/>
                <w:sz w:val="22"/>
                <w:szCs w:val="22"/>
                <w:rtl/>
              </w:rPr>
            </w:pPr>
            <w:r w:rsidRPr="00E303AD">
              <w:rPr>
                <w:rFonts w:eastAsia="Calibri" w:hint="cs"/>
                <w:b/>
                <w:bCs/>
                <w:sz w:val="22"/>
                <w:szCs w:val="22"/>
                <w:rtl/>
              </w:rPr>
              <w:t>8</w:t>
            </w:r>
          </w:p>
        </w:tc>
        <w:tc>
          <w:tcPr>
            <w:tcW w:w="762" w:type="dxa"/>
          </w:tcPr>
          <w:p w:rsidR="00E303AD" w:rsidRPr="00E303AD" w:rsidP="00E303AD">
            <w:pPr>
              <w:spacing w:line="269" w:lineRule="auto"/>
              <w:jc w:val="left"/>
              <w:rPr>
                <w:rFonts w:eastAsia="Calibri"/>
                <w:b/>
                <w:bCs/>
                <w:sz w:val="22"/>
                <w:szCs w:val="22"/>
                <w:rtl/>
              </w:rPr>
            </w:pPr>
            <w:r w:rsidRPr="00E303AD">
              <w:rPr>
                <w:rFonts w:eastAsia="Calibri" w:hint="cs"/>
                <w:b/>
                <w:bCs/>
                <w:sz w:val="22"/>
                <w:szCs w:val="22"/>
                <w:rtl/>
              </w:rPr>
              <w:t>2</w:t>
            </w:r>
          </w:p>
        </w:tc>
        <w:tc>
          <w:tcPr>
            <w:tcW w:w="762" w:type="dxa"/>
          </w:tcPr>
          <w:p w:rsidR="00E303AD" w:rsidRPr="00E303AD" w:rsidP="00E303AD">
            <w:pPr>
              <w:spacing w:line="269" w:lineRule="auto"/>
              <w:jc w:val="left"/>
              <w:rPr>
                <w:rFonts w:eastAsia="Calibri"/>
                <w:b/>
                <w:bCs/>
                <w:sz w:val="22"/>
                <w:szCs w:val="22"/>
                <w:rtl/>
              </w:rPr>
            </w:pPr>
            <w:r w:rsidRPr="00E303AD">
              <w:rPr>
                <w:rFonts w:eastAsia="Calibri" w:hint="cs"/>
                <w:b/>
                <w:bCs/>
                <w:sz w:val="22"/>
                <w:szCs w:val="22"/>
                <w:rtl/>
              </w:rPr>
              <w:t>8</w:t>
            </w:r>
          </w:p>
        </w:tc>
        <w:tc>
          <w:tcPr>
            <w:tcW w:w="762" w:type="dxa"/>
          </w:tcPr>
          <w:p w:rsidR="00E303AD" w:rsidRPr="00E303AD" w:rsidP="00E303AD">
            <w:pPr>
              <w:spacing w:line="269" w:lineRule="auto"/>
              <w:jc w:val="left"/>
              <w:rPr>
                <w:rFonts w:eastAsia="Calibri"/>
                <w:b/>
                <w:bCs/>
                <w:sz w:val="22"/>
                <w:szCs w:val="22"/>
                <w:rtl/>
              </w:rPr>
            </w:pPr>
            <w:r w:rsidRPr="00E303AD">
              <w:rPr>
                <w:rFonts w:eastAsia="Calibri" w:hint="cs"/>
                <w:b/>
                <w:bCs/>
                <w:sz w:val="22"/>
                <w:szCs w:val="22"/>
                <w:rtl/>
              </w:rPr>
              <w:t>4</w:t>
            </w:r>
          </w:p>
        </w:tc>
        <w:tc>
          <w:tcPr>
            <w:tcW w:w="642" w:type="dxa"/>
          </w:tcPr>
          <w:p w:rsidR="00E303AD" w:rsidRPr="00E303AD" w:rsidP="00E303AD">
            <w:pPr>
              <w:spacing w:line="269" w:lineRule="auto"/>
              <w:jc w:val="left"/>
              <w:rPr>
                <w:rFonts w:eastAsia="Calibri"/>
                <w:b/>
                <w:bCs/>
                <w:sz w:val="22"/>
                <w:szCs w:val="22"/>
                <w:rtl/>
              </w:rPr>
            </w:pPr>
            <w:r w:rsidRPr="00E303AD">
              <w:rPr>
                <w:rFonts w:eastAsia="Calibri" w:hint="cs"/>
                <w:b/>
                <w:bCs/>
                <w:sz w:val="22"/>
                <w:szCs w:val="22"/>
                <w:rtl/>
              </w:rPr>
              <w:t>6</w:t>
            </w:r>
          </w:p>
        </w:tc>
        <w:tc>
          <w:tcPr>
            <w:tcW w:w="741" w:type="dxa"/>
          </w:tcPr>
          <w:p w:rsidR="00E303AD" w:rsidRPr="00E303AD" w:rsidP="00E303AD">
            <w:pPr>
              <w:spacing w:line="269" w:lineRule="auto"/>
              <w:jc w:val="left"/>
              <w:rPr>
                <w:rFonts w:eastAsia="Calibri"/>
                <w:b/>
                <w:bCs/>
                <w:sz w:val="22"/>
                <w:szCs w:val="22"/>
                <w:rtl/>
              </w:rPr>
            </w:pPr>
            <w:r w:rsidRPr="00E303AD">
              <w:rPr>
                <w:rFonts w:eastAsia="Calibri" w:hint="cs"/>
                <w:b/>
                <w:bCs/>
                <w:sz w:val="22"/>
                <w:szCs w:val="22"/>
                <w:rtl/>
              </w:rPr>
              <w:t>3</w:t>
            </w:r>
          </w:p>
        </w:tc>
      </w:tr>
    </w:tbl>
    <w:p w:rsidR="00E303AD" w:rsidRPr="00E303AD" w:rsidP="00E303AD">
      <w:pPr>
        <w:spacing w:line="269" w:lineRule="auto"/>
        <w:rPr>
          <w:rFonts w:eastAsia="Calibri"/>
          <w:szCs w:val="20"/>
          <w:rtl/>
        </w:rPr>
      </w:pPr>
      <w:r w:rsidRPr="00E303AD">
        <w:rPr>
          <w:rFonts w:eastAsia="Calibri" w:hint="cs"/>
          <w:szCs w:val="20"/>
          <w:rtl/>
        </w:rPr>
        <w:t>על פי קובצי נתונים מהמשטרה, בעיבוד משרד מבקר המדינה.</w:t>
      </w:r>
    </w:p>
    <w:p w:rsidR="00E303AD" w:rsidRPr="00E303AD" w:rsidP="00E303AD">
      <w:pPr>
        <w:spacing w:line="269" w:lineRule="auto"/>
        <w:rPr>
          <w:rFonts w:eastAsia="Calibri"/>
          <w:szCs w:val="20"/>
          <w:rtl/>
        </w:rPr>
      </w:pPr>
      <w:r w:rsidRPr="00E303AD">
        <w:rPr>
          <w:rFonts w:eastAsia="Calibri" w:hint="cs"/>
          <w:szCs w:val="20"/>
          <w:rtl/>
        </w:rPr>
        <w:t>*במסגרת התוכנית לשנת 2025 הוצבו יעדים לחלק מהמחוזות</w:t>
      </w:r>
      <w:r>
        <w:rPr>
          <w:rFonts w:eastAsia="Calibri"/>
          <w:szCs w:val="20"/>
          <w:vertAlign w:val="superscript"/>
          <w:rtl/>
        </w:rPr>
        <w:footnoteReference w:id="101"/>
      </w:r>
      <w:r w:rsidRPr="00E303AD">
        <w:rPr>
          <w:rFonts w:eastAsia="Calibri" w:hint="cs"/>
          <w:szCs w:val="20"/>
          <w:rtl/>
        </w:rPr>
        <w:t xml:space="preserve">. כמו כן, </w:t>
      </w:r>
      <w:bookmarkStart w:id="112" w:name="_Hlk232598255"/>
      <w:r w:rsidRPr="00E303AD">
        <w:rPr>
          <w:rFonts w:eastAsia="Calibri" w:hint="cs"/>
          <w:szCs w:val="20"/>
          <w:rtl/>
        </w:rPr>
        <w:t>ל</w:t>
      </w:r>
      <w:r w:rsidRPr="00E303AD">
        <w:rPr>
          <w:rFonts w:eastAsia="Calibri"/>
          <w:szCs w:val="20"/>
          <w:rtl/>
        </w:rPr>
        <w:t>יחידה הארצית למאבק בפשיעה הכלכלית</w:t>
      </w:r>
      <w:r w:rsidRPr="00E303AD">
        <w:rPr>
          <w:rFonts w:eastAsia="Calibri" w:hint="cs"/>
          <w:szCs w:val="20"/>
          <w:rtl/>
        </w:rPr>
        <w:t xml:space="preserve"> שביחידת להב 433 (יאל"כ) </w:t>
      </w:r>
      <w:bookmarkEnd w:id="112"/>
      <w:r w:rsidRPr="00E303AD">
        <w:rPr>
          <w:rFonts w:eastAsia="Calibri" w:hint="cs"/>
          <w:szCs w:val="20"/>
          <w:rtl/>
        </w:rPr>
        <w:t>נקבע יעד של פיצוח חמש פרשיות בנושא סחר בבני אדם או פשיעה נגד זרים.</w:t>
      </w:r>
      <w:bookmarkEnd w:id="111"/>
      <w:r w:rsidRPr="00E303AD">
        <w:rPr>
          <w:rFonts w:eastAsia="Calibri" w:hint="cs"/>
          <w:szCs w:val="20"/>
          <w:rtl/>
        </w:rPr>
        <w:t xml:space="preserve"> במסגרת יעדי אח"ם לשנת 2026 נקבע יעד של פיצוח פרשייה אחת לכל מחוז. נכון למועד סיום הביקורת לא היו נתוני ביצוע לשנים 2025 ו-2026.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r w:rsidRPr="00E303AD">
        <w:rPr>
          <w:rFonts w:eastAsia="Calibri"/>
          <w:b/>
          <w:bCs/>
          <w:rtl/>
        </w:rPr>
        <w:t xml:space="preserve">מן הנתונים עולה כי בשנים </w:t>
      </w:r>
      <w:r w:rsidRPr="00E303AD">
        <w:rPr>
          <w:rFonts w:eastAsia="Calibri" w:hint="cs"/>
          <w:b/>
          <w:bCs/>
          <w:rtl/>
        </w:rPr>
        <w:t>2022 - 2024 המשטרה לא עמדה ב</w:t>
      </w:r>
      <w:r w:rsidRPr="00E303AD">
        <w:rPr>
          <w:rFonts w:eastAsia="Calibri"/>
          <w:b/>
          <w:bCs/>
          <w:rtl/>
        </w:rPr>
        <w:t xml:space="preserve">יעדים </w:t>
      </w:r>
      <w:r w:rsidRPr="00E303AD">
        <w:rPr>
          <w:rFonts w:eastAsia="Calibri" w:hint="cs"/>
          <w:b/>
          <w:bCs/>
          <w:rtl/>
        </w:rPr>
        <w:t xml:space="preserve">שהיא עצמה הציבה </w:t>
      </w:r>
      <w:r w:rsidRPr="00E303AD">
        <w:rPr>
          <w:rFonts w:eastAsia="Calibri"/>
          <w:b/>
          <w:bCs/>
          <w:rtl/>
        </w:rPr>
        <w:t>ל</w:t>
      </w:r>
      <w:r w:rsidRPr="00E303AD">
        <w:rPr>
          <w:rFonts w:eastAsia="Calibri" w:hint="cs"/>
          <w:b/>
          <w:bCs/>
          <w:rtl/>
        </w:rPr>
        <w:t>פיצוח פרשיות של</w:t>
      </w:r>
      <w:r w:rsidRPr="00E303AD">
        <w:rPr>
          <w:rFonts w:eastAsia="Calibri"/>
          <w:b/>
          <w:bCs/>
          <w:rtl/>
        </w:rPr>
        <w:t xml:space="preserve"> עבירות סחר בבני אדם</w:t>
      </w:r>
      <w:r w:rsidRPr="00E303AD">
        <w:rPr>
          <w:rFonts w:eastAsia="Calibri" w:hint="cs"/>
          <w:b/>
          <w:bCs/>
          <w:rtl/>
        </w:rPr>
        <w:t>:</w:t>
      </w:r>
      <w:r w:rsidRPr="00E303AD">
        <w:rPr>
          <w:rFonts w:eastAsia="Calibri"/>
          <w:b/>
          <w:bCs/>
          <w:rtl/>
        </w:rPr>
        <w:t xml:space="preserve"> בשנת 2022 </w:t>
      </w:r>
      <w:r w:rsidRPr="00E303AD">
        <w:rPr>
          <w:rFonts w:eastAsia="Calibri" w:hint="cs"/>
          <w:b/>
          <w:bCs/>
          <w:rtl/>
        </w:rPr>
        <w:t xml:space="preserve">פיצחה </w:t>
      </w:r>
      <w:r w:rsidRPr="00E303AD">
        <w:rPr>
          <w:rFonts w:eastAsia="Calibri"/>
          <w:b/>
          <w:bCs/>
          <w:rtl/>
        </w:rPr>
        <w:t xml:space="preserve">25% </w:t>
      </w:r>
      <w:r w:rsidRPr="00E303AD">
        <w:rPr>
          <w:rFonts w:eastAsia="Calibri" w:hint="cs"/>
          <w:b/>
          <w:bCs/>
          <w:rtl/>
        </w:rPr>
        <w:t>ממספר הפרשיות שנקבעו ביעד שהציבה (פיצוח שתי פרשיות לעומת יעד של שמונה פרשיות), והביצוע משקף פעילות של מחוז אחד בלבד (תל אביב) מתוך שבעת המחוזות שהוצבו להם יעדים.</w:t>
      </w:r>
      <w:r w:rsidRPr="00E303AD">
        <w:rPr>
          <w:rFonts w:eastAsia="Calibri"/>
          <w:b/>
          <w:bCs/>
          <w:rtl/>
        </w:rPr>
        <w:t xml:space="preserve"> בשנים 2023 ו</w:t>
      </w:r>
      <w:r w:rsidRPr="00E303AD">
        <w:rPr>
          <w:rFonts w:eastAsia="Calibri" w:hint="cs"/>
          <w:b/>
          <w:bCs/>
          <w:rtl/>
        </w:rPr>
        <w:t>-</w:t>
      </w:r>
      <w:r w:rsidRPr="00E303AD">
        <w:rPr>
          <w:rFonts w:eastAsia="Calibri"/>
          <w:b/>
          <w:bCs/>
          <w:rtl/>
        </w:rPr>
        <w:t xml:space="preserve">2024 </w:t>
      </w:r>
      <w:r w:rsidRPr="00E303AD">
        <w:rPr>
          <w:rFonts w:eastAsia="Calibri" w:hint="cs"/>
          <w:b/>
          <w:bCs/>
          <w:rtl/>
        </w:rPr>
        <w:t>עמדו המחוזות</w:t>
      </w:r>
      <w:r w:rsidRPr="00E303AD">
        <w:rPr>
          <w:rFonts w:eastAsia="Calibri"/>
          <w:b/>
          <w:bCs/>
          <w:rtl/>
        </w:rPr>
        <w:t xml:space="preserve"> בכ־50% מהיעדים בכל שנה</w:t>
      </w:r>
      <w:r w:rsidRPr="00E303AD">
        <w:rPr>
          <w:rFonts w:eastAsia="Calibri" w:hint="cs"/>
          <w:b/>
          <w:bCs/>
          <w:rtl/>
        </w:rPr>
        <w:t xml:space="preserve"> (ארבע ושלוש פרשיות, לעומת יעד של שמונה ושש, בהתאמה)</w:t>
      </w:r>
      <w:r w:rsidRPr="00E303AD">
        <w:rPr>
          <w:rFonts w:eastAsia="Calibri"/>
          <w:b/>
          <w:bCs/>
          <w:rtl/>
        </w:rPr>
        <w:t>.</w:t>
      </w:r>
      <w:r w:rsidRPr="00E303AD">
        <w:rPr>
          <w:rFonts w:eastAsia="Calibri" w:hint="cs"/>
          <w:b/>
          <w:bCs/>
          <w:rtl/>
        </w:rPr>
        <w:t xml:space="preserve"> </w:t>
      </w:r>
      <w:r w:rsidRPr="00E303AD">
        <w:rPr>
          <w:rFonts w:eastAsia="Calibri"/>
          <w:b/>
          <w:bCs/>
          <w:rtl/>
        </w:rPr>
        <w:t xml:space="preserve">מחוז תל אביב בלט </w:t>
      </w:r>
      <w:r w:rsidRPr="00E303AD">
        <w:rPr>
          <w:rFonts w:eastAsia="Calibri" w:hint="cs"/>
          <w:b/>
          <w:bCs/>
          <w:rtl/>
        </w:rPr>
        <w:t>לטובה בשנת 2022: שיעורי הפיצוח של הפרשיות במחוז בשנה זו היו גבוהים מאלה שנקבעו</w:t>
      </w:r>
      <w:r w:rsidRPr="00E303AD">
        <w:rPr>
          <w:rFonts w:eastAsia="Calibri"/>
          <w:b/>
          <w:bCs/>
          <w:rtl/>
        </w:rPr>
        <w:t xml:space="preserve"> </w:t>
      </w:r>
      <w:r w:rsidRPr="00E303AD">
        <w:rPr>
          <w:rFonts w:eastAsia="Calibri" w:hint="cs"/>
          <w:b/>
          <w:bCs/>
          <w:rtl/>
        </w:rPr>
        <w:t>ב</w:t>
      </w:r>
      <w:r w:rsidRPr="00E303AD">
        <w:rPr>
          <w:rFonts w:eastAsia="Calibri"/>
          <w:b/>
          <w:bCs/>
          <w:rtl/>
        </w:rPr>
        <w:t xml:space="preserve">יעדים </w:t>
      </w:r>
      <w:r w:rsidRPr="00E303AD">
        <w:rPr>
          <w:rFonts w:eastAsia="Calibri" w:hint="cs"/>
          <w:b/>
          <w:bCs/>
          <w:rtl/>
        </w:rPr>
        <w:t>שהוצבו לו לאותה שנה</w:t>
      </w:r>
      <w:r w:rsidRPr="00E303AD">
        <w:rPr>
          <w:rFonts w:eastAsia="Calibri"/>
          <w:b/>
          <w:bCs/>
          <w:rtl/>
        </w:rPr>
        <w:t xml:space="preserve">, אך </w:t>
      </w:r>
      <w:bookmarkStart w:id="113" w:name="_Hlk232956579"/>
      <w:r w:rsidRPr="00E303AD">
        <w:rPr>
          <w:rFonts w:eastAsia="Calibri"/>
          <w:b/>
          <w:bCs/>
          <w:rtl/>
        </w:rPr>
        <w:t xml:space="preserve">מחוזות חוף, מרכז וש"י לא פיצחו </w:t>
      </w:r>
      <w:r w:rsidRPr="00E303AD">
        <w:rPr>
          <w:rFonts w:eastAsia="Calibri" w:hint="cs"/>
          <w:b/>
          <w:bCs/>
          <w:rtl/>
        </w:rPr>
        <w:t>שום</w:t>
      </w:r>
      <w:r w:rsidRPr="00E303AD">
        <w:rPr>
          <w:rFonts w:eastAsia="Calibri"/>
          <w:b/>
          <w:bCs/>
          <w:rtl/>
        </w:rPr>
        <w:t xml:space="preserve"> פרשייה במשך </w:t>
      </w:r>
      <w:r w:rsidRPr="00E303AD">
        <w:rPr>
          <w:rFonts w:eastAsia="Calibri" w:hint="cs"/>
          <w:b/>
          <w:bCs/>
          <w:rtl/>
        </w:rPr>
        <w:t>שלוש</w:t>
      </w:r>
      <w:r w:rsidRPr="00E303AD">
        <w:rPr>
          <w:rFonts w:eastAsia="Calibri"/>
          <w:b/>
          <w:bCs/>
          <w:rtl/>
        </w:rPr>
        <w:t xml:space="preserve"> שנים רצופות (2022 - 2024), </w:t>
      </w:r>
      <w:r w:rsidRPr="00E303AD">
        <w:rPr>
          <w:rFonts w:eastAsia="Calibri" w:hint="cs"/>
          <w:b/>
          <w:bCs/>
          <w:rtl/>
        </w:rPr>
        <w:t>אף</w:t>
      </w:r>
      <w:r w:rsidRPr="00E303AD">
        <w:rPr>
          <w:rFonts w:eastAsia="Calibri"/>
          <w:b/>
          <w:bCs/>
          <w:rtl/>
        </w:rPr>
        <w:t xml:space="preserve"> שהיעד שנקבע להם בתקופה זו </w:t>
      </w:r>
      <w:r w:rsidRPr="00E303AD">
        <w:rPr>
          <w:rFonts w:eastAsia="Calibri" w:hint="cs"/>
          <w:b/>
          <w:bCs/>
          <w:rtl/>
        </w:rPr>
        <w:t>היה</w:t>
      </w:r>
      <w:r w:rsidRPr="00E303AD">
        <w:rPr>
          <w:rFonts w:eastAsia="Calibri"/>
          <w:b/>
          <w:bCs/>
          <w:rtl/>
        </w:rPr>
        <w:t xml:space="preserve"> שמונה פרשיות (במצטבר). </w:t>
      </w:r>
    </w:p>
    <w:bookmarkEnd w:id="113"/>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szCs w:val="20"/>
          <w:rtl/>
        </w:rPr>
      </w:pPr>
      <w:r w:rsidRPr="00E303AD">
        <w:rPr>
          <w:rFonts w:eastAsia="Calibri" w:hint="eastAsia"/>
          <w:sz w:val="24"/>
          <w:rtl/>
        </w:rPr>
        <w:t>בתשובת</w:t>
      </w:r>
      <w:r w:rsidRPr="00E303AD">
        <w:rPr>
          <w:rFonts w:eastAsia="Calibri"/>
          <w:sz w:val="24"/>
          <w:rtl/>
        </w:rPr>
        <w:t xml:space="preserve"> המשטרה צוין </w:t>
      </w:r>
      <w:r w:rsidRPr="00E303AD">
        <w:rPr>
          <w:rFonts w:eastAsia="Calibri" w:hint="eastAsia"/>
          <w:sz w:val="24"/>
          <w:rtl/>
        </w:rPr>
        <w:t>כי</w:t>
      </w:r>
      <w:r w:rsidRPr="00E303AD">
        <w:rPr>
          <w:rFonts w:eastAsia="Calibri"/>
          <w:sz w:val="24"/>
          <w:rtl/>
        </w:rPr>
        <w:t xml:space="preserve"> </w:t>
      </w:r>
      <w:r w:rsidRPr="00E303AD">
        <w:rPr>
          <w:rFonts w:eastAsia="Calibri" w:hint="eastAsia"/>
          <w:sz w:val="24"/>
          <w:rtl/>
        </w:rPr>
        <w:t>סחר</w:t>
      </w:r>
      <w:r w:rsidRPr="00E303AD">
        <w:rPr>
          <w:rFonts w:eastAsia="Calibri"/>
          <w:sz w:val="24"/>
          <w:rtl/>
        </w:rPr>
        <w:t xml:space="preserve"> </w:t>
      </w:r>
      <w:r w:rsidRPr="00E303AD">
        <w:rPr>
          <w:rFonts w:eastAsia="Calibri" w:hint="eastAsia"/>
          <w:sz w:val="24"/>
          <w:rtl/>
        </w:rPr>
        <w:t>בבני</w:t>
      </w:r>
      <w:r w:rsidRPr="00E303AD">
        <w:rPr>
          <w:rFonts w:eastAsia="Calibri"/>
          <w:sz w:val="24"/>
          <w:rtl/>
        </w:rPr>
        <w:t xml:space="preserve"> </w:t>
      </w:r>
      <w:r w:rsidRPr="00E303AD">
        <w:rPr>
          <w:rFonts w:eastAsia="Calibri" w:hint="eastAsia"/>
          <w:sz w:val="24"/>
          <w:rtl/>
        </w:rPr>
        <w:t>אדם</w:t>
      </w:r>
      <w:r w:rsidRPr="00E303AD">
        <w:rPr>
          <w:rFonts w:eastAsia="Calibri"/>
          <w:sz w:val="24"/>
          <w:rtl/>
        </w:rPr>
        <w:t xml:space="preserve"> </w:t>
      </w:r>
      <w:r w:rsidRPr="00E303AD">
        <w:rPr>
          <w:rFonts w:eastAsia="Calibri" w:hint="eastAsia"/>
          <w:sz w:val="24"/>
          <w:rtl/>
        </w:rPr>
        <w:t>נקבע</w:t>
      </w:r>
      <w:r w:rsidRPr="00E303AD">
        <w:rPr>
          <w:rFonts w:eastAsia="Calibri"/>
          <w:sz w:val="24"/>
          <w:rtl/>
        </w:rPr>
        <w:t xml:space="preserve"> </w:t>
      </w:r>
      <w:r w:rsidRPr="00E303AD">
        <w:rPr>
          <w:rFonts w:eastAsia="Calibri" w:hint="eastAsia"/>
          <w:sz w:val="24"/>
          <w:rtl/>
        </w:rPr>
        <w:t>כנושא</w:t>
      </w:r>
      <w:r w:rsidRPr="00E303AD">
        <w:rPr>
          <w:rFonts w:eastAsia="Calibri"/>
          <w:sz w:val="24"/>
          <w:rtl/>
        </w:rPr>
        <w:t xml:space="preserve"> </w:t>
      </w:r>
      <w:r w:rsidRPr="00E303AD">
        <w:rPr>
          <w:rFonts w:eastAsia="Calibri" w:hint="eastAsia"/>
          <w:sz w:val="24"/>
          <w:rtl/>
        </w:rPr>
        <w:t>התעניינות</w:t>
      </w:r>
      <w:r>
        <w:rPr>
          <w:rFonts w:eastAsia="Calibri"/>
          <w:sz w:val="24"/>
          <w:vertAlign w:val="superscript"/>
          <w:rtl/>
        </w:rPr>
        <w:footnoteReference w:id="102"/>
      </w:r>
      <w:r w:rsidRPr="00E303AD">
        <w:rPr>
          <w:rFonts w:eastAsia="Calibri"/>
          <w:sz w:val="24"/>
          <w:rtl/>
        </w:rPr>
        <w:t xml:space="preserve"> </w:t>
      </w:r>
      <w:r w:rsidRPr="00E303AD">
        <w:rPr>
          <w:rFonts w:eastAsia="Calibri" w:hint="eastAsia"/>
          <w:sz w:val="24"/>
          <w:rtl/>
        </w:rPr>
        <w:t>חובה</w:t>
      </w:r>
      <w:r w:rsidRPr="00E303AD">
        <w:rPr>
          <w:rFonts w:eastAsia="Calibri"/>
          <w:sz w:val="24"/>
          <w:rtl/>
        </w:rPr>
        <w:t xml:space="preserve"> לשנת 2022, </w:t>
      </w:r>
      <w:r w:rsidRPr="00E303AD">
        <w:rPr>
          <w:rFonts w:eastAsia="Calibri" w:hint="eastAsia"/>
          <w:sz w:val="24"/>
          <w:rtl/>
        </w:rPr>
        <w:t>וה</w:t>
      </w:r>
      <w:r w:rsidRPr="00E303AD">
        <w:rPr>
          <w:rFonts w:eastAsia="Calibri"/>
          <w:sz w:val="24"/>
          <w:rtl/>
        </w:rPr>
        <w:t>ימ"ר</w:t>
      </w:r>
      <w:r w:rsidRPr="00E303AD">
        <w:rPr>
          <w:rFonts w:eastAsia="Calibri" w:hint="eastAsia"/>
          <w:sz w:val="24"/>
          <w:rtl/>
        </w:rPr>
        <w:t>ים</w:t>
      </w:r>
      <w:r w:rsidRPr="00E303AD">
        <w:rPr>
          <w:rFonts w:eastAsia="Calibri"/>
          <w:sz w:val="24"/>
          <w:rtl/>
        </w:rPr>
        <w:t xml:space="preserve"> של המחוזות צפון, חוף, מרכז, ת״א, ירושלים, ש״י, לכיש ונגב, ויאל׳׳כ </w:t>
      </w:r>
      <w:r w:rsidRPr="00E303AD">
        <w:rPr>
          <w:rFonts w:eastAsia="Calibri" w:hint="cs"/>
          <w:sz w:val="24"/>
          <w:rtl/>
        </w:rPr>
        <w:t>הציבו יעדים לפיצוח</w:t>
      </w:r>
      <w:r w:rsidRPr="00E303AD">
        <w:rPr>
          <w:rFonts w:eastAsia="Calibri"/>
          <w:sz w:val="24"/>
          <w:rtl/>
        </w:rPr>
        <w:t xml:space="preserve"> פרשיות בנ</w:t>
      </w:r>
      <w:r w:rsidRPr="00E303AD">
        <w:rPr>
          <w:rFonts w:eastAsia="Calibri" w:hint="eastAsia"/>
          <w:sz w:val="24"/>
          <w:rtl/>
        </w:rPr>
        <w:t>ושא</w:t>
      </w:r>
      <w:r w:rsidRPr="00E303AD">
        <w:rPr>
          <w:rFonts w:eastAsia="Calibri" w:hint="cs"/>
          <w:sz w:val="24"/>
          <w:rtl/>
        </w:rPr>
        <w:t xml:space="preserve"> סחר בבני אדם</w:t>
      </w:r>
      <w:r w:rsidRPr="00E303AD">
        <w:rPr>
          <w:rFonts w:eastAsia="Calibri"/>
          <w:sz w:val="24"/>
          <w:rtl/>
        </w:rPr>
        <w:t xml:space="preserve">. כחלק מהשינויים במאפייני התופעה, זוהתה מגמה של מעבר למתן שירותי מין במקומות מזדמנים, </w:t>
      </w:r>
      <w:r w:rsidRPr="00E303AD">
        <w:rPr>
          <w:rFonts w:eastAsia="Calibri" w:hint="cs"/>
          <w:sz w:val="24"/>
          <w:rtl/>
        </w:rPr>
        <w:t>כדי</w:t>
      </w:r>
      <w:r w:rsidRPr="00E303AD">
        <w:rPr>
          <w:rFonts w:eastAsia="Calibri"/>
          <w:sz w:val="24"/>
          <w:rtl/>
        </w:rPr>
        <w:t xml:space="preserve"> לצמצם את הסיכוי להיתקלות באכיפה משטרתית. על כן, הפרסום לכך </w:t>
      </w:r>
      <w:r w:rsidRPr="00E303AD">
        <w:rPr>
          <w:rFonts w:eastAsia="Calibri" w:hint="cs"/>
          <w:sz w:val="24"/>
          <w:rtl/>
        </w:rPr>
        <w:t>הו</w:t>
      </w:r>
      <w:r w:rsidRPr="00E303AD">
        <w:rPr>
          <w:rFonts w:eastAsia="Calibri"/>
          <w:sz w:val="24"/>
          <w:rtl/>
        </w:rPr>
        <w:t xml:space="preserve">עבר למרשתת. </w:t>
      </w:r>
      <w:r w:rsidRPr="00E303AD">
        <w:rPr>
          <w:rFonts w:eastAsia="Calibri" w:hint="cs"/>
          <w:sz w:val="24"/>
          <w:rtl/>
        </w:rPr>
        <w:t>לפי</w:t>
      </w:r>
      <w:r w:rsidRPr="00E303AD">
        <w:rPr>
          <w:rFonts w:eastAsia="Calibri"/>
          <w:sz w:val="24"/>
          <w:rtl/>
        </w:rPr>
        <w:t xml:space="preserve">כך, בשנת 2023 איסוף מודיעין בגין עבירות הקשורות </w:t>
      </w:r>
      <w:r w:rsidRPr="00E303AD">
        <w:rPr>
          <w:rFonts w:eastAsia="Calibri" w:hint="cs"/>
          <w:sz w:val="24"/>
          <w:rtl/>
        </w:rPr>
        <w:t>ל</w:t>
      </w:r>
      <w:r w:rsidRPr="00E303AD">
        <w:rPr>
          <w:rFonts w:eastAsia="Calibri"/>
          <w:sz w:val="24"/>
          <w:rtl/>
        </w:rPr>
        <w:t>זנות הוגדר כתת</w:t>
      </w:r>
      <w:r w:rsidRPr="00E303AD">
        <w:rPr>
          <w:rFonts w:eastAsia="Calibri" w:hint="cs"/>
          <w:sz w:val="24"/>
          <w:rtl/>
        </w:rPr>
        <w:t>-</w:t>
      </w:r>
      <w:r w:rsidRPr="00E303AD">
        <w:rPr>
          <w:rFonts w:eastAsia="Calibri"/>
          <w:sz w:val="24"/>
          <w:rtl/>
        </w:rPr>
        <w:t>נושא</w:t>
      </w:r>
      <w:r w:rsidRPr="00E303AD">
        <w:rPr>
          <w:rFonts w:eastAsia="Calibri"/>
          <w:rtl/>
        </w:rPr>
        <w:t xml:space="preserve"> </w:t>
      </w:r>
      <w:r w:rsidRPr="00E303AD">
        <w:rPr>
          <w:rFonts w:eastAsia="Calibri"/>
          <w:sz w:val="24"/>
          <w:rtl/>
        </w:rPr>
        <w:t xml:space="preserve">של נושא התעניינות ״פשיעה במרשתת״, שהוא נושא חובה ברמה הארצית בכל המחוזות. </w:t>
      </w:r>
      <w:r w:rsidRPr="00E303AD">
        <w:rPr>
          <w:rFonts w:eastAsia="Calibri" w:hint="eastAsia"/>
          <w:sz w:val="24"/>
          <w:rtl/>
        </w:rPr>
        <w:t>נוסף</w:t>
      </w:r>
      <w:r w:rsidRPr="00E303AD">
        <w:rPr>
          <w:rFonts w:eastAsia="Calibri"/>
          <w:sz w:val="24"/>
          <w:rtl/>
        </w:rPr>
        <w:t xml:space="preserve"> </w:t>
      </w:r>
      <w:r w:rsidRPr="00E303AD">
        <w:rPr>
          <w:rFonts w:eastAsia="Calibri" w:hint="eastAsia"/>
          <w:sz w:val="24"/>
          <w:rtl/>
        </w:rPr>
        <w:t>על</w:t>
      </w:r>
      <w:r w:rsidRPr="00E303AD">
        <w:rPr>
          <w:rFonts w:eastAsia="Calibri"/>
          <w:sz w:val="24"/>
          <w:rtl/>
        </w:rPr>
        <w:t xml:space="preserve"> </w:t>
      </w:r>
      <w:r w:rsidRPr="00E303AD">
        <w:rPr>
          <w:rFonts w:eastAsia="Calibri" w:hint="eastAsia"/>
          <w:sz w:val="24"/>
          <w:rtl/>
        </w:rPr>
        <w:t>כך</w:t>
      </w:r>
      <w:r w:rsidRPr="00E303AD">
        <w:rPr>
          <w:rFonts w:eastAsia="Calibri"/>
          <w:sz w:val="24"/>
          <w:rtl/>
        </w:rPr>
        <w:t>, מחוז ת״א</w:t>
      </w:r>
      <w:r w:rsidRPr="00E303AD">
        <w:rPr>
          <w:rFonts w:eastAsia="Calibri" w:hint="cs"/>
          <w:sz w:val="24"/>
          <w:rtl/>
        </w:rPr>
        <w:t>,</w:t>
      </w:r>
      <w:r w:rsidRPr="00E303AD">
        <w:rPr>
          <w:rFonts w:eastAsia="Calibri"/>
          <w:sz w:val="24"/>
          <w:rtl/>
        </w:rPr>
        <w:t xml:space="preserve"> שיש בו מחלק מוסר</w:t>
      </w:r>
      <w:r w:rsidRPr="00E303AD">
        <w:rPr>
          <w:rFonts w:eastAsia="Calibri" w:hint="cs"/>
          <w:sz w:val="24"/>
          <w:rtl/>
        </w:rPr>
        <w:t>,</w:t>
      </w:r>
      <w:r w:rsidRPr="00E303AD">
        <w:rPr>
          <w:rFonts w:eastAsia="Calibri"/>
          <w:sz w:val="24"/>
          <w:rtl/>
        </w:rPr>
        <w:t xml:space="preserve"> הכריז על מוסר וזנות </w:t>
      </w:r>
      <w:r w:rsidRPr="00E303AD">
        <w:rPr>
          <w:rFonts w:eastAsia="Calibri" w:hint="cs"/>
          <w:sz w:val="24"/>
          <w:rtl/>
        </w:rPr>
        <w:t>כ</w:t>
      </w:r>
      <w:r w:rsidRPr="00E303AD">
        <w:rPr>
          <w:rFonts w:eastAsia="Calibri"/>
          <w:sz w:val="24"/>
          <w:rtl/>
        </w:rPr>
        <w:t>נ</w:t>
      </w:r>
      <w:r w:rsidRPr="00E303AD">
        <w:rPr>
          <w:rFonts w:eastAsia="Calibri" w:hint="eastAsia"/>
          <w:sz w:val="24"/>
          <w:rtl/>
        </w:rPr>
        <w:t>ושא</w:t>
      </w:r>
      <w:r w:rsidRPr="00E303AD">
        <w:rPr>
          <w:rFonts w:eastAsia="Calibri"/>
          <w:sz w:val="24"/>
          <w:rtl/>
        </w:rPr>
        <w:t xml:space="preserve"> </w:t>
      </w:r>
      <w:r w:rsidRPr="00E303AD">
        <w:rPr>
          <w:rFonts w:eastAsia="Calibri" w:hint="eastAsia"/>
          <w:sz w:val="24"/>
          <w:rtl/>
        </w:rPr>
        <w:t>התעניינות</w:t>
      </w:r>
      <w:r w:rsidRPr="00E303AD">
        <w:rPr>
          <w:rFonts w:eastAsia="Calibri"/>
          <w:sz w:val="24"/>
          <w:rtl/>
        </w:rPr>
        <w:t xml:space="preserve"> בשנה זו, </w:t>
      </w:r>
      <w:r w:rsidRPr="00E303AD">
        <w:rPr>
          <w:rFonts w:eastAsia="Calibri" w:hint="eastAsia"/>
          <w:sz w:val="24"/>
          <w:rtl/>
        </w:rPr>
        <w:t>והיחידות</w:t>
      </w:r>
      <w:r w:rsidRPr="00E303AD">
        <w:rPr>
          <w:rFonts w:eastAsia="Calibri"/>
          <w:sz w:val="24"/>
          <w:rtl/>
        </w:rPr>
        <w:t xml:space="preserve"> </w:t>
      </w:r>
      <w:r w:rsidRPr="00E303AD">
        <w:rPr>
          <w:rFonts w:eastAsia="Calibri" w:hint="eastAsia"/>
          <w:sz w:val="24"/>
          <w:rtl/>
        </w:rPr>
        <w:t>שהוזכרו</w:t>
      </w:r>
      <w:r w:rsidRPr="00E303AD">
        <w:rPr>
          <w:rFonts w:eastAsia="Calibri"/>
          <w:sz w:val="24"/>
          <w:rtl/>
        </w:rPr>
        <w:t xml:space="preserve"> </w:t>
      </w:r>
      <w:r w:rsidRPr="00E303AD">
        <w:rPr>
          <w:rFonts w:eastAsia="Calibri" w:hint="eastAsia"/>
          <w:sz w:val="24"/>
          <w:rtl/>
        </w:rPr>
        <w:t>לעיל</w:t>
      </w:r>
      <w:r w:rsidRPr="00E303AD">
        <w:rPr>
          <w:rFonts w:eastAsia="Calibri"/>
          <w:sz w:val="24"/>
          <w:rtl/>
        </w:rPr>
        <w:t xml:space="preserve"> הכריזו במסגרת פרשיות חובה לפיצוח על סחר בבני אדם </w:t>
      </w:r>
      <w:r w:rsidRPr="00E303AD">
        <w:rPr>
          <w:rFonts w:eastAsia="Calibri" w:hint="cs"/>
          <w:sz w:val="24"/>
          <w:rtl/>
        </w:rPr>
        <w:t>כ</w:t>
      </w:r>
      <w:r w:rsidRPr="00E303AD">
        <w:rPr>
          <w:rFonts w:eastAsia="Calibri"/>
          <w:sz w:val="24"/>
          <w:rtl/>
        </w:rPr>
        <w:t>נ</w:t>
      </w:r>
      <w:r w:rsidRPr="00E303AD">
        <w:rPr>
          <w:rFonts w:eastAsia="Calibri" w:hint="eastAsia"/>
          <w:sz w:val="24"/>
          <w:rtl/>
        </w:rPr>
        <w:t>ושא</w:t>
      </w:r>
      <w:r w:rsidRPr="00E303AD">
        <w:rPr>
          <w:rFonts w:eastAsia="Calibri"/>
          <w:sz w:val="24"/>
          <w:rtl/>
        </w:rPr>
        <w:t xml:space="preserve"> </w:t>
      </w:r>
      <w:r w:rsidRPr="00E303AD">
        <w:rPr>
          <w:rFonts w:eastAsia="Calibri" w:hint="eastAsia"/>
          <w:sz w:val="24"/>
          <w:rtl/>
        </w:rPr>
        <w:t>התעניינות</w:t>
      </w:r>
      <w:r w:rsidRPr="00E303AD">
        <w:rPr>
          <w:rFonts w:eastAsia="Calibri"/>
          <w:sz w:val="24"/>
          <w:rtl/>
        </w:rPr>
        <w:t xml:space="preserve"> חובה. שנת 2024 הייתה שונה בכל מה שנוגע לת</w:t>
      </w:r>
      <w:r w:rsidRPr="00E303AD">
        <w:rPr>
          <w:rFonts w:eastAsia="Calibri" w:hint="cs"/>
          <w:sz w:val="24"/>
          <w:rtl/>
        </w:rPr>
        <w:t>י</w:t>
      </w:r>
      <w:r w:rsidRPr="00E303AD">
        <w:rPr>
          <w:rFonts w:eastAsia="Calibri"/>
          <w:sz w:val="24"/>
          <w:rtl/>
        </w:rPr>
        <w:t xml:space="preserve">עדוף איסוף המודיעין במשטרה בעקבות פרוץ מלחמת חרבות ברזל. על אף האמור, </w:t>
      </w:r>
      <w:r w:rsidRPr="00E303AD">
        <w:rPr>
          <w:rFonts w:eastAsia="Calibri" w:hint="cs"/>
          <w:sz w:val="24"/>
          <w:rtl/>
        </w:rPr>
        <w:t xml:space="preserve">נקבע כי </w:t>
      </w:r>
      <w:r w:rsidRPr="00E303AD">
        <w:rPr>
          <w:rFonts w:eastAsia="Calibri" w:hint="eastAsia"/>
          <w:sz w:val="24"/>
          <w:rtl/>
        </w:rPr>
        <w:t>כל</w:t>
      </w:r>
      <w:r w:rsidRPr="00E303AD">
        <w:rPr>
          <w:rFonts w:eastAsia="Calibri"/>
          <w:sz w:val="24"/>
          <w:rtl/>
        </w:rPr>
        <w:t xml:space="preserve"> </w:t>
      </w:r>
      <w:r w:rsidRPr="00E303AD">
        <w:rPr>
          <w:rFonts w:eastAsia="Calibri" w:hint="eastAsia"/>
          <w:sz w:val="24"/>
          <w:rtl/>
        </w:rPr>
        <w:t>ה</w:t>
      </w:r>
      <w:r w:rsidRPr="00E303AD">
        <w:rPr>
          <w:rFonts w:eastAsia="Calibri"/>
          <w:sz w:val="24"/>
          <w:rtl/>
        </w:rPr>
        <w:t>ימ״רים, למעט מחוז ש״י ויאל״כ</w:t>
      </w:r>
      <w:r w:rsidRPr="00E303AD">
        <w:rPr>
          <w:rFonts w:eastAsia="Calibri" w:hint="cs"/>
          <w:sz w:val="24"/>
          <w:rtl/>
        </w:rPr>
        <w:t>,</w:t>
      </w:r>
      <w:r w:rsidRPr="00E303AD">
        <w:rPr>
          <w:rFonts w:eastAsia="Calibri"/>
          <w:sz w:val="24"/>
          <w:rtl/>
        </w:rPr>
        <w:t xml:space="preserve"> </w:t>
      </w:r>
      <w:r w:rsidRPr="00E303AD">
        <w:rPr>
          <w:rFonts w:eastAsia="Calibri" w:hint="cs"/>
          <w:sz w:val="24"/>
          <w:rtl/>
        </w:rPr>
        <w:t>יחויבו ל</w:t>
      </w:r>
      <w:r w:rsidRPr="00E303AD">
        <w:rPr>
          <w:rFonts w:eastAsia="Calibri"/>
          <w:sz w:val="24"/>
          <w:rtl/>
        </w:rPr>
        <w:t>פצח פרשי</w:t>
      </w:r>
      <w:r w:rsidRPr="00E303AD">
        <w:rPr>
          <w:rFonts w:eastAsia="Calibri" w:hint="cs"/>
          <w:sz w:val="24"/>
          <w:rtl/>
        </w:rPr>
        <w:t>י</w:t>
      </w:r>
      <w:r w:rsidRPr="00E303AD">
        <w:rPr>
          <w:rFonts w:eastAsia="Calibri"/>
          <w:sz w:val="24"/>
          <w:rtl/>
        </w:rPr>
        <w:t xml:space="preserve">ה </w:t>
      </w:r>
      <w:r w:rsidRPr="00E303AD">
        <w:rPr>
          <w:rFonts w:eastAsia="Calibri" w:hint="cs"/>
          <w:sz w:val="24"/>
          <w:rtl/>
        </w:rPr>
        <w:t xml:space="preserve">אחת לפחות </w:t>
      </w:r>
      <w:r w:rsidRPr="00E303AD">
        <w:rPr>
          <w:rFonts w:eastAsia="Calibri"/>
          <w:sz w:val="24"/>
          <w:rtl/>
        </w:rPr>
        <w:t>בתחום סחר בבני אדם ג</w:t>
      </w:r>
      <w:r w:rsidRPr="00E303AD">
        <w:rPr>
          <w:rFonts w:eastAsia="Calibri" w:hint="eastAsia"/>
          <w:sz w:val="24"/>
          <w:rtl/>
        </w:rPr>
        <w:t>ם</w:t>
      </w:r>
      <w:r w:rsidRPr="00E303AD">
        <w:rPr>
          <w:rFonts w:eastAsia="Calibri"/>
          <w:sz w:val="24"/>
          <w:rtl/>
        </w:rPr>
        <w:t xml:space="preserve"> בשנה מורכבת זו.</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r w:rsidRPr="00E303AD">
        <w:rPr>
          <w:rFonts w:eastAsia="Calibri" w:hint="cs"/>
          <w:b/>
          <w:bCs/>
          <w:rtl/>
        </w:rPr>
        <w:t>מומלץ כי המשטרה תבחן את הסיבות לאי-העמידה ביעדי הפיצוח של עבירות סחר בבני אדם שהיא עצמה קבעה ותפעל לצמצום הפער בין היעדים לביצועם.</w:t>
      </w:r>
    </w:p>
    <w:p w:rsidR="00E303AD" w:rsidRPr="00E303AD" w:rsidP="00E303AD">
      <w:pPr>
        <w:bidi w:val="0"/>
        <w:spacing w:line="269" w:lineRule="auto"/>
        <w:rPr>
          <w:rFonts w:eastAsia="Calibri"/>
          <w:b/>
          <w:bCs/>
        </w:rPr>
      </w:pPr>
      <w:r w:rsidRPr="00E303AD">
        <w:rPr>
          <w:rFonts w:eastAsia="Calibri"/>
          <w:b/>
          <w:bCs/>
          <w:rtl/>
        </w:rPr>
        <w:br w:type="page"/>
      </w:r>
    </w:p>
    <w:p w:rsidR="00E303AD" w:rsidRPr="00E303AD" w:rsidP="00E303AD">
      <w:pPr>
        <w:spacing w:line="269" w:lineRule="auto"/>
        <w:rPr>
          <w:rFonts w:eastAsia="Calibri"/>
          <w:b/>
          <w:bCs/>
        </w:rPr>
      </w:pPr>
      <w:r w:rsidRPr="00E303AD">
        <w:rPr>
          <w:rFonts w:eastAsia="Calibri"/>
          <w:b/>
          <w:bCs/>
          <w:noProof/>
          <w:rtl/>
          <w:lang w:val="he-IL"/>
        </w:rPr>
        <mc:AlternateContent>
          <mc:Choice Requires="wpg">
            <w:drawing>
              <wp:anchor distT="0" distB="0" distL="114300" distR="114300" simplePos="0" relativeHeight="251668480" behindDoc="0" locked="0" layoutInCell="1" allowOverlap="1">
                <wp:simplePos x="0" y="0"/>
                <wp:positionH relativeFrom="margin">
                  <wp:posOffset>0</wp:posOffset>
                </wp:positionH>
                <wp:positionV relativeFrom="paragraph">
                  <wp:posOffset>83185</wp:posOffset>
                </wp:positionV>
                <wp:extent cx="5310505" cy="1180465"/>
                <wp:effectExtent l="0" t="0" r="4445" b="635"/>
                <wp:wrapNone/>
                <wp:docPr id="41" name="קבוצה 41"/>
                <wp:cNvGraphicFramePr/>
                <a:graphic xmlns:a="http://schemas.openxmlformats.org/drawingml/2006/main">
                  <a:graphicData uri="http://schemas.microsoft.com/office/word/2010/wordprocessingGroup">
                    <wpg:wgp xmlns:wpg="http://schemas.microsoft.com/office/word/2010/wordprocessingGroup">
                      <wpg:cNvGrpSpPr/>
                      <wpg:grpSpPr>
                        <a:xfrm>
                          <a:off x="0" y="0"/>
                          <a:ext cx="5310505" cy="1180465"/>
                          <a:chOff x="0" y="0"/>
                          <a:chExt cx="5310505" cy="1180686"/>
                        </a:xfrm>
                      </wpg:grpSpPr>
                      <pic:pic xmlns:pic="http://schemas.openxmlformats.org/drawingml/2006/picture">
                        <pic:nvPicPr>
                          <pic:cNvPr id="42" name="table"/>
                          <pic:cNvPicPr>
                            <a:picLocks noChangeAspect="1"/>
                          </pic:cNvPicPr>
                        </pic:nvPicPr>
                        <pic:blipFill>
                          <a:blip xmlns:r="http://schemas.openxmlformats.org/officeDocument/2006/relationships" r:embed="rId26"/>
                          <a:stretch>
                            <a:fillRect/>
                          </a:stretch>
                        </pic:blipFill>
                        <pic:spPr>
                          <a:xfrm>
                            <a:off x="0" y="127221"/>
                            <a:ext cx="5310505" cy="1053465"/>
                          </a:xfrm>
                          <a:prstGeom prst="rect">
                            <a:avLst/>
                          </a:prstGeom>
                        </pic:spPr>
                      </pic:pic>
                      <wpg:grpSp>
                        <wpg:cNvPr id="44" name="קבוצה 22"/>
                        <wpg:cNvGrpSpPr/>
                        <wpg:grpSpPr>
                          <a:xfrm>
                            <a:off x="2560320" y="0"/>
                            <a:ext cx="271463" cy="266700"/>
                            <a:chOff x="0" y="0"/>
                            <a:chExt cx="1781175" cy="1781175"/>
                          </a:xfrm>
                        </wpg:grpSpPr>
                        <pic:pic xmlns:pic="http://schemas.openxmlformats.org/drawingml/2006/picture">
                          <pic:nvPicPr>
                            <pic:cNvPr id="45" name="תמונה 45"/>
                            <pic:cNvPicPr>
                              <a:picLocks noChangeAspect="1"/>
                            </pic:cNvPicPr>
                          </pic:nvPicPr>
                          <pic:blipFill>
                            <a:blip xmlns:r="http://schemas.openxmlformats.org/officeDocument/2006/relationships" r:embed="rId9">
                              <a:clrChange>
                                <a:clrFrom>
                                  <a:srgbClr val="FFFFFF"/>
                                </a:clrFrom>
                                <a:clrTo>
                                  <a:srgbClr val="FFFFFF">
                                    <a:alpha val="0"/>
                                  </a:srgbClr>
                                </a:clrTo>
                              </a:clrChange>
                            </a:blip>
                            <a:stretch>
                              <a:fillRect/>
                            </a:stretch>
                          </pic:blipFill>
                          <pic:spPr>
                            <a:xfrm>
                              <a:off x="0" y="0"/>
                              <a:ext cx="1781175" cy="1781175"/>
                            </a:xfrm>
                            <a:prstGeom prst="rect">
                              <a:avLst/>
                            </a:prstGeom>
                          </pic:spPr>
                        </pic:pic>
                        <pic:pic xmlns:pic="http://schemas.openxmlformats.org/drawingml/2006/picture">
                          <pic:nvPicPr>
                            <pic:cNvPr id="46" name="תמונה 46"/>
                            <pic:cNvPicPr>
                              <a:picLocks noChangeAspect="1"/>
                            </pic:cNvPicPr>
                          </pic:nvPicPr>
                          <pic:blipFill>
                            <a:blip xmlns:r="http://schemas.openxmlformats.org/officeDocument/2006/relationships" r:embed="rId10"/>
                            <a:srcRect l="16969" t="20795" r="16969" b="20795"/>
                            <a:stretch>
                              <a:fillRect/>
                            </a:stretch>
                          </pic:blipFill>
                          <pic:spPr>
                            <a:xfrm>
                              <a:off x="302249" y="371444"/>
                              <a:ext cx="1176676" cy="1040392"/>
                            </a:xfrm>
                            <a:prstGeom prst="rect">
                              <a:avLst/>
                            </a:prstGeom>
                          </pic:spPr>
                        </pic:pic>
                      </wpg:grpSp>
                    </wpg:wgp>
                  </a:graphicData>
                </a:graphic>
              </wp:anchor>
            </w:drawing>
          </mc:Choice>
          <mc:Fallback>
            <w:pict>
              <v:group id="קבוצה 41" o:spid="_x0000_s1053" style="width:418.15pt;height:92.95pt;margin-top:6.55pt;margin-left:0;mso-position-horizontal-relative:margin;position:absolute;z-index:251669504" coordsize="53105,11806">
                <v:shape id="table" o:spid="_x0000_s1054" type="#_x0000_t75" style="width:53105;height:10534;mso-wrap-style:square;position:absolute;top:1272;visibility:visible">
                  <v:imagedata r:id="rId26" o:title=""/>
                </v:shape>
                <v:group id="קבוצה 22" o:spid="_x0000_s1055" style="width:2714;height:2667;left:25603;position:absolute" coordsize="17811,17811">
                  <v:shape id="תמונה 45" o:spid="_x0000_s1056" type="#_x0000_t75" style="width:17811;height:17811;mso-wrap-style:square;position:absolute;visibility:visible">
                    <v:imagedata r:id="rId9" o:title="" chromakey="white"/>
                  </v:shape>
                  <v:shape id="תמונה 46" o:spid="_x0000_s1057" type="#_x0000_t75" style="width:11767;height:10404;left:3022;mso-wrap-style:square;position:absolute;top:3714;visibility:visible">
                    <v:imagedata r:id="rId10" o:title="" croptop="13628f" cropbottom="13628f" cropleft="11121f" cropright="11121f"/>
                  </v:shape>
                </v:group>
                <w10:wrap anchorx="margin"/>
              </v:group>
            </w:pict>
          </mc:Fallback>
        </mc:AlternateContent>
      </w:r>
    </w:p>
    <w:p w:rsidR="00E303AD" w:rsidRPr="00E303AD" w:rsidP="00E303AD">
      <w:pPr>
        <w:spacing w:line="269" w:lineRule="auto"/>
        <w:rPr>
          <w:rFonts w:eastAsia="Calibri"/>
          <w:b/>
          <w:bCs/>
          <w:rtl/>
        </w:rPr>
      </w:pPr>
    </w:p>
    <w:p w:rsidR="00E303AD" w:rsidRPr="00E303AD" w:rsidP="00E303AD">
      <w:pPr>
        <w:spacing w:line="269" w:lineRule="auto"/>
        <w:rPr>
          <w:rFonts w:eastAsia="Calibri"/>
          <w:b/>
          <w:bCs/>
          <w:rtl/>
        </w:rPr>
      </w:pPr>
    </w:p>
    <w:p w:rsidR="00E303AD" w:rsidRPr="00E303AD" w:rsidP="00E303AD">
      <w:pPr>
        <w:spacing w:line="269" w:lineRule="auto"/>
        <w:rPr>
          <w:rFonts w:eastAsia="Calibri"/>
          <w:rtl/>
        </w:rPr>
      </w:pPr>
      <w:bookmarkStart w:id="114" w:name="_Toc221474982"/>
      <w:bookmarkStart w:id="115" w:name="_Toc224808289"/>
    </w:p>
    <w:p w:rsidR="00E303AD" w:rsidRPr="00522B30" w:rsidP="00522B30">
      <w:pPr>
        <w:spacing w:line="269" w:lineRule="auto"/>
        <w:rPr>
          <w:rFonts w:eastAsia="Calibri"/>
          <w:rtl/>
        </w:rPr>
      </w:pPr>
    </w:p>
    <w:p w:rsidR="00E303AD" w:rsidRPr="00522B30" w:rsidP="00522B30">
      <w:pPr>
        <w:spacing w:line="269" w:lineRule="auto"/>
        <w:rPr>
          <w:rFonts w:eastAsia="Calibri"/>
          <w:rtl/>
        </w:rPr>
      </w:pPr>
    </w:p>
    <w:p w:rsidR="00E303AD" w:rsidRPr="00E303AD" w:rsidP="00E303AD">
      <w:pPr>
        <w:spacing w:line="269" w:lineRule="auto"/>
        <w:rPr>
          <w:rFonts w:eastAsia="Calibri"/>
          <w:rtl/>
        </w:rPr>
      </w:pPr>
      <w:bookmarkStart w:id="116" w:name="_Toc232696564"/>
    </w:p>
    <w:p w:rsidR="00E303AD" w:rsidP="00522B30">
      <w:pPr>
        <w:spacing w:line="269" w:lineRule="auto"/>
        <w:rPr>
          <w:rFonts w:eastAsia="Calibri"/>
          <w:rtl/>
        </w:rPr>
      </w:pPr>
    </w:p>
    <w:p w:rsidR="00801B1E" w:rsidRPr="00522B30" w:rsidP="00522B30">
      <w:pPr>
        <w:spacing w:line="269" w:lineRule="auto"/>
        <w:rPr>
          <w:rFonts w:eastAsia="Calibri"/>
          <w:rtl/>
        </w:rPr>
      </w:pPr>
    </w:p>
    <w:p w:rsidR="00E303AD" w:rsidRPr="00E303AD" w:rsidP="00E303AD">
      <w:pPr>
        <w:keepNext/>
        <w:keepLines/>
        <w:spacing w:line="269" w:lineRule="auto"/>
        <w:jc w:val="center"/>
        <w:outlineLvl w:val="1"/>
        <w:rPr>
          <w:rFonts w:eastAsia="Times New Roman"/>
          <w:bCs/>
          <w:szCs w:val="32"/>
          <w:rtl/>
        </w:rPr>
      </w:pPr>
      <w:r w:rsidRPr="00E303AD">
        <w:rPr>
          <w:rFonts w:eastAsia="Times New Roman" w:hint="cs"/>
          <w:bCs/>
          <w:szCs w:val="32"/>
          <w:rtl/>
        </w:rPr>
        <w:t>פעולות אכיפה משלימות במסגרת המאבק בתופעות הזנות והסחר בבני אדם</w:t>
      </w:r>
      <w:bookmarkEnd w:id="114"/>
      <w:bookmarkEnd w:id="115"/>
      <w:bookmarkEnd w:id="116"/>
    </w:p>
    <w:p w:rsidR="00E303AD" w:rsidRPr="00E303AD" w:rsidP="00E303AD">
      <w:pPr>
        <w:spacing w:line="269" w:lineRule="auto"/>
        <w:rPr>
          <w:rFonts w:eastAsia="Calibri"/>
          <w:rtl/>
        </w:rPr>
      </w:pPr>
    </w:p>
    <w:p w:rsidR="00E303AD" w:rsidRPr="00E303AD" w:rsidP="00E303AD">
      <w:pPr>
        <w:keepNext/>
        <w:keepLines/>
        <w:spacing w:line="269" w:lineRule="auto"/>
        <w:outlineLvl w:val="2"/>
        <w:rPr>
          <w:rFonts w:eastAsia="Times New Roman"/>
          <w:bCs/>
          <w:szCs w:val="28"/>
          <w:u w:val="single"/>
          <w:rtl/>
        </w:rPr>
      </w:pPr>
      <w:bookmarkStart w:id="117" w:name="_Toc221474983"/>
      <w:bookmarkStart w:id="118" w:name="_Toc224808290"/>
      <w:bookmarkStart w:id="119" w:name="_Toc232696565"/>
      <w:r w:rsidRPr="00E303AD">
        <w:rPr>
          <w:rFonts w:eastAsia="Times New Roman" w:hint="cs"/>
          <w:bCs/>
          <w:szCs w:val="28"/>
          <w:u w:val="single"/>
          <w:rtl/>
        </w:rPr>
        <w:t>סגירת בתי בושת על ידי המשטרה</w:t>
      </w:r>
      <w:bookmarkEnd w:id="117"/>
      <w:bookmarkEnd w:id="118"/>
      <w:bookmarkEnd w:id="119"/>
    </w:p>
    <w:p w:rsidR="00E303AD" w:rsidRPr="00E303AD" w:rsidP="00E303AD">
      <w:pPr>
        <w:spacing w:line="269" w:lineRule="auto"/>
        <w:ind w:left="-567"/>
        <w:rPr>
          <w:rFonts w:eastAsia="Calibri"/>
          <w:szCs w:val="20"/>
          <w:rtl/>
        </w:rPr>
      </w:pPr>
    </w:p>
    <w:p w:rsidR="00E303AD" w:rsidRPr="00E303AD" w:rsidP="00E303AD">
      <w:pPr>
        <w:spacing w:line="269" w:lineRule="auto"/>
        <w:rPr>
          <w:rFonts w:eastAsia="Calibri"/>
          <w:rtl/>
        </w:rPr>
      </w:pPr>
      <w:r w:rsidRPr="00E303AD">
        <w:rPr>
          <w:rFonts w:eastAsia="Calibri" w:hint="cs"/>
          <w:rtl/>
        </w:rPr>
        <w:t>תופעת הסחר בבני אדם לצורכי מין וכן תופעת הזנות מתקיימות במרחבים כגון בתי בושת ודירות דיסקרטיות. החזקה במקום לשם עיסוק בזנות או ניהול מקום כזה הם עבירה פלילית</w:t>
      </w:r>
      <w:r>
        <w:rPr>
          <w:rFonts w:eastAsia="Calibri"/>
          <w:sz w:val="24"/>
          <w:vertAlign w:val="superscript"/>
          <w:rtl/>
        </w:rPr>
        <w:footnoteReference w:id="103"/>
      </w:r>
      <w:r w:rsidRPr="00E303AD">
        <w:rPr>
          <w:rFonts w:eastAsia="Calibri" w:hint="cs"/>
          <w:rtl/>
        </w:rPr>
        <w:t>. המשטרה מוסמכת לסגור בתי בושת מכוח חוק הגבלת שימוש במקום לשם מניעת ביצוע עבירות, התשס"ה-2005. בחינת פעולות האכיפה הננקטות כלפי בתי בושת ובפרט פעולות לסגירתם מספקת מידע חיוני להבנת האופן שבו מיושמים דפוסי הסחר בפועל. בשים לב לחשיבות של סגירת זירות הזנות, מידע זה הוא בעל חשיבות יתרה בייחוד, נוכח העובדה שזירות זנות נתפסות כמחוללי פשיעה בתחומים נוספים</w:t>
      </w:r>
      <w:r>
        <w:rPr>
          <w:rFonts w:eastAsia="Calibri"/>
          <w:sz w:val="24"/>
          <w:vertAlign w:val="superscript"/>
          <w:rtl/>
        </w:rPr>
        <w:footnoteReference w:id="104"/>
      </w:r>
      <w:r w:rsidRPr="00E303AD">
        <w:rPr>
          <w:rFonts w:eastAsia="Calibri" w:hint="cs"/>
          <w:rtl/>
        </w:rPr>
        <w:t>.</w:t>
      </w:r>
    </w:p>
    <w:p w:rsidR="00E303AD" w:rsidRPr="00E303AD" w:rsidP="00E303AD">
      <w:pPr>
        <w:spacing w:line="269" w:lineRule="auto"/>
        <w:ind w:left="-567"/>
        <w:rPr>
          <w:rFonts w:eastAsia="Calibri"/>
          <w:szCs w:val="20"/>
          <w:rtl/>
        </w:rPr>
      </w:pPr>
    </w:p>
    <w:p w:rsidR="00E303AD" w:rsidRPr="00E303AD" w:rsidP="00E303AD">
      <w:pPr>
        <w:numPr>
          <w:ilvl w:val="0"/>
          <w:numId w:val="21"/>
        </w:numPr>
        <w:spacing w:line="269" w:lineRule="auto"/>
        <w:ind w:left="312"/>
        <w:contextualSpacing/>
        <w:rPr>
          <w:rFonts w:eastAsia="Calibri"/>
        </w:rPr>
      </w:pPr>
      <w:r w:rsidRPr="00E303AD">
        <w:rPr>
          <w:rFonts w:eastAsia="Calibri" w:hint="cs"/>
          <w:rtl/>
        </w:rPr>
        <w:t>בהתאם לנ</w:t>
      </w:r>
      <w:r w:rsidR="00522B30">
        <w:rPr>
          <w:rFonts w:eastAsia="Calibri" w:hint="cs"/>
          <w:rtl/>
        </w:rPr>
        <w:t>ו</w:t>
      </w:r>
      <w:r w:rsidRPr="00E303AD">
        <w:rPr>
          <w:rFonts w:eastAsia="Calibri" w:hint="cs"/>
          <w:rtl/>
        </w:rPr>
        <w:t>הלי אח"ם על המשטרה לבצע פעולות שונות מתחום החקירות והמודיעין בקשר לפעילות בתי בושת כדי לקדם אכיפה בעניין זירות זנות וצרכני זנות.</w:t>
      </w:r>
    </w:p>
    <w:p w:rsidR="00E303AD" w:rsidRPr="00E303AD" w:rsidP="00E303AD">
      <w:pPr>
        <w:spacing w:line="269" w:lineRule="auto"/>
        <w:ind w:left="-567"/>
        <w:rPr>
          <w:rFonts w:eastAsia="Calibri"/>
          <w:szCs w:val="20"/>
          <w:rtl/>
        </w:rPr>
      </w:pPr>
    </w:p>
    <w:p w:rsidR="00E303AD" w:rsidRPr="00E303AD" w:rsidP="00E303AD">
      <w:pPr>
        <w:spacing w:line="269" w:lineRule="auto"/>
        <w:ind w:left="312"/>
        <w:rPr>
          <w:rFonts w:eastAsia="Calibri"/>
          <w:rtl/>
        </w:rPr>
      </w:pPr>
      <w:r w:rsidRPr="00E303AD">
        <w:rPr>
          <w:rFonts w:eastAsia="Calibri" w:hint="cs"/>
          <w:rtl/>
        </w:rPr>
        <w:t xml:space="preserve">במסמך מדצמבר 2024 של רח"ט חקירות במשטרה שעסק בבחינת הפערים לקראת פקיעת תוקפה של הוראת השעה של חוק איסור צריכת זנות, הועלו ליקויים הנוגעים ליישום החוק והנוהל המשטרתי בנושא. </w:t>
      </w:r>
    </w:p>
    <w:p w:rsidR="00E303AD" w:rsidRPr="00E303AD" w:rsidP="00E303AD">
      <w:pPr>
        <w:spacing w:line="269" w:lineRule="auto"/>
        <w:ind w:left="-567"/>
        <w:rPr>
          <w:rFonts w:eastAsia="Calibri"/>
          <w:szCs w:val="20"/>
          <w:rtl/>
        </w:rPr>
      </w:pPr>
    </w:p>
    <w:p w:rsidR="00E303AD" w:rsidRPr="00E303AD" w:rsidP="00E303AD">
      <w:pPr>
        <w:spacing w:line="269" w:lineRule="auto"/>
        <w:ind w:left="312"/>
        <w:rPr>
          <w:rFonts w:eastAsia="Calibri"/>
          <w:b/>
          <w:bCs/>
          <w:rtl/>
        </w:rPr>
      </w:pPr>
      <w:r w:rsidRPr="00E303AD">
        <w:rPr>
          <w:rFonts w:eastAsia="Calibri" w:hint="cs"/>
          <w:b/>
          <w:bCs/>
          <w:rtl/>
        </w:rPr>
        <w:t>הביקורת העלתה כי בניגוד לנוהל שקבעה המשטרה, בשנים 2022 - 2024 היא לא הגדירה יעדים לפיצוח פרשיות הנוגעות לפעילות בתי בושת או לפעולות נוספות בתחום החקירות והמודיעין שיהיה בהן כדי לסייע במיקוד האכיפה.</w:t>
      </w:r>
    </w:p>
    <w:p w:rsidR="00E303AD" w:rsidRPr="00E303AD" w:rsidP="00E303AD">
      <w:pPr>
        <w:spacing w:line="269" w:lineRule="auto"/>
        <w:ind w:left="-567"/>
        <w:rPr>
          <w:rFonts w:eastAsia="Calibri"/>
          <w:szCs w:val="20"/>
          <w:rtl/>
        </w:rPr>
      </w:pPr>
    </w:p>
    <w:p w:rsidR="00E303AD" w:rsidRPr="00E303AD" w:rsidP="00E303AD">
      <w:pPr>
        <w:spacing w:line="269" w:lineRule="auto"/>
        <w:ind w:left="312"/>
        <w:rPr>
          <w:rFonts w:eastAsia="Calibri"/>
          <w:sz w:val="24"/>
          <w:rtl/>
        </w:rPr>
      </w:pPr>
      <w:r w:rsidRPr="00E303AD">
        <w:rPr>
          <w:rFonts w:eastAsia="Calibri" w:hint="cs"/>
          <w:rtl/>
        </w:rPr>
        <w:t xml:space="preserve">בתשובת המשטרה צוין כי איסוף מודיעין על מקומות שעיקר עיסוקם זנות אכן לא נקבע בשנת 2022 כנושא התעניינות חובה. בשנת 2023 איסוף המודיעין בגין עבירות הקשורות לזנות הוגדר כתת-נושא בנושא התעניינות חובה "פשיעה במרשתת" ברמה הארצית בכל המחוזות, ובשנה זו קבע מחוז תל אביב את הנושא "מוסר וזנות" כנושא התעניינות חובה. בשנת 2024 הוחלט למקד את נושאי ההתעניינות חובה בנושאים הקשורים לשמירה על שלום הציבור וביטחונו בעקבות מלחמת חרבות ברזל. </w:t>
      </w:r>
    </w:p>
    <w:p w:rsidR="00E303AD" w:rsidRPr="00E303AD" w:rsidP="00E303AD">
      <w:pPr>
        <w:spacing w:line="269" w:lineRule="auto"/>
        <w:ind w:left="-567"/>
        <w:rPr>
          <w:rFonts w:eastAsia="Calibri"/>
          <w:szCs w:val="20"/>
          <w:rtl/>
        </w:rPr>
      </w:pPr>
    </w:p>
    <w:p w:rsidR="00E303AD" w:rsidRPr="00E303AD" w:rsidP="00E303AD">
      <w:pPr>
        <w:numPr>
          <w:ilvl w:val="0"/>
          <w:numId w:val="21"/>
        </w:numPr>
        <w:spacing w:line="269" w:lineRule="auto"/>
        <w:ind w:left="312"/>
        <w:contextualSpacing/>
        <w:rPr>
          <w:rFonts w:eastAsia="Calibri"/>
          <w:sz w:val="24"/>
        </w:rPr>
      </w:pPr>
      <w:r w:rsidRPr="00E303AD">
        <w:rPr>
          <w:rFonts w:eastAsia="Calibri" w:hint="cs"/>
          <w:sz w:val="24"/>
          <w:rtl/>
        </w:rPr>
        <w:t xml:space="preserve">כאמור, בשנת 2024 ביצעה המשטרה מיפוי של למעלה מ-1,300 כתובות החשודות כזירות זנות, מתוכן מאות כתובות ברמת מהימנות גבוהה או בינונית, וזאת לשם הכנת תוכנית עבודה שתשמש בסיס לפעולות האכיפה בשטח. כמו כן, בדיון באפריל 2024 ציין קצין בילוש ארצי כי מדובר בזירות המוכרות למשטרה, בין היתר בשל הקריאות החוזרות שהתקבלו במוקד 100 </w:t>
      </w:r>
      <w:r w:rsidRPr="00E303AD">
        <w:rPr>
          <w:rFonts w:eastAsia="Calibri" w:hint="cs"/>
          <w:sz w:val="24"/>
          <w:rtl/>
        </w:rPr>
        <w:t>בעניינן, בשל הידע המקצועי המצטבר בתחנות המשטרה ובשל נתונים שנאספו ביחידותיה השונות.</w:t>
      </w:r>
    </w:p>
    <w:p w:rsidR="00E303AD" w:rsidRPr="00E303AD" w:rsidP="00E303AD">
      <w:pPr>
        <w:spacing w:line="269" w:lineRule="auto"/>
        <w:ind w:left="-567"/>
        <w:rPr>
          <w:rFonts w:eastAsia="Calibri"/>
          <w:szCs w:val="20"/>
          <w:rtl/>
        </w:rPr>
      </w:pPr>
    </w:p>
    <w:p w:rsidR="00E303AD" w:rsidRPr="00E303AD" w:rsidP="00E303AD">
      <w:pPr>
        <w:spacing w:line="269" w:lineRule="auto"/>
        <w:ind w:left="312"/>
        <w:rPr>
          <w:rFonts w:eastAsia="Calibri"/>
          <w:rtl/>
        </w:rPr>
      </w:pPr>
      <w:r w:rsidRPr="00E303AD">
        <w:rPr>
          <w:rFonts w:eastAsia="Calibri" w:hint="cs"/>
          <w:rtl/>
        </w:rPr>
        <w:t xml:space="preserve">במסגרת התקשרות של משרד הבריאות עם משרד חקירות פרטי בשנת 2021 אותרו ואומתו </w:t>
      </w:r>
      <w:r w:rsidRPr="00E303AD">
        <w:rPr>
          <w:rFonts w:eastAsia="Calibri"/>
          <w:rtl/>
        </w:rPr>
        <w:br/>
      </w:r>
      <w:r w:rsidRPr="00E303AD">
        <w:rPr>
          <w:rFonts w:eastAsia="Calibri" w:hint="cs"/>
          <w:rtl/>
        </w:rPr>
        <w:t>כ-60 זירות זנות פעילות בפריסה ארצית, לרבות בתי בושת ודירות דיסקרטיות, באמצעות איסוף מידע שיטתי ואימות המידע בשטח.</w:t>
      </w:r>
    </w:p>
    <w:p w:rsidR="00E303AD" w:rsidRPr="00E303AD" w:rsidP="00E303AD">
      <w:pPr>
        <w:spacing w:line="269" w:lineRule="auto"/>
        <w:ind w:left="-567"/>
        <w:rPr>
          <w:rFonts w:eastAsia="Calibri"/>
          <w:szCs w:val="20"/>
          <w:rtl/>
        </w:rPr>
      </w:pPr>
      <w:r w:rsidRPr="00E303AD">
        <w:rPr>
          <w:rFonts w:eastAsia="Calibri" w:hint="cs"/>
          <w:sz w:val="24"/>
          <w:rtl/>
        </w:rPr>
        <w:t xml:space="preserve"> </w:t>
      </w:r>
    </w:p>
    <w:p w:rsidR="00E303AD" w:rsidRPr="00E303AD" w:rsidP="00E303AD">
      <w:pPr>
        <w:spacing w:line="269" w:lineRule="auto"/>
        <w:ind w:left="283"/>
        <w:contextualSpacing/>
        <w:jc w:val="center"/>
        <w:rPr>
          <w:rFonts w:eastAsia="Calibri"/>
          <w:b/>
          <w:bCs/>
          <w:sz w:val="24"/>
          <w:rtl/>
        </w:rPr>
      </w:pPr>
      <w:r w:rsidRPr="00E303AD">
        <w:rPr>
          <w:rFonts w:eastAsia="Calibri" w:hint="cs"/>
          <w:sz w:val="24"/>
          <w:rtl/>
        </w:rPr>
        <w:t>לוח 4:</w:t>
      </w:r>
      <w:r w:rsidRPr="00E303AD">
        <w:rPr>
          <w:rFonts w:eastAsia="Calibri" w:hint="cs"/>
          <w:b/>
          <w:bCs/>
          <w:sz w:val="24"/>
          <w:rtl/>
        </w:rPr>
        <w:t xml:space="preserve"> מספר בתי בושת שהמשטרה סגרה, לפי מחוזות, 2022 - 2025</w:t>
      </w:r>
    </w:p>
    <w:tbl>
      <w:tblPr>
        <w:bidiVisual/>
        <w:tblW w:w="5400" w:type="dxa"/>
        <w:jc w:val="center"/>
        <w:tblLook w:val="04A0"/>
      </w:tblPr>
      <w:tblGrid>
        <w:gridCol w:w="1080"/>
        <w:gridCol w:w="1080"/>
        <w:gridCol w:w="1080"/>
        <w:gridCol w:w="1080"/>
        <w:gridCol w:w="1080"/>
      </w:tblGrid>
      <w:tr w:rsidTr="00562836">
        <w:tblPrEx>
          <w:tblW w:w="5400" w:type="dxa"/>
          <w:jc w:val="center"/>
          <w:tblLook w:val="04A0"/>
        </w:tblPrEx>
        <w:trPr>
          <w:trHeight w:val="285"/>
          <w:jc w:val="center"/>
        </w:trPr>
        <w:tc>
          <w:tcPr>
            <w:tcW w:w="1080" w:type="dxa"/>
            <w:tcBorders>
              <w:top w:val="single" w:sz="8" w:space="0" w:color="auto"/>
              <w:left w:val="single" w:sz="8" w:space="0" w:color="auto"/>
              <w:bottom w:val="single" w:sz="4" w:space="0" w:color="auto"/>
              <w:right w:val="single" w:sz="4" w:space="0" w:color="auto"/>
            </w:tcBorders>
            <w:shd w:val="clear" w:color="000000" w:fill="BDD7EE"/>
            <w:noWrap/>
            <w:vAlign w:val="bottom"/>
            <w:hideMark/>
          </w:tcPr>
          <w:p w:rsidR="00E303AD" w:rsidRPr="00E303AD" w:rsidP="00E303AD">
            <w:pPr>
              <w:spacing w:line="269" w:lineRule="auto"/>
              <w:jc w:val="left"/>
              <w:rPr>
                <w:rFonts w:ascii="David" w:eastAsia="Times New Roman" w:hAnsi="David"/>
                <w:b/>
                <w:bCs/>
                <w:sz w:val="22"/>
                <w:szCs w:val="22"/>
              </w:rPr>
            </w:pPr>
            <w:r w:rsidRPr="00E303AD">
              <w:rPr>
                <w:rFonts w:ascii="David" w:eastAsia="Times New Roman" w:hAnsi="David" w:hint="cs"/>
                <w:b/>
                <w:bCs/>
                <w:sz w:val="22"/>
                <w:szCs w:val="22"/>
                <w:rtl/>
              </w:rPr>
              <w:t>ה</w:t>
            </w:r>
            <w:r w:rsidRPr="00E303AD">
              <w:rPr>
                <w:rFonts w:ascii="David" w:eastAsia="Times New Roman" w:hAnsi="David"/>
                <w:b/>
                <w:bCs/>
                <w:sz w:val="22"/>
                <w:szCs w:val="22"/>
                <w:rtl/>
              </w:rPr>
              <w:t>מחוז</w:t>
            </w:r>
          </w:p>
        </w:tc>
        <w:tc>
          <w:tcPr>
            <w:tcW w:w="1080" w:type="dxa"/>
            <w:tcBorders>
              <w:top w:val="single" w:sz="8" w:space="0" w:color="auto"/>
              <w:left w:val="single" w:sz="4" w:space="0" w:color="auto"/>
              <w:bottom w:val="single" w:sz="4" w:space="0" w:color="auto"/>
              <w:right w:val="single" w:sz="4" w:space="0" w:color="auto"/>
            </w:tcBorders>
            <w:shd w:val="clear" w:color="000000" w:fill="BDD7EE"/>
            <w:noWrap/>
            <w:vAlign w:val="bottom"/>
            <w:hideMark/>
          </w:tcPr>
          <w:p w:rsidR="00E303AD" w:rsidRPr="00E303AD" w:rsidP="00E303AD">
            <w:pPr>
              <w:bidi w:val="0"/>
              <w:spacing w:line="269" w:lineRule="auto"/>
              <w:jc w:val="right"/>
              <w:rPr>
                <w:rFonts w:ascii="David" w:eastAsia="Times New Roman" w:hAnsi="David"/>
                <w:b/>
                <w:bCs/>
                <w:sz w:val="22"/>
                <w:szCs w:val="22"/>
                <w:rtl/>
              </w:rPr>
            </w:pPr>
            <w:r w:rsidRPr="00E303AD">
              <w:rPr>
                <w:rFonts w:ascii="David" w:eastAsia="Times New Roman" w:hAnsi="David"/>
                <w:b/>
                <w:bCs/>
                <w:sz w:val="22"/>
                <w:szCs w:val="22"/>
              </w:rPr>
              <w:t>2022</w:t>
            </w:r>
          </w:p>
        </w:tc>
        <w:tc>
          <w:tcPr>
            <w:tcW w:w="1080" w:type="dxa"/>
            <w:tcBorders>
              <w:top w:val="single" w:sz="8" w:space="0" w:color="auto"/>
              <w:left w:val="single" w:sz="4" w:space="0" w:color="auto"/>
              <w:bottom w:val="single" w:sz="4" w:space="0" w:color="auto"/>
              <w:right w:val="single" w:sz="4" w:space="0" w:color="auto"/>
            </w:tcBorders>
            <w:shd w:val="clear" w:color="000000" w:fill="BDD7EE"/>
            <w:noWrap/>
            <w:vAlign w:val="bottom"/>
            <w:hideMark/>
          </w:tcPr>
          <w:p w:rsidR="00E303AD" w:rsidRPr="00E303AD" w:rsidP="00E303AD">
            <w:pPr>
              <w:bidi w:val="0"/>
              <w:spacing w:line="269" w:lineRule="auto"/>
              <w:jc w:val="right"/>
              <w:rPr>
                <w:rFonts w:ascii="David" w:eastAsia="Times New Roman" w:hAnsi="David"/>
                <w:b/>
                <w:bCs/>
                <w:sz w:val="22"/>
                <w:szCs w:val="22"/>
              </w:rPr>
            </w:pPr>
            <w:r w:rsidRPr="00E303AD">
              <w:rPr>
                <w:rFonts w:ascii="David" w:eastAsia="Times New Roman" w:hAnsi="David"/>
                <w:b/>
                <w:bCs/>
                <w:sz w:val="22"/>
                <w:szCs w:val="22"/>
              </w:rPr>
              <w:t>2023</w:t>
            </w:r>
          </w:p>
        </w:tc>
        <w:tc>
          <w:tcPr>
            <w:tcW w:w="1080" w:type="dxa"/>
            <w:tcBorders>
              <w:top w:val="single" w:sz="8" w:space="0" w:color="auto"/>
              <w:left w:val="single" w:sz="4" w:space="0" w:color="auto"/>
              <w:bottom w:val="single" w:sz="4" w:space="0" w:color="auto"/>
              <w:right w:val="single" w:sz="8" w:space="0" w:color="auto"/>
            </w:tcBorders>
            <w:shd w:val="clear" w:color="000000" w:fill="BDD7EE"/>
            <w:noWrap/>
            <w:vAlign w:val="bottom"/>
            <w:hideMark/>
          </w:tcPr>
          <w:p w:rsidR="00E303AD" w:rsidRPr="00E303AD" w:rsidP="00E303AD">
            <w:pPr>
              <w:bidi w:val="0"/>
              <w:spacing w:line="269" w:lineRule="auto"/>
              <w:jc w:val="right"/>
              <w:rPr>
                <w:rFonts w:ascii="David" w:eastAsia="Times New Roman" w:hAnsi="David"/>
                <w:b/>
                <w:bCs/>
                <w:sz w:val="22"/>
                <w:szCs w:val="22"/>
              </w:rPr>
            </w:pPr>
            <w:r w:rsidRPr="00E303AD">
              <w:rPr>
                <w:rFonts w:ascii="David" w:eastAsia="Times New Roman" w:hAnsi="David"/>
                <w:b/>
                <w:bCs/>
                <w:sz w:val="22"/>
                <w:szCs w:val="22"/>
              </w:rPr>
              <w:t>2024</w:t>
            </w:r>
          </w:p>
        </w:tc>
        <w:tc>
          <w:tcPr>
            <w:tcW w:w="1080" w:type="dxa"/>
            <w:tcBorders>
              <w:top w:val="single" w:sz="8" w:space="0" w:color="auto"/>
              <w:left w:val="single" w:sz="4" w:space="0" w:color="auto"/>
              <w:bottom w:val="single" w:sz="4" w:space="0" w:color="auto"/>
              <w:right w:val="single" w:sz="8" w:space="0" w:color="auto"/>
            </w:tcBorders>
            <w:shd w:val="clear" w:color="000000" w:fill="BDD7EE"/>
          </w:tcPr>
          <w:p w:rsidR="00E303AD" w:rsidRPr="00E303AD" w:rsidP="00E303AD">
            <w:pPr>
              <w:bidi w:val="0"/>
              <w:spacing w:line="269" w:lineRule="auto"/>
              <w:jc w:val="right"/>
              <w:rPr>
                <w:rFonts w:ascii="David" w:eastAsia="Times New Roman" w:hAnsi="David"/>
                <w:b/>
                <w:bCs/>
                <w:sz w:val="22"/>
                <w:szCs w:val="22"/>
              </w:rPr>
            </w:pPr>
            <w:r w:rsidRPr="00E303AD">
              <w:rPr>
                <w:rFonts w:ascii="David" w:eastAsia="Times New Roman" w:hAnsi="David"/>
                <w:b/>
                <w:bCs/>
                <w:sz w:val="22"/>
                <w:szCs w:val="22"/>
              </w:rPr>
              <w:t>2025</w:t>
            </w:r>
          </w:p>
        </w:tc>
      </w:tr>
      <w:tr w:rsidTr="00562836">
        <w:tblPrEx>
          <w:tblW w:w="5400" w:type="dxa"/>
          <w:jc w:val="center"/>
          <w:tblLook w:val="04A0"/>
        </w:tblPrEx>
        <w:trPr>
          <w:trHeight w:val="285"/>
          <w:jc w:val="center"/>
        </w:trPr>
        <w:tc>
          <w:tcPr>
            <w:tcW w:w="1080" w:type="dxa"/>
            <w:tcBorders>
              <w:top w:val="single" w:sz="4" w:space="0" w:color="auto"/>
              <w:left w:val="single" w:sz="8" w:space="0" w:color="auto"/>
              <w:bottom w:val="single" w:sz="4" w:space="0" w:color="auto"/>
              <w:right w:val="single" w:sz="4" w:space="0" w:color="auto"/>
            </w:tcBorders>
            <w:shd w:val="clear" w:color="D9D9D9" w:fill="D9D9D9"/>
            <w:noWrap/>
            <w:vAlign w:val="bottom"/>
            <w:hideMark/>
          </w:tcPr>
          <w:p w:rsidR="00E303AD" w:rsidRPr="00E303AD" w:rsidP="00E303AD">
            <w:pPr>
              <w:spacing w:line="269" w:lineRule="auto"/>
              <w:jc w:val="left"/>
              <w:rPr>
                <w:rFonts w:ascii="David" w:eastAsia="Times New Roman" w:hAnsi="David"/>
                <w:color w:val="000000"/>
                <w:sz w:val="22"/>
                <w:szCs w:val="22"/>
              </w:rPr>
            </w:pPr>
            <w:r w:rsidRPr="00E303AD">
              <w:rPr>
                <w:rFonts w:ascii="David" w:eastAsia="Times New Roman" w:hAnsi="David"/>
                <w:color w:val="000000"/>
                <w:sz w:val="22"/>
                <w:szCs w:val="22"/>
                <w:rtl/>
              </w:rPr>
              <w:t>תל אביב</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303AD" w:rsidRPr="00E303AD" w:rsidP="00E303AD">
            <w:pPr>
              <w:bidi w:val="0"/>
              <w:spacing w:line="269" w:lineRule="auto"/>
              <w:jc w:val="right"/>
              <w:rPr>
                <w:rFonts w:ascii="David" w:eastAsia="Times New Roman" w:hAnsi="David"/>
                <w:color w:val="000000"/>
                <w:sz w:val="22"/>
                <w:szCs w:val="22"/>
                <w:rtl/>
              </w:rPr>
            </w:pPr>
            <w:r w:rsidRPr="00E303AD">
              <w:rPr>
                <w:rFonts w:ascii="David" w:eastAsia="Times New Roman" w:hAnsi="David"/>
                <w:color w:val="000000"/>
                <w:sz w:val="22"/>
                <w:szCs w:val="22"/>
              </w:rPr>
              <w:t>0</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13</w:t>
            </w:r>
          </w:p>
        </w:tc>
        <w:tc>
          <w:tcPr>
            <w:tcW w:w="1080" w:type="dxa"/>
            <w:tcBorders>
              <w:top w:val="single" w:sz="4" w:space="0" w:color="auto"/>
              <w:left w:val="single" w:sz="4" w:space="0" w:color="auto"/>
              <w:bottom w:val="single" w:sz="4" w:space="0" w:color="auto"/>
              <w:right w:val="single" w:sz="8" w:space="0" w:color="auto"/>
            </w:tcBorders>
            <w:shd w:val="clear" w:color="D9D9D9" w:fill="D9D9D9"/>
            <w:noWrap/>
            <w:vAlign w:val="bottom"/>
            <w:hideMark/>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1</w:t>
            </w:r>
          </w:p>
        </w:tc>
        <w:tc>
          <w:tcPr>
            <w:tcW w:w="1080" w:type="dxa"/>
            <w:tcBorders>
              <w:top w:val="single" w:sz="4" w:space="0" w:color="auto"/>
              <w:left w:val="single" w:sz="4" w:space="0" w:color="auto"/>
              <w:bottom w:val="single" w:sz="4" w:space="0" w:color="auto"/>
              <w:right w:val="single" w:sz="8" w:space="0" w:color="auto"/>
            </w:tcBorders>
            <w:shd w:val="clear" w:color="D9D9D9" w:fill="D9D9D9"/>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7</w:t>
            </w:r>
          </w:p>
        </w:tc>
      </w:tr>
      <w:tr w:rsidTr="00562836">
        <w:tblPrEx>
          <w:tblW w:w="5400" w:type="dxa"/>
          <w:jc w:val="center"/>
          <w:tblLook w:val="04A0"/>
        </w:tblPrEx>
        <w:trPr>
          <w:trHeight w:val="285"/>
          <w:jc w:val="center"/>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303AD" w:rsidRPr="00E303AD" w:rsidP="00E303AD">
            <w:pPr>
              <w:spacing w:line="269" w:lineRule="auto"/>
              <w:jc w:val="left"/>
              <w:rPr>
                <w:rFonts w:ascii="David" w:eastAsia="Times New Roman" w:hAnsi="David"/>
                <w:color w:val="000000"/>
                <w:sz w:val="22"/>
                <w:szCs w:val="22"/>
              </w:rPr>
            </w:pPr>
            <w:r w:rsidRPr="00E303AD">
              <w:rPr>
                <w:rFonts w:ascii="David" w:eastAsia="Times New Roman" w:hAnsi="David"/>
                <w:color w:val="000000"/>
                <w:sz w:val="22"/>
                <w:szCs w:val="22"/>
                <w:rtl/>
              </w:rPr>
              <w:t>מרכז</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03AD" w:rsidRPr="00E303AD" w:rsidP="00E303AD">
            <w:pPr>
              <w:bidi w:val="0"/>
              <w:spacing w:line="269" w:lineRule="auto"/>
              <w:jc w:val="right"/>
              <w:rPr>
                <w:rFonts w:ascii="David" w:eastAsia="Times New Roman" w:hAnsi="David"/>
                <w:color w:val="000000"/>
                <w:sz w:val="22"/>
                <w:szCs w:val="22"/>
                <w:rtl/>
              </w:rPr>
            </w:pPr>
            <w:r w:rsidRPr="00E303AD">
              <w:rPr>
                <w:rFonts w:ascii="David" w:eastAsia="Times New Roman" w:hAnsi="David"/>
                <w:color w:val="000000"/>
                <w:sz w:val="22"/>
                <w:szCs w:val="22"/>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0</w:t>
            </w:r>
          </w:p>
        </w:tc>
        <w:tc>
          <w:tcPr>
            <w:tcW w:w="108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1</w:t>
            </w:r>
          </w:p>
        </w:tc>
        <w:tc>
          <w:tcPr>
            <w:tcW w:w="1080" w:type="dxa"/>
            <w:tcBorders>
              <w:top w:val="single" w:sz="4" w:space="0" w:color="auto"/>
              <w:left w:val="single" w:sz="4" w:space="0" w:color="auto"/>
              <w:bottom w:val="single" w:sz="4" w:space="0" w:color="auto"/>
              <w:right w:val="single" w:sz="8" w:space="0" w:color="auto"/>
            </w:tcBorders>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9</w:t>
            </w:r>
          </w:p>
        </w:tc>
      </w:tr>
      <w:tr w:rsidTr="00562836">
        <w:tblPrEx>
          <w:tblW w:w="5400" w:type="dxa"/>
          <w:jc w:val="center"/>
          <w:tblLook w:val="04A0"/>
        </w:tblPrEx>
        <w:trPr>
          <w:trHeight w:val="285"/>
          <w:jc w:val="center"/>
        </w:trPr>
        <w:tc>
          <w:tcPr>
            <w:tcW w:w="1080" w:type="dxa"/>
            <w:tcBorders>
              <w:top w:val="single" w:sz="4" w:space="0" w:color="auto"/>
              <w:left w:val="single" w:sz="8" w:space="0" w:color="auto"/>
              <w:bottom w:val="single" w:sz="4" w:space="0" w:color="auto"/>
              <w:right w:val="single" w:sz="4" w:space="0" w:color="auto"/>
            </w:tcBorders>
            <w:shd w:val="clear" w:color="D9D9D9" w:fill="D9D9D9"/>
            <w:noWrap/>
            <w:vAlign w:val="bottom"/>
            <w:hideMark/>
          </w:tcPr>
          <w:p w:rsidR="00E303AD" w:rsidRPr="00E303AD" w:rsidP="00E303AD">
            <w:pPr>
              <w:spacing w:line="269" w:lineRule="auto"/>
              <w:jc w:val="left"/>
              <w:rPr>
                <w:rFonts w:ascii="David" w:eastAsia="Times New Roman" w:hAnsi="David"/>
                <w:color w:val="000000"/>
                <w:sz w:val="22"/>
                <w:szCs w:val="22"/>
              </w:rPr>
            </w:pPr>
            <w:r w:rsidRPr="00E303AD">
              <w:rPr>
                <w:rFonts w:ascii="David" w:eastAsia="Times New Roman" w:hAnsi="David"/>
                <w:color w:val="000000"/>
                <w:sz w:val="22"/>
                <w:szCs w:val="22"/>
                <w:rtl/>
              </w:rPr>
              <w:t>ירושלים</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303AD" w:rsidRPr="00E303AD" w:rsidP="00E303AD">
            <w:pPr>
              <w:bidi w:val="0"/>
              <w:spacing w:line="269" w:lineRule="auto"/>
              <w:jc w:val="right"/>
              <w:rPr>
                <w:rFonts w:ascii="David" w:eastAsia="Times New Roman" w:hAnsi="David"/>
                <w:color w:val="000000"/>
                <w:sz w:val="22"/>
                <w:szCs w:val="22"/>
                <w:rtl/>
              </w:rPr>
            </w:pPr>
            <w:r w:rsidRPr="00E303AD">
              <w:rPr>
                <w:rFonts w:ascii="David" w:eastAsia="Times New Roman" w:hAnsi="David"/>
                <w:color w:val="000000"/>
                <w:sz w:val="22"/>
                <w:szCs w:val="22"/>
              </w:rPr>
              <w:t>0</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0</w:t>
            </w:r>
          </w:p>
        </w:tc>
        <w:tc>
          <w:tcPr>
            <w:tcW w:w="1080" w:type="dxa"/>
            <w:tcBorders>
              <w:top w:val="single" w:sz="4" w:space="0" w:color="auto"/>
              <w:left w:val="single" w:sz="4" w:space="0" w:color="auto"/>
              <w:bottom w:val="single" w:sz="4" w:space="0" w:color="auto"/>
              <w:right w:val="single" w:sz="8" w:space="0" w:color="auto"/>
            </w:tcBorders>
            <w:shd w:val="clear" w:color="D9D9D9" w:fill="D9D9D9"/>
            <w:noWrap/>
            <w:vAlign w:val="bottom"/>
            <w:hideMark/>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1</w:t>
            </w:r>
          </w:p>
        </w:tc>
        <w:tc>
          <w:tcPr>
            <w:tcW w:w="1080" w:type="dxa"/>
            <w:tcBorders>
              <w:top w:val="single" w:sz="4" w:space="0" w:color="auto"/>
              <w:left w:val="single" w:sz="4" w:space="0" w:color="auto"/>
              <w:bottom w:val="single" w:sz="4" w:space="0" w:color="auto"/>
              <w:right w:val="single" w:sz="8" w:space="0" w:color="auto"/>
            </w:tcBorders>
            <w:shd w:val="clear" w:color="D9D9D9" w:fill="D9D9D9"/>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0</w:t>
            </w:r>
          </w:p>
        </w:tc>
      </w:tr>
      <w:tr w:rsidTr="00562836">
        <w:tblPrEx>
          <w:tblW w:w="5400" w:type="dxa"/>
          <w:jc w:val="center"/>
          <w:tblLook w:val="04A0"/>
        </w:tblPrEx>
        <w:trPr>
          <w:trHeight w:val="285"/>
          <w:jc w:val="center"/>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303AD" w:rsidRPr="00E303AD" w:rsidP="00E303AD">
            <w:pPr>
              <w:spacing w:line="269" w:lineRule="auto"/>
              <w:jc w:val="left"/>
              <w:rPr>
                <w:rFonts w:ascii="David" w:eastAsia="Times New Roman" w:hAnsi="David"/>
                <w:color w:val="000000"/>
                <w:sz w:val="22"/>
                <w:szCs w:val="22"/>
              </w:rPr>
            </w:pPr>
            <w:r w:rsidRPr="00E303AD">
              <w:rPr>
                <w:rFonts w:ascii="David" w:eastAsia="Times New Roman" w:hAnsi="David"/>
                <w:color w:val="000000"/>
                <w:sz w:val="22"/>
                <w:szCs w:val="22"/>
                <w:rtl/>
              </w:rPr>
              <w:t>חוף</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03AD" w:rsidRPr="00E303AD" w:rsidP="00E303AD">
            <w:pPr>
              <w:bidi w:val="0"/>
              <w:spacing w:line="269" w:lineRule="auto"/>
              <w:jc w:val="right"/>
              <w:rPr>
                <w:rFonts w:ascii="David" w:eastAsia="Times New Roman" w:hAnsi="David"/>
                <w:color w:val="000000"/>
                <w:sz w:val="22"/>
                <w:szCs w:val="22"/>
                <w:rtl/>
              </w:rPr>
            </w:pPr>
            <w:r w:rsidRPr="00E303AD">
              <w:rPr>
                <w:rFonts w:ascii="David" w:eastAsia="Times New Roman" w:hAnsi="David"/>
                <w:color w:val="000000"/>
                <w:sz w:val="22"/>
                <w:szCs w:val="22"/>
              </w:rPr>
              <w:t>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0</w:t>
            </w:r>
          </w:p>
        </w:tc>
        <w:tc>
          <w:tcPr>
            <w:tcW w:w="108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3</w:t>
            </w:r>
          </w:p>
        </w:tc>
        <w:tc>
          <w:tcPr>
            <w:tcW w:w="1080" w:type="dxa"/>
            <w:tcBorders>
              <w:top w:val="single" w:sz="4" w:space="0" w:color="auto"/>
              <w:left w:val="single" w:sz="4" w:space="0" w:color="auto"/>
              <w:bottom w:val="single" w:sz="4" w:space="0" w:color="auto"/>
              <w:right w:val="single" w:sz="8" w:space="0" w:color="auto"/>
            </w:tcBorders>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6</w:t>
            </w:r>
          </w:p>
        </w:tc>
      </w:tr>
      <w:tr w:rsidTr="00562836">
        <w:tblPrEx>
          <w:tblW w:w="5400" w:type="dxa"/>
          <w:jc w:val="center"/>
          <w:tblLook w:val="04A0"/>
        </w:tblPrEx>
        <w:trPr>
          <w:trHeight w:val="285"/>
          <w:jc w:val="center"/>
        </w:trPr>
        <w:tc>
          <w:tcPr>
            <w:tcW w:w="1080" w:type="dxa"/>
            <w:tcBorders>
              <w:top w:val="single" w:sz="4" w:space="0" w:color="auto"/>
              <w:left w:val="single" w:sz="8" w:space="0" w:color="auto"/>
              <w:bottom w:val="single" w:sz="4" w:space="0" w:color="auto"/>
              <w:right w:val="single" w:sz="4" w:space="0" w:color="auto"/>
            </w:tcBorders>
            <w:shd w:val="clear" w:color="D9D9D9" w:fill="D9D9D9"/>
            <w:noWrap/>
            <w:vAlign w:val="bottom"/>
            <w:hideMark/>
          </w:tcPr>
          <w:p w:rsidR="00E303AD" w:rsidRPr="00E303AD" w:rsidP="00E303AD">
            <w:pPr>
              <w:spacing w:line="269" w:lineRule="auto"/>
              <w:jc w:val="left"/>
              <w:rPr>
                <w:rFonts w:ascii="David" w:eastAsia="Times New Roman" w:hAnsi="David"/>
                <w:color w:val="000000"/>
                <w:sz w:val="22"/>
                <w:szCs w:val="22"/>
              </w:rPr>
            </w:pPr>
            <w:r w:rsidRPr="00E303AD">
              <w:rPr>
                <w:rFonts w:ascii="David" w:eastAsia="Times New Roman" w:hAnsi="David"/>
                <w:color w:val="000000"/>
                <w:sz w:val="22"/>
                <w:szCs w:val="22"/>
                <w:rtl/>
              </w:rPr>
              <w:t>צפון</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303AD" w:rsidRPr="00E303AD" w:rsidP="00E303AD">
            <w:pPr>
              <w:bidi w:val="0"/>
              <w:spacing w:line="269" w:lineRule="auto"/>
              <w:jc w:val="right"/>
              <w:rPr>
                <w:rFonts w:ascii="David" w:eastAsia="Times New Roman" w:hAnsi="David"/>
                <w:color w:val="000000"/>
                <w:sz w:val="22"/>
                <w:szCs w:val="22"/>
                <w:rtl/>
              </w:rPr>
            </w:pPr>
            <w:r w:rsidRPr="00E303AD">
              <w:rPr>
                <w:rFonts w:ascii="David" w:eastAsia="Times New Roman" w:hAnsi="David"/>
                <w:color w:val="000000"/>
                <w:sz w:val="22"/>
                <w:szCs w:val="22"/>
              </w:rPr>
              <w:t>0</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0</w:t>
            </w:r>
          </w:p>
        </w:tc>
        <w:tc>
          <w:tcPr>
            <w:tcW w:w="1080" w:type="dxa"/>
            <w:tcBorders>
              <w:top w:val="single" w:sz="4" w:space="0" w:color="auto"/>
              <w:left w:val="single" w:sz="4" w:space="0" w:color="auto"/>
              <w:bottom w:val="single" w:sz="4" w:space="0" w:color="auto"/>
              <w:right w:val="single" w:sz="8" w:space="0" w:color="auto"/>
            </w:tcBorders>
            <w:shd w:val="clear" w:color="D9D9D9" w:fill="D9D9D9"/>
            <w:noWrap/>
            <w:vAlign w:val="bottom"/>
            <w:hideMark/>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4</w:t>
            </w:r>
          </w:p>
        </w:tc>
        <w:tc>
          <w:tcPr>
            <w:tcW w:w="1080" w:type="dxa"/>
            <w:tcBorders>
              <w:top w:val="single" w:sz="4" w:space="0" w:color="auto"/>
              <w:left w:val="single" w:sz="4" w:space="0" w:color="auto"/>
              <w:bottom w:val="single" w:sz="4" w:space="0" w:color="auto"/>
              <w:right w:val="single" w:sz="8" w:space="0" w:color="auto"/>
            </w:tcBorders>
            <w:shd w:val="clear" w:color="D9D9D9" w:fill="D9D9D9"/>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4</w:t>
            </w:r>
          </w:p>
        </w:tc>
      </w:tr>
      <w:tr w:rsidTr="00562836">
        <w:tblPrEx>
          <w:tblW w:w="5400" w:type="dxa"/>
          <w:jc w:val="center"/>
          <w:tblLook w:val="04A0"/>
        </w:tblPrEx>
        <w:trPr>
          <w:trHeight w:val="285"/>
          <w:jc w:val="center"/>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303AD" w:rsidRPr="00E303AD" w:rsidP="00E303AD">
            <w:pPr>
              <w:spacing w:line="269" w:lineRule="auto"/>
              <w:jc w:val="left"/>
              <w:rPr>
                <w:rFonts w:ascii="David" w:eastAsia="Times New Roman" w:hAnsi="David"/>
                <w:color w:val="000000"/>
                <w:sz w:val="22"/>
                <w:szCs w:val="22"/>
              </w:rPr>
            </w:pPr>
            <w:r w:rsidRPr="00E303AD">
              <w:rPr>
                <w:rFonts w:ascii="David" w:eastAsia="Times New Roman" w:hAnsi="David"/>
                <w:color w:val="000000"/>
                <w:sz w:val="22"/>
                <w:szCs w:val="22"/>
                <w:rtl/>
              </w:rPr>
              <w:t>דרום</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03AD" w:rsidRPr="00E303AD" w:rsidP="00E303AD">
            <w:pPr>
              <w:bidi w:val="0"/>
              <w:spacing w:line="269" w:lineRule="auto"/>
              <w:jc w:val="right"/>
              <w:rPr>
                <w:rFonts w:ascii="David" w:eastAsia="Times New Roman" w:hAnsi="David"/>
                <w:color w:val="000000"/>
                <w:sz w:val="22"/>
                <w:szCs w:val="22"/>
                <w:rtl/>
              </w:rPr>
            </w:pPr>
            <w:r w:rsidRPr="00E303AD">
              <w:rPr>
                <w:rFonts w:ascii="David" w:eastAsia="Times New Roman" w:hAnsi="David"/>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0</w:t>
            </w:r>
          </w:p>
        </w:tc>
        <w:tc>
          <w:tcPr>
            <w:tcW w:w="108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3</w:t>
            </w:r>
          </w:p>
        </w:tc>
        <w:tc>
          <w:tcPr>
            <w:tcW w:w="1080" w:type="dxa"/>
            <w:tcBorders>
              <w:top w:val="single" w:sz="4" w:space="0" w:color="auto"/>
              <w:left w:val="single" w:sz="4" w:space="0" w:color="auto"/>
              <w:bottom w:val="single" w:sz="4" w:space="0" w:color="auto"/>
              <w:right w:val="single" w:sz="8" w:space="0" w:color="auto"/>
            </w:tcBorders>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3</w:t>
            </w:r>
          </w:p>
        </w:tc>
      </w:tr>
      <w:tr w:rsidTr="00562836">
        <w:tblPrEx>
          <w:tblW w:w="5400" w:type="dxa"/>
          <w:jc w:val="center"/>
          <w:tblLook w:val="04A0"/>
        </w:tblPrEx>
        <w:trPr>
          <w:trHeight w:val="285"/>
          <w:jc w:val="center"/>
        </w:trPr>
        <w:tc>
          <w:tcPr>
            <w:tcW w:w="1080" w:type="dxa"/>
            <w:tcBorders>
              <w:top w:val="single" w:sz="4" w:space="0" w:color="auto"/>
              <w:left w:val="single" w:sz="8" w:space="0" w:color="auto"/>
              <w:bottom w:val="single" w:sz="4" w:space="0" w:color="auto"/>
              <w:right w:val="single" w:sz="4" w:space="0" w:color="auto"/>
            </w:tcBorders>
            <w:shd w:val="clear" w:color="D9D9D9" w:fill="D9D9D9"/>
            <w:noWrap/>
            <w:vAlign w:val="bottom"/>
            <w:hideMark/>
          </w:tcPr>
          <w:p w:rsidR="00E303AD" w:rsidRPr="00E303AD" w:rsidP="00E303AD">
            <w:pPr>
              <w:spacing w:line="269" w:lineRule="auto"/>
              <w:jc w:val="left"/>
              <w:rPr>
                <w:rFonts w:ascii="David" w:eastAsia="Times New Roman" w:hAnsi="David"/>
                <w:color w:val="000000"/>
                <w:sz w:val="22"/>
                <w:szCs w:val="22"/>
              </w:rPr>
            </w:pPr>
            <w:r w:rsidRPr="00E303AD">
              <w:rPr>
                <w:rFonts w:ascii="David" w:eastAsia="Times New Roman" w:hAnsi="David"/>
                <w:color w:val="000000"/>
                <w:sz w:val="22"/>
                <w:szCs w:val="22"/>
                <w:rtl/>
              </w:rPr>
              <w:t>ש"י</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303AD" w:rsidRPr="00E303AD" w:rsidP="00E303AD">
            <w:pPr>
              <w:bidi w:val="0"/>
              <w:spacing w:line="269" w:lineRule="auto"/>
              <w:jc w:val="right"/>
              <w:rPr>
                <w:rFonts w:ascii="David" w:eastAsia="Times New Roman" w:hAnsi="David"/>
                <w:color w:val="000000"/>
                <w:sz w:val="22"/>
                <w:szCs w:val="22"/>
                <w:rtl/>
              </w:rPr>
            </w:pPr>
            <w:r w:rsidRPr="00E303AD">
              <w:rPr>
                <w:rFonts w:ascii="David" w:eastAsia="Times New Roman" w:hAnsi="David"/>
                <w:color w:val="000000"/>
                <w:sz w:val="22"/>
                <w:szCs w:val="22"/>
              </w:rPr>
              <w:t>0</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0</w:t>
            </w:r>
          </w:p>
        </w:tc>
        <w:tc>
          <w:tcPr>
            <w:tcW w:w="1080" w:type="dxa"/>
            <w:tcBorders>
              <w:top w:val="single" w:sz="4" w:space="0" w:color="auto"/>
              <w:left w:val="single" w:sz="4" w:space="0" w:color="auto"/>
              <w:bottom w:val="single" w:sz="4" w:space="0" w:color="auto"/>
              <w:right w:val="single" w:sz="8" w:space="0" w:color="auto"/>
            </w:tcBorders>
            <w:shd w:val="clear" w:color="D9D9D9" w:fill="D9D9D9"/>
            <w:noWrap/>
            <w:vAlign w:val="bottom"/>
            <w:hideMark/>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0</w:t>
            </w:r>
          </w:p>
        </w:tc>
        <w:tc>
          <w:tcPr>
            <w:tcW w:w="1080" w:type="dxa"/>
            <w:tcBorders>
              <w:top w:val="single" w:sz="4" w:space="0" w:color="auto"/>
              <w:left w:val="single" w:sz="4" w:space="0" w:color="auto"/>
              <w:bottom w:val="single" w:sz="4" w:space="0" w:color="auto"/>
              <w:right w:val="single" w:sz="8" w:space="0" w:color="auto"/>
            </w:tcBorders>
            <w:shd w:val="clear" w:color="D9D9D9" w:fill="D9D9D9"/>
          </w:tcPr>
          <w:p w:rsidR="00E303AD" w:rsidRPr="00E303AD" w:rsidP="00E303AD">
            <w:pPr>
              <w:bidi w:val="0"/>
              <w:spacing w:line="269" w:lineRule="auto"/>
              <w:jc w:val="right"/>
              <w:rPr>
                <w:rFonts w:ascii="David" w:eastAsia="Times New Roman" w:hAnsi="David"/>
                <w:color w:val="000000"/>
                <w:sz w:val="22"/>
                <w:szCs w:val="22"/>
              </w:rPr>
            </w:pPr>
            <w:r w:rsidRPr="00E303AD">
              <w:rPr>
                <w:rFonts w:ascii="David" w:eastAsia="Times New Roman" w:hAnsi="David"/>
                <w:color w:val="000000"/>
                <w:sz w:val="22"/>
                <w:szCs w:val="22"/>
              </w:rPr>
              <w:t>0</w:t>
            </w:r>
          </w:p>
        </w:tc>
      </w:tr>
      <w:tr w:rsidTr="00562836">
        <w:tblPrEx>
          <w:tblW w:w="5400" w:type="dxa"/>
          <w:jc w:val="center"/>
          <w:tblLook w:val="04A0"/>
        </w:tblPrEx>
        <w:trPr>
          <w:trHeight w:val="300"/>
          <w:jc w:val="center"/>
        </w:trPr>
        <w:tc>
          <w:tcPr>
            <w:tcW w:w="108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E303AD" w:rsidRPr="00E303AD" w:rsidP="00E303AD">
            <w:pPr>
              <w:spacing w:line="269" w:lineRule="auto"/>
              <w:jc w:val="left"/>
              <w:rPr>
                <w:rFonts w:ascii="David" w:eastAsia="Times New Roman" w:hAnsi="David"/>
                <w:b/>
                <w:bCs/>
                <w:color w:val="000000"/>
                <w:sz w:val="22"/>
                <w:szCs w:val="22"/>
              </w:rPr>
            </w:pPr>
            <w:r w:rsidRPr="00E303AD">
              <w:rPr>
                <w:rFonts w:ascii="David" w:eastAsia="Times New Roman" w:hAnsi="David"/>
                <w:b/>
                <w:bCs/>
                <w:color w:val="000000"/>
                <w:sz w:val="22"/>
                <w:szCs w:val="22"/>
                <w:rtl/>
              </w:rPr>
              <w:t>סה"כ</w:t>
            </w:r>
          </w:p>
        </w:tc>
        <w:tc>
          <w:tcPr>
            <w:tcW w:w="108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E303AD" w:rsidRPr="00E303AD" w:rsidP="00E303AD">
            <w:pPr>
              <w:bidi w:val="0"/>
              <w:spacing w:line="269" w:lineRule="auto"/>
              <w:jc w:val="right"/>
              <w:rPr>
                <w:rFonts w:ascii="David" w:eastAsia="Times New Roman" w:hAnsi="David"/>
                <w:b/>
                <w:bCs/>
                <w:color w:val="000000"/>
                <w:sz w:val="22"/>
                <w:szCs w:val="22"/>
                <w:rtl/>
              </w:rPr>
            </w:pPr>
            <w:r w:rsidRPr="00E303AD">
              <w:rPr>
                <w:rFonts w:ascii="David" w:eastAsia="Times New Roman" w:hAnsi="David"/>
                <w:b/>
                <w:bCs/>
                <w:color w:val="000000"/>
                <w:sz w:val="22"/>
                <w:szCs w:val="22"/>
              </w:rPr>
              <w:t>5</w:t>
            </w:r>
          </w:p>
        </w:tc>
        <w:tc>
          <w:tcPr>
            <w:tcW w:w="108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E303AD" w:rsidRPr="00E303AD" w:rsidP="00E303AD">
            <w:pPr>
              <w:bidi w:val="0"/>
              <w:spacing w:line="269" w:lineRule="auto"/>
              <w:jc w:val="right"/>
              <w:rPr>
                <w:rFonts w:ascii="David" w:eastAsia="Times New Roman" w:hAnsi="David"/>
                <w:b/>
                <w:bCs/>
                <w:color w:val="000000"/>
                <w:sz w:val="22"/>
                <w:szCs w:val="22"/>
              </w:rPr>
            </w:pPr>
            <w:r w:rsidRPr="00E303AD">
              <w:rPr>
                <w:rFonts w:ascii="David" w:eastAsia="Times New Roman" w:hAnsi="David"/>
                <w:b/>
                <w:bCs/>
                <w:color w:val="000000"/>
                <w:sz w:val="22"/>
                <w:szCs w:val="22"/>
              </w:rPr>
              <w:t>13</w:t>
            </w:r>
          </w:p>
        </w:tc>
        <w:tc>
          <w:tcPr>
            <w:tcW w:w="108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E303AD" w:rsidRPr="00E303AD" w:rsidP="00E303AD">
            <w:pPr>
              <w:bidi w:val="0"/>
              <w:spacing w:line="269" w:lineRule="auto"/>
              <w:jc w:val="right"/>
              <w:rPr>
                <w:rFonts w:ascii="David" w:eastAsia="Times New Roman" w:hAnsi="David"/>
                <w:b/>
                <w:bCs/>
                <w:color w:val="000000"/>
                <w:sz w:val="22"/>
                <w:szCs w:val="22"/>
              </w:rPr>
            </w:pPr>
            <w:r w:rsidRPr="00E303AD">
              <w:rPr>
                <w:rFonts w:ascii="David" w:eastAsia="Times New Roman" w:hAnsi="David"/>
                <w:b/>
                <w:bCs/>
                <w:color w:val="000000"/>
                <w:sz w:val="22"/>
                <w:szCs w:val="22"/>
              </w:rPr>
              <w:t>13</w:t>
            </w:r>
          </w:p>
        </w:tc>
        <w:tc>
          <w:tcPr>
            <w:tcW w:w="1080" w:type="dxa"/>
            <w:tcBorders>
              <w:top w:val="single" w:sz="4" w:space="0" w:color="auto"/>
              <w:left w:val="single" w:sz="4" w:space="0" w:color="auto"/>
              <w:bottom w:val="single" w:sz="8" w:space="0" w:color="auto"/>
              <w:right w:val="single" w:sz="8" w:space="0" w:color="auto"/>
            </w:tcBorders>
          </w:tcPr>
          <w:p w:rsidR="00E303AD" w:rsidRPr="00E303AD" w:rsidP="00E303AD">
            <w:pPr>
              <w:bidi w:val="0"/>
              <w:spacing w:line="269" w:lineRule="auto"/>
              <w:jc w:val="right"/>
              <w:rPr>
                <w:rFonts w:ascii="David" w:eastAsia="Times New Roman" w:hAnsi="David"/>
                <w:b/>
                <w:bCs/>
                <w:color w:val="000000"/>
                <w:sz w:val="22"/>
                <w:szCs w:val="22"/>
              </w:rPr>
            </w:pPr>
            <w:r w:rsidRPr="00E303AD">
              <w:rPr>
                <w:rFonts w:ascii="David" w:eastAsia="Times New Roman" w:hAnsi="David"/>
                <w:b/>
                <w:bCs/>
                <w:color w:val="000000"/>
                <w:sz w:val="22"/>
                <w:szCs w:val="22"/>
              </w:rPr>
              <w:t>29</w:t>
            </w:r>
          </w:p>
        </w:tc>
      </w:tr>
    </w:tbl>
    <w:p w:rsidR="00E303AD" w:rsidRPr="00E303AD" w:rsidP="00E303AD">
      <w:pPr>
        <w:spacing w:line="269" w:lineRule="auto"/>
        <w:ind w:firstLine="312"/>
        <w:rPr>
          <w:rFonts w:eastAsia="Calibri"/>
          <w:szCs w:val="20"/>
          <w:rtl/>
        </w:rPr>
      </w:pPr>
      <w:r w:rsidRPr="00E303AD">
        <w:rPr>
          <w:rFonts w:eastAsia="Calibri" w:hint="cs"/>
          <w:szCs w:val="20"/>
          <w:rtl/>
        </w:rPr>
        <w:t>על פי נתוני המשטרה, בעיבוד משרד מבקר המדינה.</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ind w:left="312"/>
        <w:rPr>
          <w:rFonts w:eastAsia="Calibri"/>
          <w:rtl/>
        </w:rPr>
      </w:pPr>
      <w:r w:rsidRPr="00E303AD">
        <w:rPr>
          <w:rFonts w:eastAsia="Calibri" w:hint="cs"/>
          <w:rtl/>
        </w:rPr>
        <w:t>מהנתונים בתרשים עולה כי בשנת 2023 רוב הפעילות שביצעה המשטרה בתחום בוצעה במחוז תל אביב - במחוז זה נסגרו 13 בתי בושת. עם זאת, במחוזות דרום, צפון וחוף ננקטו בשנים 2022 - 2024 פעולות אכיפה מצומצמות (4, 4, 7 בהתאמה). בשנים אלו בכל אחד מהמחוזות מרכז וירושלים נסגר בית בושת אחד בלבד. בהתייחסות מחוז מרכז לנושא צוין כי נעשו ניסיונות לסגירת בתי בושת, אך אלה לא צלחו; ממחוז דרום נמסר כי ככלל הוא אינו ממקד את פעילותו באכיפה בתחום הזנות; וממחוז ירושלים נמסר כי מבוצעות פעילויות רגישות בתחום, אך לא ניתן לפרטן.</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numPr>
          <w:ilvl w:val="0"/>
          <w:numId w:val="21"/>
        </w:numPr>
        <w:spacing w:line="269" w:lineRule="auto"/>
        <w:ind w:left="312"/>
        <w:contextualSpacing/>
        <w:rPr>
          <w:rFonts w:eastAsia="Calibri"/>
        </w:rPr>
      </w:pPr>
      <w:r w:rsidRPr="00E303AD">
        <w:rPr>
          <w:rFonts w:eastAsia="Calibri" w:hint="cs"/>
          <w:rtl/>
        </w:rPr>
        <w:t>בתלונה שהוגשה לנציבות תלונות הציבור שבמשרד מבקר המדינה בנובמבר 2024</w:t>
      </w:r>
      <w:r>
        <w:rPr>
          <w:rFonts w:eastAsia="Calibri"/>
          <w:vertAlign w:val="superscript"/>
          <w:rtl/>
        </w:rPr>
        <w:footnoteReference w:id="105"/>
      </w:r>
      <w:r w:rsidRPr="00E303AD">
        <w:rPr>
          <w:rFonts w:eastAsia="Calibri" w:hint="cs"/>
          <w:rtl/>
        </w:rPr>
        <w:t xml:space="preserve"> הלין מתלונן על כך שבדירה שכורה בבניין שהוא מתגורר בו פועל כבר 20 שנה בית בושת, והדבר הוא מטרד של ממש עבורו ועבור הדיירים האחרים במקום. לטענת המתלונן, במשך השנים הוא פנה כמה פעמים למשטרה בנושא זה, אולם הנושא לא טופל והפעילות במקום המשיכה.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ind w:left="312"/>
        <w:rPr>
          <w:rFonts w:eastAsia="Calibri"/>
          <w:rtl/>
        </w:rPr>
      </w:pPr>
      <w:r w:rsidRPr="00E303AD">
        <w:rPr>
          <w:rFonts w:eastAsia="Calibri" w:hint="cs"/>
          <w:rtl/>
        </w:rPr>
        <w:t>נציבות תלונות הציבור פנתה למשטרה, ונמצא כי החקירה בתיק טרם הסתיימה. בעקבות פעולות הנציבות השלימה המשטרה את חקירתה, ומפקד המחוז הוציא באפריל 2025 צו סגירה מינהלי למקום למשך 30 ימים</w:t>
      </w:r>
      <w:r>
        <w:rPr>
          <w:rFonts w:eastAsia="Calibri"/>
          <w:vertAlign w:val="superscript"/>
          <w:rtl/>
        </w:rPr>
        <w:footnoteReference w:id="106"/>
      </w:r>
      <w:r w:rsidRPr="00E303AD">
        <w:rPr>
          <w:rFonts w:eastAsia="Calibri" w:hint="cs"/>
          <w:rtl/>
        </w:rPr>
        <w:t xml:space="preserve">. בד בבד הועבר התיק לעיון והחלטה של הפרקליטות בעניין הגשת כתב אישום במישור הפלילי. בתום 30 הימים שבהם היה צו הסגירה בתוקף הגישה המשטרה לבית המשפט בקשה להארכת צו הסגירה. בעקבות ההליכים החקירתיים והמשפטיים הופסקה הפעילות של בית הבושת בזירה לצמיתות. </w:t>
      </w:r>
    </w:p>
    <w:p w:rsidR="00E303AD" w:rsidRPr="00E303AD" w:rsidP="00E303AD">
      <w:pPr>
        <w:spacing w:line="269" w:lineRule="auto"/>
        <w:ind w:left="-567"/>
        <w:rPr>
          <w:rFonts w:eastAsia="Calibri"/>
          <w:sz w:val="24"/>
          <w:rtl/>
        </w:rPr>
      </w:pPr>
      <w:r w:rsidRPr="00E303AD">
        <w:rPr>
          <w:rFonts w:eastAsia="Calibri" w:hint="cs"/>
          <w:sz w:val="24"/>
          <w:rtl/>
        </w:rPr>
        <w:t xml:space="preserve"> </w:t>
      </w:r>
    </w:p>
    <w:p w:rsidR="00E303AD" w:rsidRPr="00E303AD" w:rsidP="00E303AD">
      <w:pPr>
        <w:spacing w:line="269" w:lineRule="auto"/>
        <w:ind w:left="283"/>
        <w:rPr>
          <w:rFonts w:eastAsia="Calibri"/>
          <w:rtl/>
        </w:rPr>
      </w:pPr>
      <w:r w:rsidRPr="00E303AD">
        <w:rPr>
          <w:rFonts w:eastAsia="Calibri" w:hint="cs"/>
          <w:b/>
          <w:bCs/>
          <w:sz w:val="24"/>
          <w:rtl/>
        </w:rPr>
        <w:t xml:space="preserve">מההשוואה בין נתוני סגירת בתי בושת ובין נתוני המיפוי המשטרתי של זירות זנות עולה כי יש ביניהם פער ניכר: בשנת 2024 היה בידי המשטרה </w:t>
      </w:r>
      <w:r w:rsidRPr="00E303AD">
        <w:rPr>
          <w:rFonts w:eastAsia="Calibri" w:hint="eastAsia"/>
          <w:b/>
          <w:bCs/>
          <w:sz w:val="24"/>
          <w:rtl/>
        </w:rPr>
        <w:t>מידע</w:t>
      </w:r>
      <w:r w:rsidRPr="00E303AD">
        <w:rPr>
          <w:rFonts w:eastAsia="Calibri"/>
          <w:b/>
          <w:bCs/>
          <w:sz w:val="24"/>
          <w:rtl/>
        </w:rPr>
        <w:t xml:space="preserve"> </w:t>
      </w:r>
      <w:r w:rsidRPr="00E303AD">
        <w:rPr>
          <w:rFonts w:eastAsia="Calibri" w:hint="eastAsia"/>
          <w:b/>
          <w:bCs/>
          <w:sz w:val="24"/>
          <w:rtl/>
        </w:rPr>
        <w:t>על</w:t>
      </w:r>
      <w:r w:rsidRPr="00E303AD">
        <w:rPr>
          <w:rFonts w:eastAsia="Calibri"/>
          <w:b/>
          <w:bCs/>
          <w:sz w:val="24"/>
          <w:rtl/>
        </w:rPr>
        <w:t xml:space="preserve"> </w:t>
      </w:r>
      <w:r w:rsidRPr="00E303AD">
        <w:rPr>
          <w:rFonts w:eastAsia="Calibri" w:hint="cs"/>
          <w:b/>
          <w:bCs/>
          <w:sz w:val="24"/>
          <w:rtl/>
        </w:rPr>
        <w:t>למעלה מ-1,300 כתובות החשודות כ</w:t>
      </w:r>
      <w:r w:rsidRPr="00E303AD">
        <w:rPr>
          <w:rFonts w:eastAsia="Calibri" w:hint="eastAsia"/>
          <w:b/>
          <w:bCs/>
          <w:sz w:val="24"/>
          <w:rtl/>
        </w:rPr>
        <w:t>זירות</w:t>
      </w:r>
      <w:r w:rsidRPr="00E303AD">
        <w:rPr>
          <w:rFonts w:eastAsia="Calibri"/>
          <w:b/>
          <w:bCs/>
          <w:sz w:val="24"/>
          <w:rtl/>
        </w:rPr>
        <w:t xml:space="preserve"> </w:t>
      </w:r>
      <w:r w:rsidRPr="00E303AD">
        <w:rPr>
          <w:rFonts w:eastAsia="Calibri" w:hint="eastAsia"/>
          <w:b/>
          <w:bCs/>
          <w:sz w:val="24"/>
          <w:rtl/>
        </w:rPr>
        <w:t>זנות</w:t>
      </w:r>
      <w:r w:rsidRPr="00E303AD">
        <w:rPr>
          <w:rFonts w:eastAsia="Calibri" w:hint="cs"/>
          <w:b/>
          <w:bCs/>
          <w:sz w:val="24"/>
          <w:rtl/>
        </w:rPr>
        <w:t xml:space="preserve">, מתוכן מאות ברמת מהימנות גבוהה ובינונית, אולם בפועל נסגרו בשנה זו 13 בתי בושת בלבד. אומנם בשנת 2025 חל גידול במספר בתי הבושת שנסגרו (29 בתי בושת), ועם זאת, בסך הכול מספר בתי הבושת שנסגרו בשנים 2022 - 2025 הסתכם ב-60 בלבד. מנתונים אלה, וכן מהעובדה שלא נקבעו יעדים לפיצוח פרשיות הנוגעות לפעילות בתי בושת כנדרש על פי הנוהל המשטרתי, אפשר ללמוד על אי-שימוש ממצה באפיק הקיים של </w:t>
      </w:r>
      <w:r w:rsidRPr="00E303AD">
        <w:rPr>
          <w:rFonts w:eastAsia="Calibri" w:hint="cs"/>
          <w:b/>
          <w:bCs/>
          <w:sz w:val="24"/>
          <w:rtl/>
        </w:rPr>
        <w:t>סגירת בתי בושת כאמצעי משלים להתמודדות עם תופעת הזנות והסחר בבני אדם. בכך עלולה להיפגע האפקטיביות של יישום חוק איסור צריכת זנות וכן עלולה להיפגע היכולת לצמצם את התופעה, אף שהיא נחשבת למחולל פשיעה משמעותי בתחומים פליליים אחרים.</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המשטרה מסרה בתשובתה כי </w:t>
      </w:r>
      <w:r w:rsidRPr="00E303AD">
        <w:rPr>
          <w:rFonts w:eastAsia="Calibri"/>
          <w:rtl/>
        </w:rPr>
        <w:t>לא כל הכתובות הכל</w:t>
      </w:r>
      <w:r w:rsidRPr="00E303AD">
        <w:rPr>
          <w:rFonts w:eastAsia="Calibri" w:hint="cs"/>
          <w:rtl/>
        </w:rPr>
        <w:t>ו</w:t>
      </w:r>
      <w:r w:rsidRPr="00E303AD">
        <w:rPr>
          <w:rFonts w:eastAsia="Calibri"/>
          <w:rtl/>
        </w:rPr>
        <w:t xml:space="preserve">לות </w:t>
      </w:r>
      <w:r w:rsidRPr="00E303AD">
        <w:rPr>
          <w:rFonts w:eastAsia="Calibri" w:hint="cs"/>
          <w:rtl/>
        </w:rPr>
        <w:t xml:space="preserve">במיפוי </w:t>
      </w:r>
      <w:r w:rsidRPr="00E303AD">
        <w:rPr>
          <w:rFonts w:eastAsia="Calibri"/>
          <w:rtl/>
        </w:rPr>
        <w:t xml:space="preserve">הן </w:t>
      </w:r>
      <w:r w:rsidRPr="00E303AD">
        <w:rPr>
          <w:rFonts w:eastAsia="Calibri" w:hint="cs"/>
          <w:rtl/>
        </w:rPr>
        <w:t>נכונות בוודאות,</w:t>
      </w:r>
      <w:r w:rsidRPr="00E303AD">
        <w:rPr>
          <w:rFonts w:eastAsia="Calibri"/>
          <w:rtl/>
        </w:rPr>
        <w:t xml:space="preserve"> ו</w:t>
      </w:r>
      <w:r w:rsidRPr="00E303AD">
        <w:rPr>
          <w:rFonts w:eastAsia="Calibri" w:hint="cs"/>
          <w:rtl/>
        </w:rPr>
        <w:t>כי הן מדורגות לפי רמות ודאות שונות</w:t>
      </w:r>
      <w:r w:rsidRPr="00E303AD">
        <w:rPr>
          <w:rFonts w:eastAsia="Calibri"/>
          <w:rtl/>
        </w:rPr>
        <w:t xml:space="preserve">. למעשה מדובר ברשימת המלצה למחוזות להמשך פעילות מודיעינית, אג"מית וחקירתית. כמו כן </w:t>
      </w:r>
      <w:r w:rsidRPr="00E303AD">
        <w:rPr>
          <w:rFonts w:eastAsia="Calibri" w:hint="cs"/>
          <w:rtl/>
        </w:rPr>
        <w:t xml:space="preserve">סגירת בתי בושת אינה מדד יחיד לאפקטיביות הטיפול המשטרתי בתופעת הזנות, שכן ייתכנו פעולות אכיפה (כמו מארבים ותצפיות על בתי בושת) שאינן מסתיימות בהכרח בסגירת בתי בושת בשל חסר ראייתי; בהקשר זה צוין כי בבדיקה במערכות המידע המשטרתיות אותרו 49 דוחות "תוצאות טיפול" המשקפים פעולות בילוש משנת 2024, מהם 34 הובילו לתוצאות חיוביות (פתיחת תיק, עיכוב לתחנה לשם חקירה, תפיסת ראיות וכו'). בתשובת המשטרה צוין עוד כי </w:t>
      </w:r>
      <w:r w:rsidRPr="00E303AD">
        <w:rPr>
          <w:rFonts w:eastAsia="Calibri"/>
          <w:rtl/>
        </w:rPr>
        <w:t xml:space="preserve">בשנים 2025 ו-2026 מתן </w:t>
      </w:r>
      <w:r w:rsidRPr="00E303AD">
        <w:rPr>
          <w:rFonts w:eastAsia="Calibri" w:hint="cs"/>
          <w:rtl/>
        </w:rPr>
        <w:t>קנסות</w:t>
      </w:r>
      <w:r w:rsidRPr="00E303AD">
        <w:rPr>
          <w:rFonts w:eastAsia="Calibri"/>
          <w:rtl/>
        </w:rPr>
        <w:t xml:space="preserve"> לצרכני זנות נקבע כיעד ל-18 תחנות</w:t>
      </w:r>
      <w:r w:rsidRPr="00E303AD">
        <w:rPr>
          <w:rFonts w:eastAsia="Calibri" w:hint="cs"/>
          <w:rtl/>
        </w:rPr>
        <w:t xml:space="preserve"> משטרה</w:t>
      </w:r>
      <w:r w:rsidRPr="00E303AD">
        <w:rPr>
          <w:rFonts w:eastAsia="Calibri"/>
          <w:rtl/>
        </w:rPr>
        <w:t xml:space="preserve">. אחת הפעולות הנגזרות מאכיפת </w:t>
      </w:r>
      <w:r w:rsidRPr="00E303AD">
        <w:rPr>
          <w:rFonts w:eastAsia="Calibri" w:hint="cs"/>
          <w:rtl/>
        </w:rPr>
        <w:t xml:space="preserve">חוק איסור </w:t>
      </w:r>
      <w:r w:rsidRPr="00E303AD">
        <w:rPr>
          <w:rFonts w:eastAsia="Calibri"/>
          <w:rtl/>
        </w:rPr>
        <w:t xml:space="preserve">צריכת זנות, ככל שהיא מתאפשרת, היא סגירת בתי בושת. </w:t>
      </w:r>
    </w:p>
    <w:p w:rsidR="00E303AD" w:rsidRPr="00E303AD" w:rsidP="00E303AD">
      <w:pPr>
        <w:spacing w:line="269" w:lineRule="auto"/>
        <w:ind w:left="-567"/>
        <w:rPr>
          <w:rFonts w:eastAsia="Calibri"/>
          <w:sz w:val="24"/>
          <w:rtl/>
        </w:rPr>
      </w:pPr>
      <w:r w:rsidRPr="00E303AD">
        <w:rPr>
          <w:rFonts w:eastAsia="Calibri" w:hint="cs"/>
          <w:sz w:val="24"/>
          <w:rtl/>
        </w:rPr>
        <w:t xml:space="preserve"> </w:t>
      </w:r>
    </w:p>
    <w:p w:rsidR="00E303AD" w:rsidRPr="00E303AD" w:rsidP="00E303AD">
      <w:pPr>
        <w:spacing w:line="269" w:lineRule="auto"/>
        <w:rPr>
          <w:rFonts w:eastAsia="Calibri"/>
          <w:b/>
          <w:bCs/>
          <w:sz w:val="24"/>
          <w:rtl/>
        </w:rPr>
      </w:pPr>
      <w:r w:rsidRPr="00E303AD">
        <w:rPr>
          <w:rFonts w:eastAsia="Calibri" w:hint="cs"/>
          <w:b/>
          <w:bCs/>
          <w:sz w:val="24"/>
          <w:rtl/>
        </w:rPr>
        <w:t>על המשטרה ליישם את הנוהל שקבעה לאכיפת הדין הנוגע לתופעת הזנות, ובמסגרת זו עליה להגדיר את פעילות בתי הבושת כנושא התעניינות מחייב ברמה המחוזית והארצית ולפעול לאכיפה שיטתית ועקבית בבתי בושת ובזירות זנות, תוך ניצול המידע ש</w:t>
      </w:r>
      <w:r w:rsidRPr="00E303AD">
        <w:rPr>
          <w:rFonts w:eastAsia="Calibri" w:hint="eastAsia"/>
          <w:b/>
          <w:bCs/>
          <w:sz w:val="24"/>
          <w:rtl/>
        </w:rPr>
        <w:t>ברשותה</w:t>
      </w:r>
      <w:r w:rsidRPr="00E303AD">
        <w:rPr>
          <w:rFonts w:eastAsia="Calibri"/>
          <w:b/>
          <w:bCs/>
          <w:sz w:val="24"/>
          <w:rtl/>
        </w:rPr>
        <w:t xml:space="preserve"> </w:t>
      </w:r>
      <w:r w:rsidRPr="00E303AD">
        <w:rPr>
          <w:rFonts w:eastAsia="Calibri" w:hint="eastAsia"/>
          <w:b/>
          <w:bCs/>
          <w:sz w:val="24"/>
          <w:rtl/>
        </w:rPr>
        <w:t>הנוגע</w:t>
      </w:r>
      <w:r w:rsidRPr="00E303AD">
        <w:rPr>
          <w:rFonts w:eastAsia="Calibri"/>
          <w:b/>
          <w:bCs/>
          <w:sz w:val="24"/>
          <w:rtl/>
        </w:rPr>
        <w:t xml:space="preserve"> </w:t>
      </w:r>
      <w:r w:rsidRPr="00E303AD">
        <w:rPr>
          <w:rFonts w:eastAsia="Calibri" w:hint="eastAsia"/>
          <w:b/>
          <w:bCs/>
          <w:sz w:val="24"/>
          <w:rtl/>
        </w:rPr>
        <w:t>לתחום</w:t>
      </w:r>
      <w:r w:rsidRPr="00E303AD">
        <w:rPr>
          <w:rFonts w:eastAsia="Calibri"/>
          <w:b/>
          <w:bCs/>
          <w:sz w:val="24"/>
          <w:rtl/>
        </w:rPr>
        <w:t xml:space="preserve"> </w:t>
      </w:r>
      <w:r w:rsidRPr="00E303AD">
        <w:rPr>
          <w:rFonts w:eastAsia="Calibri" w:hint="eastAsia"/>
          <w:b/>
          <w:bCs/>
          <w:sz w:val="24"/>
          <w:rtl/>
        </w:rPr>
        <w:t>זה</w:t>
      </w:r>
      <w:r w:rsidRPr="00E303AD">
        <w:rPr>
          <w:rFonts w:eastAsia="Calibri"/>
          <w:b/>
          <w:bCs/>
          <w:sz w:val="24"/>
          <w:rtl/>
        </w:rPr>
        <w:t xml:space="preserve"> ואשר נאסף ממקורות שונים</w:t>
      </w:r>
      <w:r w:rsidRPr="00E303AD">
        <w:rPr>
          <w:rFonts w:eastAsia="Calibri" w:hint="cs"/>
          <w:b/>
          <w:bCs/>
          <w:sz w:val="24"/>
          <w:rtl/>
        </w:rPr>
        <w:t xml:space="preserve">. זאת, לא רק במסגרת מימוש תכלית החוק, אלא גם לנוכח היותן של זירות זנות מחוללי פשיעה הפוגעים בסדר הציבורי. נוכח העובדה שגם משרד הבריאות פועל לאיתור זירות זנות בפריסה ארצית, מומלץ כי משרד הבריאות והמשטרה יתאמו ביניהם את פעילותם בעניין זה, ובכלל זה יבחנו את האפשרות לשיתוף המידע.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sz w:val="24"/>
          <w:rtl/>
        </w:rPr>
      </w:pPr>
      <w:r w:rsidRPr="00E303AD">
        <w:rPr>
          <w:rFonts w:eastAsia="Calibri"/>
          <w:noProof/>
        </w:rPr>
        <w:drawing>
          <wp:anchor distT="0" distB="0" distL="114300" distR="114300" simplePos="0" relativeHeight="251680768" behindDoc="0" locked="0" layoutInCell="1" allowOverlap="1">
            <wp:simplePos x="0" y="0"/>
            <wp:positionH relativeFrom="page">
              <wp:align>center</wp:align>
            </wp:positionH>
            <wp:positionV relativeFrom="paragraph">
              <wp:posOffset>641653</wp:posOffset>
            </wp:positionV>
            <wp:extent cx="5295265" cy="1160145"/>
            <wp:effectExtent l="0" t="0" r="635" b="1905"/>
            <wp:wrapTopAndBottom/>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5295265" cy="1160145"/>
                    </a:xfrm>
                    <a:prstGeom prst="rect">
                      <a:avLst/>
                    </a:prstGeom>
                  </pic:spPr>
                </pic:pic>
              </a:graphicData>
            </a:graphic>
          </wp:anchor>
        </w:drawing>
      </w:r>
      <w:r w:rsidRPr="00E303AD">
        <w:rPr>
          <w:rFonts w:eastAsia="Calibri" w:hint="cs"/>
          <w:rtl/>
        </w:rPr>
        <w:t xml:space="preserve">אשר למידע שהעלה משרד הבריאות על בתי בושת מסרה המשטרה בתשובתה כי </w:t>
      </w:r>
      <w:r w:rsidRPr="00E303AD">
        <w:rPr>
          <w:rFonts w:eastAsia="Calibri"/>
          <w:rtl/>
        </w:rPr>
        <w:t>לחטיבת המודיעין אין זיקה למשרד הבריאות</w:t>
      </w:r>
      <w:r w:rsidRPr="00E303AD">
        <w:rPr>
          <w:rFonts w:eastAsia="Calibri" w:hint="cs"/>
          <w:rtl/>
        </w:rPr>
        <w:t>,</w:t>
      </w:r>
      <w:r w:rsidRPr="00E303AD">
        <w:rPr>
          <w:rFonts w:eastAsia="Calibri"/>
          <w:rtl/>
        </w:rPr>
        <w:t xml:space="preserve"> והיא תבחן שיתוף פעולה אפשרי ע</w:t>
      </w:r>
      <w:r w:rsidRPr="00E303AD">
        <w:rPr>
          <w:rFonts w:eastAsia="Calibri" w:hint="cs"/>
          <w:rtl/>
        </w:rPr>
        <w:t>י</w:t>
      </w:r>
      <w:r w:rsidRPr="00E303AD">
        <w:rPr>
          <w:rFonts w:eastAsia="Calibri"/>
          <w:rtl/>
        </w:rPr>
        <w:t>מו.</w:t>
      </w:r>
    </w:p>
    <w:p w:rsidR="00E303AD" w:rsidRPr="00E303AD" w:rsidP="00E303AD">
      <w:pPr>
        <w:spacing w:line="269" w:lineRule="auto"/>
        <w:rPr>
          <w:rFonts w:eastAsia="Calibri"/>
          <w:b/>
          <w:bCs/>
          <w:sz w:val="24"/>
        </w:rPr>
      </w:pPr>
    </w:p>
    <w:p w:rsidR="00E303AD" w:rsidRPr="00522B30" w:rsidP="00522B30">
      <w:pPr>
        <w:spacing w:line="269" w:lineRule="auto"/>
        <w:rPr>
          <w:rFonts w:eastAsia="Calibri"/>
          <w:rtl/>
        </w:rPr>
      </w:pPr>
      <w:bookmarkStart w:id="120" w:name="_Toc221474984"/>
      <w:bookmarkStart w:id="121" w:name="_Toc224808291"/>
      <w:bookmarkStart w:id="122" w:name="_Toc232696566"/>
    </w:p>
    <w:p w:rsidR="00E303AD" w:rsidRPr="00E303AD" w:rsidP="00E303AD">
      <w:pPr>
        <w:keepNext/>
        <w:keepLines/>
        <w:spacing w:line="269" w:lineRule="auto"/>
        <w:outlineLvl w:val="2"/>
        <w:rPr>
          <w:rFonts w:eastAsia="Times New Roman"/>
          <w:bCs/>
          <w:szCs w:val="28"/>
          <w:u w:val="single"/>
          <w:rtl/>
        </w:rPr>
      </w:pPr>
      <w:r w:rsidRPr="00E303AD">
        <w:rPr>
          <w:rFonts w:eastAsia="Times New Roman" w:hint="cs"/>
          <w:bCs/>
          <w:szCs w:val="28"/>
          <w:u w:val="single"/>
          <w:rtl/>
        </w:rPr>
        <w:t>פעולות משלימות לאכיפה באמצעות יחידות הפיקוח העירוני</w:t>
      </w:r>
      <w:bookmarkEnd w:id="120"/>
      <w:bookmarkEnd w:id="121"/>
      <w:bookmarkEnd w:id="122"/>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ה</w:t>
      </w:r>
      <w:r w:rsidRPr="00E303AD">
        <w:rPr>
          <w:rFonts w:eastAsia="Calibri"/>
          <w:rtl/>
        </w:rPr>
        <w:t xml:space="preserve">רשות </w:t>
      </w:r>
      <w:r w:rsidRPr="00E303AD">
        <w:rPr>
          <w:rFonts w:eastAsia="Calibri" w:hint="cs"/>
          <w:rtl/>
        </w:rPr>
        <w:t>ה</w:t>
      </w:r>
      <w:r w:rsidRPr="00E303AD">
        <w:rPr>
          <w:rFonts w:eastAsia="Calibri"/>
          <w:rtl/>
        </w:rPr>
        <w:t>מקומית היא גורם נוסף המעורב באכיפ</w:t>
      </w:r>
      <w:r w:rsidRPr="00E303AD">
        <w:rPr>
          <w:rFonts w:eastAsia="Calibri" w:hint="cs"/>
          <w:rtl/>
        </w:rPr>
        <w:t>ה בעניין</w:t>
      </w:r>
      <w:r w:rsidRPr="00E303AD">
        <w:rPr>
          <w:rFonts w:eastAsia="Calibri"/>
          <w:rtl/>
        </w:rPr>
        <w:t xml:space="preserve"> </w:t>
      </w:r>
      <w:r w:rsidRPr="00E303AD">
        <w:rPr>
          <w:rFonts w:eastAsia="Calibri" w:hint="cs"/>
          <w:rtl/>
        </w:rPr>
        <w:t xml:space="preserve">תופעת הזנות, </w:t>
      </w:r>
      <w:r w:rsidRPr="00E303AD">
        <w:rPr>
          <w:rFonts w:eastAsia="Calibri"/>
          <w:rtl/>
        </w:rPr>
        <w:t xml:space="preserve">עבירות סחר בבני אדם ועבירות נלוות </w:t>
      </w:r>
      <w:r w:rsidRPr="00E303AD">
        <w:rPr>
          <w:rFonts w:eastAsia="Calibri" w:hint="cs"/>
          <w:rtl/>
        </w:rPr>
        <w:t>שמתבצעות בתחומי שיפוטה. בהתאם לפקודת העיריות</w:t>
      </w:r>
      <w:r>
        <w:rPr>
          <w:rFonts w:eastAsia="Calibri"/>
          <w:vertAlign w:val="superscript"/>
          <w:rtl/>
        </w:rPr>
        <w:footnoteReference w:id="107"/>
      </w:r>
      <w:r w:rsidRPr="00E303AD">
        <w:rPr>
          <w:rFonts w:eastAsia="Calibri"/>
          <w:rtl/>
        </w:rPr>
        <w:t>,</w:t>
      </w:r>
      <w:r w:rsidRPr="00E303AD">
        <w:rPr>
          <w:rFonts w:eastAsia="Calibri" w:hint="cs"/>
          <w:rtl/>
        </w:rPr>
        <w:t xml:space="preserve"> רש</w:t>
      </w:r>
      <w:r w:rsidRPr="00E303AD">
        <w:rPr>
          <w:rFonts w:eastAsia="Calibri"/>
          <w:rtl/>
        </w:rPr>
        <w:t xml:space="preserve">אית הרשות המקומית </w:t>
      </w:r>
      <w:r w:rsidRPr="00E303AD">
        <w:rPr>
          <w:rFonts w:eastAsia="Calibri" w:hint="cs"/>
          <w:rtl/>
        </w:rPr>
        <w:t>להקנות</w:t>
      </w:r>
      <w:r w:rsidRPr="00E303AD">
        <w:rPr>
          <w:rFonts w:eastAsia="Calibri"/>
          <w:rtl/>
        </w:rPr>
        <w:t xml:space="preserve"> לפקחים העירוניים סמכויות לאכוף את חוקי העזר שלה, וכן חוקים רלוונטיים אחרים כגון חוק רישוי עסקים וחוק התכנון והבנייה</w:t>
      </w:r>
      <w:r>
        <w:rPr>
          <w:rFonts w:eastAsia="Calibri"/>
          <w:vertAlign w:val="superscript"/>
          <w:rtl/>
        </w:rPr>
        <w:footnoteReference w:id="108"/>
      </w:r>
      <w:r w:rsidRPr="00E303AD">
        <w:rPr>
          <w:rFonts w:eastAsia="Calibri"/>
          <w:rtl/>
        </w:rPr>
        <w:t>.</w:t>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bookmarkStart w:id="123" w:name="_Hlk222311700"/>
      <w:r w:rsidRPr="00E303AD">
        <w:rPr>
          <w:rFonts w:eastAsia="Calibri"/>
          <w:rtl/>
        </w:rPr>
        <w:t>ב</w:t>
      </w:r>
      <w:r w:rsidRPr="00E303AD">
        <w:rPr>
          <w:rFonts w:eastAsia="Calibri" w:hint="cs"/>
          <w:rtl/>
        </w:rPr>
        <w:t xml:space="preserve">ינואר 2022 </w:t>
      </w:r>
      <w:r w:rsidRPr="00E303AD">
        <w:rPr>
          <w:rFonts w:eastAsia="Calibri"/>
          <w:rtl/>
        </w:rPr>
        <w:t>העל</w:t>
      </w:r>
      <w:r w:rsidRPr="00E303AD">
        <w:rPr>
          <w:rFonts w:eastAsia="Calibri" w:hint="cs"/>
          <w:rtl/>
        </w:rPr>
        <w:t>ה</w:t>
      </w:r>
      <w:r w:rsidRPr="00E303AD">
        <w:rPr>
          <w:rFonts w:eastAsia="Calibri"/>
          <w:rtl/>
        </w:rPr>
        <w:t xml:space="preserve"> </w:t>
      </w:r>
      <w:r w:rsidRPr="00E303AD">
        <w:rPr>
          <w:rFonts w:eastAsia="Calibri" w:hint="cs"/>
          <w:rtl/>
        </w:rPr>
        <w:t xml:space="preserve">מרכז המחקר </w:t>
      </w:r>
      <w:bookmarkEnd w:id="123"/>
      <w:r w:rsidRPr="00E303AD">
        <w:rPr>
          <w:rFonts w:eastAsia="Calibri" w:hint="cs"/>
          <w:rtl/>
        </w:rPr>
        <w:t xml:space="preserve">והמידע של הכנסת </w:t>
      </w:r>
      <w:r w:rsidRPr="00E303AD">
        <w:rPr>
          <w:rFonts w:eastAsia="Calibri"/>
          <w:rtl/>
        </w:rPr>
        <w:t>המלצות ל</w:t>
      </w:r>
      <w:r w:rsidRPr="00E303AD">
        <w:rPr>
          <w:rFonts w:eastAsia="Calibri" w:hint="cs"/>
          <w:rtl/>
        </w:rPr>
        <w:t xml:space="preserve">הגברת שיתוף הפעולה בין המשטרה ובין </w:t>
      </w:r>
      <w:r w:rsidRPr="00E303AD">
        <w:rPr>
          <w:rFonts w:eastAsia="Calibri"/>
          <w:rtl/>
        </w:rPr>
        <w:t xml:space="preserve">הפקחים העירוניים </w:t>
      </w:r>
      <w:r w:rsidRPr="00E303AD">
        <w:rPr>
          <w:rFonts w:eastAsia="Calibri" w:hint="cs"/>
          <w:rtl/>
        </w:rPr>
        <w:t>לצורך סיוע למשטרה</w:t>
      </w:r>
      <w:r w:rsidRPr="00E303AD">
        <w:rPr>
          <w:rFonts w:eastAsia="Calibri" w:hint="cs"/>
        </w:rPr>
        <w:t xml:space="preserve"> </w:t>
      </w:r>
      <w:r w:rsidRPr="00E303AD">
        <w:rPr>
          <w:rFonts w:eastAsia="Calibri" w:hint="cs"/>
          <w:rtl/>
        </w:rPr>
        <w:t>באיתור זירות זנות ובאכיפת החוק בעניינן</w:t>
      </w:r>
      <w:r>
        <w:rPr>
          <w:rFonts w:eastAsia="Calibri"/>
          <w:vertAlign w:val="superscript"/>
          <w:rtl/>
        </w:rPr>
        <w:footnoteReference w:id="109"/>
      </w:r>
      <w:r w:rsidRPr="00E303AD">
        <w:rPr>
          <w:rFonts w:eastAsia="Calibri"/>
          <w:rtl/>
        </w:rPr>
        <w:t xml:space="preserve">. המלצות אלו </w:t>
      </w:r>
      <w:r w:rsidRPr="00E303AD">
        <w:rPr>
          <w:rFonts w:eastAsia="Calibri" w:hint="cs"/>
          <w:rtl/>
        </w:rPr>
        <w:t xml:space="preserve">מתבססות על הרציונל כי ניתן לממש את סמכויות הפיקוח העירוני לאיתור של עסקים הפועלים ללא רישוי או של מבנים לא חוקיים אשר עלולים לשמש כיסוי לפעילות לא חוקית, דוגמת בתי בושת. זאת נוסף על פעילות האכיפה של המשטרה וכעזר לה.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שיתוף הפעולה בין המשטרה ובין גורמי הפיקוח העירוני </w:t>
      </w:r>
      <w:r w:rsidRPr="00E303AD">
        <w:rPr>
          <w:rFonts w:eastAsia="Calibri"/>
          <w:rtl/>
        </w:rPr>
        <w:t>ב</w:t>
      </w:r>
      <w:r w:rsidRPr="00E303AD">
        <w:rPr>
          <w:rFonts w:eastAsia="Calibri" w:hint="cs"/>
          <w:rtl/>
        </w:rPr>
        <w:t>מסגרת ה</w:t>
      </w:r>
      <w:r w:rsidRPr="00E303AD">
        <w:rPr>
          <w:rFonts w:eastAsia="Calibri"/>
          <w:rtl/>
        </w:rPr>
        <w:t xml:space="preserve">מאבק בעבירות נלוות לסחר בבני אדם </w:t>
      </w:r>
      <w:r w:rsidRPr="00E303AD">
        <w:rPr>
          <w:rFonts w:eastAsia="Calibri" w:hint="cs"/>
          <w:rtl/>
        </w:rPr>
        <w:t>ובצריכת זנות</w:t>
      </w:r>
      <w:r w:rsidRPr="00E303AD">
        <w:rPr>
          <w:rFonts w:eastAsia="Calibri" w:hint="cs"/>
          <w:rtl/>
        </w:rPr>
        <w:t xml:space="preserve"> </w:t>
      </w:r>
      <w:r w:rsidRPr="00E303AD">
        <w:rPr>
          <w:rFonts w:eastAsia="Calibri" w:hint="cs"/>
          <w:rtl/>
        </w:rPr>
        <w:t>מתבצע בהיקף מוגבל. לדוגמה,</w:t>
      </w:r>
      <w:r w:rsidRPr="00E303AD">
        <w:rPr>
          <w:rFonts w:eastAsia="Calibri"/>
          <w:rtl/>
        </w:rPr>
        <w:t xml:space="preserve"> בשכונת נווה שאנן</w:t>
      </w:r>
      <w:r w:rsidRPr="00E303AD">
        <w:rPr>
          <w:rFonts w:eastAsia="Calibri" w:hint="cs"/>
          <w:rtl/>
        </w:rPr>
        <w:t xml:space="preserve"> שבתל אביב</w:t>
      </w:r>
      <w:r w:rsidRPr="00E303AD">
        <w:rPr>
          <w:rFonts w:eastAsia="Calibri"/>
          <w:rtl/>
        </w:rPr>
        <w:t xml:space="preserve">, המתמודדת עם תופעות חוזרות </w:t>
      </w:r>
      <w:r w:rsidRPr="00E303AD">
        <w:rPr>
          <w:rFonts w:eastAsia="Calibri" w:hint="cs"/>
          <w:rtl/>
        </w:rPr>
        <w:t xml:space="preserve">ונשנות </w:t>
      </w:r>
      <w:r w:rsidRPr="00E303AD">
        <w:rPr>
          <w:rFonts w:eastAsia="Calibri"/>
          <w:rtl/>
        </w:rPr>
        <w:t xml:space="preserve">של זנות, מופעלים צוותי פיקוח עירוני </w:t>
      </w:r>
      <w:r w:rsidRPr="00E303AD">
        <w:rPr>
          <w:rFonts w:eastAsia="Calibri" w:hint="cs"/>
          <w:rtl/>
        </w:rPr>
        <w:t xml:space="preserve">של עיריית תל אביב-יפו </w:t>
      </w:r>
      <w:r w:rsidRPr="00E303AD">
        <w:rPr>
          <w:rFonts w:eastAsia="Calibri"/>
          <w:rtl/>
        </w:rPr>
        <w:t xml:space="preserve">בשיתוף פעולה עם המשטרה. במסגרת זו </w:t>
      </w:r>
      <w:r w:rsidRPr="00E303AD">
        <w:rPr>
          <w:rFonts w:eastAsia="Calibri" w:hint="cs"/>
          <w:rtl/>
        </w:rPr>
        <w:t>מתבצעות פעולות אלה:</w:t>
      </w:r>
      <w:r w:rsidRPr="00E303AD">
        <w:rPr>
          <w:rFonts w:eastAsia="Calibri"/>
          <w:rtl/>
        </w:rPr>
        <w:t xml:space="preserve"> סיורים יזומים, אכיפ</w:t>
      </w:r>
      <w:r w:rsidRPr="00E303AD">
        <w:rPr>
          <w:rFonts w:eastAsia="Calibri" w:hint="cs"/>
          <w:rtl/>
        </w:rPr>
        <w:t>ת החוק</w:t>
      </w:r>
      <w:r w:rsidRPr="00E303AD">
        <w:rPr>
          <w:rFonts w:eastAsia="Calibri"/>
          <w:rtl/>
        </w:rPr>
        <w:t xml:space="preserve"> </w:t>
      </w:r>
      <w:r w:rsidRPr="00E303AD">
        <w:rPr>
          <w:rFonts w:eastAsia="Calibri" w:hint="cs"/>
          <w:rtl/>
        </w:rPr>
        <w:t>בעניין</w:t>
      </w:r>
      <w:r w:rsidRPr="00E303AD">
        <w:rPr>
          <w:rFonts w:eastAsia="Calibri"/>
          <w:rtl/>
        </w:rPr>
        <w:t xml:space="preserve"> עסקים שפועלים ללא רישיון, אטימת מבנים נטושים, הריסת מבנים בלתי חוקיים ומתן דוחות בגין מגוון הפרות</w:t>
      </w:r>
      <w:r w:rsidRPr="00E303AD">
        <w:rPr>
          <w:rFonts w:eastAsia="Calibri" w:hint="cs"/>
          <w:rtl/>
        </w:rPr>
        <w:t>, כגון מטרדי תנועה, רעש וניקיון;</w:t>
      </w:r>
      <w:r w:rsidRPr="00E303AD">
        <w:rPr>
          <w:rFonts w:eastAsia="Calibri"/>
          <w:rtl/>
        </w:rPr>
        <w:t xml:space="preserve"> </w:t>
      </w:r>
      <w:r w:rsidRPr="00E303AD">
        <w:rPr>
          <w:rFonts w:eastAsia="Calibri" w:hint="cs"/>
          <w:rtl/>
        </w:rPr>
        <w:t>במבצע משטרתי שבוצע במהלך הביקורת, באוגוסט 2025, ביצעה תחנת המשטרה בראשון לציון אכיפה משולבת (פלילית, מינהלית וכלכלית) בשיתוף עם פקחי העירייה לשם סגירת בתי בושת בעיר.</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 xml:space="preserve">נוכח הניסיון החיובי </w:t>
      </w:r>
      <w:r w:rsidRPr="00E303AD">
        <w:rPr>
          <w:rFonts w:eastAsia="Calibri" w:hint="cs"/>
          <w:rtl/>
        </w:rPr>
        <w:t>שהצטבר</w:t>
      </w:r>
      <w:r w:rsidRPr="00E303AD">
        <w:rPr>
          <w:rFonts w:eastAsia="Calibri"/>
          <w:rtl/>
        </w:rPr>
        <w:t xml:space="preserve"> ב</w:t>
      </w:r>
      <w:r w:rsidRPr="00E303AD">
        <w:rPr>
          <w:rFonts w:eastAsia="Calibri" w:hint="cs"/>
          <w:rtl/>
        </w:rPr>
        <w:t>כמה</w:t>
      </w:r>
      <w:r w:rsidRPr="00E303AD">
        <w:rPr>
          <w:rFonts w:eastAsia="Calibri"/>
          <w:rtl/>
        </w:rPr>
        <w:t xml:space="preserve"> תחנות משטרה ובהתבסס על המלצות שוטרים מהשטח</w:t>
      </w:r>
      <w:r w:rsidRPr="00E303AD">
        <w:rPr>
          <w:rFonts w:eastAsia="Calibri" w:hint="cs"/>
          <w:rtl/>
        </w:rPr>
        <w:t>, המליץ אח"ם על שילוב גורמי הפיקוח העירוני בפעולות האכיפה</w:t>
      </w:r>
      <w:r w:rsidRPr="00E303AD">
        <w:rPr>
          <w:rFonts w:eastAsia="Calibri"/>
          <w:rtl/>
        </w:rPr>
        <w:t xml:space="preserve">. </w:t>
      </w:r>
      <w:r w:rsidRPr="00E303AD">
        <w:rPr>
          <w:rFonts w:eastAsia="Calibri" w:hint="cs"/>
          <w:rtl/>
        </w:rPr>
        <w:t xml:space="preserve">במסמך של רח"ט חקירות מדצמבר 2024 </w:t>
      </w:r>
      <w:r w:rsidRPr="00E303AD">
        <w:rPr>
          <w:rFonts w:eastAsia="Calibri"/>
          <w:rtl/>
        </w:rPr>
        <w:t xml:space="preserve">צוין כי מאחר שחלק ניכר </w:t>
      </w:r>
      <w:r w:rsidRPr="00E303AD">
        <w:rPr>
          <w:rFonts w:eastAsia="Calibri" w:hint="cs"/>
          <w:rtl/>
        </w:rPr>
        <w:t>מאמצעי האכיפה הננקטים</w:t>
      </w:r>
      <w:r w:rsidRPr="00E303AD">
        <w:rPr>
          <w:rFonts w:eastAsia="Calibri"/>
          <w:rtl/>
        </w:rPr>
        <w:t xml:space="preserve"> </w:t>
      </w:r>
      <w:r w:rsidRPr="00E303AD">
        <w:rPr>
          <w:rFonts w:eastAsia="Calibri" w:hint="cs"/>
          <w:rtl/>
        </w:rPr>
        <w:t>נגד</w:t>
      </w:r>
      <w:r w:rsidRPr="00E303AD">
        <w:rPr>
          <w:rFonts w:eastAsia="Calibri"/>
          <w:rtl/>
        </w:rPr>
        <w:t xml:space="preserve"> בתי בושת מתבצע במישור המ</w:t>
      </w:r>
      <w:r w:rsidRPr="00E303AD">
        <w:rPr>
          <w:rFonts w:eastAsia="Calibri" w:hint="cs"/>
          <w:rtl/>
        </w:rPr>
        <w:t>י</w:t>
      </w:r>
      <w:r w:rsidRPr="00E303AD">
        <w:rPr>
          <w:rFonts w:eastAsia="Calibri"/>
          <w:rtl/>
        </w:rPr>
        <w:t xml:space="preserve">נהלי, </w:t>
      </w:r>
      <w:r w:rsidRPr="00E303AD">
        <w:rPr>
          <w:rFonts w:eastAsia="Calibri" w:hint="cs"/>
          <w:rtl/>
        </w:rPr>
        <w:t>ייתכן שהמשטרה תוכל</w:t>
      </w:r>
      <w:r w:rsidRPr="00E303AD">
        <w:rPr>
          <w:rFonts w:eastAsia="Calibri"/>
          <w:rtl/>
        </w:rPr>
        <w:t xml:space="preserve"> להסתייע ב</w:t>
      </w:r>
      <w:r w:rsidRPr="00E303AD">
        <w:rPr>
          <w:rFonts w:eastAsia="Calibri" w:hint="cs"/>
          <w:rtl/>
        </w:rPr>
        <w:t>אגף ה</w:t>
      </w:r>
      <w:r w:rsidRPr="00E303AD">
        <w:rPr>
          <w:rFonts w:eastAsia="Calibri"/>
          <w:rtl/>
        </w:rPr>
        <w:t>פיקוח העירוני, ש</w:t>
      </w:r>
      <w:r w:rsidRPr="00E303AD">
        <w:rPr>
          <w:rFonts w:eastAsia="Calibri" w:hint="cs"/>
          <w:rtl/>
        </w:rPr>
        <w:t>הוא בעל</w:t>
      </w:r>
      <w:r w:rsidRPr="00E303AD">
        <w:rPr>
          <w:rFonts w:eastAsia="Calibri"/>
          <w:rtl/>
        </w:rPr>
        <w:t xml:space="preserve"> משאבים וסמכויות רלוונטיות לאכיפת </w:t>
      </w:r>
      <w:r w:rsidRPr="00E303AD">
        <w:rPr>
          <w:rFonts w:eastAsia="Calibri" w:hint="cs"/>
          <w:rtl/>
        </w:rPr>
        <w:t xml:space="preserve">החוק בעניין </w:t>
      </w:r>
      <w:r w:rsidRPr="00E303AD">
        <w:rPr>
          <w:rFonts w:eastAsia="Calibri"/>
          <w:rtl/>
        </w:rPr>
        <w:t xml:space="preserve">עבירות מסוג זה. עם זאת, הודגש כי </w:t>
      </w:r>
      <w:r w:rsidRPr="00E303AD">
        <w:rPr>
          <w:rFonts w:eastAsia="Calibri" w:hint="cs"/>
          <w:rtl/>
        </w:rPr>
        <w:t>ביצוע</w:t>
      </w:r>
      <w:r w:rsidRPr="00E303AD">
        <w:rPr>
          <w:rFonts w:eastAsia="Calibri"/>
          <w:rtl/>
        </w:rPr>
        <w:t xml:space="preserve"> מהלך זה מחייב הסכמה והסדרה מתאימה </w:t>
      </w:r>
      <w:r w:rsidRPr="00E303AD">
        <w:rPr>
          <w:rFonts w:eastAsia="Calibri" w:hint="cs"/>
          <w:rtl/>
        </w:rPr>
        <w:t xml:space="preserve">מול </w:t>
      </w:r>
      <w:r w:rsidRPr="00E303AD">
        <w:rPr>
          <w:rFonts w:eastAsia="Calibri"/>
          <w:rtl/>
        </w:rPr>
        <w:t>משרד המשפטים והמשרד לביטחון לאומי</w:t>
      </w:r>
      <w:r w:rsidRPr="00E303AD">
        <w:rPr>
          <w:rFonts w:eastAsia="Calibri"/>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r w:rsidRPr="00E303AD">
        <w:rPr>
          <w:rFonts w:eastAsia="Calibri" w:hint="cs"/>
          <w:b/>
          <w:bCs/>
          <w:rtl/>
        </w:rPr>
        <w:t xml:space="preserve">נמצא כי על אף הפוטנציאל הגלום בשיתוף פעולה בין המשטרה לגורמי הפיקוח העירוני ברשויות המקומיות במאבק בעבירות נלוות לסחר בבני אדם ולצריכת זנות - כל אחד במסגרת סמכויותיו ותחומי אחריותו - מתווה עבודה זה אינו מוסדר, ובפועל אינו רווח בערים רבות.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r w:rsidRPr="00E303AD">
        <w:rPr>
          <w:rFonts w:eastAsia="Calibri" w:hint="cs"/>
          <w:b/>
          <w:bCs/>
          <w:rtl/>
        </w:rPr>
        <w:t>לנוכח הניסיון שהצטבר</w:t>
      </w:r>
      <w:r w:rsidRPr="00E303AD">
        <w:rPr>
          <w:rFonts w:eastAsia="Calibri" w:hint="cs"/>
          <w:rtl/>
        </w:rPr>
        <w:t xml:space="preserve"> </w:t>
      </w:r>
      <w:r w:rsidRPr="00E303AD">
        <w:rPr>
          <w:rFonts w:eastAsia="Calibri" w:hint="cs"/>
          <w:b/>
          <w:bCs/>
          <w:rtl/>
        </w:rPr>
        <w:t>בנוגע לאכיפה משולבת וכן לנוכח המלצת אח"ם</w:t>
      </w:r>
      <w:r w:rsidRPr="00E303AD">
        <w:rPr>
          <w:rFonts w:eastAsia="Calibri" w:hint="cs"/>
          <w:rtl/>
        </w:rPr>
        <w:t xml:space="preserve"> </w:t>
      </w:r>
      <w:r w:rsidRPr="00E303AD">
        <w:rPr>
          <w:rFonts w:eastAsia="Calibri" w:hint="cs"/>
          <w:b/>
          <w:bCs/>
          <w:rtl/>
        </w:rPr>
        <w:t xml:space="preserve">לשילוב גורמי הפיקוח העירוני בפעולות האכיפה, מומלץ כי המשרד לביטחון לאומי יפעל בשיתוף משרד המשפטים לבחינת הסדרת שיתוף הפעולה </w:t>
      </w:r>
      <w:r w:rsidRPr="00E303AD">
        <w:rPr>
          <w:rFonts w:eastAsia="Calibri"/>
          <w:b/>
          <w:bCs/>
          <w:rtl/>
        </w:rPr>
        <w:t xml:space="preserve">במאבק </w:t>
      </w:r>
      <w:r w:rsidRPr="00E303AD">
        <w:rPr>
          <w:rFonts w:eastAsia="Calibri" w:hint="cs"/>
          <w:b/>
          <w:bCs/>
          <w:rtl/>
        </w:rPr>
        <w:t>ב</w:t>
      </w:r>
      <w:r w:rsidRPr="00E303AD">
        <w:rPr>
          <w:rFonts w:eastAsia="Calibri"/>
          <w:b/>
          <w:bCs/>
          <w:rtl/>
        </w:rPr>
        <w:t>עבירות סחר בבני אדם ו</w:t>
      </w:r>
      <w:r w:rsidRPr="00E303AD">
        <w:rPr>
          <w:rFonts w:eastAsia="Calibri" w:hint="cs"/>
          <w:b/>
          <w:bCs/>
          <w:rtl/>
        </w:rPr>
        <w:t>ב</w:t>
      </w:r>
      <w:r w:rsidRPr="00E303AD">
        <w:rPr>
          <w:rFonts w:eastAsia="Calibri"/>
          <w:b/>
          <w:bCs/>
          <w:rtl/>
        </w:rPr>
        <w:t xml:space="preserve">הפעלת עסקים בלתי חוקיים, כגון בתי בושת. זאת באמצעות קידום ביצוע בדיקות ופיקוח על עסקים, סגירת אתרים חשודים </w:t>
      </w:r>
      <w:r w:rsidRPr="00E303AD">
        <w:rPr>
          <w:rFonts w:eastAsia="Calibri" w:hint="cs"/>
          <w:b/>
          <w:bCs/>
          <w:rtl/>
        </w:rPr>
        <w:t>ושיפור</w:t>
      </w:r>
      <w:r w:rsidRPr="00E303AD">
        <w:rPr>
          <w:rFonts w:eastAsia="Calibri"/>
          <w:b/>
          <w:bCs/>
          <w:rtl/>
        </w:rPr>
        <w:t xml:space="preserve"> </w:t>
      </w:r>
      <w:r w:rsidRPr="00E303AD">
        <w:rPr>
          <w:rFonts w:eastAsia="Calibri" w:hint="cs"/>
          <w:b/>
          <w:bCs/>
          <w:rtl/>
        </w:rPr>
        <w:t xml:space="preserve">הממשק </w:t>
      </w:r>
      <w:r w:rsidRPr="00E303AD">
        <w:rPr>
          <w:rFonts w:eastAsia="Calibri"/>
          <w:b/>
          <w:bCs/>
          <w:rtl/>
        </w:rPr>
        <w:t xml:space="preserve">בין הפקחים </w:t>
      </w:r>
      <w:r w:rsidRPr="00E303AD">
        <w:rPr>
          <w:rFonts w:eastAsia="Calibri" w:hint="cs"/>
          <w:b/>
          <w:bCs/>
          <w:rtl/>
        </w:rPr>
        <w:t xml:space="preserve">העירוניים </w:t>
      </w:r>
      <w:r w:rsidRPr="00E303AD">
        <w:rPr>
          <w:rFonts w:eastAsia="Calibri"/>
          <w:b/>
          <w:bCs/>
          <w:rtl/>
        </w:rPr>
        <w:t>למשטרה במסגרת מבצעי אכיפה ייעודיים בתחום זה.</w:t>
      </w:r>
      <w:r w:rsidRPr="00E303AD">
        <w:rPr>
          <w:rFonts w:eastAsia="Calibri" w:hint="cs"/>
          <w:b/>
          <w:b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בתשובת המשרד לבל"ם נמסר כי הוא</w:t>
      </w:r>
      <w:r w:rsidRPr="00E303AD">
        <w:rPr>
          <w:rFonts w:eastAsia="Calibri"/>
          <w:rtl/>
        </w:rPr>
        <w:t xml:space="preserve"> יפעל לקדם את השיח בין הגורמים השונים להסדרת שיתוף הפעולה עם פקחי הרשויות המקומיות. </w:t>
      </w:r>
      <w:r w:rsidRPr="00E303AD">
        <w:rPr>
          <w:rFonts w:eastAsia="Calibri" w:hint="cs"/>
          <w:rtl/>
        </w:rPr>
        <w:t>עוד צוין</w:t>
      </w:r>
      <w:r w:rsidRPr="00E303AD">
        <w:rPr>
          <w:rFonts w:eastAsia="Calibri"/>
          <w:rtl/>
        </w:rPr>
        <w:t xml:space="preserve"> כי ברשויות מקומיות רבות פועל מערך</w:t>
      </w:r>
      <w:r w:rsidRPr="00E303AD">
        <w:rPr>
          <w:rFonts w:eastAsia="Calibri" w:hint="cs"/>
          <w:rtl/>
        </w:rPr>
        <w:t xml:space="preserve"> </w:t>
      </w:r>
      <w:r w:rsidRPr="00E303AD">
        <w:rPr>
          <w:rFonts w:eastAsia="Calibri"/>
          <w:rtl/>
        </w:rPr>
        <w:t xml:space="preserve">אכיפה מקומי (שיטור מקומי) הכולל שוטרים לצד פקחי שיטור, בהתאם לחוק מערכי אכיפה מקומיים, </w:t>
      </w:r>
      <w:r w:rsidRPr="00E303AD">
        <w:rPr>
          <w:rFonts w:eastAsia="Calibri" w:hint="cs"/>
          <w:rtl/>
        </w:rPr>
        <w:t>ה</w:t>
      </w:r>
      <w:r w:rsidRPr="00E303AD">
        <w:rPr>
          <w:rFonts w:eastAsia="Calibri"/>
          <w:rtl/>
        </w:rPr>
        <w:t>תשע״א-2011. תיקון החקיקה האחרון, שעבר ביולי 2025, אינו מעניק לפקחי השיטור סמכויות שיטור להתמודדות עם צרכני הזנות, אך במסגרת סמכותם לפעול כפקחים עירוניים ת</w:t>
      </w:r>
      <w:r w:rsidRPr="00E303AD">
        <w:rPr>
          <w:rFonts w:eastAsia="Calibri" w:hint="cs"/>
          <w:rtl/>
        </w:rPr>
        <w:t>י</w:t>
      </w:r>
      <w:r w:rsidRPr="00E303AD">
        <w:rPr>
          <w:rFonts w:eastAsia="Calibri"/>
          <w:rtl/>
        </w:rPr>
        <w:t xml:space="preserve">בחן האפשרות כי </w:t>
      </w:r>
      <w:r w:rsidRPr="00E303AD">
        <w:rPr>
          <w:rFonts w:eastAsia="Calibri" w:hint="cs"/>
          <w:rtl/>
        </w:rPr>
        <w:t xml:space="preserve">הם </w:t>
      </w:r>
      <w:r w:rsidRPr="00E303AD">
        <w:rPr>
          <w:rFonts w:eastAsia="Calibri"/>
          <w:rtl/>
        </w:rPr>
        <w:t>יפעלו לביצוע פיקוח על בתי עסק במהלך מבצעי אכיפה משטרתיים לסגירת בתי בושת.</w:t>
      </w:r>
    </w:p>
    <w:p w:rsidR="00E303AD" w:rsidRPr="00E303AD" w:rsidP="00E303AD">
      <w:pPr>
        <w:spacing w:line="269" w:lineRule="auto"/>
        <w:rPr>
          <w:rFonts w:eastAsia="Calibri"/>
          <w:rtl/>
        </w:rPr>
      </w:pPr>
    </w:p>
    <w:p w:rsidR="00E303AD" w:rsidRPr="00E303AD" w:rsidP="00E303AD">
      <w:pPr>
        <w:spacing w:line="269" w:lineRule="auto"/>
        <w:rPr>
          <w:rFonts w:eastAsia="Calibri"/>
          <w:rtl/>
        </w:rPr>
      </w:pPr>
      <w:r w:rsidRPr="00E303AD">
        <w:rPr>
          <w:rFonts w:eastAsia="Calibri"/>
          <w:noProof/>
          <w:rtl/>
          <w:lang w:val="he-IL"/>
        </w:rPr>
        <mc:AlternateContent>
          <mc:Choice Requires="wpg">
            <w:drawing>
              <wp:anchor distT="0" distB="0" distL="114300" distR="114300" simplePos="0" relativeHeight="251670528" behindDoc="0" locked="0" layoutInCell="1" allowOverlap="1">
                <wp:simplePos x="0" y="0"/>
                <wp:positionH relativeFrom="column">
                  <wp:posOffset>-46355</wp:posOffset>
                </wp:positionH>
                <wp:positionV relativeFrom="paragraph">
                  <wp:posOffset>-56515</wp:posOffset>
                </wp:positionV>
                <wp:extent cx="5310505" cy="1361026"/>
                <wp:effectExtent l="0" t="0" r="4445" b="0"/>
                <wp:wrapNone/>
                <wp:docPr id="47" name="קבוצה 47"/>
                <wp:cNvGraphicFramePr/>
                <a:graphic xmlns:a="http://schemas.openxmlformats.org/drawingml/2006/main">
                  <a:graphicData uri="http://schemas.microsoft.com/office/word/2010/wordprocessingGroup">
                    <wpg:wgp xmlns:wpg="http://schemas.microsoft.com/office/word/2010/wordprocessingGroup">
                      <wpg:cNvGrpSpPr/>
                      <wpg:grpSpPr>
                        <a:xfrm>
                          <a:off x="0" y="0"/>
                          <a:ext cx="5310505" cy="1361026"/>
                          <a:chOff x="0" y="0"/>
                          <a:chExt cx="5310505" cy="1361026"/>
                        </a:xfrm>
                      </wpg:grpSpPr>
                      <pic:pic xmlns:pic="http://schemas.openxmlformats.org/drawingml/2006/picture">
                        <pic:nvPicPr>
                          <pic:cNvPr id="48" name="table"/>
                          <pic:cNvPicPr>
                            <a:picLocks noChangeAspect="1"/>
                          </pic:cNvPicPr>
                        </pic:nvPicPr>
                        <pic:blipFill>
                          <a:blip xmlns:r="http://schemas.openxmlformats.org/officeDocument/2006/relationships" r:embed="rId28"/>
                          <a:stretch>
                            <a:fillRect/>
                          </a:stretch>
                        </pic:blipFill>
                        <pic:spPr>
                          <a:xfrm>
                            <a:off x="0" y="127221"/>
                            <a:ext cx="5310505" cy="1233805"/>
                          </a:xfrm>
                          <a:prstGeom prst="rect">
                            <a:avLst/>
                          </a:prstGeom>
                        </pic:spPr>
                      </pic:pic>
                      <wpg:grpSp>
                        <wpg:cNvPr id="49" name="קבוצה 22"/>
                        <wpg:cNvGrpSpPr/>
                        <wpg:grpSpPr>
                          <a:xfrm>
                            <a:off x="2520563" y="0"/>
                            <a:ext cx="271463" cy="266700"/>
                            <a:chOff x="0" y="0"/>
                            <a:chExt cx="1781175" cy="1781175"/>
                          </a:xfrm>
                        </wpg:grpSpPr>
                        <pic:pic xmlns:pic="http://schemas.openxmlformats.org/drawingml/2006/picture">
                          <pic:nvPicPr>
                            <pic:cNvPr id="51" name="תמונה 51"/>
                            <pic:cNvPicPr>
                              <a:picLocks noChangeAspect="1"/>
                            </pic:cNvPicPr>
                          </pic:nvPicPr>
                          <pic:blipFill>
                            <a:blip xmlns:r="http://schemas.openxmlformats.org/officeDocument/2006/relationships" r:embed="rId9">
                              <a:clrChange>
                                <a:clrFrom>
                                  <a:srgbClr val="FFFFFF"/>
                                </a:clrFrom>
                                <a:clrTo>
                                  <a:srgbClr val="FFFFFF">
                                    <a:alpha val="0"/>
                                  </a:srgbClr>
                                </a:clrTo>
                              </a:clrChange>
                            </a:blip>
                            <a:stretch>
                              <a:fillRect/>
                            </a:stretch>
                          </pic:blipFill>
                          <pic:spPr>
                            <a:xfrm>
                              <a:off x="0" y="0"/>
                              <a:ext cx="1781175" cy="1781175"/>
                            </a:xfrm>
                            <a:prstGeom prst="rect">
                              <a:avLst/>
                            </a:prstGeom>
                          </pic:spPr>
                        </pic:pic>
                        <pic:pic xmlns:pic="http://schemas.openxmlformats.org/drawingml/2006/picture">
                          <pic:nvPicPr>
                            <pic:cNvPr id="52" name="תמונה 52"/>
                            <pic:cNvPicPr>
                              <a:picLocks noChangeAspect="1"/>
                            </pic:cNvPicPr>
                          </pic:nvPicPr>
                          <pic:blipFill>
                            <a:blip xmlns:r="http://schemas.openxmlformats.org/officeDocument/2006/relationships" r:embed="rId10"/>
                            <a:srcRect l="16969" t="20795" r="16969" b="20795"/>
                            <a:stretch>
                              <a:fillRect/>
                            </a:stretch>
                          </pic:blipFill>
                          <pic:spPr>
                            <a:xfrm>
                              <a:off x="302249" y="371444"/>
                              <a:ext cx="1176676" cy="1040392"/>
                            </a:xfrm>
                            <a:prstGeom prst="rect">
                              <a:avLst/>
                            </a:prstGeom>
                          </pic:spPr>
                        </pic:pic>
                      </wpg:grpSp>
                    </wpg:wgp>
                  </a:graphicData>
                </a:graphic>
                <wp14:sizeRelV relativeFrom="margin">
                  <wp14:pctHeight>0</wp14:pctHeight>
                </wp14:sizeRelV>
              </wp:anchor>
            </w:drawing>
          </mc:Choice>
          <mc:Fallback>
            <w:pict>
              <v:group id="קבוצה 47" o:spid="_x0000_s1058" style="width:418.15pt;height:107.15pt;margin-top:-4.45pt;margin-left:-3.65pt;mso-height-relative:margin;position:absolute;z-index:251671552" coordsize="53105,13610">
                <v:shape id="table" o:spid="_x0000_s1059" type="#_x0000_t75" style="width:53105;height:12338;mso-wrap-style:square;position:absolute;top:1272;visibility:visible">
                  <v:imagedata r:id="rId28" o:title=""/>
                </v:shape>
                <v:group id="קבוצה 22" o:spid="_x0000_s1060" style="width:2715;height:2667;left:25205;position:absolute" coordsize="17811,17811">
                  <v:shape id="תמונה 51" o:spid="_x0000_s1061" type="#_x0000_t75" style="width:17811;height:17811;mso-wrap-style:square;position:absolute;visibility:visible">
                    <v:imagedata r:id="rId9" o:title="" chromakey="white"/>
                  </v:shape>
                  <v:shape id="תמונה 52" o:spid="_x0000_s1062" type="#_x0000_t75" style="width:11767;height:10404;left:3022;mso-wrap-style:square;position:absolute;top:3714;visibility:visible">
                    <v:imagedata r:id="rId10" o:title="" croptop="13628f" cropbottom="13628f" cropleft="11121f" cropright="11121f"/>
                  </v:shape>
                </v:group>
              </v:group>
            </w:pict>
          </mc:Fallback>
        </mc:AlternateContent>
      </w:r>
    </w:p>
    <w:p w:rsidR="00E303AD" w:rsidRPr="00E303AD" w:rsidP="00E303AD">
      <w:pPr>
        <w:spacing w:line="269" w:lineRule="auto"/>
        <w:ind w:left="360"/>
        <w:jc w:val="center"/>
        <w:rPr>
          <w:rFonts w:ascii="Segoe UI Symbol" w:eastAsia="Calibri" w:hAnsi="Segoe UI Symbol" w:cs="Segoe UI Symbol"/>
          <w:sz w:val="36"/>
          <w:rtl/>
        </w:rPr>
      </w:pPr>
    </w:p>
    <w:p w:rsidR="00E303AD" w:rsidRPr="00E303AD" w:rsidP="00E303AD">
      <w:pPr>
        <w:spacing w:line="269" w:lineRule="auto"/>
        <w:ind w:left="360"/>
        <w:jc w:val="center"/>
        <w:rPr>
          <w:rFonts w:ascii="Segoe UI Symbol" w:eastAsia="Calibri" w:hAnsi="Segoe UI Symbol" w:cs="Segoe UI Symbol"/>
          <w:sz w:val="36"/>
          <w:rtl/>
        </w:rPr>
      </w:pPr>
    </w:p>
    <w:p w:rsidR="00E303AD" w:rsidRPr="00E303AD" w:rsidP="00E303AD">
      <w:pPr>
        <w:spacing w:line="269" w:lineRule="auto"/>
        <w:ind w:left="360"/>
        <w:jc w:val="center"/>
        <w:rPr>
          <w:rFonts w:ascii="Segoe UI Symbol" w:eastAsia="Calibri" w:hAnsi="Segoe UI Symbol" w:cs="Arial"/>
          <w:sz w:val="36"/>
          <w:rtl/>
        </w:rPr>
      </w:pPr>
    </w:p>
    <w:p w:rsidR="00E303AD" w:rsidRPr="00E303AD" w:rsidP="00E303AD">
      <w:pPr>
        <w:spacing w:line="269" w:lineRule="auto"/>
        <w:ind w:left="360"/>
        <w:jc w:val="center"/>
        <w:rPr>
          <w:rFonts w:ascii="Segoe UI Symbol" w:eastAsia="Calibri" w:hAnsi="Segoe UI Symbol" w:cs="Segoe UI Symbol"/>
          <w:sz w:val="36"/>
          <w:rtl/>
        </w:rPr>
      </w:pPr>
    </w:p>
    <w:p w:rsidR="00E303AD" w:rsidRPr="00E303AD" w:rsidP="00E303AD">
      <w:pPr>
        <w:spacing w:line="269" w:lineRule="auto"/>
        <w:ind w:left="360"/>
        <w:jc w:val="center"/>
        <w:rPr>
          <w:rFonts w:ascii="Segoe UI Symbol" w:eastAsia="Calibri" w:hAnsi="Segoe UI Symbol" w:cs="Arial"/>
          <w:sz w:val="36"/>
          <w:rtl/>
        </w:rPr>
      </w:pPr>
    </w:p>
    <w:p w:rsidR="00E303AD" w:rsidRPr="00E303AD" w:rsidP="00E303AD">
      <w:pPr>
        <w:spacing w:line="269" w:lineRule="auto"/>
        <w:ind w:left="360"/>
        <w:jc w:val="center"/>
        <w:rPr>
          <w:rFonts w:ascii="Segoe UI Symbol" w:eastAsia="Calibri" w:hAnsi="Segoe UI Symbol" w:cs="Segoe UI Symbol"/>
          <w:sz w:val="36"/>
          <w:rtl/>
        </w:rPr>
      </w:pPr>
    </w:p>
    <w:p w:rsidR="00E303AD" w:rsidRPr="00E303AD" w:rsidP="00E303AD">
      <w:pPr>
        <w:spacing w:line="269" w:lineRule="auto"/>
        <w:ind w:left="360"/>
        <w:jc w:val="center"/>
        <w:rPr>
          <w:rFonts w:ascii="Arial" w:eastAsia="Calibri" w:hAnsi="Arial" w:cs="Arial"/>
          <w:sz w:val="36"/>
          <w:rtl/>
        </w:rPr>
      </w:pPr>
      <w:r w:rsidRPr="00E303AD">
        <w:rPr>
          <w:rFonts w:ascii="Segoe UI Symbol" w:eastAsia="Calibri" w:hAnsi="Segoe UI Symbol" w:cs="Segoe UI Symbol" w:hint="cs"/>
          <w:sz w:val="36"/>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צמצום של תופעת הזנות והמאבק בסחר בני אדם מחייבים פעולות אכיפה משולבות שימצו את הכלים שעומדים לרשות רשויות האכיפה העוסקות בתחום. </w:t>
      </w:r>
    </w:p>
    <w:p w:rsidR="00E303AD" w:rsidRPr="00E303AD" w:rsidP="00221641">
      <w:pPr>
        <w:spacing w:line="269" w:lineRule="auto"/>
        <w:rPr>
          <w:rFonts w:eastAsia="Calibri"/>
          <w:rtl/>
        </w:rPr>
      </w:pPr>
      <w:r w:rsidRPr="00E303AD">
        <w:rPr>
          <w:rFonts w:eastAsia="Calibri" w:hint="cs"/>
          <w:szCs w:val="20"/>
          <w:rtl/>
        </w:rPr>
        <w:t xml:space="preserve"> </w:t>
      </w:r>
      <w:r w:rsidRPr="00E303AD">
        <w:rPr>
          <w:rFonts w:eastAsia="Calibri" w:hint="cs"/>
          <w:rtl/>
        </w:rPr>
        <w:t>להלן יובאו נתונים העולים מהמיפוי שערכה ה</w:t>
      </w:r>
      <w:r w:rsidRPr="00E303AD">
        <w:rPr>
          <w:rFonts w:eastAsia="Calibri"/>
          <w:rtl/>
        </w:rPr>
        <w:t>משטר</w:t>
      </w:r>
      <w:r w:rsidRPr="00E303AD">
        <w:rPr>
          <w:rFonts w:eastAsia="Calibri" w:hint="cs"/>
          <w:rtl/>
        </w:rPr>
        <w:t xml:space="preserve">ה, מספר הקנסות שהוטלו מכוח חוק איסור צריכת זנות, מספר תיקי החקירה ומספר החשודים, מספרם של כתבי האישום וההרשעות בביצוע </w:t>
      </w:r>
      <w:r w:rsidRPr="00E303AD">
        <w:rPr>
          <w:rFonts w:eastAsia="Calibri" w:hint="cs"/>
          <w:rtl/>
        </w:rPr>
        <w:t>עבירות בתחום הזנות והסחר בבני אדם ועבירות נלוות</w:t>
      </w:r>
      <w:r w:rsidRPr="00E303AD">
        <w:rPr>
          <w:rFonts w:eastAsia="Calibri" w:hint="cs"/>
          <w:shd w:val="clear" w:color="auto" w:fill="FFFFFF"/>
          <w:rtl/>
        </w:rPr>
        <w:t xml:space="preserve"> בהתאם לסימן י' בחוק העונשין, התשל"ז-1977.</w:t>
      </w:r>
    </w:p>
    <w:p w:rsidR="00E303AD" w:rsidRPr="00E303AD" w:rsidP="00E303AD">
      <w:pPr>
        <w:spacing w:line="269" w:lineRule="auto"/>
        <w:ind w:left="-567"/>
        <w:rPr>
          <w:rFonts w:eastAsia="Calibri"/>
          <w:szCs w:val="20"/>
          <w:rtl/>
        </w:rPr>
      </w:pPr>
      <w:bookmarkStart w:id="124" w:name="_Hlk231816987"/>
      <w:r w:rsidRPr="00E303AD">
        <w:rPr>
          <w:rFonts w:eastAsia="Calibri" w:hint="cs"/>
          <w:szCs w:val="20"/>
          <w:rtl/>
        </w:rPr>
        <w:t xml:space="preserve"> </w:t>
      </w:r>
    </w:p>
    <w:p w:rsidR="00E303AD" w:rsidRPr="00E303AD" w:rsidP="00E303AD">
      <w:pPr>
        <w:keepNext/>
        <w:keepLines/>
        <w:spacing w:line="269" w:lineRule="auto"/>
        <w:jc w:val="center"/>
        <w:rPr>
          <w:rFonts w:eastAsia="Calibri"/>
          <w:b/>
          <w:bCs/>
          <w:rtl/>
        </w:rPr>
      </w:pPr>
      <w:bookmarkStart w:id="125" w:name="_Hlk222997716"/>
      <w:bookmarkStart w:id="126" w:name="_Hlk222997892"/>
      <w:bookmarkStart w:id="127" w:name="_Hlk209946053"/>
      <w:r w:rsidRPr="00E303AD">
        <w:rPr>
          <w:rFonts w:eastAsia="Calibri" w:hint="cs"/>
          <w:rtl/>
        </w:rPr>
        <w:t>תרשים 9:</w:t>
      </w:r>
      <w:r w:rsidRPr="00E303AD">
        <w:rPr>
          <w:rFonts w:eastAsia="Calibri" w:hint="cs"/>
          <w:b/>
          <w:bCs/>
          <w:rtl/>
        </w:rPr>
        <w:t xml:space="preserve"> תמונת מצב האכיפה, 2022 - 2024</w:t>
      </w:r>
      <w:bookmarkEnd w:id="125"/>
    </w:p>
    <w:p w:rsidR="00E303AD" w:rsidRPr="00E303AD" w:rsidP="00E303AD">
      <w:pPr>
        <w:spacing w:line="269" w:lineRule="auto"/>
        <w:ind w:left="720"/>
        <w:rPr>
          <w:rFonts w:eastAsia="Calibri"/>
          <w:rtl/>
        </w:rPr>
      </w:pPr>
      <w:r w:rsidRPr="00E303AD">
        <w:rPr>
          <w:rFonts w:eastAsia="Calibri"/>
          <w:noProof/>
        </w:rPr>
        <w:drawing>
          <wp:inline distT="0" distB="0" distL="0" distR="0">
            <wp:extent cx="4618525" cy="3055047"/>
            <wp:effectExtent l="0" t="0" r="0" b="0"/>
            <wp:docPr id="19" name="תמונה 19" descr="התרשים מציג נתונים באמצעות שישה עיגולים:&#10;&#10;בעיגול אחד מצוין כי למעלה מ-1,300 כתובות החשודות כזירות זנות; מתוכן מאות ברמת מהימנות גבוהה או בינונית.&#10;&#10;בעיגול שני מצוין הפחתה של 87% במספר הקנסות שהוטלו בגין צריכת זנות (4,284 קנסות).&#10;&#10;בעיגול שלישי מצוין 8.05 מיליון ש&quot;ח סכום הקנסות; מתוכו נגבו כ-4.4 מיליון ש&quot;ח (55%)***.&#10;&#10;בעיגול רביעי  מצוין 286 תיקי חקירה*; 426 חשודים**.&#10;&#10;בעיגול חמישי מצוין 36 כתבי אישום****.&#10;&#10;בעיגול שישי מצוין 30 הרשע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29"/>
                    <a:stretch>
                      <a:fillRect/>
                    </a:stretch>
                  </pic:blipFill>
                  <pic:spPr>
                    <a:xfrm>
                      <a:off x="0" y="0"/>
                      <a:ext cx="4682711" cy="3097505"/>
                    </a:xfrm>
                    <a:prstGeom prst="rect">
                      <a:avLst/>
                    </a:prstGeom>
                  </pic:spPr>
                </pic:pic>
              </a:graphicData>
            </a:graphic>
          </wp:inline>
        </w:drawing>
      </w:r>
    </w:p>
    <w:p w:rsidR="00E303AD" w:rsidRPr="00E303AD" w:rsidP="00E303AD">
      <w:pPr>
        <w:spacing w:line="269" w:lineRule="auto"/>
        <w:rPr>
          <w:rFonts w:eastAsia="Calibri"/>
          <w:rtl/>
        </w:rPr>
      </w:pPr>
      <w:r w:rsidRPr="00E303AD">
        <w:rPr>
          <w:rFonts w:eastAsia="Calibri" w:hint="cs"/>
          <w:sz w:val="16"/>
          <w:szCs w:val="20"/>
          <w:rtl/>
        </w:rPr>
        <w:t>על פי נתוני המשטרה, בעיבוד משרד מבקר המדינה.</w:t>
      </w:r>
    </w:p>
    <w:p w:rsidR="00E303AD" w:rsidRPr="00E303AD" w:rsidP="00801B1E">
      <w:pPr>
        <w:spacing w:line="269" w:lineRule="auto"/>
        <w:ind w:left="353" w:hanging="353"/>
        <w:rPr>
          <w:rFonts w:eastAsia="Calibri"/>
          <w:rtl/>
        </w:rPr>
      </w:pPr>
      <w:bookmarkStart w:id="128" w:name="_Hlk231817421"/>
      <w:bookmarkStart w:id="129" w:name="_Hlk222997183"/>
      <w:bookmarkEnd w:id="124"/>
      <w:r>
        <w:rPr>
          <w:rFonts w:eastAsia="Calibri" w:hint="cs"/>
          <w:sz w:val="16"/>
          <w:szCs w:val="20"/>
          <w:rtl/>
        </w:rPr>
        <w:t xml:space="preserve">* </w:t>
      </w:r>
      <w:r w:rsidR="00801B1E">
        <w:rPr>
          <w:rFonts w:eastAsia="Calibri"/>
          <w:sz w:val="16"/>
          <w:szCs w:val="20"/>
          <w:rtl/>
        </w:rPr>
        <w:tab/>
      </w:r>
      <w:r w:rsidRPr="00E303AD">
        <w:rPr>
          <w:rFonts w:eastAsia="Calibri" w:hint="cs"/>
          <w:sz w:val="16"/>
          <w:szCs w:val="20"/>
          <w:rtl/>
        </w:rPr>
        <w:t>תיקי חקירה שנפתחו לפי סימן י' בחוק העונשין בגין מעשי זנות ותועבה</w:t>
      </w:r>
      <w:r>
        <w:rPr>
          <w:rFonts w:eastAsia="Calibri"/>
          <w:sz w:val="16"/>
          <w:vertAlign w:val="superscript"/>
          <w:rtl/>
        </w:rPr>
        <w:footnoteReference w:id="110"/>
      </w:r>
      <w:r w:rsidRPr="00E303AD">
        <w:rPr>
          <w:rFonts w:eastAsia="Calibri" w:hint="cs"/>
          <w:sz w:val="16"/>
          <w:szCs w:val="20"/>
          <w:rtl/>
        </w:rPr>
        <w:t xml:space="preserve"> ובגין עבירות סחר בבני אדם. </w:t>
      </w:r>
    </w:p>
    <w:p w:rsidR="00E303AD" w:rsidRPr="00E303AD" w:rsidP="00801B1E">
      <w:pPr>
        <w:spacing w:line="269" w:lineRule="auto"/>
        <w:ind w:left="353" w:hanging="353"/>
        <w:rPr>
          <w:rFonts w:eastAsia="Calibri"/>
          <w:sz w:val="16"/>
          <w:szCs w:val="20"/>
          <w:rtl/>
        </w:rPr>
      </w:pPr>
      <w:bookmarkStart w:id="130" w:name="_Hlk232683815"/>
      <w:r>
        <w:rPr>
          <w:rFonts w:eastAsia="Calibri" w:hint="cs"/>
          <w:sz w:val="16"/>
          <w:szCs w:val="20"/>
          <w:rtl/>
        </w:rPr>
        <w:t xml:space="preserve">** </w:t>
      </w:r>
      <w:r w:rsidR="00801B1E">
        <w:rPr>
          <w:rFonts w:eastAsia="Calibri"/>
          <w:sz w:val="16"/>
          <w:szCs w:val="20"/>
          <w:rtl/>
        </w:rPr>
        <w:tab/>
      </w:r>
      <w:r w:rsidRPr="00E303AD">
        <w:rPr>
          <w:rFonts w:eastAsia="Calibri" w:hint="cs"/>
          <w:sz w:val="16"/>
          <w:szCs w:val="20"/>
          <w:rtl/>
        </w:rPr>
        <w:t>פועל מדובר ב-347 אנשים שחלקם חשודים ביותר מתיק חקירה אחד.</w:t>
      </w:r>
      <w:bookmarkEnd w:id="130"/>
      <w:r w:rsidRPr="00E303AD">
        <w:rPr>
          <w:rFonts w:eastAsia="Calibri" w:hint="cs"/>
          <w:sz w:val="16"/>
          <w:szCs w:val="20"/>
          <w:rtl/>
        </w:rPr>
        <w:t xml:space="preserve"> </w:t>
      </w:r>
    </w:p>
    <w:p w:rsidR="00E303AD" w:rsidRPr="00E303AD" w:rsidP="00801B1E">
      <w:pPr>
        <w:spacing w:line="269" w:lineRule="auto"/>
        <w:ind w:left="353" w:hanging="353"/>
        <w:rPr>
          <w:rFonts w:eastAsia="Calibri"/>
          <w:sz w:val="16"/>
          <w:szCs w:val="20"/>
          <w:rtl/>
        </w:rPr>
      </w:pPr>
      <w:r>
        <w:rPr>
          <w:rFonts w:eastAsia="Calibri" w:hint="cs"/>
          <w:sz w:val="16"/>
          <w:szCs w:val="20"/>
          <w:rtl/>
        </w:rPr>
        <w:t xml:space="preserve">*** </w:t>
      </w:r>
      <w:r w:rsidR="00801B1E">
        <w:rPr>
          <w:rFonts w:eastAsia="Calibri"/>
          <w:sz w:val="16"/>
          <w:szCs w:val="20"/>
          <w:rtl/>
        </w:rPr>
        <w:tab/>
      </w:r>
      <w:r w:rsidRPr="00E303AD">
        <w:rPr>
          <w:rFonts w:eastAsia="Calibri" w:hint="cs"/>
          <w:sz w:val="16"/>
          <w:szCs w:val="20"/>
          <w:rtl/>
        </w:rPr>
        <w:t>קנסות מכוח חוק איסור צריכת זנות; בתוספת פיגורים, יתרת החוב הסתכמה בכ-</w:t>
      </w:r>
      <w:r w:rsidRPr="00E303AD">
        <w:rPr>
          <w:rFonts w:eastAsia="Calibri"/>
          <w:sz w:val="16"/>
          <w:szCs w:val="20"/>
          <w:rtl/>
        </w:rPr>
        <w:t>6</w:t>
      </w:r>
      <w:r w:rsidRPr="00E303AD">
        <w:rPr>
          <w:rFonts w:eastAsia="Calibri" w:hint="cs"/>
          <w:sz w:val="16"/>
          <w:szCs w:val="20"/>
          <w:rtl/>
        </w:rPr>
        <w:t>.53 מיליון ש"ח - 81% מהסכום המקורי.</w:t>
      </w:r>
    </w:p>
    <w:p w:rsidR="00E303AD" w:rsidRPr="00E303AD" w:rsidP="00801B1E">
      <w:pPr>
        <w:spacing w:line="269" w:lineRule="auto"/>
        <w:ind w:left="353" w:hanging="353"/>
        <w:rPr>
          <w:rFonts w:eastAsia="Calibri"/>
          <w:sz w:val="16"/>
          <w:szCs w:val="20"/>
          <w:rtl/>
        </w:rPr>
      </w:pPr>
      <w:r>
        <w:rPr>
          <w:rFonts w:eastAsia="Calibri" w:hint="cs"/>
          <w:sz w:val="16"/>
          <w:szCs w:val="20"/>
          <w:rtl/>
        </w:rPr>
        <w:t xml:space="preserve">**** </w:t>
      </w:r>
      <w:r w:rsidRPr="00E303AD">
        <w:rPr>
          <w:rFonts w:eastAsia="Calibri" w:hint="cs"/>
          <w:sz w:val="16"/>
          <w:szCs w:val="20"/>
          <w:rtl/>
        </w:rPr>
        <w:t>תיקים שהוגשו בהם כתבי אישום (66 נאשמים).</w:t>
      </w:r>
      <w:bookmarkEnd w:id="126"/>
      <w:bookmarkEnd w:id="128"/>
      <w:bookmarkEnd w:id="129"/>
    </w:p>
    <w:p w:rsidR="00E303AD" w:rsidRPr="00E303AD" w:rsidP="00E303AD">
      <w:pPr>
        <w:spacing w:line="269" w:lineRule="auto"/>
        <w:ind w:left="-567"/>
        <w:rPr>
          <w:rFonts w:eastAsia="Calibri"/>
          <w:szCs w:val="20"/>
          <w:rtl/>
        </w:rPr>
      </w:pPr>
      <w:bookmarkStart w:id="131" w:name="_Hlk231817401"/>
      <w:bookmarkEnd w:id="127"/>
      <w:r w:rsidRPr="00E303AD">
        <w:rPr>
          <w:rFonts w:eastAsia="Calibri" w:hint="cs"/>
          <w:szCs w:val="20"/>
          <w:rtl/>
        </w:rPr>
        <w:t xml:space="preserve"> </w:t>
      </w:r>
    </w:p>
    <w:p w:rsidR="00E303AD" w:rsidRPr="00E303AD" w:rsidP="00E303AD">
      <w:pPr>
        <w:spacing w:line="269" w:lineRule="auto"/>
        <w:rPr>
          <w:rFonts w:eastAsia="Calibri"/>
          <w:b/>
          <w:bCs/>
          <w:rtl/>
        </w:rPr>
      </w:pPr>
      <w:r w:rsidRPr="00E303AD">
        <w:rPr>
          <w:rFonts w:eastAsia="Calibri" w:hint="cs"/>
          <w:b/>
          <w:bCs/>
          <w:rtl/>
        </w:rPr>
        <w:t>מהשוואה בין ממצאי הפרקים הקודמים ו</w:t>
      </w:r>
      <w:r w:rsidRPr="00E303AD">
        <w:rPr>
          <w:rFonts w:eastAsia="Calibri"/>
          <w:b/>
          <w:bCs/>
          <w:rtl/>
        </w:rPr>
        <w:t xml:space="preserve">הנתונים שהובאו לעיל על היקף </w:t>
      </w:r>
      <w:r w:rsidRPr="00E303AD">
        <w:rPr>
          <w:rFonts w:eastAsia="Calibri" w:hint="cs"/>
          <w:b/>
          <w:bCs/>
          <w:rtl/>
        </w:rPr>
        <w:t xml:space="preserve">תופעת הזנות </w:t>
      </w:r>
      <w:r w:rsidRPr="00E303AD">
        <w:rPr>
          <w:rFonts w:eastAsia="Calibri"/>
          <w:b/>
          <w:bCs/>
          <w:rtl/>
        </w:rPr>
        <w:t>כפי שעולה מ</w:t>
      </w:r>
      <w:r w:rsidRPr="00E303AD">
        <w:rPr>
          <w:rFonts w:eastAsia="Calibri" w:hint="cs"/>
          <w:b/>
          <w:bCs/>
          <w:rtl/>
        </w:rPr>
        <w:t xml:space="preserve">מידע </w:t>
      </w:r>
      <w:r w:rsidRPr="00E303AD">
        <w:rPr>
          <w:rFonts w:eastAsia="Calibri" w:hint="eastAsia"/>
          <w:b/>
          <w:bCs/>
          <w:rtl/>
        </w:rPr>
        <w:t>שנאסף</w:t>
      </w:r>
      <w:r w:rsidRPr="00E303AD">
        <w:rPr>
          <w:rFonts w:eastAsia="Calibri"/>
          <w:b/>
          <w:bCs/>
          <w:rtl/>
        </w:rPr>
        <w:t xml:space="preserve"> במשטרה ממקורות שונים, לרבות </w:t>
      </w:r>
      <w:r w:rsidRPr="00E303AD">
        <w:rPr>
          <w:rFonts w:eastAsia="Calibri" w:hint="cs"/>
          <w:b/>
          <w:bCs/>
          <w:rtl/>
        </w:rPr>
        <w:t>מ</w:t>
      </w:r>
      <w:r w:rsidRPr="00E303AD">
        <w:rPr>
          <w:rFonts w:eastAsia="Calibri"/>
          <w:b/>
          <w:bCs/>
          <w:rtl/>
        </w:rPr>
        <w:t>דיווחי</w:t>
      </w:r>
      <w:r w:rsidRPr="00E303AD">
        <w:rPr>
          <w:rFonts w:eastAsia="Calibri" w:hint="cs"/>
          <w:b/>
          <w:bCs/>
          <w:rtl/>
        </w:rPr>
        <w:t>הם של</w:t>
      </w:r>
      <w:r w:rsidRPr="00E303AD">
        <w:rPr>
          <w:rFonts w:eastAsia="Calibri"/>
          <w:b/>
          <w:bCs/>
          <w:rtl/>
        </w:rPr>
        <w:t xml:space="preserve"> אזרחים</w:t>
      </w:r>
      <w:r w:rsidRPr="00E303AD">
        <w:rPr>
          <w:rFonts w:eastAsia="Calibri" w:hint="cs"/>
          <w:b/>
          <w:bCs/>
          <w:rtl/>
        </w:rPr>
        <w:t xml:space="preserve"> במוקד 100</w:t>
      </w:r>
      <w:r w:rsidRPr="00E303AD">
        <w:rPr>
          <w:rFonts w:eastAsia="Calibri"/>
          <w:b/>
          <w:bCs/>
          <w:rtl/>
        </w:rPr>
        <w:t xml:space="preserve"> וגורמים נוספים</w:t>
      </w:r>
      <w:r w:rsidRPr="00E303AD">
        <w:rPr>
          <w:rFonts w:eastAsia="Calibri" w:hint="cs"/>
          <w:b/>
          <w:bCs/>
          <w:rtl/>
        </w:rPr>
        <w:t>,</w:t>
      </w:r>
      <w:r w:rsidRPr="00E303AD">
        <w:rPr>
          <w:rFonts w:eastAsia="Calibri"/>
          <w:b/>
          <w:bCs/>
          <w:rtl/>
        </w:rPr>
        <w:t xml:space="preserve"> כגון משרד הבריאות, </w:t>
      </w:r>
      <w:r w:rsidRPr="00E303AD">
        <w:rPr>
          <w:rFonts w:eastAsia="Calibri" w:hint="cs"/>
          <w:b/>
          <w:bCs/>
          <w:rtl/>
        </w:rPr>
        <w:t>ובין</w:t>
      </w:r>
      <w:r w:rsidRPr="00E303AD">
        <w:rPr>
          <w:rFonts w:eastAsia="Calibri"/>
          <w:b/>
          <w:bCs/>
          <w:rtl/>
        </w:rPr>
        <w:t xml:space="preserve"> היקף הפעילות בשטח (קנסות, תיקי חקירה ועוד) מ</w:t>
      </w:r>
      <w:r w:rsidRPr="00E303AD">
        <w:rPr>
          <w:rFonts w:eastAsia="Calibri" w:hint="cs"/>
          <w:b/>
          <w:bCs/>
          <w:rtl/>
        </w:rPr>
        <w:t>תעורר</w:t>
      </w:r>
      <w:r w:rsidRPr="00E303AD">
        <w:rPr>
          <w:rFonts w:eastAsia="Calibri"/>
          <w:b/>
          <w:bCs/>
          <w:rtl/>
        </w:rPr>
        <w:t xml:space="preserve"> חשש לתת</w:t>
      </w:r>
      <w:r w:rsidRPr="00E303AD">
        <w:rPr>
          <w:rFonts w:eastAsia="Calibri" w:hint="cs"/>
          <w:b/>
          <w:bCs/>
          <w:rtl/>
        </w:rPr>
        <w:t>-</w:t>
      </w:r>
      <w:r w:rsidRPr="00E303AD">
        <w:rPr>
          <w:rFonts w:eastAsia="Calibri"/>
          <w:b/>
          <w:bCs/>
          <w:rtl/>
        </w:rPr>
        <w:t xml:space="preserve">אכיפה </w:t>
      </w:r>
      <w:r w:rsidRPr="00E303AD">
        <w:rPr>
          <w:rFonts w:eastAsia="Calibri" w:hint="cs"/>
          <w:b/>
          <w:bCs/>
          <w:rtl/>
        </w:rPr>
        <w:t>בעניין</w:t>
      </w:r>
      <w:r w:rsidRPr="00E303AD">
        <w:rPr>
          <w:rFonts w:eastAsia="Calibri"/>
          <w:b/>
          <w:bCs/>
          <w:rtl/>
        </w:rPr>
        <w:t xml:space="preserve"> עבירות הזנות, </w:t>
      </w:r>
      <w:r w:rsidRPr="00E303AD">
        <w:rPr>
          <w:rFonts w:eastAsia="Calibri" w:hint="cs"/>
          <w:b/>
          <w:bCs/>
          <w:rtl/>
        </w:rPr>
        <w:t xml:space="preserve">עבירות </w:t>
      </w:r>
      <w:r w:rsidRPr="00E303AD">
        <w:rPr>
          <w:rFonts w:eastAsia="Calibri"/>
          <w:b/>
          <w:bCs/>
          <w:rtl/>
        </w:rPr>
        <w:t xml:space="preserve">סחר בבני אדם </w:t>
      </w:r>
      <w:r w:rsidRPr="00E303AD">
        <w:rPr>
          <w:rFonts w:eastAsia="Calibri" w:hint="cs"/>
          <w:b/>
          <w:bCs/>
          <w:rtl/>
        </w:rPr>
        <w:t xml:space="preserve">למטרות זנות </w:t>
      </w:r>
      <w:r w:rsidRPr="00E303AD">
        <w:rPr>
          <w:rFonts w:eastAsia="Calibri"/>
          <w:b/>
          <w:bCs/>
          <w:rtl/>
        </w:rPr>
        <w:t xml:space="preserve">ועבירות </w:t>
      </w:r>
      <w:r w:rsidRPr="00E303AD">
        <w:rPr>
          <w:rFonts w:eastAsia="Calibri" w:hint="cs"/>
          <w:b/>
          <w:bCs/>
          <w:rtl/>
        </w:rPr>
        <w:t>ה</w:t>
      </w:r>
      <w:r w:rsidRPr="00E303AD">
        <w:rPr>
          <w:rFonts w:eastAsia="Calibri"/>
          <w:b/>
          <w:bCs/>
          <w:rtl/>
        </w:rPr>
        <w:t>נלוות</w:t>
      </w:r>
      <w:r w:rsidRPr="00E303AD">
        <w:rPr>
          <w:rFonts w:eastAsia="Calibri" w:hint="cs"/>
          <w:b/>
          <w:bCs/>
          <w:rtl/>
        </w:rPr>
        <w:t xml:space="preserve"> להן</w:t>
      </w:r>
      <w:r w:rsidRPr="00E303AD">
        <w:rPr>
          <w:rFonts w:eastAsia="Calibri"/>
          <w:b/>
          <w:bCs/>
          <w:rtl/>
        </w:rPr>
        <w:t xml:space="preserve">. </w:t>
      </w:r>
      <w:r w:rsidRPr="00E303AD">
        <w:rPr>
          <w:rFonts w:eastAsia="Calibri" w:hint="cs"/>
          <w:b/>
          <w:bCs/>
          <w:rtl/>
        </w:rPr>
        <w:t xml:space="preserve">הדבר בא לידי ביטוי, בין היתר, בהפחתה של 87% </w:t>
      </w:r>
      <w:r w:rsidRPr="00E303AD">
        <w:rPr>
          <w:rFonts w:eastAsia="Calibri"/>
          <w:b/>
          <w:bCs/>
          <w:rtl/>
        </w:rPr>
        <w:t xml:space="preserve">במספר הקנסות שהטילה המשטרה בגין צריכת זנות </w:t>
      </w:r>
      <w:r w:rsidRPr="00E303AD">
        <w:rPr>
          <w:rFonts w:eastAsia="Calibri" w:hint="cs"/>
          <w:b/>
          <w:bCs/>
          <w:rtl/>
        </w:rPr>
        <w:t xml:space="preserve">בשנים 2022 - 2024, אף שבתקופה זו התקבלו </w:t>
      </w:r>
      <w:r w:rsidRPr="00E303AD">
        <w:rPr>
          <w:rFonts w:eastAsia="Calibri" w:hint="eastAsia"/>
          <w:b/>
          <w:bCs/>
          <w:rtl/>
        </w:rPr>
        <w:t>נתוני</w:t>
      </w:r>
      <w:r w:rsidRPr="00E303AD">
        <w:rPr>
          <w:rFonts w:eastAsia="Calibri" w:hint="cs"/>
          <w:b/>
          <w:bCs/>
          <w:rtl/>
        </w:rPr>
        <w:t>ם</w:t>
      </w:r>
      <w:r w:rsidRPr="00E303AD">
        <w:rPr>
          <w:rFonts w:eastAsia="Calibri"/>
          <w:b/>
          <w:bCs/>
          <w:rtl/>
        </w:rPr>
        <w:t xml:space="preserve"> </w:t>
      </w:r>
      <w:r w:rsidRPr="00E303AD">
        <w:rPr>
          <w:rFonts w:eastAsia="Calibri" w:hint="cs"/>
          <w:b/>
          <w:bCs/>
          <w:rtl/>
        </w:rPr>
        <w:t>- מ</w:t>
      </w:r>
      <w:r w:rsidRPr="00E303AD">
        <w:rPr>
          <w:rFonts w:eastAsia="Calibri" w:hint="eastAsia"/>
          <w:b/>
          <w:bCs/>
          <w:rtl/>
        </w:rPr>
        <w:t>מודיעין</w:t>
      </w:r>
      <w:r w:rsidRPr="00E303AD">
        <w:rPr>
          <w:rFonts w:eastAsia="Calibri" w:hint="cs"/>
          <w:b/>
          <w:bCs/>
          <w:rtl/>
        </w:rPr>
        <w:t>, מתיקי חקירות ומאג"ם,</w:t>
      </w:r>
      <w:r w:rsidRPr="00E303AD">
        <w:rPr>
          <w:rFonts w:eastAsia="Calibri"/>
          <w:b/>
          <w:bCs/>
          <w:rtl/>
        </w:rPr>
        <w:t xml:space="preserve"> </w:t>
      </w:r>
      <w:r w:rsidRPr="00E303AD">
        <w:rPr>
          <w:rFonts w:eastAsia="Calibri" w:hint="cs"/>
          <w:b/>
          <w:bCs/>
          <w:rtl/>
        </w:rPr>
        <w:t xml:space="preserve">לרבות </w:t>
      </w:r>
      <w:r w:rsidRPr="00E303AD">
        <w:rPr>
          <w:rFonts w:eastAsia="Calibri"/>
          <w:b/>
          <w:bCs/>
          <w:rtl/>
        </w:rPr>
        <w:t xml:space="preserve">דיווחי מטרדי זנות </w:t>
      </w:r>
      <w:r w:rsidRPr="00E303AD">
        <w:rPr>
          <w:rFonts w:eastAsia="Calibri" w:hint="cs"/>
          <w:b/>
          <w:bCs/>
          <w:rtl/>
        </w:rPr>
        <w:t>ב</w:t>
      </w:r>
      <w:r w:rsidRPr="00E303AD">
        <w:rPr>
          <w:rFonts w:eastAsia="Calibri"/>
          <w:b/>
          <w:bCs/>
          <w:rtl/>
        </w:rPr>
        <w:t>מוקד 100</w:t>
      </w:r>
      <w:r w:rsidRPr="00E303AD">
        <w:rPr>
          <w:rFonts w:eastAsia="Calibri" w:hint="cs"/>
          <w:b/>
          <w:bCs/>
          <w:rtl/>
        </w:rPr>
        <w:t xml:space="preserve"> - על </w:t>
      </w:r>
      <w:r w:rsidRPr="00E303AD">
        <w:rPr>
          <w:rFonts w:eastAsia="Calibri" w:hint="eastAsia"/>
          <w:b/>
          <w:bCs/>
          <w:rtl/>
        </w:rPr>
        <w:t>למעלה</w:t>
      </w:r>
      <w:r w:rsidRPr="00E303AD">
        <w:rPr>
          <w:rFonts w:eastAsia="Calibri"/>
          <w:b/>
          <w:bCs/>
          <w:rtl/>
        </w:rPr>
        <w:t xml:space="preserve"> </w:t>
      </w:r>
      <w:r w:rsidRPr="00E303AD">
        <w:rPr>
          <w:rFonts w:eastAsia="Calibri" w:hint="eastAsia"/>
          <w:b/>
          <w:bCs/>
          <w:rtl/>
        </w:rPr>
        <w:t>מ</w:t>
      </w:r>
      <w:r w:rsidRPr="00E303AD">
        <w:rPr>
          <w:rFonts w:eastAsia="Calibri"/>
          <w:b/>
          <w:bCs/>
          <w:rtl/>
        </w:rPr>
        <w:t>-1,</w:t>
      </w:r>
      <w:r w:rsidRPr="00E303AD">
        <w:rPr>
          <w:rFonts w:eastAsia="Calibri" w:hint="cs"/>
          <w:b/>
          <w:bCs/>
          <w:rtl/>
        </w:rPr>
        <w:t>3</w:t>
      </w:r>
      <w:r w:rsidRPr="00E303AD">
        <w:rPr>
          <w:rFonts w:eastAsia="Calibri"/>
          <w:b/>
          <w:bCs/>
          <w:rtl/>
        </w:rPr>
        <w:t>00</w:t>
      </w:r>
      <w:r w:rsidRPr="00E303AD">
        <w:rPr>
          <w:rFonts w:eastAsia="Calibri" w:hint="cs"/>
          <w:b/>
          <w:bCs/>
          <w:rtl/>
        </w:rPr>
        <w:t xml:space="preserve"> כתובות, מתוכן מאות ברמת מהימנות גבוהה ובינונית, שיש חשש כי מתקיימת בהן פעילות זנות. </w:t>
      </w:r>
      <w:r w:rsidRPr="00E303AD">
        <w:rPr>
          <w:rFonts w:eastAsia="Calibri"/>
          <w:b/>
          <w:bCs/>
          <w:rtl/>
        </w:rPr>
        <w:t>זאת אף שמדובר בעבירות פליליות שאכיפתן מחויבת על פי חוק</w:t>
      </w:r>
      <w:r w:rsidRPr="00E303AD">
        <w:rPr>
          <w:rFonts w:eastAsia="Calibri" w:hint="cs"/>
          <w:b/>
          <w:bCs/>
          <w:rtl/>
        </w:rPr>
        <w:t xml:space="preserve"> ולנוכח מחויבויותיה הבין-לאומיות של ישראל </w:t>
      </w:r>
      <w:r w:rsidRPr="00E303AD">
        <w:rPr>
          <w:rFonts w:eastAsia="Calibri"/>
          <w:b/>
          <w:bCs/>
          <w:rtl/>
        </w:rPr>
        <w:t xml:space="preserve">ועל אף </w:t>
      </w:r>
      <w:r w:rsidRPr="00E303AD">
        <w:rPr>
          <w:rFonts w:eastAsia="Calibri" w:hint="cs"/>
          <w:b/>
          <w:bCs/>
          <w:rtl/>
        </w:rPr>
        <w:t>מאפייניה</w:t>
      </w:r>
      <w:r w:rsidRPr="00E303AD">
        <w:rPr>
          <w:rFonts w:eastAsia="Calibri"/>
          <w:b/>
          <w:bCs/>
          <w:rtl/>
        </w:rPr>
        <w:t xml:space="preserve"> הפוגעני</w:t>
      </w:r>
      <w:r w:rsidRPr="00E303AD">
        <w:rPr>
          <w:rFonts w:eastAsia="Calibri" w:hint="cs"/>
          <w:b/>
          <w:bCs/>
          <w:rtl/>
        </w:rPr>
        <w:t>ים</w:t>
      </w:r>
      <w:r w:rsidRPr="00E303AD">
        <w:rPr>
          <w:rFonts w:eastAsia="Calibri"/>
          <w:b/>
          <w:bCs/>
          <w:rtl/>
        </w:rPr>
        <w:t xml:space="preserve"> של תופעת הזנות</w:t>
      </w:r>
      <w:r w:rsidRPr="00E303AD">
        <w:rPr>
          <w:rFonts w:eastAsia="Calibri" w:hint="cs"/>
          <w:b/>
          <w:bCs/>
          <w:rtl/>
        </w:rPr>
        <w:t>,</w:t>
      </w:r>
      <w:r w:rsidRPr="00E303AD">
        <w:rPr>
          <w:rFonts w:eastAsia="Calibri"/>
          <w:b/>
          <w:bCs/>
          <w:rtl/>
        </w:rPr>
        <w:t xml:space="preserve"> קל וחומר </w:t>
      </w:r>
      <w:r w:rsidRPr="00E303AD">
        <w:rPr>
          <w:rFonts w:eastAsia="Calibri" w:hint="cs"/>
          <w:b/>
          <w:bCs/>
          <w:rtl/>
        </w:rPr>
        <w:t>של ה</w:t>
      </w:r>
      <w:r w:rsidRPr="00E303AD">
        <w:rPr>
          <w:rFonts w:eastAsia="Calibri"/>
          <w:b/>
          <w:bCs/>
          <w:rtl/>
        </w:rPr>
        <w:t>סחר בבני אדם לצ</w:t>
      </w:r>
      <w:r w:rsidRPr="00E303AD">
        <w:rPr>
          <w:rFonts w:eastAsia="Calibri" w:hint="cs"/>
          <w:b/>
          <w:bCs/>
          <w:rtl/>
        </w:rPr>
        <w:t>ו</w:t>
      </w:r>
      <w:r w:rsidRPr="00E303AD">
        <w:rPr>
          <w:rFonts w:eastAsia="Calibri"/>
          <w:b/>
          <w:bCs/>
          <w:rtl/>
        </w:rPr>
        <w:t>רכי מין</w:t>
      </w:r>
      <w:r w:rsidRPr="00E303AD">
        <w:rPr>
          <w:rFonts w:eastAsia="Calibri" w:hint="cs"/>
          <w:b/>
          <w:bCs/>
          <w:rtl/>
        </w:rPr>
        <w:t>,</w:t>
      </w:r>
      <w:r w:rsidRPr="00E303AD">
        <w:rPr>
          <w:rFonts w:eastAsia="Calibri"/>
          <w:b/>
          <w:bCs/>
          <w:rtl/>
        </w:rPr>
        <w:t xml:space="preserve"> תוך ניצול ופגיעה בגופו ו</w:t>
      </w:r>
      <w:r w:rsidRPr="00E303AD">
        <w:rPr>
          <w:rFonts w:eastAsia="Calibri" w:hint="cs"/>
          <w:b/>
          <w:bCs/>
          <w:rtl/>
        </w:rPr>
        <w:t>ב</w:t>
      </w:r>
      <w:r w:rsidRPr="00E303AD">
        <w:rPr>
          <w:rFonts w:eastAsia="Calibri"/>
          <w:b/>
          <w:bCs/>
          <w:rtl/>
        </w:rPr>
        <w:t>כבודו של אדם.</w:t>
      </w:r>
      <w:r w:rsidRPr="00E303AD">
        <w:rPr>
          <w:rFonts w:eastAsia="Calibri" w:hint="cs"/>
          <w:b/>
          <w:bCs/>
          <w:rtl/>
        </w:rPr>
        <w:t xml:space="preserve"> </w:t>
      </w:r>
      <w:bookmarkStart w:id="132" w:name="_Hlk222920221"/>
      <w:r w:rsidRPr="00E303AD">
        <w:rPr>
          <w:rFonts w:eastAsia="Calibri" w:hint="cs"/>
          <w:b/>
          <w:bCs/>
          <w:shd w:val="clear" w:color="auto" w:fill="FFFFFF"/>
          <w:rtl/>
        </w:rPr>
        <w:t>אומנם בשנת 2025 חל גידול במספר הקנסות שהוטלו על מבצעי עבירות בתחומים אלה, אך מספר זה עדיין קטן בהרבה ממספר הקנסות שהוטלו בשנת 2022.</w:t>
      </w:r>
      <w:bookmarkEnd w:id="132"/>
      <w:r w:rsidRPr="00E303AD">
        <w:rPr>
          <w:rFonts w:eastAsia="Calibri" w:hint="cs"/>
          <w:b/>
          <w:bCs/>
          <w:rtl/>
        </w:rPr>
        <w:t xml:space="preserve"> </w:t>
      </w:r>
      <w:r w:rsidRPr="00E303AD">
        <w:rPr>
          <w:rFonts w:eastAsia="Calibri"/>
          <w:b/>
          <w:bCs/>
          <w:rtl/>
        </w:rPr>
        <w:t xml:space="preserve">יצוין כי בשנים </w:t>
      </w:r>
      <w:r w:rsidRPr="00E303AD">
        <w:rPr>
          <w:rFonts w:eastAsia="Calibri" w:hint="cs"/>
          <w:b/>
          <w:bCs/>
          <w:rtl/>
        </w:rPr>
        <w:t>2022</w:t>
      </w:r>
      <w:r w:rsidRPr="00E303AD">
        <w:rPr>
          <w:rFonts w:eastAsia="Calibri"/>
          <w:b/>
          <w:bCs/>
          <w:rtl/>
        </w:rPr>
        <w:t xml:space="preserve"> -</w:t>
      </w:r>
      <w:r w:rsidRPr="00E303AD">
        <w:rPr>
          <w:rFonts w:eastAsia="Calibri" w:hint="cs"/>
          <w:b/>
          <w:bCs/>
          <w:rtl/>
        </w:rPr>
        <w:t xml:space="preserve"> </w:t>
      </w:r>
      <w:r w:rsidRPr="00E303AD">
        <w:rPr>
          <w:rFonts w:eastAsia="Calibri"/>
          <w:b/>
          <w:bCs/>
          <w:rtl/>
        </w:rPr>
        <w:t xml:space="preserve">2024 סכום הקנסות שהוטל </w:t>
      </w:r>
      <w:r w:rsidRPr="00E303AD">
        <w:rPr>
          <w:rFonts w:eastAsia="Calibri" w:hint="cs"/>
          <w:b/>
          <w:bCs/>
          <w:rtl/>
        </w:rPr>
        <w:t xml:space="preserve">על מבצעי העבירות הללו </w:t>
      </w:r>
      <w:bookmarkStart w:id="133" w:name="_Hlk232941148"/>
      <w:r w:rsidRPr="00E303AD">
        <w:rPr>
          <w:rFonts w:eastAsia="Calibri" w:hint="cs"/>
          <w:b/>
          <w:bCs/>
          <w:rtl/>
        </w:rPr>
        <w:t>הסתכם</w:t>
      </w:r>
      <w:r w:rsidRPr="00E303AD">
        <w:rPr>
          <w:rFonts w:eastAsia="Calibri"/>
          <w:b/>
          <w:bCs/>
          <w:rtl/>
        </w:rPr>
        <w:t xml:space="preserve"> </w:t>
      </w:r>
      <w:r w:rsidRPr="00E303AD">
        <w:rPr>
          <w:rFonts w:eastAsia="Calibri" w:hint="cs"/>
          <w:b/>
          <w:bCs/>
          <w:rtl/>
        </w:rPr>
        <w:t>בכ-8.05 מיליון</w:t>
      </w:r>
      <w:r w:rsidRPr="00E303AD">
        <w:rPr>
          <w:rFonts w:eastAsia="Calibri"/>
          <w:b/>
          <w:bCs/>
          <w:rtl/>
        </w:rPr>
        <w:t xml:space="preserve"> ש"ח ומתוכו נגבו</w:t>
      </w:r>
      <w:r w:rsidRPr="00E303AD">
        <w:rPr>
          <w:rFonts w:eastAsia="Calibri" w:hint="cs"/>
          <w:b/>
          <w:bCs/>
          <w:rtl/>
        </w:rPr>
        <w:t xml:space="preserve"> כ-4.4 מיליון</w:t>
      </w:r>
      <w:r w:rsidRPr="00E303AD">
        <w:rPr>
          <w:rFonts w:eastAsia="Calibri"/>
          <w:b/>
          <w:bCs/>
          <w:rtl/>
        </w:rPr>
        <w:t xml:space="preserve"> ש"ח</w:t>
      </w:r>
      <w:r w:rsidRPr="00E303AD">
        <w:rPr>
          <w:rFonts w:eastAsia="Calibri" w:hint="cs"/>
          <w:b/>
          <w:bCs/>
          <w:rtl/>
        </w:rPr>
        <w:t xml:space="preserve"> </w:t>
      </w:r>
      <w:r w:rsidRPr="00E303AD">
        <w:rPr>
          <w:rFonts w:eastAsia="Calibri"/>
          <w:b/>
          <w:bCs/>
          <w:rtl/>
        </w:rPr>
        <w:t>(55%)</w:t>
      </w:r>
      <w:r w:rsidRPr="00E303AD">
        <w:rPr>
          <w:rFonts w:eastAsia="Calibri" w:hint="cs"/>
          <w:b/>
          <w:bCs/>
          <w:rtl/>
        </w:rPr>
        <w:t>.</w:t>
      </w:r>
      <w:bookmarkEnd w:id="131"/>
    </w:p>
    <w:bookmarkEnd w:id="133"/>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ascii="David" w:eastAsia="Calibri" w:hAnsi="David"/>
          <w:b/>
          <w:bCs/>
          <w:sz w:val="24"/>
          <w:rtl/>
        </w:rPr>
        <w:t xml:space="preserve">מומלץ כי </w:t>
      </w:r>
      <w:r w:rsidRPr="00E303AD">
        <w:rPr>
          <w:rFonts w:ascii="David" w:eastAsia="Calibri" w:hAnsi="David" w:hint="cs"/>
          <w:b/>
          <w:bCs/>
          <w:sz w:val="24"/>
          <w:rtl/>
        </w:rPr>
        <w:t xml:space="preserve">המשטרה והפרקליטות יבצעו </w:t>
      </w:r>
      <w:r w:rsidRPr="00E303AD">
        <w:rPr>
          <w:rFonts w:ascii="David" w:eastAsia="Calibri" w:hAnsi="David"/>
          <w:b/>
          <w:bCs/>
          <w:sz w:val="24"/>
          <w:rtl/>
        </w:rPr>
        <w:t xml:space="preserve">מיפוי וניתוח שיטתי של הפערים בין היקף </w:t>
      </w:r>
      <w:r w:rsidRPr="00E303AD">
        <w:rPr>
          <w:rFonts w:ascii="David" w:eastAsia="Calibri" w:hAnsi="David" w:hint="cs"/>
          <w:b/>
          <w:bCs/>
          <w:sz w:val="24"/>
          <w:rtl/>
        </w:rPr>
        <w:t xml:space="preserve">המידע שמצטבר במשטרה מאפיקים שונים </w:t>
      </w:r>
      <w:r w:rsidRPr="00E303AD">
        <w:rPr>
          <w:rFonts w:ascii="David" w:eastAsia="Calibri" w:hAnsi="David"/>
          <w:b/>
          <w:bCs/>
          <w:sz w:val="24"/>
          <w:rtl/>
        </w:rPr>
        <w:t xml:space="preserve">על עבירות זנות, סחר בבני אדם, סרסרות ומטרדים </w:t>
      </w:r>
      <w:r w:rsidRPr="00E303AD">
        <w:rPr>
          <w:rFonts w:ascii="David" w:eastAsia="Calibri" w:hAnsi="David" w:hint="cs"/>
          <w:b/>
          <w:bCs/>
          <w:sz w:val="24"/>
          <w:rtl/>
        </w:rPr>
        <w:t>ו</w:t>
      </w:r>
      <w:r w:rsidRPr="00E303AD">
        <w:rPr>
          <w:rFonts w:ascii="David" w:eastAsia="Calibri" w:hAnsi="David"/>
          <w:b/>
          <w:bCs/>
          <w:sz w:val="24"/>
          <w:rtl/>
        </w:rPr>
        <w:t xml:space="preserve">בין </w:t>
      </w:r>
      <w:r w:rsidRPr="00E303AD">
        <w:rPr>
          <w:rFonts w:ascii="David" w:eastAsia="Calibri" w:hAnsi="David" w:hint="cs"/>
          <w:b/>
          <w:bCs/>
          <w:sz w:val="24"/>
          <w:rtl/>
        </w:rPr>
        <w:t>פעולות האכיפה (קנסות מינהליים, תיקי חקירה והגשת כתבי אישום)</w:t>
      </w:r>
      <w:r w:rsidRPr="00E303AD">
        <w:rPr>
          <w:rFonts w:ascii="David" w:eastAsia="Calibri" w:hAnsi="David"/>
          <w:b/>
          <w:bCs/>
          <w:sz w:val="24"/>
          <w:rtl/>
        </w:rPr>
        <w:t xml:space="preserve">. </w:t>
      </w:r>
      <w:bookmarkStart w:id="134" w:name="_Hlk223622333"/>
      <w:r w:rsidRPr="00E303AD">
        <w:rPr>
          <w:rFonts w:ascii="David" w:eastAsia="Calibri" w:hAnsi="David" w:hint="cs"/>
          <w:b/>
          <w:bCs/>
          <w:sz w:val="24"/>
          <w:rtl/>
        </w:rPr>
        <w:t>עוד מוצע כי בשים לב לחומרת העבירות והפגיעות בקורבנות, שעלולות להגיע עד כדי חשש ממשי לחייהם, וכן לנוכח מחויבויותיה הבין-לאומיות של המדינה בנושא וההשפעות של הפרתן, ישקול צוות היגוי-על בראשות היועצת המשפטית לממשלה</w:t>
      </w:r>
      <w:r w:rsidRPr="00E303AD">
        <w:rPr>
          <w:rFonts w:eastAsia="Calibri" w:hint="cs"/>
          <w:b/>
          <w:bCs/>
          <w:rtl/>
        </w:rPr>
        <w:t xml:space="preserve"> אם לקבוע יעד אכיפה בעניין עבירות סחר בבני אדם ועבירות הנלוות להן וי</w:t>
      </w:r>
      <w:r w:rsidRPr="00E303AD">
        <w:rPr>
          <w:rFonts w:eastAsia="Calibri"/>
          <w:b/>
          <w:bCs/>
          <w:rtl/>
        </w:rPr>
        <w:t>פעל במסגרת תפקיד</w:t>
      </w:r>
      <w:r w:rsidRPr="00E303AD">
        <w:rPr>
          <w:rFonts w:eastAsia="Calibri" w:hint="cs"/>
          <w:b/>
          <w:bCs/>
          <w:rtl/>
        </w:rPr>
        <w:t>ו</w:t>
      </w:r>
      <w:r w:rsidRPr="00E303AD">
        <w:rPr>
          <w:rFonts w:eastAsia="Calibri"/>
          <w:b/>
          <w:bCs/>
          <w:rtl/>
        </w:rPr>
        <w:t xml:space="preserve"> </w:t>
      </w:r>
      <w:r w:rsidRPr="00E303AD">
        <w:rPr>
          <w:rFonts w:eastAsia="Calibri" w:hint="cs"/>
          <w:b/>
          <w:bCs/>
          <w:rtl/>
        </w:rPr>
        <w:t>לקידום אכיפה משולבת</w:t>
      </w:r>
      <w:r w:rsidRPr="00E303AD">
        <w:rPr>
          <w:rFonts w:eastAsia="Calibri"/>
          <w:b/>
          <w:bCs/>
          <w:rtl/>
        </w:rPr>
        <w:t xml:space="preserve"> </w:t>
      </w:r>
      <w:r w:rsidRPr="00E303AD">
        <w:rPr>
          <w:rFonts w:eastAsia="Calibri" w:hint="cs"/>
          <w:b/>
          <w:bCs/>
          <w:rtl/>
        </w:rPr>
        <w:t>בתחום זה בקרב</w:t>
      </w:r>
      <w:r w:rsidRPr="00E303AD">
        <w:rPr>
          <w:rFonts w:eastAsia="Calibri"/>
          <w:b/>
          <w:bCs/>
          <w:rtl/>
        </w:rPr>
        <w:t xml:space="preserve"> רשויות </w:t>
      </w:r>
      <w:r w:rsidRPr="00E303AD">
        <w:rPr>
          <w:rFonts w:eastAsia="Calibri" w:hint="cs"/>
          <w:b/>
          <w:bCs/>
          <w:rtl/>
        </w:rPr>
        <w:t>האכיפה השונות</w:t>
      </w:r>
      <w:bookmarkEnd w:id="134"/>
      <w:r>
        <w:rPr>
          <w:rFonts w:eastAsia="Calibri"/>
          <w:b/>
          <w:bCs/>
          <w:vertAlign w:val="superscript"/>
          <w:rtl/>
        </w:rPr>
        <w:footnoteReference w:id="111"/>
      </w:r>
      <w:r w:rsidRPr="00E303AD">
        <w:rPr>
          <w:rFonts w:ascii="David" w:eastAsia="Calibri" w:hAnsi="David" w:hint="cs"/>
          <w:b/>
          <w:bCs/>
          <w:sz w:val="24"/>
          <w:rtl/>
        </w:rPr>
        <w:t xml:space="preserve">. </w:t>
      </w:r>
      <w:r w:rsidRPr="00E303AD">
        <w:rPr>
          <w:rFonts w:ascii="David" w:eastAsia="Calibri" w:hAnsi="David"/>
          <w:b/>
          <w:bCs/>
          <w:sz w:val="24"/>
          <w:rtl/>
        </w:rPr>
        <w:t>יישום המלצות אלה יבטיח טיפול מיטבי ועקבי בתחום זה ו</w:t>
      </w:r>
      <w:r w:rsidRPr="00E303AD">
        <w:rPr>
          <w:rFonts w:ascii="David" w:eastAsia="Calibri" w:hAnsi="David" w:hint="cs"/>
          <w:b/>
          <w:bCs/>
          <w:sz w:val="24"/>
          <w:rtl/>
        </w:rPr>
        <w:t>ישפר</w:t>
      </w:r>
      <w:r w:rsidRPr="00E303AD">
        <w:rPr>
          <w:rFonts w:ascii="David" w:eastAsia="Calibri" w:hAnsi="David"/>
          <w:b/>
          <w:bCs/>
          <w:sz w:val="24"/>
          <w:rtl/>
        </w:rPr>
        <w:t xml:space="preserve"> את </w:t>
      </w:r>
      <w:r w:rsidRPr="00E303AD">
        <w:rPr>
          <w:rFonts w:ascii="David" w:eastAsia="Calibri" w:hAnsi="David" w:hint="cs"/>
          <w:b/>
          <w:bCs/>
          <w:sz w:val="24"/>
          <w:rtl/>
        </w:rPr>
        <w:t>ה</w:t>
      </w:r>
      <w:r w:rsidRPr="00E303AD">
        <w:rPr>
          <w:rFonts w:ascii="David" w:eastAsia="Calibri" w:hAnsi="David"/>
          <w:b/>
          <w:bCs/>
          <w:sz w:val="24"/>
          <w:rtl/>
        </w:rPr>
        <w:t xml:space="preserve">יכולת </w:t>
      </w:r>
      <w:r w:rsidRPr="00E303AD">
        <w:rPr>
          <w:rFonts w:ascii="David" w:eastAsia="Calibri" w:hAnsi="David" w:hint="cs"/>
          <w:b/>
          <w:bCs/>
          <w:sz w:val="24"/>
          <w:rtl/>
        </w:rPr>
        <w:t>ל</w:t>
      </w:r>
      <w:r w:rsidRPr="00E303AD">
        <w:rPr>
          <w:rFonts w:ascii="David" w:eastAsia="Calibri" w:hAnsi="David"/>
          <w:b/>
          <w:bCs/>
          <w:sz w:val="24"/>
          <w:rtl/>
        </w:rPr>
        <w:t>הרתע</w:t>
      </w:r>
      <w:r w:rsidRPr="00E303AD">
        <w:rPr>
          <w:rFonts w:ascii="David" w:eastAsia="Calibri" w:hAnsi="David" w:hint="cs"/>
          <w:b/>
          <w:bCs/>
          <w:sz w:val="24"/>
          <w:rtl/>
        </w:rPr>
        <w:t>ת עבריינים</w:t>
      </w:r>
      <w:r w:rsidRPr="00E303AD">
        <w:rPr>
          <w:rFonts w:ascii="David" w:eastAsia="Calibri" w:hAnsi="David"/>
          <w:b/>
          <w:bCs/>
          <w:sz w:val="24"/>
          <w:rtl/>
        </w:rPr>
        <w:t xml:space="preserve"> ו</w:t>
      </w:r>
      <w:r w:rsidRPr="00E303AD">
        <w:rPr>
          <w:rFonts w:ascii="David" w:eastAsia="Calibri" w:hAnsi="David" w:hint="cs"/>
          <w:b/>
          <w:bCs/>
          <w:sz w:val="24"/>
          <w:rtl/>
        </w:rPr>
        <w:t xml:space="preserve">את יכולת </w:t>
      </w:r>
      <w:r w:rsidRPr="00E303AD">
        <w:rPr>
          <w:rFonts w:ascii="David" w:eastAsia="Calibri" w:hAnsi="David"/>
          <w:b/>
          <w:bCs/>
          <w:sz w:val="24"/>
          <w:rtl/>
        </w:rPr>
        <w:t>ההגנה על הקורבנות</w:t>
      </w:r>
      <w:r w:rsidRPr="00E303AD">
        <w:rPr>
          <w:rFonts w:ascii="David" w:eastAsia="Calibri" w:hAnsi="David"/>
          <w:b/>
          <w:bCs/>
          <w:sz w:val="24"/>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בתשובת המשטרה נמסר כי </w:t>
      </w:r>
      <w:r w:rsidRPr="00E303AD">
        <w:rPr>
          <w:rFonts w:eastAsia="Calibri"/>
          <w:rtl/>
        </w:rPr>
        <w:t xml:space="preserve">לשם טיוב הטיפול בעבירות, </w:t>
      </w:r>
      <w:r w:rsidRPr="00E303AD">
        <w:rPr>
          <w:rFonts w:eastAsia="Calibri" w:hint="cs"/>
          <w:rtl/>
        </w:rPr>
        <w:t>חשוב לשפר את</w:t>
      </w:r>
      <w:r w:rsidRPr="00E303AD">
        <w:rPr>
          <w:rFonts w:eastAsia="Calibri"/>
          <w:rtl/>
        </w:rPr>
        <w:t xml:space="preserve"> הממשקים בין משטרת ישראל לפרקליטות</w:t>
      </w:r>
      <w:r w:rsidRPr="00E303AD">
        <w:rPr>
          <w:rFonts w:eastAsia="Calibri" w:hint="cs"/>
          <w:rtl/>
        </w:rPr>
        <w:t>,</w:t>
      </w:r>
      <w:r w:rsidRPr="00E303AD">
        <w:rPr>
          <w:rFonts w:eastAsia="Calibri"/>
          <w:rtl/>
        </w:rPr>
        <w:t xml:space="preserve"> </w:t>
      </w:r>
      <w:r w:rsidRPr="00E303AD">
        <w:rPr>
          <w:rFonts w:eastAsia="Calibri" w:hint="cs"/>
          <w:rtl/>
        </w:rPr>
        <w:t xml:space="preserve">וכי בעת שגרה </w:t>
      </w:r>
      <w:r w:rsidRPr="00E303AD">
        <w:rPr>
          <w:rFonts w:eastAsia="Calibri"/>
          <w:rtl/>
        </w:rPr>
        <w:t xml:space="preserve">מתקיימות </w:t>
      </w:r>
      <w:r w:rsidRPr="00E303AD">
        <w:rPr>
          <w:rFonts w:eastAsia="Calibri" w:hint="cs"/>
          <w:rtl/>
        </w:rPr>
        <w:t xml:space="preserve">הן </w:t>
      </w:r>
      <w:r w:rsidRPr="00E303AD">
        <w:rPr>
          <w:rFonts w:eastAsia="Calibri"/>
          <w:rtl/>
        </w:rPr>
        <w:t xml:space="preserve">התייעצויות </w:t>
      </w:r>
      <w:r w:rsidRPr="00E303AD">
        <w:rPr>
          <w:rFonts w:eastAsia="Calibri" w:hint="cs"/>
          <w:rtl/>
        </w:rPr>
        <w:t xml:space="preserve">בין </w:t>
      </w:r>
      <w:r w:rsidRPr="00E303AD">
        <w:rPr>
          <w:rFonts w:eastAsia="Calibri"/>
          <w:rtl/>
        </w:rPr>
        <w:t>ר</w:t>
      </w:r>
      <w:r w:rsidRPr="00E303AD">
        <w:rPr>
          <w:rFonts w:eastAsia="Calibri" w:hint="cs"/>
          <w:rtl/>
        </w:rPr>
        <w:t>אש</w:t>
      </w:r>
      <w:r w:rsidRPr="00E303AD">
        <w:rPr>
          <w:rFonts w:eastAsia="Calibri"/>
          <w:rtl/>
        </w:rPr>
        <w:t xml:space="preserve"> חו</w:t>
      </w:r>
      <w:r w:rsidRPr="00E303AD">
        <w:rPr>
          <w:rFonts w:eastAsia="Calibri" w:hint="cs"/>
          <w:rtl/>
        </w:rPr>
        <w:t>ליית</w:t>
      </w:r>
      <w:r w:rsidRPr="00E303AD">
        <w:rPr>
          <w:rFonts w:eastAsia="Calibri"/>
          <w:rtl/>
        </w:rPr>
        <w:t xml:space="preserve"> סחר בבני אדם </w:t>
      </w:r>
      <w:r w:rsidRPr="00E303AD">
        <w:rPr>
          <w:rFonts w:eastAsia="Calibri" w:hint="cs"/>
          <w:rtl/>
        </w:rPr>
        <w:t>ל</w:t>
      </w:r>
      <w:r w:rsidRPr="00E303AD">
        <w:rPr>
          <w:rFonts w:eastAsia="Calibri"/>
          <w:rtl/>
        </w:rPr>
        <w:t xml:space="preserve">רפרנטיות הארציות בתחום בפרקליטות והן </w:t>
      </w:r>
      <w:r w:rsidRPr="00E303AD">
        <w:rPr>
          <w:rFonts w:eastAsia="Calibri" w:hint="cs"/>
          <w:rtl/>
        </w:rPr>
        <w:t xml:space="preserve">התייעצויות </w:t>
      </w:r>
      <w:r w:rsidRPr="00E303AD">
        <w:rPr>
          <w:rFonts w:eastAsia="Calibri"/>
          <w:rtl/>
        </w:rPr>
        <w:t>ברמה המחוזית. מעבר לכך, מתקיימים מפגשי עבודה עיתיים לשם מעקב אחרי התיקים המתנהלים. כמו כן, בשנת 2025 ובתחילת</w:t>
      </w:r>
      <w:r w:rsidRPr="00E303AD">
        <w:rPr>
          <w:rFonts w:eastAsia="Calibri" w:hint="cs"/>
          <w:rtl/>
        </w:rPr>
        <w:t xml:space="preserve"> שנת</w:t>
      </w:r>
      <w:r w:rsidRPr="00E303AD">
        <w:rPr>
          <w:rFonts w:eastAsia="Calibri"/>
          <w:rtl/>
        </w:rPr>
        <w:t xml:space="preserve"> 2026 התקיימו מפגשים של פורום הרפרנטים לתחום הסחר בבני אדם של הפרקליטות והמשטרה, </w:t>
      </w:r>
      <w:r w:rsidRPr="00E303AD">
        <w:rPr>
          <w:rFonts w:eastAsia="Calibri" w:hint="cs"/>
          <w:rtl/>
        </w:rPr>
        <w:t>ו</w:t>
      </w:r>
      <w:r w:rsidRPr="00E303AD">
        <w:rPr>
          <w:rFonts w:eastAsia="Calibri"/>
          <w:rtl/>
        </w:rPr>
        <w:t xml:space="preserve">הוצגו </w:t>
      </w:r>
      <w:r w:rsidRPr="00E303AD">
        <w:rPr>
          <w:rFonts w:eastAsia="Calibri" w:hint="cs"/>
          <w:rtl/>
        </w:rPr>
        <w:t xml:space="preserve">בהם </w:t>
      </w:r>
      <w:r w:rsidRPr="00E303AD">
        <w:rPr>
          <w:rFonts w:eastAsia="Calibri"/>
          <w:rtl/>
        </w:rPr>
        <w:t>תיקי חקירה תוך דיון</w:t>
      </w:r>
      <w:r w:rsidRPr="00E303AD">
        <w:rPr>
          <w:rFonts w:eastAsia="Calibri" w:hint="cs"/>
          <w:rtl/>
        </w:rPr>
        <w:t>, בין היתר,</w:t>
      </w:r>
      <w:r w:rsidRPr="00E303AD">
        <w:rPr>
          <w:rFonts w:eastAsia="Calibri"/>
          <w:rtl/>
        </w:rPr>
        <w:t xml:space="preserve"> באתגרים ש</w:t>
      </w:r>
      <w:r w:rsidRPr="00E303AD">
        <w:rPr>
          <w:rFonts w:eastAsia="Calibri" w:hint="cs"/>
          <w:rtl/>
        </w:rPr>
        <w:t>היו כרוכים בהם</w:t>
      </w:r>
      <w:r w:rsidRPr="00E303AD">
        <w:rPr>
          <w:rFonts w:eastAsia="Calibri"/>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בתשובת משרד המשפטים לעניין ביצוע המיפוי והניתוח של הפערים צוין כי הפרקליטות אינה מתנגדת להמלצה. לעניין ההמלצה לקבוע יעדי אכיפה ולקדם אכיפה משולבת צוין כי הנושא יועלה לדיון בצוות המכין לצוות-העל באחת מישיבותיו הקרובות, ובהתאם למסקנות הדיון יובא העניין לפני צוות-העל. </w:t>
      </w:r>
    </w:p>
    <w:p w:rsidR="00E303AD" w:rsidRPr="00E303AD" w:rsidP="00E303AD">
      <w:pPr>
        <w:spacing w:line="269" w:lineRule="auto"/>
        <w:rPr>
          <w:rFonts w:eastAsia="Calibri"/>
          <w:rtl/>
        </w:rPr>
      </w:pPr>
      <w:r w:rsidRPr="00E303AD">
        <w:rPr>
          <w:rFonts w:ascii="David" w:eastAsia="Calibri" w:hAnsi="David"/>
          <w:b/>
          <w:bCs/>
          <w:noProof/>
          <w:sz w:val="24"/>
          <w:rtl/>
          <w:lang w:val="he-IL"/>
        </w:rPr>
        <mc:AlternateContent>
          <mc:Choice Requires="wpg">
            <w:drawing>
              <wp:anchor distT="0" distB="0" distL="114300" distR="114300" simplePos="0" relativeHeight="251672576" behindDoc="0" locked="0" layoutInCell="1" allowOverlap="1">
                <wp:simplePos x="0" y="0"/>
                <wp:positionH relativeFrom="margin">
                  <wp:align>center</wp:align>
                </wp:positionH>
                <wp:positionV relativeFrom="paragraph">
                  <wp:posOffset>151765</wp:posOffset>
                </wp:positionV>
                <wp:extent cx="5310505" cy="1156832"/>
                <wp:effectExtent l="0" t="0" r="4445" b="5715"/>
                <wp:wrapNone/>
                <wp:docPr id="53" name="קבוצה 53"/>
                <wp:cNvGraphicFramePr/>
                <a:graphic xmlns:a="http://schemas.openxmlformats.org/drawingml/2006/main">
                  <a:graphicData uri="http://schemas.microsoft.com/office/word/2010/wordprocessingGroup">
                    <wpg:wgp xmlns:wpg="http://schemas.microsoft.com/office/word/2010/wordprocessingGroup">
                      <wpg:cNvGrpSpPr/>
                      <wpg:grpSpPr>
                        <a:xfrm>
                          <a:off x="0" y="0"/>
                          <a:ext cx="5310505" cy="1156832"/>
                          <a:chOff x="0" y="0"/>
                          <a:chExt cx="5310505" cy="1156832"/>
                        </a:xfrm>
                      </wpg:grpSpPr>
                      <pic:pic xmlns:pic="http://schemas.openxmlformats.org/drawingml/2006/picture">
                        <pic:nvPicPr>
                          <pic:cNvPr id="55" name="table"/>
                          <pic:cNvPicPr>
                            <a:picLocks noChangeAspect="1"/>
                          </pic:cNvPicPr>
                        </pic:nvPicPr>
                        <pic:blipFill>
                          <a:blip xmlns:r="http://schemas.openxmlformats.org/officeDocument/2006/relationships" r:embed="rId30"/>
                          <a:stretch>
                            <a:fillRect/>
                          </a:stretch>
                        </pic:blipFill>
                        <pic:spPr>
                          <a:xfrm>
                            <a:off x="0" y="103367"/>
                            <a:ext cx="5310505" cy="1053465"/>
                          </a:xfrm>
                          <a:prstGeom prst="rect">
                            <a:avLst/>
                          </a:prstGeom>
                        </pic:spPr>
                      </pic:pic>
                      <wpg:grpSp>
                        <wpg:cNvPr id="56" name="קבוצה 22"/>
                        <wpg:cNvGrpSpPr/>
                        <wpg:grpSpPr>
                          <a:xfrm>
                            <a:off x="2472856" y="0"/>
                            <a:ext cx="271463" cy="266700"/>
                            <a:chOff x="0" y="0"/>
                            <a:chExt cx="1781175" cy="1781175"/>
                          </a:xfrm>
                        </wpg:grpSpPr>
                        <pic:pic xmlns:pic="http://schemas.openxmlformats.org/drawingml/2006/picture">
                          <pic:nvPicPr>
                            <pic:cNvPr id="57" name="תמונה 57"/>
                            <pic:cNvPicPr>
                              <a:picLocks noChangeAspect="1"/>
                            </pic:cNvPicPr>
                          </pic:nvPicPr>
                          <pic:blipFill>
                            <a:blip xmlns:r="http://schemas.openxmlformats.org/officeDocument/2006/relationships" r:embed="rId9">
                              <a:clrChange>
                                <a:clrFrom>
                                  <a:srgbClr val="FFFFFF"/>
                                </a:clrFrom>
                                <a:clrTo>
                                  <a:srgbClr val="FFFFFF">
                                    <a:alpha val="0"/>
                                  </a:srgbClr>
                                </a:clrTo>
                              </a:clrChange>
                            </a:blip>
                            <a:stretch>
                              <a:fillRect/>
                            </a:stretch>
                          </pic:blipFill>
                          <pic:spPr>
                            <a:xfrm>
                              <a:off x="0" y="0"/>
                              <a:ext cx="1781175" cy="1781175"/>
                            </a:xfrm>
                            <a:prstGeom prst="rect">
                              <a:avLst/>
                            </a:prstGeom>
                          </pic:spPr>
                        </pic:pic>
                        <pic:pic xmlns:pic="http://schemas.openxmlformats.org/drawingml/2006/picture">
                          <pic:nvPicPr>
                            <pic:cNvPr id="58" name="תמונה 58"/>
                            <pic:cNvPicPr>
                              <a:picLocks noChangeAspect="1"/>
                            </pic:cNvPicPr>
                          </pic:nvPicPr>
                          <pic:blipFill>
                            <a:blip xmlns:r="http://schemas.openxmlformats.org/officeDocument/2006/relationships" r:embed="rId10"/>
                            <a:srcRect l="16969" t="20795" r="16969" b="20795"/>
                            <a:stretch>
                              <a:fillRect/>
                            </a:stretch>
                          </pic:blipFill>
                          <pic:spPr>
                            <a:xfrm>
                              <a:off x="302249" y="371444"/>
                              <a:ext cx="1176676" cy="1040392"/>
                            </a:xfrm>
                            <a:prstGeom prst="rect">
                              <a:avLst/>
                            </a:prstGeom>
                          </pic:spPr>
                        </pic:pic>
                      </wpg:grpSp>
                    </wpg:wgp>
                  </a:graphicData>
                </a:graphic>
              </wp:anchor>
            </w:drawing>
          </mc:Choice>
          <mc:Fallback>
            <w:pict>
              <v:group id="קבוצה 53" o:spid="_x0000_s1063" style="width:418.15pt;height:91.1pt;margin-top:11.95pt;margin-left:0;mso-position-horizontal:center;mso-position-horizontal-relative:margin;position:absolute;z-index:251673600" coordsize="53105,11568">
                <v:shape id="table" o:spid="_x0000_s1064" type="#_x0000_t75" style="width:53105;height:10535;mso-wrap-style:square;position:absolute;top:1033;visibility:visible">
                  <v:imagedata r:id="rId30" o:title=""/>
                </v:shape>
                <v:group id="קבוצה 22" o:spid="_x0000_s1065" style="width:2715;height:2667;left:24728;position:absolute" coordsize="17811,17811">
                  <v:shape id="תמונה 57" o:spid="_x0000_s1066" type="#_x0000_t75" style="width:17811;height:17811;mso-wrap-style:square;position:absolute;visibility:visible">
                    <v:imagedata r:id="rId9" o:title="" chromakey="white"/>
                  </v:shape>
                  <v:shape id="תמונה 58" o:spid="_x0000_s1067" type="#_x0000_t75" style="width:11767;height:10404;left:3022;mso-wrap-style:square;position:absolute;top:3714;visibility:visible">
                    <v:imagedata r:id="rId10" o:title="" croptop="13628f" cropbottom="13628f" cropleft="11121f" cropright="11121f"/>
                  </v:shape>
                </v:group>
                <w10:wrap anchorx="margin"/>
              </v:group>
            </w:pict>
          </mc:Fallback>
        </mc:AlternateContent>
      </w:r>
    </w:p>
    <w:p w:rsidR="00E303AD" w:rsidRPr="00E303AD" w:rsidP="00E303AD">
      <w:pPr>
        <w:spacing w:line="269" w:lineRule="auto"/>
        <w:rPr>
          <w:rFonts w:ascii="David" w:eastAsia="Calibri" w:hAnsi="David"/>
          <w:b/>
          <w:bCs/>
          <w:sz w:val="24"/>
          <w:rtl/>
        </w:rPr>
      </w:pPr>
    </w:p>
    <w:p w:rsidR="00E303AD" w:rsidRPr="00E303AD" w:rsidP="00E303AD">
      <w:pPr>
        <w:spacing w:line="269" w:lineRule="auto"/>
        <w:rPr>
          <w:rFonts w:ascii="David" w:eastAsia="Calibri" w:hAnsi="David"/>
          <w:b/>
          <w:bCs/>
          <w:sz w:val="24"/>
          <w:rtl/>
        </w:rPr>
      </w:pPr>
    </w:p>
    <w:p w:rsidR="00E303AD" w:rsidRPr="00E303AD" w:rsidP="00E303AD">
      <w:pPr>
        <w:spacing w:line="269" w:lineRule="auto"/>
        <w:rPr>
          <w:rFonts w:eastAsia="Times New Roman"/>
          <w:bCs/>
          <w:szCs w:val="32"/>
          <w:rtl/>
        </w:rPr>
      </w:pPr>
      <w:bookmarkStart w:id="136" w:name="_Toc221474985"/>
    </w:p>
    <w:p w:rsidR="00E303AD" w:rsidRPr="00E303AD" w:rsidP="00E303AD">
      <w:pPr>
        <w:spacing w:line="269" w:lineRule="auto"/>
        <w:rPr>
          <w:rFonts w:eastAsia="Calibri"/>
          <w:rtl/>
        </w:rPr>
      </w:pPr>
      <w:bookmarkStart w:id="137" w:name="_Toc224808293"/>
    </w:p>
    <w:p w:rsidR="00E303AD" w:rsidRPr="00E303AD" w:rsidP="00E303AD">
      <w:pPr>
        <w:spacing w:line="269" w:lineRule="auto"/>
        <w:rPr>
          <w:rFonts w:eastAsia="Calibri"/>
          <w:rtl/>
        </w:rPr>
      </w:pPr>
    </w:p>
    <w:p w:rsidR="00E303AD" w:rsidRPr="00E303AD" w:rsidP="00E303AD">
      <w:pPr>
        <w:spacing w:line="269" w:lineRule="auto"/>
        <w:rPr>
          <w:rFonts w:eastAsia="Calibri"/>
          <w:rtl/>
        </w:rPr>
      </w:pPr>
    </w:p>
    <w:p w:rsidR="00E303AD" w:rsidRPr="00522B30" w:rsidP="00522B30">
      <w:pPr>
        <w:spacing w:line="269" w:lineRule="auto"/>
        <w:rPr>
          <w:rFonts w:eastAsia="Calibri"/>
          <w:rtl/>
        </w:rPr>
      </w:pPr>
      <w:bookmarkStart w:id="138" w:name="_Toc232696567"/>
    </w:p>
    <w:p w:rsidR="00E303AD" w:rsidRPr="00801B1E" w:rsidP="00801B1E">
      <w:pPr>
        <w:spacing w:line="269" w:lineRule="auto"/>
        <w:rPr>
          <w:rFonts w:eastAsia="Calibri"/>
          <w:rtl/>
        </w:rPr>
      </w:pPr>
    </w:p>
    <w:p w:rsidR="00E303AD" w:rsidRPr="00E303AD" w:rsidP="00E303AD">
      <w:pPr>
        <w:keepNext/>
        <w:keepLines/>
        <w:spacing w:line="269" w:lineRule="auto"/>
        <w:jc w:val="center"/>
        <w:outlineLvl w:val="1"/>
        <w:rPr>
          <w:rFonts w:eastAsia="Times New Roman"/>
          <w:bCs/>
          <w:szCs w:val="32"/>
          <w:rtl/>
        </w:rPr>
      </w:pPr>
      <w:r w:rsidRPr="00E303AD">
        <w:rPr>
          <w:rFonts w:eastAsia="Times New Roman" w:hint="eastAsia"/>
          <w:bCs/>
          <w:szCs w:val="32"/>
          <w:rtl/>
        </w:rPr>
        <w:t>הטיפול</w:t>
      </w:r>
      <w:r w:rsidRPr="00E303AD">
        <w:rPr>
          <w:rFonts w:eastAsia="Times New Roman"/>
          <w:bCs/>
          <w:szCs w:val="32"/>
          <w:rtl/>
        </w:rPr>
        <w:t xml:space="preserve"> </w:t>
      </w:r>
      <w:r w:rsidRPr="00E303AD">
        <w:rPr>
          <w:rFonts w:eastAsia="Times New Roman" w:hint="eastAsia"/>
          <w:bCs/>
          <w:szCs w:val="32"/>
          <w:rtl/>
        </w:rPr>
        <w:t>באשרות</w:t>
      </w:r>
      <w:r w:rsidRPr="00E303AD">
        <w:rPr>
          <w:rFonts w:eastAsia="Times New Roman"/>
          <w:bCs/>
          <w:szCs w:val="32"/>
          <w:rtl/>
        </w:rPr>
        <w:t xml:space="preserve"> </w:t>
      </w:r>
      <w:r w:rsidRPr="00E303AD">
        <w:rPr>
          <w:rFonts w:eastAsia="Times New Roman" w:hint="eastAsia"/>
          <w:bCs/>
          <w:szCs w:val="32"/>
          <w:rtl/>
        </w:rPr>
        <w:t>של</w:t>
      </w:r>
      <w:r w:rsidRPr="00E303AD">
        <w:rPr>
          <w:rFonts w:eastAsia="Times New Roman"/>
          <w:bCs/>
          <w:szCs w:val="32"/>
          <w:rtl/>
        </w:rPr>
        <w:t xml:space="preserve"> </w:t>
      </w:r>
      <w:r w:rsidRPr="00E303AD">
        <w:rPr>
          <w:rFonts w:eastAsia="Times New Roman" w:hint="eastAsia"/>
          <w:bCs/>
          <w:szCs w:val="32"/>
          <w:rtl/>
        </w:rPr>
        <w:t>קורבנות</w:t>
      </w:r>
      <w:r w:rsidRPr="00E303AD">
        <w:rPr>
          <w:rFonts w:eastAsia="Times New Roman" w:hint="cs"/>
          <w:bCs/>
          <w:szCs w:val="32"/>
          <w:rtl/>
        </w:rPr>
        <w:t xml:space="preserve"> סחר בבני אדם</w:t>
      </w:r>
      <w:bookmarkEnd w:id="136"/>
      <w:bookmarkEnd w:id="137"/>
      <w:r w:rsidRPr="00E303AD">
        <w:rPr>
          <w:rFonts w:eastAsia="Times New Roman" w:hint="cs"/>
          <w:bCs/>
          <w:szCs w:val="32"/>
          <w:rtl/>
        </w:rPr>
        <w:t xml:space="preserve"> למטרות זנות</w:t>
      </w:r>
      <w:bookmarkEnd w:id="138"/>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szCs w:val="20"/>
          <w:rtl/>
        </w:rPr>
      </w:pPr>
      <w:r w:rsidRPr="00E303AD">
        <w:rPr>
          <w:rFonts w:eastAsia="Calibri"/>
          <w:rtl/>
        </w:rPr>
        <w:t xml:space="preserve">ההכרה הרשמית בקורבן סחר בבני אדם היא תנאי הכרחי להבטחת זכויותיו והגנותיו, </w:t>
      </w:r>
      <w:r w:rsidRPr="00E303AD">
        <w:rPr>
          <w:rFonts w:eastAsia="Calibri" w:hint="cs"/>
          <w:rtl/>
        </w:rPr>
        <w:t>וכן תנאי הכרחי</w:t>
      </w:r>
      <w:r w:rsidRPr="00E303AD">
        <w:rPr>
          <w:rFonts w:eastAsia="Calibri"/>
          <w:rtl/>
        </w:rPr>
        <w:t xml:space="preserve"> למתן טיפול הולם ומיידי. ההכרה מאפשרת </w:t>
      </w:r>
      <w:r w:rsidRPr="00E303AD">
        <w:rPr>
          <w:rFonts w:eastAsia="Calibri" w:hint="cs"/>
          <w:rtl/>
        </w:rPr>
        <w:t xml:space="preserve">לקורבן לקבל </w:t>
      </w:r>
      <w:r w:rsidRPr="00E303AD">
        <w:rPr>
          <w:rFonts w:eastAsia="Calibri"/>
          <w:rtl/>
        </w:rPr>
        <w:t>מענה משפטי, חברתי ובריאותי ומסייעת לש</w:t>
      </w:r>
      <w:r w:rsidRPr="00E303AD">
        <w:rPr>
          <w:rFonts w:eastAsia="Calibri" w:hint="cs"/>
          <w:rtl/>
        </w:rPr>
        <w:t>י</w:t>
      </w:r>
      <w:r w:rsidRPr="00E303AD">
        <w:rPr>
          <w:rFonts w:eastAsia="Calibri"/>
          <w:rtl/>
        </w:rPr>
        <w:t>ת</w:t>
      </w:r>
      <w:r w:rsidRPr="00E303AD">
        <w:rPr>
          <w:rFonts w:eastAsia="Calibri" w:hint="cs"/>
          <w:rtl/>
        </w:rPr>
        <w:t>ו</w:t>
      </w:r>
      <w:r w:rsidRPr="00E303AD">
        <w:rPr>
          <w:rFonts w:eastAsia="Calibri"/>
          <w:rtl/>
        </w:rPr>
        <w:t xml:space="preserve">ף </w:t>
      </w:r>
      <w:r w:rsidRPr="00E303AD">
        <w:rPr>
          <w:rFonts w:eastAsia="Calibri" w:hint="cs"/>
          <w:rtl/>
        </w:rPr>
        <w:t>ה</w:t>
      </w:r>
      <w:r w:rsidRPr="00E303AD">
        <w:rPr>
          <w:rFonts w:eastAsia="Calibri"/>
          <w:rtl/>
        </w:rPr>
        <w:t xml:space="preserve">פעולה בין הגורמים השונים המעורבים בתהליך. </w:t>
      </w:r>
      <w:r w:rsidRPr="00E303AD">
        <w:rPr>
          <w:rFonts w:eastAsia="Calibri" w:hint="cs"/>
          <w:rtl/>
        </w:rPr>
        <w:t>כמו כן</w:t>
      </w:r>
      <w:r w:rsidRPr="00E303AD">
        <w:rPr>
          <w:rFonts w:eastAsia="Calibri"/>
          <w:rtl/>
        </w:rPr>
        <w:t>, היא חיונית לקידום הליכים פליליים ולהצגת תמונ</w:t>
      </w:r>
      <w:r w:rsidRPr="00E303AD">
        <w:rPr>
          <w:rFonts w:eastAsia="Calibri" w:hint="cs"/>
          <w:rtl/>
        </w:rPr>
        <w:t>ת מצב</w:t>
      </w:r>
      <w:r w:rsidRPr="00E303AD">
        <w:rPr>
          <w:rFonts w:eastAsia="Calibri"/>
          <w:rtl/>
        </w:rPr>
        <w:t xml:space="preserve"> מדויקת </w:t>
      </w:r>
      <w:r w:rsidRPr="00E303AD">
        <w:rPr>
          <w:rFonts w:eastAsia="Calibri" w:hint="cs"/>
          <w:rtl/>
        </w:rPr>
        <w:t>ע</w:t>
      </w:r>
      <w:r w:rsidRPr="00E303AD">
        <w:rPr>
          <w:rFonts w:eastAsia="Calibri"/>
          <w:rtl/>
        </w:rPr>
        <w:t xml:space="preserve">ל היקף התופעה, </w:t>
      </w:r>
      <w:r w:rsidRPr="00E303AD">
        <w:rPr>
          <w:rFonts w:eastAsia="Calibri" w:hint="cs"/>
          <w:rtl/>
        </w:rPr>
        <w:t>כדי לשפר</w:t>
      </w:r>
      <w:r w:rsidRPr="00E303AD">
        <w:rPr>
          <w:rFonts w:eastAsia="Calibri"/>
          <w:rtl/>
        </w:rPr>
        <w:t xml:space="preserve"> את יכולת המדינה להתמודד </w:t>
      </w:r>
      <w:r w:rsidRPr="00E303AD">
        <w:rPr>
          <w:rFonts w:eastAsia="Calibri" w:hint="cs"/>
          <w:rtl/>
        </w:rPr>
        <w:t>עם תופעה זו. בשנים 2022 - 2024 הוכרו בישראל 316 קורבנות סחר בבני אדם</w:t>
      </w:r>
      <w:r>
        <w:rPr>
          <w:rFonts w:eastAsia="Calibri"/>
          <w:vertAlign w:val="superscript"/>
          <w:rtl/>
        </w:rPr>
        <w:footnoteReference w:id="112"/>
      </w:r>
      <w:r w:rsidRPr="00E303AD">
        <w:rPr>
          <w:rFonts w:eastAsia="Calibri"/>
          <w:rtl/>
        </w:rPr>
        <w:t>.</w:t>
      </w:r>
      <w:r w:rsidRPr="00E303AD">
        <w:rPr>
          <w:rFonts w:eastAsia="Calibri" w:hint="cs"/>
          <w:szCs w:val="20"/>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 xml:space="preserve">הזיהוי </w:t>
      </w:r>
      <w:r w:rsidRPr="00E303AD">
        <w:rPr>
          <w:rFonts w:eastAsia="Calibri" w:hint="cs"/>
          <w:rtl/>
        </w:rPr>
        <w:t xml:space="preserve">של </w:t>
      </w:r>
      <w:r w:rsidRPr="00E303AD">
        <w:rPr>
          <w:rFonts w:eastAsia="Calibri"/>
          <w:rtl/>
        </w:rPr>
        <w:t xml:space="preserve">קורבנות סחר בבני אדם </w:t>
      </w:r>
      <w:r w:rsidRPr="00E303AD">
        <w:rPr>
          <w:rFonts w:eastAsia="Calibri" w:hint="cs"/>
          <w:rtl/>
        </w:rPr>
        <w:t>והטיפול בהם נחלקים לכמה</w:t>
      </w:r>
      <w:r w:rsidRPr="00E303AD">
        <w:rPr>
          <w:rFonts w:eastAsia="Calibri"/>
          <w:rtl/>
        </w:rPr>
        <w:t xml:space="preserve"> שלבים ו</w:t>
      </w:r>
      <w:r w:rsidRPr="00E303AD">
        <w:rPr>
          <w:rFonts w:eastAsia="Calibri" w:hint="cs"/>
          <w:rtl/>
        </w:rPr>
        <w:t>מחייבים</w:t>
      </w:r>
      <w:r w:rsidRPr="00E303AD">
        <w:rPr>
          <w:rFonts w:eastAsia="Calibri"/>
          <w:rtl/>
        </w:rPr>
        <w:t xml:space="preserve"> שיתוף פעולה בין הגורמים השונים המעורבים</w:t>
      </w:r>
      <w:r w:rsidRPr="00E303AD">
        <w:rPr>
          <w:rFonts w:eastAsia="Calibri" w:hint="cs"/>
          <w:rtl/>
        </w:rPr>
        <w:t>,</w:t>
      </w:r>
      <w:r w:rsidRPr="00E303AD">
        <w:rPr>
          <w:rFonts w:eastAsia="Calibri"/>
          <w:rtl/>
        </w:rPr>
        <w:t xml:space="preserve"> </w:t>
      </w:r>
      <w:r w:rsidRPr="00E303AD">
        <w:rPr>
          <w:rFonts w:eastAsia="Calibri" w:hint="cs"/>
          <w:rtl/>
        </w:rPr>
        <w:t>ובהם</w:t>
      </w:r>
      <w:r>
        <w:rPr>
          <w:rFonts w:eastAsia="Calibri"/>
          <w:vertAlign w:val="superscript"/>
          <w:rtl/>
        </w:rPr>
        <w:footnoteReference w:id="113"/>
      </w:r>
      <w:r w:rsidRPr="00E303AD">
        <w:rPr>
          <w:rFonts w:eastAsia="Calibri" w:hint="cs"/>
          <w:rtl/>
        </w:rPr>
        <w:t>:</w:t>
      </w:r>
      <w:r w:rsidRPr="00E303AD">
        <w:rPr>
          <w:rFonts w:eastAsia="Calibri"/>
          <w:rtl/>
        </w:rPr>
        <w:t xml:space="preserve"> גורמי רווחה, רשויות האכיפה, משרד המשפטים, רשות </w:t>
      </w:r>
      <w:r w:rsidRPr="00E303AD">
        <w:rPr>
          <w:rFonts w:eastAsia="Calibri"/>
          <w:rtl/>
        </w:rPr>
        <w:t>האוכלוסין, מערכת הבריאות וארגוני סיוע</w:t>
      </w:r>
      <w:r w:rsidRPr="00E303AD">
        <w:rPr>
          <w:rFonts w:eastAsia="Calibri" w:hint="cs"/>
          <w:rtl/>
        </w:rPr>
        <w:t xml:space="preserve"> -</w:t>
      </w:r>
      <w:r w:rsidRPr="00E303AD">
        <w:rPr>
          <w:rFonts w:eastAsia="Calibri"/>
          <w:rtl/>
        </w:rPr>
        <w:t xml:space="preserve"> </w:t>
      </w:r>
      <w:r w:rsidRPr="00E303AD">
        <w:rPr>
          <w:rFonts w:eastAsia="Calibri" w:hint="cs"/>
          <w:rtl/>
        </w:rPr>
        <w:t>כדי</w:t>
      </w:r>
      <w:r w:rsidRPr="00E303AD">
        <w:rPr>
          <w:rFonts w:eastAsia="Calibri"/>
          <w:rtl/>
        </w:rPr>
        <w:t xml:space="preserve"> להבטיח מענה מיטבי, מהיר ויעיל לקורבנות הסחר בבני אדם</w:t>
      </w:r>
      <w:r w:rsidRPr="00E303AD">
        <w:rPr>
          <w:rFonts w:eastAsia="Calibri"/>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eastAsia"/>
          <w:rtl/>
        </w:rPr>
        <w:t>הליך</w:t>
      </w:r>
      <w:r w:rsidRPr="00E303AD">
        <w:rPr>
          <w:rFonts w:eastAsia="Calibri"/>
          <w:rtl/>
        </w:rPr>
        <w:t xml:space="preserve"> ההכרה </w:t>
      </w:r>
      <w:r w:rsidRPr="00E303AD">
        <w:rPr>
          <w:rFonts w:eastAsia="Calibri" w:hint="cs"/>
          <w:rtl/>
        </w:rPr>
        <w:t>ב</w:t>
      </w:r>
      <w:r w:rsidRPr="00E303AD">
        <w:rPr>
          <w:rFonts w:eastAsia="Calibri"/>
          <w:rtl/>
        </w:rPr>
        <w:t>ק</w:t>
      </w:r>
      <w:r w:rsidRPr="00E303AD">
        <w:rPr>
          <w:rFonts w:eastAsia="Calibri" w:hint="cs"/>
          <w:rtl/>
        </w:rPr>
        <w:t>ו</w:t>
      </w:r>
      <w:r w:rsidRPr="00E303AD">
        <w:rPr>
          <w:rFonts w:eastAsia="Calibri"/>
          <w:rtl/>
        </w:rPr>
        <w:t>רבן סח</w:t>
      </w:r>
      <w:r w:rsidRPr="00E303AD">
        <w:rPr>
          <w:rFonts w:eastAsia="Calibri" w:hint="cs"/>
          <w:rtl/>
        </w:rPr>
        <w:t xml:space="preserve">ר: </w:t>
      </w:r>
      <w:r w:rsidRPr="00E303AD">
        <w:rPr>
          <w:rFonts w:eastAsia="Calibri"/>
          <w:rtl/>
        </w:rPr>
        <w:t>ראשית, מתבצע זיהוי של הקורבן על ידי הרשויות, עמותות או ב</w:t>
      </w:r>
      <w:r w:rsidRPr="00E303AD">
        <w:rPr>
          <w:rFonts w:eastAsia="Calibri" w:hint="cs"/>
          <w:rtl/>
        </w:rPr>
        <w:t xml:space="preserve">אמצעות </w:t>
      </w:r>
      <w:r w:rsidRPr="00E303AD">
        <w:rPr>
          <w:rFonts w:eastAsia="Calibri"/>
          <w:rtl/>
        </w:rPr>
        <w:t>פנייה עצמ</w:t>
      </w:r>
      <w:r w:rsidRPr="00E303AD">
        <w:rPr>
          <w:rFonts w:eastAsia="Calibri" w:hint="cs"/>
          <w:rtl/>
        </w:rPr>
        <w:t>א</w:t>
      </w:r>
      <w:r w:rsidRPr="00E303AD">
        <w:rPr>
          <w:rFonts w:eastAsia="Calibri"/>
          <w:rtl/>
        </w:rPr>
        <w:t>ית</w:t>
      </w:r>
      <w:r w:rsidRPr="00E303AD">
        <w:rPr>
          <w:rFonts w:eastAsia="Calibri" w:hint="cs"/>
          <w:rtl/>
        </w:rPr>
        <w:t xml:space="preserve"> ללשכות</w:t>
      </w:r>
      <w:r w:rsidRPr="00E303AD">
        <w:rPr>
          <w:rFonts w:eastAsia="Calibri"/>
          <w:rtl/>
        </w:rPr>
        <w:t xml:space="preserve">. סמכות ההכרה </w:t>
      </w:r>
      <w:r w:rsidRPr="00E303AD">
        <w:rPr>
          <w:rFonts w:eastAsia="Calibri" w:hint="cs"/>
          <w:rtl/>
        </w:rPr>
        <w:t xml:space="preserve">בקורבן סחר בבני אדם </w:t>
      </w:r>
      <w:r w:rsidRPr="00E303AD">
        <w:rPr>
          <w:rFonts w:eastAsia="Calibri"/>
          <w:rtl/>
        </w:rPr>
        <w:t>נתונה למתאמת</w:t>
      </w:r>
      <w:r>
        <w:rPr>
          <w:rFonts w:eastAsia="Calibri"/>
          <w:vertAlign w:val="superscript"/>
          <w:rtl/>
        </w:rPr>
        <w:footnoteReference w:id="114"/>
      </w:r>
      <w:r w:rsidRPr="00E303AD">
        <w:rPr>
          <w:rFonts w:eastAsia="Calibri"/>
          <w:rtl/>
        </w:rPr>
        <w:t xml:space="preserve">. </w:t>
      </w:r>
      <w:r w:rsidRPr="00E303AD">
        <w:rPr>
          <w:rFonts w:eastAsia="Calibri" w:hint="cs"/>
          <w:rtl/>
        </w:rPr>
        <w:t>המתאמת</w:t>
      </w:r>
      <w:r w:rsidRPr="00E303AD">
        <w:rPr>
          <w:rFonts w:eastAsia="Calibri"/>
          <w:rtl/>
        </w:rPr>
        <w:t xml:space="preserve"> מעניקה הכרה </w:t>
      </w:r>
      <w:r w:rsidRPr="00E303AD">
        <w:rPr>
          <w:rFonts w:eastAsia="Calibri" w:hint="cs"/>
          <w:rtl/>
        </w:rPr>
        <w:t xml:space="preserve">באדם כקורבן סחר </w:t>
      </w:r>
      <w:r w:rsidRPr="00E303AD">
        <w:rPr>
          <w:rFonts w:eastAsia="Calibri"/>
          <w:rtl/>
        </w:rPr>
        <w:t xml:space="preserve">על בסיס </w:t>
      </w:r>
      <w:r w:rsidRPr="00E303AD">
        <w:rPr>
          <w:rFonts w:eastAsia="Calibri" w:hint="cs"/>
          <w:rtl/>
        </w:rPr>
        <w:t xml:space="preserve">מבחן </w:t>
      </w:r>
      <w:r w:rsidRPr="00E303AD">
        <w:rPr>
          <w:rFonts w:eastAsia="Calibri"/>
          <w:rtl/>
        </w:rPr>
        <w:t xml:space="preserve">ראשית </w:t>
      </w:r>
      <w:r w:rsidRPr="00E303AD">
        <w:rPr>
          <w:rFonts w:eastAsia="Calibri" w:hint="cs"/>
          <w:rtl/>
        </w:rPr>
        <w:t>ה</w:t>
      </w:r>
      <w:r w:rsidRPr="00E303AD">
        <w:rPr>
          <w:rFonts w:eastAsia="Calibri"/>
          <w:rtl/>
        </w:rPr>
        <w:t>ראיה</w:t>
      </w:r>
      <w:r w:rsidRPr="00E303AD">
        <w:rPr>
          <w:rFonts w:eastAsia="Calibri" w:hint="cs"/>
          <w:rtl/>
        </w:rPr>
        <w:t xml:space="preserve">. </w:t>
      </w:r>
      <w:r w:rsidRPr="00E303AD">
        <w:rPr>
          <w:rFonts w:eastAsia="Calibri"/>
          <w:rtl/>
        </w:rPr>
        <w:t xml:space="preserve">לצד זאת </w:t>
      </w:r>
      <w:r w:rsidRPr="00E303AD">
        <w:rPr>
          <w:rFonts w:eastAsia="Calibri" w:hint="cs"/>
          <w:rtl/>
        </w:rPr>
        <w:t>מוקנית</w:t>
      </w:r>
      <w:r w:rsidRPr="00E303AD">
        <w:rPr>
          <w:rFonts w:eastAsia="Calibri"/>
          <w:rtl/>
        </w:rPr>
        <w:t xml:space="preserve"> למתאמת הסמכות להעניק סעד זמני של כניסה למסגרת מוגנת עד להשלמת הדיון בבקשה </w:t>
      </w:r>
      <w:r w:rsidRPr="00E303AD">
        <w:rPr>
          <w:rFonts w:eastAsia="Calibri" w:hint="cs"/>
          <w:rtl/>
        </w:rPr>
        <w:t>אם מתעורר</w:t>
      </w:r>
      <w:r w:rsidRPr="00E303AD">
        <w:rPr>
          <w:rFonts w:eastAsia="Calibri"/>
          <w:rtl/>
        </w:rPr>
        <w:t xml:space="preserve"> צורך דחוף בהגנה או בשיקום.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highlight w:val="yellow"/>
          <w:rtl/>
        </w:rPr>
      </w:pPr>
      <w:r w:rsidRPr="00E303AD">
        <w:rPr>
          <w:rFonts w:eastAsia="Calibri"/>
          <w:rtl/>
        </w:rPr>
        <w:t>הכרה בקורבנות סחר נעשית לאחר היוועצות בוועדה</w:t>
      </w:r>
      <w:r w:rsidRPr="00E303AD">
        <w:rPr>
          <w:rFonts w:eastAsia="Calibri"/>
          <w:rtl/>
        </w:rPr>
        <w:t xml:space="preserve"> </w:t>
      </w:r>
      <w:r w:rsidRPr="00E303AD">
        <w:rPr>
          <w:rFonts w:eastAsia="Calibri" w:hint="cs"/>
          <w:rtl/>
        </w:rPr>
        <w:t>ה</w:t>
      </w:r>
      <w:r w:rsidRPr="00E303AD">
        <w:rPr>
          <w:rFonts w:eastAsia="Calibri"/>
          <w:rtl/>
        </w:rPr>
        <w:t>מייעצת</w:t>
      </w:r>
      <w:r>
        <w:rPr>
          <w:rFonts w:eastAsia="Calibri"/>
          <w:vertAlign w:val="superscript"/>
          <w:rtl/>
        </w:rPr>
        <w:footnoteReference w:id="115"/>
      </w:r>
      <w:r w:rsidRPr="00E303AD">
        <w:rPr>
          <w:rFonts w:eastAsia="Calibri"/>
          <w:rtl/>
        </w:rPr>
        <w:t xml:space="preserve">. תפקיד הוועדה הוא להעניק חוות דעת מקצועית ומקיפה למתאמת </w:t>
      </w:r>
      <w:r w:rsidRPr="00E303AD">
        <w:rPr>
          <w:rFonts w:eastAsia="Calibri" w:hint="cs"/>
          <w:rtl/>
        </w:rPr>
        <w:t>לפני</w:t>
      </w:r>
      <w:r w:rsidRPr="00E303AD">
        <w:rPr>
          <w:rFonts w:eastAsia="Calibri"/>
          <w:rtl/>
        </w:rPr>
        <w:t xml:space="preserve"> קבלת </w:t>
      </w:r>
      <w:r w:rsidRPr="00E303AD">
        <w:rPr>
          <w:rFonts w:eastAsia="Calibri" w:hint="cs"/>
          <w:rtl/>
        </w:rPr>
        <w:t>ההחלטה בעניין בקשת ההכרה.</w:t>
      </w:r>
      <w:r w:rsidRPr="00E303AD">
        <w:rPr>
          <w:rFonts w:eastAsia="Calibri"/>
          <w:rtl/>
        </w:rPr>
        <w:t xml:space="preserve"> </w:t>
      </w:r>
      <w:r w:rsidRPr="00E303AD">
        <w:rPr>
          <w:rFonts w:eastAsia="Calibri" w:hint="eastAsia"/>
          <w:rtl/>
        </w:rPr>
        <w:t>עם</w:t>
      </w:r>
      <w:r w:rsidRPr="00E303AD">
        <w:rPr>
          <w:rFonts w:eastAsia="Calibri"/>
          <w:rtl/>
        </w:rPr>
        <w:t xml:space="preserve"> זאת, במקרים דחופים </w:t>
      </w:r>
      <w:r w:rsidRPr="00E303AD">
        <w:rPr>
          <w:rFonts w:eastAsia="Calibri" w:hint="cs"/>
          <w:rtl/>
        </w:rPr>
        <w:t>מוקנית</w:t>
      </w:r>
      <w:r w:rsidRPr="00E303AD">
        <w:rPr>
          <w:rFonts w:eastAsia="Calibri"/>
          <w:rtl/>
        </w:rPr>
        <w:t xml:space="preserve"> למתאמת הסמכות להכיר באדם כקורבן סחר תוך היוועצות </w:t>
      </w:r>
      <w:r w:rsidRPr="00E303AD">
        <w:rPr>
          <w:rFonts w:eastAsia="Calibri" w:hint="cs"/>
          <w:rtl/>
        </w:rPr>
        <w:t>ב</w:t>
      </w:r>
      <w:r w:rsidRPr="00E303AD">
        <w:rPr>
          <w:rFonts w:eastAsia="Calibri"/>
          <w:rtl/>
        </w:rPr>
        <w:t xml:space="preserve">ראש חוליית סחר בבני אדם </w:t>
      </w:r>
      <w:r w:rsidRPr="00E303AD">
        <w:rPr>
          <w:rFonts w:eastAsia="Calibri" w:hint="cs"/>
          <w:rtl/>
        </w:rPr>
        <w:t>ו</w:t>
      </w:r>
      <w:r w:rsidRPr="00E303AD">
        <w:rPr>
          <w:rFonts w:eastAsia="Calibri"/>
          <w:rtl/>
        </w:rPr>
        <w:t xml:space="preserve">ללא היוועצות </w:t>
      </w:r>
      <w:r w:rsidRPr="00E303AD">
        <w:rPr>
          <w:rFonts w:eastAsia="Calibri" w:hint="cs"/>
          <w:rtl/>
        </w:rPr>
        <w:t>ב</w:t>
      </w:r>
      <w:r w:rsidRPr="00E303AD">
        <w:rPr>
          <w:rFonts w:eastAsia="Calibri"/>
          <w:rtl/>
        </w:rPr>
        <w:t>וועדה המייעצת.</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 xml:space="preserve">במהלך דיוני הוועדה </w:t>
      </w:r>
      <w:r w:rsidRPr="00E303AD">
        <w:rPr>
          <w:rFonts w:eastAsia="Calibri" w:hint="cs"/>
          <w:rtl/>
        </w:rPr>
        <w:t xml:space="preserve">המייעצת </w:t>
      </w:r>
      <w:r w:rsidRPr="00E303AD">
        <w:rPr>
          <w:rFonts w:eastAsia="Calibri"/>
          <w:rtl/>
        </w:rPr>
        <w:t>מוצגות נסיבות המקרה</w:t>
      </w:r>
      <w:r w:rsidRPr="00E303AD">
        <w:rPr>
          <w:rFonts w:eastAsia="Calibri" w:hint="cs"/>
          <w:rtl/>
        </w:rPr>
        <w:t xml:space="preserve"> ו</w:t>
      </w:r>
      <w:r w:rsidRPr="00E303AD">
        <w:rPr>
          <w:rFonts w:eastAsia="Calibri"/>
          <w:rtl/>
        </w:rPr>
        <w:t>עמדות הגורמים השונים ו</w:t>
      </w:r>
      <w:r w:rsidRPr="00E303AD">
        <w:rPr>
          <w:rFonts w:eastAsia="Calibri" w:hint="cs"/>
          <w:rtl/>
        </w:rPr>
        <w:t>מתבצעת</w:t>
      </w:r>
      <w:r w:rsidRPr="00E303AD">
        <w:rPr>
          <w:rFonts w:eastAsia="Calibri"/>
          <w:rtl/>
        </w:rPr>
        <w:t xml:space="preserve"> הערכה משותפת של הראיות והטיעונים. המלצות הוועדה מועברות בכתב אל המתאמת, </w:t>
      </w:r>
      <w:r w:rsidRPr="00E303AD">
        <w:rPr>
          <w:rFonts w:eastAsia="Calibri" w:hint="cs"/>
          <w:rtl/>
        </w:rPr>
        <w:t>והיא</w:t>
      </w:r>
      <w:r w:rsidRPr="00E303AD">
        <w:rPr>
          <w:rFonts w:eastAsia="Calibri"/>
          <w:rtl/>
        </w:rPr>
        <w:t xml:space="preserve"> מחויבת לדון בהן </w:t>
      </w:r>
      <w:r w:rsidRPr="00E303AD">
        <w:rPr>
          <w:rFonts w:eastAsia="Calibri" w:hint="cs"/>
          <w:rtl/>
        </w:rPr>
        <w:t>עובר</w:t>
      </w:r>
      <w:r w:rsidRPr="00E303AD">
        <w:rPr>
          <w:rFonts w:eastAsia="Calibri"/>
          <w:rtl/>
        </w:rPr>
        <w:t xml:space="preserve"> </w:t>
      </w:r>
      <w:r w:rsidRPr="00E303AD">
        <w:rPr>
          <w:rFonts w:eastAsia="Calibri" w:hint="cs"/>
          <w:rtl/>
        </w:rPr>
        <w:t>ל</w:t>
      </w:r>
      <w:r w:rsidRPr="00E303AD">
        <w:rPr>
          <w:rFonts w:eastAsia="Calibri"/>
          <w:rtl/>
        </w:rPr>
        <w:t>מתן החלטתה הסופית</w:t>
      </w:r>
      <w:r w:rsidRPr="00E303AD">
        <w:rPr>
          <w:rFonts w:eastAsia="Calibri" w:hint="cs"/>
          <w:rtl/>
        </w:rPr>
        <w:t xml:space="preserve"> בעניין בקשת ההכרה</w:t>
      </w:r>
      <w:r w:rsidRPr="00E303AD">
        <w:rPr>
          <w:rFonts w:eastAsia="Calibri"/>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 xml:space="preserve">כדי להבטיח הליך תקין ושקוף, דיוני הוועדה והמלצותיה מתועדים, ואף ניתנת לחבריה </w:t>
      </w:r>
      <w:r w:rsidRPr="00E303AD">
        <w:rPr>
          <w:rFonts w:eastAsia="Calibri" w:hint="cs"/>
          <w:rtl/>
        </w:rPr>
        <w:t>ה</w:t>
      </w:r>
      <w:r w:rsidRPr="00E303AD">
        <w:rPr>
          <w:rFonts w:eastAsia="Calibri"/>
          <w:rtl/>
        </w:rPr>
        <w:t xml:space="preserve">אפשרות להגיש השגה </w:t>
      </w:r>
      <w:r w:rsidRPr="00E303AD">
        <w:rPr>
          <w:rFonts w:eastAsia="Calibri" w:hint="cs"/>
          <w:rtl/>
        </w:rPr>
        <w:t>למתאמת אם מתעוררים</w:t>
      </w:r>
      <w:r w:rsidRPr="00E303AD">
        <w:rPr>
          <w:rFonts w:eastAsia="Calibri"/>
          <w:rtl/>
        </w:rPr>
        <w:t xml:space="preserve"> חילוקי דעות מהותיים. הליך זה נועד לוודא </w:t>
      </w:r>
      <w:r w:rsidRPr="00E303AD">
        <w:rPr>
          <w:rFonts w:eastAsia="Calibri" w:hint="cs"/>
          <w:rtl/>
        </w:rPr>
        <w:t>ש</w:t>
      </w:r>
      <w:r w:rsidRPr="00E303AD">
        <w:rPr>
          <w:rFonts w:eastAsia="Calibri"/>
          <w:rtl/>
        </w:rPr>
        <w:t>כל מקרה</w:t>
      </w:r>
      <w:r w:rsidRPr="00E303AD">
        <w:rPr>
          <w:rFonts w:eastAsia="Calibri" w:hint="cs"/>
          <w:rtl/>
        </w:rPr>
        <w:t xml:space="preserve"> נבחן לגופו</w:t>
      </w:r>
      <w:r w:rsidRPr="00E303AD">
        <w:rPr>
          <w:rFonts w:eastAsia="Calibri"/>
          <w:rtl/>
        </w:rPr>
        <w:t xml:space="preserve">, </w:t>
      </w:r>
      <w:r w:rsidRPr="00E303AD">
        <w:rPr>
          <w:rFonts w:eastAsia="Calibri" w:hint="cs"/>
          <w:rtl/>
        </w:rPr>
        <w:t>בשים</w:t>
      </w:r>
      <w:r w:rsidRPr="00E303AD">
        <w:rPr>
          <w:rFonts w:eastAsia="Calibri"/>
          <w:rtl/>
        </w:rPr>
        <w:t xml:space="preserve"> דגש על ההיבטים האנושיים, המשפטיים והחברתיים הרגישים</w:t>
      </w:r>
      <w:r>
        <w:rPr>
          <w:rFonts w:eastAsia="Calibri"/>
          <w:vertAlign w:val="superscript"/>
          <w:rtl/>
        </w:rPr>
        <w:footnoteReference w:id="116"/>
      </w:r>
      <w:r w:rsidRPr="00E303AD">
        <w:rPr>
          <w:rFonts w:eastAsia="Calibri" w:hint="cs"/>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לאחר ההכרה בקורבן הסחר, ואם הוא מעוניין בכך</w:t>
      </w:r>
      <w:r w:rsidRPr="00E303AD">
        <w:rPr>
          <w:rFonts w:eastAsia="Calibri"/>
          <w:rtl/>
        </w:rPr>
        <w:t xml:space="preserve">, הוא יעבור למקלט ייעודי לקורבנות סחר, </w:t>
      </w:r>
      <w:r w:rsidRPr="00E303AD">
        <w:rPr>
          <w:rFonts w:eastAsia="Calibri" w:hint="cs"/>
          <w:rtl/>
        </w:rPr>
        <w:t>אשר משמש</w:t>
      </w:r>
      <w:r w:rsidRPr="00E303AD">
        <w:rPr>
          <w:rFonts w:eastAsia="Calibri"/>
          <w:rtl/>
        </w:rPr>
        <w:t xml:space="preserve"> מסגרת מוגנת </w:t>
      </w:r>
      <w:r w:rsidRPr="00E303AD">
        <w:rPr>
          <w:rFonts w:eastAsia="Calibri" w:hint="cs"/>
          <w:rtl/>
        </w:rPr>
        <w:t xml:space="preserve">המספקת </w:t>
      </w:r>
      <w:r w:rsidRPr="00E303AD">
        <w:rPr>
          <w:rFonts w:eastAsia="Calibri"/>
          <w:rtl/>
        </w:rPr>
        <w:t>סיוע מיידי</w:t>
      </w:r>
      <w:r w:rsidRPr="00E303AD">
        <w:rPr>
          <w:rFonts w:eastAsia="Calibri" w:hint="cs"/>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sz w:val="24"/>
          <w:rtl/>
        </w:rPr>
      </w:pPr>
      <w:r w:rsidRPr="00E303AD">
        <w:rPr>
          <w:rFonts w:eastAsia="Calibri"/>
          <w:sz w:val="24"/>
          <w:rtl/>
        </w:rPr>
        <w:t>כיוון שמרבית קורבנות הסחר</w:t>
      </w:r>
      <w:r w:rsidRPr="00E303AD">
        <w:rPr>
          <w:rFonts w:eastAsia="Calibri" w:hint="cs"/>
          <w:sz w:val="24"/>
          <w:rtl/>
        </w:rPr>
        <w:t xml:space="preserve"> בבני אדם</w:t>
      </w:r>
      <w:r w:rsidRPr="00E303AD">
        <w:rPr>
          <w:rFonts w:eastAsia="Calibri"/>
          <w:sz w:val="24"/>
          <w:rtl/>
        </w:rPr>
        <w:t xml:space="preserve"> </w:t>
      </w:r>
      <w:r w:rsidRPr="00E303AD">
        <w:rPr>
          <w:rFonts w:eastAsia="Calibri" w:hint="cs"/>
          <w:sz w:val="24"/>
          <w:rtl/>
        </w:rPr>
        <w:t>הם חסרי מעמד ו</w:t>
      </w:r>
      <w:r w:rsidRPr="00E303AD">
        <w:rPr>
          <w:rFonts w:eastAsia="Calibri"/>
          <w:sz w:val="24"/>
          <w:rtl/>
        </w:rPr>
        <w:t>אינם בעלי</w:t>
      </w:r>
      <w:r w:rsidRPr="00E303AD">
        <w:rPr>
          <w:rFonts w:eastAsia="Calibri" w:hint="cs"/>
          <w:sz w:val="24"/>
          <w:rtl/>
        </w:rPr>
        <w:t xml:space="preserve"> אזרחות ישראלית</w:t>
      </w:r>
      <w:r>
        <w:rPr>
          <w:rFonts w:eastAsia="Calibri"/>
          <w:sz w:val="24"/>
          <w:vertAlign w:val="superscript"/>
          <w:rtl/>
        </w:rPr>
        <w:footnoteReference w:id="117"/>
      </w:r>
      <w:r w:rsidRPr="00E303AD">
        <w:rPr>
          <w:rFonts w:eastAsia="Calibri"/>
          <w:sz w:val="24"/>
          <w:rtl/>
        </w:rPr>
        <w:t xml:space="preserve">, </w:t>
      </w:r>
      <w:r w:rsidRPr="00E303AD">
        <w:rPr>
          <w:rFonts w:eastAsia="Calibri" w:hint="cs"/>
          <w:sz w:val="24"/>
          <w:rtl/>
        </w:rPr>
        <w:t xml:space="preserve">ומתוך ההבנה כי מדובר באוכלוסייה פגיעה במיוחד, </w:t>
      </w:r>
      <w:r w:rsidRPr="00E303AD">
        <w:rPr>
          <w:rFonts w:eastAsia="Calibri"/>
          <w:sz w:val="24"/>
          <w:rtl/>
        </w:rPr>
        <w:t xml:space="preserve">רשות האוכלוסין </w:t>
      </w:r>
      <w:r w:rsidRPr="00E303AD">
        <w:rPr>
          <w:rFonts w:eastAsia="Calibri" w:hint="cs"/>
          <w:sz w:val="24"/>
          <w:rtl/>
        </w:rPr>
        <w:t>נדרשת לקדם עבורן הגנה מיוחדת ולהסדיר את שהותן בישראל באמצעות מתן אשרת שהייה בהתאם לחוק הכניסה לישראל</w:t>
      </w:r>
      <w:r w:rsidRPr="00E303AD">
        <w:rPr>
          <w:rFonts w:eastAsia="Calibri" w:hint="cs"/>
          <w:rtl/>
        </w:rPr>
        <w:t xml:space="preserve"> ה</w:t>
      </w:r>
      <w:r w:rsidRPr="00E303AD">
        <w:rPr>
          <w:rFonts w:eastAsia="Calibri"/>
          <w:rtl/>
        </w:rPr>
        <w:t>תשי״ב</w:t>
      </w:r>
      <w:r w:rsidRPr="00E303AD">
        <w:rPr>
          <w:rFonts w:eastAsia="Calibri" w:hint="cs"/>
          <w:rtl/>
        </w:rPr>
        <w:t>-</w:t>
      </w:r>
      <w:r w:rsidRPr="00E303AD">
        <w:rPr>
          <w:rFonts w:eastAsia="Calibri"/>
          <w:rtl/>
        </w:rPr>
        <w:t>1952</w:t>
      </w:r>
      <w:r w:rsidRPr="00E303AD">
        <w:rPr>
          <w:rFonts w:eastAsia="Calibri" w:hint="cs"/>
          <w:rtl/>
        </w:rPr>
        <w:t xml:space="preserve"> (להלן - חוק הכניסה לישראל)</w:t>
      </w:r>
      <w:r w:rsidRPr="00E303AD">
        <w:rPr>
          <w:rFonts w:eastAsia="Calibri" w:hint="cs"/>
          <w:sz w:val="24"/>
          <w:rtl/>
        </w:rPr>
        <w:t xml:space="preserve">. </w:t>
      </w:r>
      <w:r w:rsidRPr="00E303AD">
        <w:rPr>
          <w:rFonts w:eastAsia="Calibri"/>
          <w:sz w:val="24"/>
          <w:rtl/>
        </w:rPr>
        <w:t xml:space="preserve">בהתאם </w:t>
      </w:r>
      <w:r w:rsidRPr="00E303AD">
        <w:rPr>
          <w:rFonts w:eastAsia="Calibri" w:hint="cs"/>
          <w:sz w:val="24"/>
          <w:rtl/>
        </w:rPr>
        <w:t>לנוהלי</w:t>
      </w:r>
      <w:r w:rsidRPr="00E303AD">
        <w:rPr>
          <w:rFonts w:eastAsia="Calibri"/>
          <w:sz w:val="24"/>
          <w:rtl/>
        </w:rPr>
        <w:t xml:space="preserve"> רשות האוכלוסין בנושא "הטיפול בקורבנות סחר בנשים המבקשות להעי</w:t>
      </w:r>
      <w:r w:rsidRPr="00E303AD">
        <w:rPr>
          <w:rFonts w:eastAsia="Calibri" w:hint="eastAsia"/>
          <w:sz w:val="24"/>
          <w:rtl/>
        </w:rPr>
        <w:t>ד</w:t>
      </w:r>
      <w:r w:rsidRPr="00E303AD">
        <w:rPr>
          <w:rFonts w:eastAsia="Calibri"/>
          <w:sz w:val="24"/>
          <w:rtl/>
        </w:rPr>
        <w:t>"</w:t>
      </w:r>
      <w:r>
        <w:rPr>
          <w:rFonts w:eastAsia="Calibri"/>
          <w:sz w:val="24"/>
          <w:vertAlign w:val="superscript"/>
          <w:rtl/>
        </w:rPr>
        <w:footnoteReference w:id="118"/>
      </w:r>
      <w:r w:rsidRPr="00E303AD">
        <w:rPr>
          <w:rFonts w:eastAsia="Calibri" w:hint="cs"/>
          <w:sz w:val="24"/>
          <w:rtl/>
        </w:rPr>
        <w:t xml:space="preserve"> ו</w:t>
      </w:r>
      <w:r w:rsidRPr="00E303AD">
        <w:rPr>
          <w:rFonts w:eastAsia="Calibri" w:hint="eastAsia"/>
          <w:sz w:val="24"/>
          <w:rtl/>
        </w:rPr>
        <w:t>בנושא</w:t>
      </w:r>
      <w:r w:rsidRPr="00E303AD">
        <w:rPr>
          <w:rFonts w:eastAsia="Calibri"/>
          <w:sz w:val="24"/>
          <w:rtl/>
        </w:rPr>
        <w:t xml:space="preserve"> "טיפול בנפגעי עבדות וסחר בבני אדם"</w:t>
      </w:r>
      <w:r>
        <w:rPr>
          <w:rFonts w:eastAsia="Calibri"/>
          <w:sz w:val="24"/>
          <w:vertAlign w:val="superscript"/>
          <w:rtl/>
        </w:rPr>
        <w:footnoteReference w:id="119"/>
      </w:r>
      <w:r w:rsidRPr="00E303AD">
        <w:rPr>
          <w:rFonts w:eastAsia="Calibri"/>
          <w:sz w:val="24"/>
          <w:rtl/>
        </w:rPr>
        <w:t xml:space="preserve">, </w:t>
      </w:r>
      <w:r w:rsidRPr="00E303AD">
        <w:rPr>
          <w:rFonts w:eastAsia="Calibri" w:hint="cs"/>
          <w:sz w:val="24"/>
          <w:rtl/>
        </w:rPr>
        <w:t xml:space="preserve">כאשר </w:t>
      </w:r>
      <w:r w:rsidRPr="00E303AD">
        <w:rPr>
          <w:rFonts w:eastAsia="Calibri"/>
          <w:sz w:val="24"/>
          <w:rtl/>
        </w:rPr>
        <w:t xml:space="preserve">קורבנות סחר </w:t>
      </w:r>
      <w:r w:rsidRPr="00E303AD">
        <w:rPr>
          <w:rFonts w:eastAsia="Calibri" w:hint="cs"/>
          <w:sz w:val="24"/>
          <w:rtl/>
        </w:rPr>
        <w:t xml:space="preserve">נדרשות להעיד </w:t>
      </w:r>
      <w:r w:rsidRPr="00E303AD">
        <w:rPr>
          <w:rFonts w:eastAsia="Calibri"/>
          <w:sz w:val="24"/>
          <w:rtl/>
        </w:rPr>
        <w:t>נגד הסוחרים</w:t>
      </w:r>
      <w:r w:rsidRPr="00E303AD">
        <w:rPr>
          <w:rFonts w:eastAsia="Calibri" w:hint="cs"/>
          <w:sz w:val="24"/>
          <w:rtl/>
        </w:rPr>
        <w:t xml:space="preserve"> במסגרת חקירה או הליך פלילי</w:t>
      </w:r>
      <w:r w:rsidRPr="00E303AD">
        <w:rPr>
          <w:rFonts w:eastAsia="Calibri"/>
          <w:sz w:val="24"/>
          <w:rtl/>
        </w:rPr>
        <w:t>,</w:t>
      </w:r>
      <w:r w:rsidRPr="00E303AD">
        <w:rPr>
          <w:rFonts w:eastAsia="Calibri" w:hint="cs"/>
          <w:sz w:val="24"/>
          <w:rtl/>
        </w:rPr>
        <w:t xml:space="preserve"> </w:t>
      </w:r>
      <w:r w:rsidRPr="00E303AD">
        <w:rPr>
          <w:rFonts w:eastAsia="Calibri" w:hint="cs"/>
          <w:rtl/>
        </w:rPr>
        <w:t>גורמי המקלט, בליווי גורמים מאגף הסיוע המשפטי בהתאם לזכאות של קורבנות הסחר בבני אדם</w:t>
      </w:r>
      <w:r>
        <w:rPr>
          <w:rFonts w:eastAsia="Calibri"/>
          <w:vertAlign w:val="superscript"/>
          <w:rtl/>
        </w:rPr>
        <w:footnoteReference w:id="120"/>
      </w:r>
      <w:r w:rsidRPr="00E303AD">
        <w:rPr>
          <w:rFonts w:eastAsia="Calibri" w:hint="cs"/>
          <w:rtl/>
        </w:rPr>
        <w:t>,</w:t>
      </w:r>
      <w:r w:rsidRPr="00E303AD">
        <w:rPr>
          <w:rFonts w:eastAsia="Calibri"/>
          <w:rtl/>
        </w:rPr>
        <w:t xml:space="preserve"> מעביר</w:t>
      </w:r>
      <w:r w:rsidRPr="00E303AD">
        <w:rPr>
          <w:rFonts w:eastAsia="Calibri" w:hint="cs"/>
          <w:rtl/>
        </w:rPr>
        <w:t>ים</w:t>
      </w:r>
      <w:r w:rsidRPr="00E303AD">
        <w:rPr>
          <w:rFonts w:eastAsia="Calibri"/>
          <w:rtl/>
        </w:rPr>
        <w:t xml:space="preserve"> לרשות האוכלוסין בקשה למתן אשרה, הכוללת אישור הכרה מיחידת התיאום ו</w:t>
      </w:r>
      <w:r w:rsidRPr="00E303AD">
        <w:rPr>
          <w:rFonts w:eastAsia="Calibri" w:hint="cs"/>
          <w:rtl/>
        </w:rPr>
        <w:t xml:space="preserve">את </w:t>
      </w:r>
      <w:r w:rsidRPr="00E303AD">
        <w:rPr>
          <w:rFonts w:eastAsia="Calibri"/>
          <w:rtl/>
        </w:rPr>
        <w:t>נימוקי הבקשה.</w:t>
      </w:r>
    </w:p>
    <w:p w:rsidR="00E303AD" w:rsidRPr="00E303AD" w:rsidP="00221641">
      <w:pPr>
        <w:spacing w:line="269" w:lineRule="auto"/>
        <w:rPr>
          <w:rFonts w:eastAsia="Calibri"/>
          <w:sz w:val="24"/>
          <w:rtl/>
        </w:rPr>
      </w:pPr>
      <w:r w:rsidRPr="00E303AD">
        <w:rPr>
          <w:rFonts w:eastAsia="Calibri" w:hint="cs"/>
          <w:szCs w:val="20"/>
          <w:rtl/>
        </w:rPr>
        <w:t xml:space="preserve"> </w:t>
      </w:r>
      <w:r w:rsidRPr="00E303AD">
        <w:rPr>
          <w:rFonts w:eastAsia="Calibri" w:hint="cs"/>
          <w:sz w:val="24"/>
          <w:rtl/>
        </w:rPr>
        <w:t xml:space="preserve">בהמשך לבקשה ניתנת אשרה מסוג </w:t>
      </w:r>
      <w:r w:rsidRPr="00E303AD">
        <w:rPr>
          <w:rFonts w:eastAsia="Calibri"/>
          <w:sz w:val="24"/>
          <w:rtl/>
        </w:rPr>
        <w:t>ב/1</w:t>
      </w:r>
      <w:r w:rsidRPr="00E303AD">
        <w:rPr>
          <w:rFonts w:eastAsia="Calibri" w:hint="cs"/>
          <w:sz w:val="24"/>
          <w:rtl/>
        </w:rPr>
        <w:t>,</w:t>
      </w:r>
      <w:r w:rsidRPr="00E303AD">
        <w:rPr>
          <w:rFonts w:eastAsia="Calibri"/>
          <w:sz w:val="24"/>
          <w:rtl/>
        </w:rPr>
        <w:t xml:space="preserve"> </w:t>
      </w:r>
      <w:r w:rsidRPr="00E303AD">
        <w:rPr>
          <w:rFonts w:eastAsia="Calibri" w:hint="cs"/>
          <w:rtl/>
        </w:rPr>
        <w:t>א</w:t>
      </w:r>
      <w:r w:rsidRPr="00E303AD">
        <w:rPr>
          <w:rFonts w:eastAsia="Calibri"/>
          <w:rtl/>
        </w:rPr>
        <w:t>שרת עבודה זמנית המאפשרת ל</w:t>
      </w:r>
      <w:r w:rsidRPr="00E303AD">
        <w:rPr>
          <w:rFonts w:eastAsia="Calibri" w:hint="cs"/>
          <w:rtl/>
        </w:rPr>
        <w:t>נפגעת הסחר</w:t>
      </w:r>
      <w:r w:rsidRPr="00E303AD">
        <w:rPr>
          <w:rFonts w:eastAsia="Calibri"/>
          <w:rtl/>
        </w:rPr>
        <w:t xml:space="preserve"> לשהות בישראל ולעבוד בה באופן חוקי</w:t>
      </w:r>
      <w:r w:rsidRPr="00E303AD">
        <w:rPr>
          <w:rFonts w:eastAsia="Calibri" w:hint="cs"/>
          <w:sz w:val="24"/>
          <w:rtl/>
        </w:rPr>
        <w:t>,</w:t>
      </w:r>
      <w:r w:rsidRPr="00E303AD">
        <w:rPr>
          <w:rFonts w:eastAsia="Calibri"/>
          <w:sz w:val="24"/>
          <w:rtl/>
        </w:rPr>
        <w:t xml:space="preserve"> לתקופה של עד חצי שנה.</w:t>
      </w:r>
      <w:r w:rsidRPr="00E303AD">
        <w:rPr>
          <w:rFonts w:eastAsia="Calibri"/>
          <w:rtl/>
        </w:rPr>
        <w:t xml:space="preserve"> </w:t>
      </w:r>
      <w:r w:rsidRPr="00E303AD">
        <w:rPr>
          <w:rFonts w:eastAsia="Calibri"/>
          <w:sz w:val="24"/>
          <w:rtl/>
        </w:rPr>
        <w:t xml:space="preserve">זו האשרה הזמנית שניתנת מייד לאחר מתן ההכרה כקורבן סחר בבני אדם. </w:t>
      </w:r>
      <w:r w:rsidRPr="00E303AD">
        <w:rPr>
          <w:rFonts w:eastAsia="Calibri" w:hint="cs"/>
          <w:sz w:val="24"/>
          <w:rtl/>
        </w:rPr>
        <w:t>אם אשרת</w:t>
      </w:r>
      <w:r w:rsidRPr="00E303AD">
        <w:rPr>
          <w:rFonts w:eastAsia="Calibri"/>
          <w:sz w:val="24"/>
          <w:rtl/>
        </w:rPr>
        <w:t xml:space="preserve"> עבודה אינה רלוונטית בנסיבות</w:t>
      </w:r>
      <w:r w:rsidRPr="00E303AD">
        <w:rPr>
          <w:rFonts w:eastAsia="Calibri" w:hint="cs"/>
          <w:sz w:val="24"/>
          <w:rtl/>
        </w:rPr>
        <w:t xml:space="preserve"> </w:t>
      </w:r>
      <w:r w:rsidRPr="00E303AD">
        <w:rPr>
          <w:rFonts w:eastAsia="Calibri"/>
          <w:sz w:val="24"/>
          <w:rtl/>
        </w:rPr>
        <w:t xml:space="preserve">העניין, </w:t>
      </w:r>
      <w:r w:rsidRPr="00E303AD">
        <w:rPr>
          <w:rFonts w:eastAsia="Calibri" w:hint="cs"/>
          <w:sz w:val="24"/>
          <w:rtl/>
        </w:rPr>
        <w:t xml:space="preserve">ניתנת </w:t>
      </w:r>
      <w:r w:rsidRPr="00E303AD">
        <w:rPr>
          <w:rFonts w:eastAsia="Calibri" w:hint="cs"/>
          <w:sz w:val="24"/>
          <w:rtl/>
        </w:rPr>
        <w:t xml:space="preserve">אשרה </w:t>
      </w:r>
      <w:r w:rsidRPr="00E303AD">
        <w:rPr>
          <w:rFonts w:eastAsia="Calibri"/>
          <w:sz w:val="24"/>
          <w:rtl/>
        </w:rPr>
        <w:t>מסוג ב/2</w:t>
      </w:r>
      <w:r w:rsidRPr="00E303AD">
        <w:rPr>
          <w:rFonts w:eastAsia="Calibri" w:hint="cs"/>
          <w:sz w:val="24"/>
          <w:rtl/>
        </w:rPr>
        <w:t xml:space="preserve">, </w:t>
      </w:r>
      <w:r w:rsidRPr="00E303AD">
        <w:rPr>
          <w:rFonts w:eastAsia="Calibri"/>
          <w:rtl/>
        </w:rPr>
        <w:t>שאינה מקנה זכות לעבוד בישראל</w:t>
      </w:r>
      <w:r>
        <w:rPr>
          <w:rFonts w:eastAsia="Calibri"/>
          <w:vertAlign w:val="superscript"/>
          <w:rtl/>
        </w:rPr>
        <w:footnoteReference w:id="121"/>
      </w:r>
      <w:r w:rsidRPr="00E303AD">
        <w:rPr>
          <w:rFonts w:eastAsia="Calibri"/>
          <w:sz w:val="24"/>
          <w:rtl/>
        </w:rPr>
        <w:t>.</w:t>
      </w:r>
      <w:r w:rsidRPr="00E303AD">
        <w:rPr>
          <w:rFonts w:eastAsia="Calibri" w:hint="eastAsia"/>
          <w:sz w:val="24"/>
          <w:rtl/>
        </w:rPr>
        <w:t xml:space="preserve"> </w:t>
      </w:r>
      <w:r w:rsidRPr="00E303AD">
        <w:rPr>
          <w:rFonts w:eastAsia="Calibri" w:hint="cs"/>
          <w:sz w:val="24"/>
          <w:rtl/>
        </w:rPr>
        <w:t>שני סוגי ה</w:t>
      </w:r>
      <w:r w:rsidRPr="00E303AD">
        <w:rPr>
          <w:rFonts w:eastAsia="Calibri"/>
          <w:sz w:val="24"/>
          <w:rtl/>
        </w:rPr>
        <w:t xml:space="preserve">אשרות </w:t>
      </w:r>
      <w:r w:rsidRPr="00E303AD">
        <w:rPr>
          <w:rFonts w:eastAsia="Calibri" w:hint="cs"/>
          <w:sz w:val="24"/>
          <w:rtl/>
        </w:rPr>
        <w:t xml:space="preserve">הן </w:t>
      </w:r>
      <w:r w:rsidRPr="00E303AD">
        <w:rPr>
          <w:rFonts w:eastAsia="Calibri"/>
          <w:sz w:val="24"/>
          <w:rtl/>
        </w:rPr>
        <w:t>לתקופות קצובות (</w:t>
      </w:r>
      <w:r w:rsidRPr="00E303AD">
        <w:rPr>
          <w:rFonts w:eastAsia="Calibri" w:hint="cs"/>
          <w:sz w:val="24"/>
          <w:rtl/>
        </w:rPr>
        <w:t xml:space="preserve">של </w:t>
      </w:r>
      <w:r w:rsidRPr="00E303AD">
        <w:rPr>
          <w:rFonts w:eastAsia="Calibri"/>
          <w:sz w:val="24"/>
          <w:rtl/>
        </w:rPr>
        <w:t>שלושה חודשים או חצי שנה), הניתנות להארכה עד לסיום ה</w:t>
      </w:r>
      <w:r w:rsidRPr="00E303AD">
        <w:rPr>
          <w:rFonts w:eastAsia="Calibri" w:hint="cs"/>
          <w:sz w:val="24"/>
          <w:rtl/>
        </w:rPr>
        <w:t>חקירה או ההליך הפלילי:</w:t>
      </w:r>
      <w:r w:rsidRPr="00E303AD">
        <w:rPr>
          <w:rFonts w:eastAsia="Calibri"/>
          <w:sz w:val="24"/>
          <w:rtl/>
        </w:rPr>
        <w:t xml:space="preserve"> </w:t>
      </w:r>
      <w:r w:rsidRPr="00E303AD">
        <w:rPr>
          <w:rFonts w:eastAsia="Calibri"/>
          <w:rtl/>
        </w:rPr>
        <w:t xml:space="preserve">חודש לפני פקיעת האשרה נדרשת </w:t>
      </w:r>
      <w:r w:rsidRPr="00E303AD">
        <w:rPr>
          <w:rFonts w:eastAsia="Calibri" w:hint="cs"/>
          <w:rtl/>
        </w:rPr>
        <w:t>ה</w:t>
      </w:r>
      <w:r w:rsidRPr="00E303AD">
        <w:rPr>
          <w:rFonts w:eastAsia="Calibri"/>
          <w:rtl/>
        </w:rPr>
        <w:t>נהלת המקלט להגיש בקשה להארכה נוספת, שלא תעלה על חצי שנה, בצירוף המלצת גורמי הטיפול וחוות דעת על התנה</w:t>
      </w:r>
      <w:r w:rsidRPr="00E303AD">
        <w:rPr>
          <w:rFonts w:eastAsia="Calibri" w:hint="cs"/>
          <w:rtl/>
        </w:rPr>
        <w:t>גות</w:t>
      </w:r>
      <w:r w:rsidRPr="00E303AD">
        <w:rPr>
          <w:rFonts w:eastAsia="Calibri"/>
          <w:rtl/>
        </w:rPr>
        <w:t xml:space="preserve"> הקורבן במקלט</w:t>
      </w:r>
      <w:r>
        <w:rPr>
          <w:rFonts w:eastAsia="Calibri"/>
          <w:vertAlign w:val="superscript"/>
          <w:rtl/>
        </w:rPr>
        <w:footnoteReference w:id="122"/>
      </w:r>
      <w:r w:rsidRPr="00E303AD">
        <w:rPr>
          <w:rFonts w:eastAsia="Calibri"/>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sz w:val="24"/>
          <w:szCs w:val="32"/>
          <w:rtl/>
        </w:rPr>
      </w:pPr>
      <w:r w:rsidRPr="00E303AD">
        <w:rPr>
          <w:rFonts w:eastAsia="Calibri" w:hint="cs"/>
          <w:sz w:val="24"/>
          <w:rtl/>
        </w:rPr>
        <w:t xml:space="preserve">נוסף על כך, </w:t>
      </w:r>
      <w:r w:rsidRPr="00E303AD">
        <w:rPr>
          <w:rFonts w:eastAsia="Calibri"/>
          <w:sz w:val="24"/>
          <w:rtl/>
        </w:rPr>
        <w:t>לפי</w:t>
      </w:r>
      <w:r w:rsidRPr="00E303AD">
        <w:rPr>
          <w:rFonts w:eastAsia="Calibri"/>
          <w:b/>
          <w:bCs/>
          <w:sz w:val="24"/>
          <w:rtl/>
        </w:rPr>
        <w:t xml:space="preserve"> </w:t>
      </w:r>
      <w:r w:rsidRPr="00E303AD">
        <w:rPr>
          <w:rFonts w:eastAsia="Calibri"/>
          <w:b/>
          <w:sz w:val="24"/>
          <w:rtl/>
        </w:rPr>
        <w:t>נוהל רשות האוכלוסין בנושא "טיפול במתן מעמד לנפגעות סחר בנשים מטעמים הומניטריים</w:t>
      </w:r>
      <w:r w:rsidRPr="00E303AD">
        <w:rPr>
          <w:rFonts w:eastAsia="Calibri"/>
          <w:sz w:val="24"/>
          <w:rtl/>
        </w:rPr>
        <w:t>"</w:t>
      </w:r>
      <w:r>
        <w:rPr>
          <w:rFonts w:eastAsia="Calibri"/>
          <w:vertAlign w:val="superscript"/>
          <w:rtl/>
        </w:rPr>
        <w:footnoteReference w:id="123"/>
      </w:r>
      <w:r w:rsidRPr="00E303AD">
        <w:rPr>
          <w:rFonts w:eastAsia="Calibri"/>
          <w:sz w:val="24"/>
          <w:rtl/>
        </w:rPr>
        <w:t>,</w:t>
      </w:r>
      <w:r w:rsidRPr="00E303AD">
        <w:rPr>
          <w:rFonts w:eastAsia="Calibri" w:hint="cs"/>
          <w:sz w:val="24"/>
          <w:rtl/>
        </w:rPr>
        <w:t xml:space="preserve"> </w:t>
      </w:r>
      <w:r w:rsidRPr="00E303AD">
        <w:rPr>
          <w:rFonts w:eastAsia="Calibri"/>
          <w:sz w:val="24"/>
          <w:rtl/>
        </w:rPr>
        <w:t xml:space="preserve">נפגעות </w:t>
      </w:r>
      <w:r w:rsidRPr="00E303AD">
        <w:rPr>
          <w:rFonts w:eastAsia="Calibri" w:hint="cs"/>
          <w:sz w:val="24"/>
          <w:rtl/>
        </w:rPr>
        <w:t>שאינן עדות בהליך פלילי המתנהל נגד החשוד בעבירת סחר בבני אדם, או ש</w:t>
      </w:r>
      <w:r w:rsidRPr="00E303AD">
        <w:rPr>
          <w:rFonts w:eastAsia="Calibri"/>
          <w:sz w:val="24"/>
          <w:rtl/>
        </w:rPr>
        <w:t xml:space="preserve">סיימו </w:t>
      </w:r>
      <w:r w:rsidRPr="00E303AD">
        <w:rPr>
          <w:rFonts w:eastAsia="Calibri" w:hint="cs"/>
          <w:sz w:val="24"/>
          <w:rtl/>
        </w:rPr>
        <w:t>להעיד</w:t>
      </w:r>
      <w:r w:rsidRPr="00E303AD">
        <w:rPr>
          <w:rFonts w:eastAsia="Calibri"/>
          <w:sz w:val="24"/>
          <w:rtl/>
        </w:rPr>
        <w:t xml:space="preserve"> </w:t>
      </w:r>
      <w:r w:rsidRPr="00E303AD">
        <w:rPr>
          <w:rFonts w:eastAsia="Calibri" w:hint="cs"/>
          <w:sz w:val="24"/>
          <w:rtl/>
        </w:rPr>
        <w:t xml:space="preserve">במסגרת ההליך, </w:t>
      </w:r>
      <w:r w:rsidRPr="00E303AD">
        <w:rPr>
          <w:rFonts w:eastAsia="Calibri"/>
          <w:sz w:val="24"/>
          <w:rtl/>
        </w:rPr>
        <w:t xml:space="preserve">זכאיות </w:t>
      </w:r>
      <w:r w:rsidRPr="00E303AD">
        <w:rPr>
          <w:rFonts w:eastAsia="Calibri" w:hint="cs"/>
          <w:sz w:val="24"/>
          <w:rtl/>
        </w:rPr>
        <w:t xml:space="preserve">להגיש לרשות, </w:t>
      </w:r>
      <w:r w:rsidRPr="00E303AD">
        <w:rPr>
          <w:rFonts w:eastAsia="Calibri" w:hint="cs"/>
          <w:rtl/>
        </w:rPr>
        <w:t xml:space="preserve">בתוך חודש מההגעה למקלט או מסיום העדות, </w:t>
      </w:r>
      <w:bookmarkStart w:id="139" w:name="_Hlk232607188"/>
      <w:r w:rsidRPr="00E303AD">
        <w:rPr>
          <w:rFonts w:eastAsia="Calibri" w:hint="cs"/>
          <w:rtl/>
        </w:rPr>
        <w:t xml:space="preserve">בקשה </w:t>
      </w:r>
      <w:r w:rsidRPr="00E303AD">
        <w:rPr>
          <w:rFonts w:eastAsia="Calibri" w:hint="cs"/>
          <w:sz w:val="24"/>
          <w:rtl/>
        </w:rPr>
        <w:t xml:space="preserve">לאשרת שהייה </w:t>
      </w:r>
      <w:r w:rsidRPr="00E303AD">
        <w:rPr>
          <w:rFonts w:eastAsia="Calibri"/>
          <w:sz w:val="24"/>
          <w:rtl/>
        </w:rPr>
        <w:t>לשנת שיקו</w:t>
      </w:r>
      <w:r w:rsidRPr="00E303AD">
        <w:rPr>
          <w:rFonts w:eastAsia="Calibri" w:hint="eastAsia"/>
          <w:sz w:val="24"/>
          <w:rtl/>
        </w:rPr>
        <w:t>ם</w:t>
      </w:r>
      <w:r w:rsidRPr="00E303AD">
        <w:rPr>
          <w:rFonts w:eastAsia="Calibri" w:hint="cs"/>
          <w:b/>
          <w:bCs/>
          <w:sz w:val="24"/>
          <w:rtl/>
        </w:rPr>
        <w:t xml:space="preserve"> </w:t>
      </w:r>
      <w:r w:rsidRPr="00E303AD">
        <w:rPr>
          <w:rFonts w:eastAsia="Calibri" w:hint="cs"/>
          <w:sz w:val="24"/>
          <w:rtl/>
        </w:rPr>
        <w:t>-</w:t>
      </w:r>
      <w:r w:rsidRPr="00E303AD">
        <w:rPr>
          <w:rFonts w:eastAsia="Calibri"/>
          <w:sz w:val="24"/>
        </w:rPr>
        <w:t xml:space="preserve"> </w:t>
      </w:r>
      <w:r w:rsidRPr="00E303AD">
        <w:rPr>
          <w:rFonts w:eastAsia="Calibri"/>
          <w:sz w:val="24"/>
          <w:rtl/>
        </w:rPr>
        <w:t>תקופה שנועדה לאפשר</w:t>
      </w:r>
      <w:bookmarkEnd w:id="139"/>
      <w:r w:rsidRPr="00E303AD">
        <w:rPr>
          <w:rFonts w:eastAsia="Calibri"/>
          <w:sz w:val="24"/>
          <w:rtl/>
        </w:rPr>
        <w:t xml:space="preserve"> להן שיקום אישי ותעסוקתי, ו</w:t>
      </w:r>
      <w:r w:rsidRPr="00E303AD">
        <w:rPr>
          <w:rFonts w:eastAsia="Calibri" w:hint="cs"/>
          <w:sz w:val="24"/>
          <w:rtl/>
        </w:rPr>
        <w:t xml:space="preserve">אשר </w:t>
      </w:r>
      <w:r w:rsidRPr="00E303AD">
        <w:rPr>
          <w:rFonts w:eastAsia="Calibri"/>
          <w:sz w:val="24"/>
          <w:rtl/>
        </w:rPr>
        <w:t>ניתנת להארכה במקרים הומניטריים חריגים</w:t>
      </w:r>
      <w:r w:rsidRPr="00E303AD">
        <w:rPr>
          <w:rFonts w:eastAsia="Calibri" w:hint="cs"/>
          <w:sz w:val="24"/>
          <w:rtl/>
        </w:rPr>
        <w:t xml:space="preserve"> (להלן - שנת שיקום)</w:t>
      </w:r>
      <w:r w:rsidRPr="00E303AD">
        <w:rPr>
          <w:rFonts w:eastAsia="Calibri"/>
          <w:sz w:val="24"/>
          <w:rtl/>
        </w:rPr>
        <w:t>.</w:t>
      </w:r>
      <w:r w:rsidRPr="00E303AD">
        <w:rPr>
          <w:rFonts w:eastAsia="Calibri" w:hint="cs"/>
          <w:sz w:val="24"/>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 xml:space="preserve">בסיום שנת השיקום </w:t>
      </w:r>
      <w:r w:rsidRPr="00E303AD">
        <w:rPr>
          <w:rFonts w:eastAsia="Calibri" w:hint="cs"/>
          <w:rtl/>
        </w:rPr>
        <w:t>הרשות</w:t>
      </w:r>
      <w:r w:rsidRPr="00E303AD">
        <w:rPr>
          <w:rFonts w:eastAsia="Calibri"/>
          <w:rtl/>
        </w:rPr>
        <w:t xml:space="preserve"> </w:t>
      </w:r>
      <w:r w:rsidRPr="00E303AD">
        <w:rPr>
          <w:rFonts w:eastAsia="Calibri" w:hint="cs"/>
          <w:rtl/>
        </w:rPr>
        <w:t xml:space="preserve">בוחנת את </w:t>
      </w:r>
      <w:r w:rsidRPr="00E303AD">
        <w:rPr>
          <w:rFonts w:eastAsia="Calibri"/>
          <w:rtl/>
        </w:rPr>
        <w:t>האפשרות להמשך שהייה בישראל או לחזרה למדינת המוצא</w:t>
      </w:r>
      <w:r w:rsidRPr="00E303AD">
        <w:rPr>
          <w:rFonts w:eastAsia="Calibri" w:hint="cs"/>
          <w:rtl/>
        </w:rPr>
        <w:t xml:space="preserve"> בכפוף להגשת בקשה מתאימה.</w:t>
      </w:r>
      <w:r w:rsidRPr="00E303AD">
        <w:rPr>
          <w:rFonts w:eastAsia="Calibri"/>
          <w:rtl/>
        </w:rPr>
        <w:t xml:space="preserve"> </w:t>
      </w:r>
      <w:r w:rsidRPr="00E303AD">
        <w:rPr>
          <w:rFonts w:eastAsia="Calibri" w:hint="cs"/>
          <w:sz w:val="24"/>
          <w:rtl/>
        </w:rPr>
        <w:t>ניתן להשיג על החלטות רשות האוכלוסין בנוגע לאשרות בתוך 21 ימים</w:t>
      </w:r>
      <w:r>
        <w:rPr>
          <w:rFonts w:eastAsia="Calibri"/>
          <w:vertAlign w:val="superscript"/>
          <w:rtl/>
        </w:rPr>
        <w:footnoteReference w:id="124"/>
      </w:r>
      <w:r w:rsidRPr="00E303AD">
        <w:rPr>
          <w:rFonts w:eastAsia="Calibri" w:hint="cs"/>
          <w:sz w:val="24"/>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ב</w:t>
      </w:r>
      <w:r w:rsidRPr="00E303AD">
        <w:rPr>
          <w:rFonts w:eastAsia="Calibri"/>
          <w:rtl/>
        </w:rPr>
        <w:t xml:space="preserve">תרשים </w:t>
      </w:r>
      <w:r w:rsidRPr="00E303AD">
        <w:rPr>
          <w:rFonts w:eastAsia="Calibri" w:hint="cs"/>
          <w:rtl/>
        </w:rPr>
        <w:t xml:space="preserve">שלהלן מוצגים </w:t>
      </w:r>
      <w:r w:rsidRPr="00E303AD">
        <w:rPr>
          <w:rFonts w:eastAsia="Calibri"/>
          <w:rtl/>
        </w:rPr>
        <w:t>שלבי ההליך</w:t>
      </w:r>
      <w:r w:rsidRPr="00E303AD">
        <w:rPr>
          <w:rFonts w:eastAsia="Calibri" w:hint="cs"/>
          <w:rtl/>
        </w:rPr>
        <w:t xml:space="preserve"> להכרה בקורבן סחר בבני אדם ככזה ולקבלת אשרת שהייה</w:t>
      </w:r>
      <w:r w:rsidRPr="00E303AD">
        <w:rPr>
          <w:rFonts w:eastAsia="Calibri"/>
          <w:rtl/>
        </w:rPr>
        <w:t>.</w:t>
      </w:r>
      <w:bookmarkStart w:id="140" w:name="_Hlk209946090"/>
    </w:p>
    <w:p w:rsidR="00E303AD" w:rsidRPr="00E303AD" w:rsidP="00E303AD">
      <w:pPr>
        <w:bidi w:val="0"/>
        <w:spacing w:line="269" w:lineRule="auto"/>
        <w:rPr>
          <w:rFonts w:eastAsia="Calibri"/>
          <w:rtl/>
        </w:rPr>
      </w:pPr>
      <w:r w:rsidRPr="00E303AD">
        <w:rPr>
          <w:rFonts w:eastAsia="Calibri"/>
          <w:rtl/>
        </w:rPr>
        <w:br w:type="page"/>
      </w:r>
    </w:p>
    <w:p w:rsidR="00E303AD" w:rsidRPr="00E303AD" w:rsidP="00E303AD">
      <w:pPr>
        <w:spacing w:line="269" w:lineRule="auto"/>
        <w:jc w:val="center"/>
        <w:rPr>
          <w:rFonts w:eastAsia="Calibri"/>
          <w:b/>
          <w:bCs/>
          <w:rtl/>
        </w:rPr>
      </w:pPr>
      <w:r w:rsidRPr="00E303AD">
        <w:rPr>
          <w:rFonts w:eastAsia="Calibri" w:hint="cs"/>
          <w:rtl/>
        </w:rPr>
        <w:t>תרשים 10:</w:t>
      </w:r>
      <w:r w:rsidRPr="00E303AD">
        <w:rPr>
          <w:rFonts w:eastAsia="Calibri" w:hint="cs"/>
          <w:b/>
          <w:bCs/>
          <w:rtl/>
        </w:rPr>
        <w:t xml:space="preserve"> אבני דרך בתהליך הזיהוי של קורבנות סחר בבני אדם והטיפול בהם</w:t>
      </w:r>
    </w:p>
    <w:bookmarkEnd w:id="140"/>
    <w:p w:rsidR="00E303AD" w:rsidRPr="00E303AD" w:rsidP="00E303AD">
      <w:pPr>
        <w:spacing w:line="269" w:lineRule="auto"/>
        <w:jc w:val="center"/>
        <w:rPr>
          <w:rFonts w:eastAsia="Calibri"/>
          <w:rtl/>
        </w:rPr>
      </w:pPr>
      <w:r w:rsidRPr="00E303AD">
        <w:rPr>
          <w:rFonts w:eastAsia="Calibri"/>
          <w:noProof/>
        </w:rPr>
        <w:drawing>
          <wp:inline distT="0" distB="0" distL="0" distR="0">
            <wp:extent cx="4543856" cy="3907130"/>
            <wp:effectExtent l="0" t="0" r="0" b="0"/>
            <wp:docPr id="77" name="תמונה 77" descr="התרשים מתאר תהליך בן ארבעה שלבים. בכל שלב יש רשימת נקודות  הכלולות בו:&#10;&#10;שלב 1: זיהוי והפנייה/הגשת בקשה להכרה כקורבן סחר&#10;&#10;- הפניית מקרים המעלים חשש כי מדובר בקורבן סחר על ידי רשויות המדינה.&#10;&#10;- מוגשת בקשה למשרד המשפטים (אין חובה להגיש תלונה במשטרה).&#10;&#10;- מצורפים מסמכים מזהים וכן מסמכים תומכים (תצהירים, דוחות רווחה ובריאות).&#10;&#10;שלב 2: בדיקת הבקשה&#10;&#10;- אם יש צורך בסיוע מיידי קיימת אפשרות לקבלת סעד זמני של כניסה למסגרת מוגנת טרם בחינת הבקשה.&#10;&#10;- יחידת התיאום בודקת את הבקשה ופועלת להשלמת חומרים ככל הנדרש.&#10;&#10;- הבקשה נדונה במסגרת התכנסות הוועדה המייעצת, שבמסגרתה נבחנת השאלה אם מתקיימת ראשית ראיה להיותו של המבקש קורבן סחר - די שאדם סביר ישתכנע כי מדובר בקורבן סחר.&#10;&#10;- ניתן לקיים ריאיון אישי עם הקורבן.&#10;&#10;- המתאמת מחליטה בבקשה תוך 45 ימים.&#10;&#10;שלב 3: מענים לאחר הכרה&#10;&#10;- הכרה היא אישור הצהרתי לכך שאדם הוא קורבן סחר המאפשר לו לקבל מענים מגוונים שונים בממשלה: הסדרת מעמד זמני בישראל*; זכאות למקלט לנשים ולגברים ומסגרות חוץ ביתיות נוספות**; זכאות לטיפול פסיכו-סוציאלי; זכאות לסל שירותים רפואיים נרחב, לרבות טיפול נפשי; זכאות לסיוע משפטי בהליכים אזרחיים ופליליים; זכאות לפיצויים ומענקים למטרות שיקום, טיפול והגנה; זכאות להכשרה מקצועית.&#10;&#10;שלב 4: סיום התהליך&#10;&#10;- אם הקורבן לא היה שוהה חוקי - עליו לעזוב, אלא אם כן אושר חריג.&#10;&#10;- אם שהה כחוק (בעיקר עובדים זרים) - הוא רשאי להאריך את שהותו לתקופה של עד 63 חודשים.&#10;&#10;- חזרה בטוחה של הקורבן לארץ המוצא באמצעות יידוע גורמי הטיפול במדינתו.&#10;&#10;- במקרה של הרשעה - אפשרות לפיצויים במסגרת ההליך הפליל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xmlns:r="http://schemas.openxmlformats.org/officeDocument/2006/relationships" r:embed="rId31"/>
                    <a:stretch>
                      <a:fillRect/>
                    </a:stretch>
                  </pic:blipFill>
                  <pic:spPr>
                    <a:xfrm>
                      <a:off x="0" y="0"/>
                      <a:ext cx="4550221" cy="3912603"/>
                    </a:xfrm>
                    <a:prstGeom prst="rect">
                      <a:avLst/>
                    </a:prstGeom>
                  </pic:spPr>
                </pic:pic>
              </a:graphicData>
            </a:graphic>
          </wp:inline>
        </w:drawing>
      </w:r>
    </w:p>
    <w:p w:rsidR="00E303AD" w:rsidRPr="00E303AD" w:rsidP="00E303AD">
      <w:pPr>
        <w:spacing w:line="269" w:lineRule="auto"/>
        <w:rPr>
          <w:rFonts w:eastAsia="Calibri"/>
          <w:bCs/>
          <w:szCs w:val="20"/>
          <w:rtl/>
        </w:rPr>
      </w:pPr>
      <w:r w:rsidRPr="00E303AD">
        <w:rPr>
          <w:rFonts w:eastAsia="Calibri" w:hint="cs"/>
          <w:szCs w:val="20"/>
          <w:rtl/>
        </w:rPr>
        <w:t>לפי אתר יחידת התיאום בעיבוד משרד מבקר המדינה</w:t>
      </w:r>
      <w:r>
        <w:rPr>
          <w:rFonts w:eastAsia="Calibri"/>
          <w:b/>
          <w:szCs w:val="20"/>
          <w:vertAlign w:val="superscript"/>
          <w:rtl/>
        </w:rPr>
        <w:footnoteReference w:id="125"/>
      </w:r>
      <w:r w:rsidRPr="00E303AD">
        <w:rPr>
          <w:rFonts w:eastAsia="Calibri" w:hint="cs"/>
          <w:szCs w:val="20"/>
          <w:rtl/>
        </w:rPr>
        <w:t>.</w:t>
      </w:r>
    </w:p>
    <w:p w:rsidR="00E303AD" w:rsidRPr="00E303AD" w:rsidP="00801B1E">
      <w:pPr>
        <w:spacing w:line="269" w:lineRule="auto"/>
        <w:ind w:left="199" w:hanging="201"/>
        <w:rPr>
          <w:rFonts w:eastAsia="Calibri"/>
          <w:b/>
          <w:szCs w:val="20"/>
          <w:rtl/>
        </w:rPr>
      </w:pPr>
      <w:r w:rsidRPr="00E303AD">
        <w:rPr>
          <w:rFonts w:eastAsia="Calibri"/>
          <w:b/>
          <w:szCs w:val="20"/>
          <w:rtl/>
        </w:rPr>
        <w:t>*</w:t>
      </w:r>
      <w:r w:rsidRPr="00E303AD">
        <w:rPr>
          <w:rFonts w:eastAsia="Calibri" w:hint="cs"/>
          <w:b/>
          <w:szCs w:val="20"/>
          <w:rtl/>
        </w:rPr>
        <w:t xml:space="preserve"> </w:t>
      </w:r>
      <w:r w:rsidR="00801B1E">
        <w:rPr>
          <w:rFonts w:eastAsia="Calibri"/>
          <w:b/>
          <w:szCs w:val="20"/>
          <w:rtl/>
        </w:rPr>
        <w:tab/>
      </w:r>
      <w:r w:rsidRPr="00E303AD">
        <w:rPr>
          <w:rFonts w:eastAsia="Calibri"/>
          <w:b/>
          <w:szCs w:val="20"/>
          <w:rtl/>
        </w:rPr>
        <w:t xml:space="preserve">קבלת אשרת שהייה ועבודה. </w:t>
      </w:r>
    </w:p>
    <w:p w:rsidR="00E303AD" w:rsidRPr="00E303AD" w:rsidP="00801B1E">
      <w:pPr>
        <w:spacing w:line="269" w:lineRule="auto"/>
        <w:ind w:left="199" w:hanging="201"/>
        <w:rPr>
          <w:rFonts w:eastAsia="Calibri"/>
          <w:b/>
          <w:szCs w:val="20"/>
          <w:rtl/>
        </w:rPr>
      </w:pPr>
      <w:r w:rsidRPr="00E303AD">
        <w:rPr>
          <w:rFonts w:eastAsia="Calibri"/>
          <w:b/>
          <w:szCs w:val="20"/>
          <w:rtl/>
        </w:rPr>
        <w:t>**</w:t>
      </w:r>
      <w:r w:rsidRPr="00E303AD">
        <w:rPr>
          <w:rFonts w:eastAsia="Calibri" w:hint="cs"/>
          <w:b/>
          <w:szCs w:val="20"/>
          <w:rtl/>
        </w:rPr>
        <w:t xml:space="preserve"> </w:t>
      </w:r>
      <w:r w:rsidRPr="00E303AD">
        <w:rPr>
          <w:rFonts w:eastAsia="Calibri"/>
          <w:b/>
          <w:szCs w:val="20"/>
          <w:rtl/>
        </w:rPr>
        <w:t xml:space="preserve">משרד הרווחה מפעיל מקלטים ייעודיים להגנה פיזית ונפשית, טיפול וליווי סוציאלי, משפטי ותמיכתי לגברים, </w:t>
      </w:r>
      <w:r w:rsidRPr="00E303AD">
        <w:rPr>
          <w:rFonts w:eastAsia="Calibri" w:hint="cs"/>
          <w:b/>
          <w:szCs w:val="20"/>
          <w:rtl/>
        </w:rPr>
        <w:t>ל</w:t>
      </w:r>
      <w:r w:rsidRPr="00E303AD">
        <w:rPr>
          <w:rFonts w:eastAsia="Calibri"/>
          <w:b/>
          <w:szCs w:val="20"/>
          <w:rtl/>
        </w:rPr>
        <w:t>נשים ו</w:t>
      </w:r>
      <w:r w:rsidRPr="00E303AD">
        <w:rPr>
          <w:rFonts w:eastAsia="Calibri" w:hint="cs"/>
          <w:b/>
          <w:szCs w:val="20"/>
          <w:rtl/>
        </w:rPr>
        <w:t>ל</w:t>
      </w:r>
      <w:r w:rsidRPr="00E303AD">
        <w:rPr>
          <w:rFonts w:eastAsia="Calibri"/>
          <w:b/>
          <w:szCs w:val="20"/>
          <w:rtl/>
        </w:rPr>
        <w:t xml:space="preserve">ילדיהן, וכן מסגרות המעניקות מענה שיקומי טיפולי לנפגעים, כגון מסגרות לגמילה מסמים ואלכוהול, הלנות חירום ייעודיות לנשים במצבי זנות ושימוש </w:t>
      </w:r>
      <w:r w:rsidRPr="00E303AD">
        <w:rPr>
          <w:rFonts w:eastAsia="Calibri" w:hint="cs"/>
          <w:b/>
          <w:szCs w:val="20"/>
          <w:rtl/>
        </w:rPr>
        <w:t>ב</w:t>
      </w:r>
      <w:r w:rsidRPr="00E303AD">
        <w:rPr>
          <w:rFonts w:eastAsia="Calibri"/>
          <w:b/>
          <w:szCs w:val="20"/>
          <w:rtl/>
        </w:rPr>
        <w:t>חומרים פסיכו-אקטיביים.</w:t>
      </w:r>
    </w:p>
    <w:p w:rsidR="00E303AD" w:rsidRPr="00E303AD" w:rsidP="00E303AD">
      <w:pPr>
        <w:spacing w:line="269" w:lineRule="auto"/>
        <w:rPr>
          <w:rFonts w:eastAsia="Calibri"/>
          <w:b/>
          <w:szCs w:val="20"/>
          <w:rtl/>
        </w:rPr>
      </w:pPr>
    </w:p>
    <w:p w:rsidR="00E303AD" w:rsidRPr="00E303AD" w:rsidP="00E303AD">
      <w:pPr>
        <w:spacing w:line="269" w:lineRule="auto"/>
        <w:rPr>
          <w:rFonts w:eastAsia="Calibri"/>
          <w:bCs/>
          <w:szCs w:val="20"/>
          <w:rtl/>
        </w:rPr>
      </w:pPr>
      <w:r w:rsidRPr="00E303AD">
        <w:rPr>
          <w:rFonts w:eastAsia="Calibri"/>
          <w:noProof/>
        </w:rPr>
        <w:drawing>
          <wp:inline distT="0" distB="0" distL="0" distR="0">
            <wp:extent cx="5220335" cy="941070"/>
            <wp:effectExtent l="0" t="0" r="0" b="0"/>
            <wp:docPr id="105" name="תמונה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
                    <pic:cNvPicPr/>
                  </pic:nvPicPr>
                  <pic:blipFill>
                    <a:blip xmlns:r="http://schemas.openxmlformats.org/officeDocument/2006/relationships" r:embed="rId32"/>
                    <a:stretch>
                      <a:fillRect/>
                    </a:stretch>
                  </pic:blipFill>
                  <pic:spPr>
                    <a:xfrm>
                      <a:off x="0" y="0"/>
                      <a:ext cx="5220335" cy="941070"/>
                    </a:xfrm>
                    <a:prstGeom prst="rect">
                      <a:avLst/>
                    </a:prstGeom>
                  </pic:spPr>
                </pic:pic>
              </a:graphicData>
            </a:graphic>
          </wp:inline>
        </w:drawing>
      </w:r>
    </w:p>
    <w:p w:rsidR="00E303AD" w:rsidRPr="00E303AD" w:rsidP="00E303AD">
      <w:pPr>
        <w:spacing w:line="269" w:lineRule="auto"/>
        <w:rPr>
          <w:rFonts w:eastAsia="Calibri"/>
          <w:highlight w:val="green"/>
          <w:rtl/>
        </w:rPr>
      </w:pPr>
    </w:p>
    <w:p w:rsidR="00E303AD" w:rsidRPr="00E303AD" w:rsidP="00E303AD">
      <w:pPr>
        <w:keepNext/>
        <w:keepLines/>
        <w:spacing w:line="269" w:lineRule="auto"/>
        <w:outlineLvl w:val="2"/>
        <w:rPr>
          <w:rFonts w:eastAsia="Times New Roman"/>
          <w:bCs/>
          <w:szCs w:val="28"/>
          <w:u w:val="single"/>
          <w:rtl/>
        </w:rPr>
      </w:pPr>
      <w:bookmarkStart w:id="141" w:name="_Toc221474986"/>
      <w:bookmarkStart w:id="142" w:name="_Toc224808294"/>
      <w:bookmarkStart w:id="143" w:name="_Toc232696568"/>
      <w:r w:rsidRPr="00E303AD">
        <w:rPr>
          <w:rFonts w:eastAsia="Times New Roman" w:hint="cs"/>
          <w:bCs/>
          <w:szCs w:val="28"/>
          <w:u w:val="single"/>
          <w:rtl/>
        </w:rPr>
        <w:t>הליך מתן אשרת שהייה לקורבן עבירות סחר בבני אדם בישראל</w:t>
      </w:r>
      <w:bookmarkEnd w:id="141"/>
      <w:bookmarkEnd w:id="142"/>
      <w:bookmarkEnd w:id="143"/>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bookmarkStart w:id="144" w:name="_Hlk217458891"/>
      <w:r w:rsidRPr="00E303AD">
        <w:rPr>
          <w:rFonts w:eastAsia="Calibri"/>
          <w:rtl/>
        </w:rPr>
        <w:t xml:space="preserve">בשנת 2008 </w:t>
      </w:r>
      <w:r w:rsidRPr="00E303AD">
        <w:rPr>
          <w:rFonts w:eastAsia="Calibri" w:hint="cs"/>
          <w:rtl/>
        </w:rPr>
        <w:t>התקבלה החלטת</w:t>
      </w:r>
      <w:r w:rsidRPr="00E303AD">
        <w:rPr>
          <w:rFonts w:eastAsia="Calibri"/>
          <w:rtl/>
        </w:rPr>
        <w:t xml:space="preserve"> הממשלה 3434 בנושא הקמת "רשות האוכלוסין, ההגירה ומעברי הגבול" במשרד הפנים</w:t>
      </w:r>
      <w:r>
        <w:rPr>
          <w:rFonts w:eastAsia="Calibri"/>
          <w:vertAlign w:val="superscript"/>
          <w:rtl/>
        </w:rPr>
        <w:footnoteReference w:id="126"/>
      </w:r>
      <w:r w:rsidRPr="00E303AD">
        <w:rPr>
          <w:rFonts w:eastAsia="Calibri"/>
          <w:rtl/>
        </w:rPr>
        <w:t>. הרשות החליפה את מ</w:t>
      </w:r>
      <w:r w:rsidRPr="00E303AD">
        <w:rPr>
          <w:rFonts w:eastAsia="Calibri" w:hint="cs"/>
          <w:rtl/>
        </w:rPr>
        <w:t>י</w:t>
      </w:r>
      <w:r w:rsidRPr="00E303AD">
        <w:rPr>
          <w:rFonts w:eastAsia="Calibri"/>
          <w:rtl/>
        </w:rPr>
        <w:t>נהל האוכלוסין במשרד הפנים והוטלה עליה אחריות ליישום מדיניות הממשלה ו</w:t>
      </w:r>
      <w:r w:rsidRPr="00E303AD">
        <w:rPr>
          <w:rFonts w:eastAsia="Calibri" w:hint="cs"/>
          <w:rtl/>
        </w:rPr>
        <w:t>להפעלת</w:t>
      </w:r>
      <w:r w:rsidRPr="00E303AD">
        <w:rPr>
          <w:rFonts w:eastAsia="Calibri"/>
          <w:rtl/>
        </w:rPr>
        <w:t xml:space="preserve"> סמכויות שר הפנים שהואצלו לה בתחום הטיפול בזרים ובתחום האוכלוסין.</w:t>
      </w:r>
      <w:bookmarkEnd w:id="144"/>
      <w:r w:rsidRPr="00E303AD">
        <w:rPr>
          <w:rFonts w:eastAsia="Calibri" w:hint="cs"/>
          <w:rtl/>
        </w:rPr>
        <w:t xml:space="preserve"> רשות האוכלוסין</w:t>
      </w:r>
      <w:r w:rsidRPr="00E303AD">
        <w:rPr>
          <w:rFonts w:eastAsia="Calibri"/>
          <w:rtl/>
        </w:rPr>
        <w:t xml:space="preserve"> פועלת מכוח </w:t>
      </w:r>
      <w:r w:rsidRPr="00E303AD">
        <w:rPr>
          <w:rFonts w:eastAsia="Calibri" w:hint="cs"/>
          <w:rtl/>
        </w:rPr>
        <w:t>כמה</w:t>
      </w:r>
      <w:r w:rsidRPr="00E303AD">
        <w:rPr>
          <w:rFonts w:eastAsia="Calibri"/>
          <w:rtl/>
        </w:rPr>
        <w:t xml:space="preserve"> חוקים</w:t>
      </w:r>
      <w:r w:rsidRPr="00E303AD">
        <w:rPr>
          <w:rFonts w:eastAsia="Calibri" w:hint="cs"/>
          <w:rtl/>
        </w:rPr>
        <w:t>,</w:t>
      </w:r>
      <w:r w:rsidRPr="00E303AD">
        <w:rPr>
          <w:rFonts w:eastAsia="Calibri"/>
          <w:rtl/>
        </w:rPr>
        <w:t xml:space="preserve"> </w:t>
      </w:r>
      <w:r w:rsidRPr="00E303AD">
        <w:rPr>
          <w:rFonts w:eastAsia="Calibri" w:hint="cs"/>
          <w:rtl/>
        </w:rPr>
        <w:t xml:space="preserve">ובהם </w:t>
      </w:r>
      <w:r w:rsidRPr="00E303AD">
        <w:rPr>
          <w:rFonts w:eastAsia="Calibri"/>
          <w:rtl/>
        </w:rPr>
        <w:t>חוק הכניסה לישראל המ</w:t>
      </w:r>
      <w:r w:rsidRPr="00E303AD">
        <w:rPr>
          <w:rFonts w:eastAsia="Calibri" w:hint="cs"/>
          <w:rtl/>
        </w:rPr>
        <w:t>קנה</w:t>
      </w:r>
      <w:r w:rsidRPr="00E303AD">
        <w:rPr>
          <w:rFonts w:eastAsia="Calibri"/>
          <w:rtl/>
        </w:rPr>
        <w:t xml:space="preserve"> לשר הפנים ולגורמי הרשות שיקול דעת רחב בכל הנוגע לכניסה לישראל, לשהייה בה ולהסדרת </w:t>
      </w:r>
      <w:r w:rsidRPr="00E303AD">
        <w:rPr>
          <w:rFonts w:eastAsia="Calibri" w:hint="cs"/>
          <w:rtl/>
        </w:rPr>
        <w:t>מעמד ואשרות</w:t>
      </w:r>
      <w:r>
        <w:rPr>
          <w:rFonts w:eastAsia="Calibri"/>
          <w:vertAlign w:val="superscript"/>
          <w:rtl/>
        </w:rPr>
        <w:footnoteReference w:id="127"/>
      </w:r>
      <w:r w:rsidRPr="00E303AD">
        <w:rPr>
          <w:rFonts w:eastAsia="Calibri" w:hint="cs"/>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 xml:space="preserve">מכוח חוק </w:t>
      </w:r>
      <w:r w:rsidRPr="00E303AD">
        <w:rPr>
          <w:rFonts w:eastAsia="Calibri" w:hint="cs"/>
          <w:rtl/>
        </w:rPr>
        <w:t xml:space="preserve">הכניסה לישראל </w:t>
      </w:r>
      <w:r w:rsidRPr="00E303AD">
        <w:rPr>
          <w:rFonts w:eastAsia="Calibri"/>
          <w:rtl/>
        </w:rPr>
        <w:t>הותקנו ופורסמו נהלים</w:t>
      </w:r>
      <w:r w:rsidRPr="00E303AD">
        <w:rPr>
          <w:rFonts w:eastAsia="Calibri" w:hint="cs"/>
          <w:rtl/>
        </w:rPr>
        <w:t xml:space="preserve"> של הרשות</w:t>
      </w:r>
      <w:r w:rsidRPr="00E303AD">
        <w:rPr>
          <w:rFonts w:eastAsia="Calibri"/>
          <w:rtl/>
        </w:rPr>
        <w:t xml:space="preserve"> הנוגעים לקורבנות סחר בבני אדם, שנועדו לאזן בין צורכי האכיפה והריבונות של המדינה לבין ההתחייבויות החוקתיות והבי</w:t>
      </w:r>
      <w:r w:rsidRPr="00E303AD">
        <w:rPr>
          <w:rFonts w:eastAsia="Calibri" w:hint="cs"/>
          <w:rtl/>
        </w:rPr>
        <w:t>ן-</w:t>
      </w:r>
      <w:r w:rsidRPr="00E303AD">
        <w:rPr>
          <w:rFonts w:eastAsia="Calibri"/>
          <w:rtl/>
        </w:rPr>
        <w:t>לאומיות להגנה על זכויות האדם</w:t>
      </w:r>
      <w:r w:rsidRPr="00E303AD">
        <w:rPr>
          <w:rFonts w:eastAsia="Calibri"/>
        </w:rPr>
        <w:t>.</w:t>
      </w:r>
      <w:r w:rsidRPr="00E303AD">
        <w:rPr>
          <w:rFonts w:eastAsia="Calibri"/>
          <w:rtl/>
        </w:rPr>
        <w:t xml:space="preserve"> בהתאם </w:t>
      </w:r>
      <w:r w:rsidRPr="00E303AD">
        <w:rPr>
          <w:rFonts w:eastAsia="Calibri" w:hint="eastAsia"/>
          <w:rtl/>
        </w:rPr>
        <w:t>לנהלים</w:t>
      </w:r>
      <w:r w:rsidRPr="00E303AD">
        <w:rPr>
          <w:rFonts w:eastAsia="Calibri"/>
          <w:rtl/>
        </w:rPr>
        <w:t xml:space="preserve"> </w:t>
      </w:r>
      <w:r w:rsidRPr="00E303AD">
        <w:rPr>
          <w:rFonts w:eastAsia="Calibri" w:hint="eastAsia"/>
          <w:rtl/>
        </w:rPr>
        <w:t>אלו</w:t>
      </w:r>
      <w:r w:rsidRPr="00E303AD">
        <w:rPr>
          <w:rFonts w:eastAsia="Calibri"/>
          <w:rtl/>
        </w:rPr>
        <w:t xml:space="preserve">, </w:t>
      </w:r>
      <w:r w:rsidRPr="00E303AD">
        <w:rPr>
          <w:rFonts w:eastAsia="Calibri" w:hint="eastAsia"/>
          <w:rtl/>
        </w:rPr>
        <w:t>מי</w:t>
      </w:r>
      <w:r w:rsidRPr="00E303AD">
        <w:rPr>
          <w:rFonts w:eastAsia="Calibri" w:hint="cs"/>
          <w:rtl/>
        </w:rPr>
        <w:t>י</w:t>
      </w:r>
      <w:r w:rsidRPr="00E303AD">
        <w:rPr>
          <w:rFonts w:eastAsia="Calibri" w:hint="eastAsia"/>
          <w:rtl/>
        </w:rPr>
        <w:t>ד</w:t>
      </w:r>
      <w:r w:rsidRPr="00E303AD">
        <w:rPr>
          <w:rFonts w:eastAsia="Calibri"/>
          <w:rtl/>
        </w:rPr>
        <w:t xml:space="preserve"> לאחר </w:t>
      </w:r>
      <w:r w:rsidRPr="00E303AD">
        <w:rPr>
          <w:rFonts w:eastAsia="Calibri" w:hint="cs"/>
          <w:rtl/>
        </w:rPr>
        <w:t>ה</w:t>
      </w:r>
      <w:r w:rsidRPr="00E303AD">
        <w:rPr>
          <w:rFonts w:eastAsia="Calibri"/>
          <w:rtl/>
        </w:rPr>
        <w:t>הכרה</w:t>
      </w:r>
      <w:r w:rsidRPr="00E303AD">
        <w:rPr>
          <w:rFonts w:eastAsia="Calibri" w:hint="cs"/>
          <w:rtl/>
        </w:rPr>
        <w:t xml:space="preserve"> בקורבן הסחר בבני אדם</w:t>
      </w:r>
      <w:r w:rsidRPr="00E303AD">
        <w:rPr>
          <w:rFonts w:eastAsia="Calibri"/>
          <w:rtl/>
        </w:rPr>
        <w:t xml:space="preserve">, </w:t>
      </w:r>
      <w:r w:rsidRPr="00E303AD">
        <w:rPr>
          <w:rFonts w:eastAsia="Calibri" w:hint="eastAsia"/>
          <w:rtl/>
        </w:rPr>
        <w:t>ניתנת</w:t>
      </w:r>
      <w:r w:rsidRPr="00E303AD">
        <w:rPr>
          <w:rFonts w:eastAsia="Calibri"/>
          <w:rtl/>
        </w:rPr>
        <w:t xml:space="preserve"> ל</w:t>
      </w:r>
      <w:r w:rsidRPr="00E303AD">
        <w:rPr>
          <w:rFonts w:eastAsia="Calibri" w:hint="cs"/>
          <w:rtl/>
        </w:rPr>
        <w:t>ו</w:t>
      </w:r>
      <w:r w:rsidRPr="00E303AD">
        <w:rPr>
          <w:rFonts w:eastAsia="Calibri"/>
          <w:rtl/>
        </w:rPr>
        <w:t xml:space="preserve"> </w:t>
      </w:r>
      <w:r w:rsidRPr="00E303AD">
        <w:rPr>
          <w:rFonts w:eastAsia="Calibri" w:hint="eastAsia"/>
          <w:rtl/>
        </w:rPr>
        <w:t>אשרת</w:t>
      </w:r>
      <w:r w:rsidRPr="00E303AD">
        <w:rPr>
          <w:rFonts w:eastAsia="Calibri"/>
          <w:rtl/>
        </w:rPr>
        <w:t xml:space="preserve"> שהייה </w:t>
      </w:r>
      <w:r w:rsidRPr="00E303AD">
        <w:rPr>
          <w:rFonts w:eastAsia="Calibri" w:hint="cs"/>
          <w:rtl/>
        </w:rPr>
        <w:t>זמנית בישראל,</w:t>
      </w:r>
      <w:r w:rsidRPr="00E303AD">
        <w:rPr>
          <w:rFonts w:eastAsia="Calibri"/>
          <w:rtl/>
        </w:rPr>
        <w:t xml:space="preserve"> </w:t>
      </w:r>
      <w:r w:rsidRPr="00E303AD">
        <w:rPr>
          <w:rFonts w:eastAsia="Calibri" w:hint="cs"/>
          <w:rtl/>
        </w:rPr>
        <w:t>והרשות רשאית</w:t>
      </w:r>
      <w:r w:rsidRPr="00E303AD">
        <w:rPr>
          <w:rFonts w:eastAsia="Calibri"/>
          <w:rtl/>
        </w:rPr>
        <w:t xml:space="preserve"> </w:t>
      </w:r>
      <w:r w:rsidRPr="00E303AD">
        <w:rPr>
          <w:rFonts w:eastAsia="Calibri" w:hint="eastAsia"/>
          <w:rtl/>
        </w:rPr>
        <w:t>להאריכה</w:t>
      </w:r>
      <w:r>
        <w:rPr>
          <w:rFonts w:eastAsia="Calibri"/>
          <w:vertAlign w:val="superscript"/>
          <w:rtl/>
        </w:rPr>
        <w:footnoteReference w:id="128"/>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כאמור, לקורבן הסחר מוקנית הזכות להגיש </w:t>
      </w:r>
      <w:r w:rsidRPr="00E303AD">
        <w:rPr>
          <w:rFonts w:eastAsia="Calibri"/>
          <w:rtl/>
        </w:rPr>
        <w:t>בקשה לשנת שיקום</w:t>
      </w:r>
      <w:r w:rsidRPr="00E303AD">
        <w:rPr>
          <w:rFonts w:eastAsia="Calibri" w:hint="cs"/>
          <w:rtl/>
        </w:rPr>
        <w:t>.</w:t>
      </w:r>
      <w:r w:rsidRPr="00E303AD">
        <w:rPr>
          <w:rFonts w:eastAsia="Calibri"/>
          <w:rtl/>
        </w:rPr>
        <w:t xml:space="preserve"> </w:t>
      </w:r>
      <w:r w:rsidRPr="00E303AD">
        <w:rPr>
          <w:rFonts w:eastAsia="Calibri" w:hint="cs"/>
          <w:rtl/>
        </w:rPr>
        <w:t xml:space="preserve">על הבקשה </w:t>
      </w:r>
      <w:r w:rsidRPr="00E303AD">
        <w:rPr>
          <w:rFonts w:eastAsia="Calibri"/>
          <w:rtl/>
        </w:rPr>
        <w:t>להיות מנומקת ומבוססת</w:t>
      </w:r>
      <w:r w:rsidRPr="00E303AD">
        <w:rPr>
          <w:rFonts w:eastAsia="Calibri" w:hint="cs"/>
          <w:rtl/>
        </w:rPr>
        <w:t>,</w:t>
      </w:r>
      <w:r w:rsidRPr="00E303AD">
        <w:rPr>
          <w:rFonts w:eastAsia="Calibri"/>
          <w:rtl/>
        </w:rPr>
        <w:t xml:space="preserve"> ולכלול</w:t>
      </w:r>
      <w:r w:rsidRPr="00E303AD">
        <w:rPr>
          <w:rFonts w:eastAsia="Calibri" w:hint="cs"/>
          <w:rtl/>
        </w:rPr>
        <w:t>,</w:t>
      </w:r>
      <w:r w:rsidRPr="00E303AD">
        <w:rPr>
          <w:rFonts w:eastAsia="Calibri"/>
          <w:rtl/>
        </w:rPr>
        <w:t xml:space="preserve"> בין היתר</w:t>
      </w:r>
      <w:r>
        <w:rPr>
          <w:rFonts w:eastAsia="Calibri"/>
          <w:vertAlign w:val="superscript"/>
          <w:rtl/>
        </w:rPr>
        <w:footnoteReference w:id="129"/>
      </w:r>
      <w:r w:rsidRPr="00E303AD">
        <w:rPr>
          <w:rFonts w:eastAsia="Calibri" w:hint="cs"/>
          <w:rtl/>
        </w:rPr>
        <w:t xml:space="preserve">: </w:t>
      </w:r>
      <w:r w:rsidRPr="00E303AD">
        <w:rPr>
          <w:rFonts w:eastAsia="Calibri"/>
          <w:rtl/>
        </w:rPr>
        <w:t xml:space="preserve">מכתב אישי של </w:t>
      </w:r>
      <w:r w:rsidRPr="00E303AD">
        <w:rPr>
          <w:rFonts w:eastAsia="Calibri" w:hint="cs"/>
          <w:rtl/>
        </w:rPr>
        <w:t>נפגעת הסחר בבני אדם,</w:t>
      </w:r>
      <w:r w:rsidRPr="00E303AD">
        <w:rPr>
          <w:rFonts w:eastAsia="Calibri"/>
          <w:rtl/>
        </w:rPr>
        <w:t xml:space="preserve"> שבו יפורטו נסיבות חיי</w:t>
      </w:r>
      <w:r w:rsidRPr="00E303AD">
        <w:rPr>
          <w:rFonts w:eastAsia="Calibri" w:hint="cs"/>
          <w:rtl/>
        </w:rPr>
        <w:t>ה</w:t>
      </w:r>
      <w:r w:rsidRPr="00E303AD">
        <w:rPr>
          <w:rFonts w:eastAsia="Calibri"/>
          <w:rtl/>
        </w:rPr>
        <w:t xml:space="preserve"> בישראל, הרקע האישי</w:t>
      </w:r>
      <w:r w:rsidRPr="00E303AD">
        <w:rPr>
          <w:rFonts w:eastAsia="Calibri" w:hint="cs"/>
          <w:rtl/>
        </w:rPr>
        <w:t xml:space="preserve"> שלה</w:t>
      </w:r>
      <w:r w:rsidRPr="00E303AD">
        <w:rPr>
          <w:rFonts w:eastAsia="Calibri"/>
          <w:rtl/>
        </w:rPr>
        <w:t>, ה</w:t>
      </w:r>
      <w:r w:rsidRPr="00E303AD">
        <w:rPr>
          <w:rFonts w:eastAsia="Calibri" w:hint="cs"/>
          <w:rtl/>
        </w:rPr>
        <w:t>נימוקים להגשת</w:t>
      </w:r>
      <w:r w:rsidRPr="00E303AD">
        <w:rPr>
          <w:rFonts w:eastAsia="Calibri"/>
          <w:rtl/>
        </w:rPr>
        <w:t xml:space="preserve"> </w:t>
      </w:r>
      <w:r w:rsidRPr="00E303AD">
        <w:rPr>
          <w:rFonts w:eastAsia="Calibri" w:hint="cs"/>
          <w:rtl/>
        </w:rPr>
        <w:t>ה</w:t>
      </w:r>
      <w:r w:rsidRPr="00E303AD">
        <w:rPr>
          <w:rFonts w:eastAsia="Calibri"/>
          <w:rtl/>
        </w:rPr>
        <w:t xml:space="preserve">בקשה ותוכניות </w:t>
      </w:r>
      <w:r w:rsidRPr="00E303AD">
        <w:rPr>
          <w:rFonts w:eastAsia="Calibri" w:hint="cs"/>
          <w:rtl/>
        </w:rPr>
        <w:t>ל</w:t>
      </w:r>
      <w:r w:rsidRPr="00E303AD">
        <w:rPr>
          <w:rFonts w:eastAsia="Calibri"/>
          <w:rtl/>
        </w:rPr>
        <w:t>מגורים ו</w:t>
      </w:r>
      <w:r w:rsidRPr="00E303AD">
        <w:rPr>
          <w:rFonts w:eastAsia="Calibri" w:hint="cs"/>
          <w:rtl/>
        </w:rPr>
        <w:t>ל</w:t>
      </w:r>
      <w:r w:rsidRPr="00E303AD">
        <w:rPr>
          <w:rFonts w:eastAsia="Calibri"/>
          <w:rtl/>
        </w:rPr>
        <w:t>תעסוקה; חוות דעת של צוות המקלט או של גורם טיפולי מוסמך בנוגע לסיכויי השיקום,</w:t>
      </w:r>
      <w:r w:rsidRPr="00E303AD">
        <w:rPr>
          <w:rFonts w:eastAsia="Calibri" w:hint="cs"/>
          <w:rtl/>
        </w:rPr>
        <w:t xml:space="preserve"> לחשיבות התעסוקה לשיקומה,</w:t>
      </w:r>
      <w:r w:rsidRPr="00E303AD">
        <w:rPr>
          <w:rFonts w:eastAsia="Calibri"/>
          <w:rtl/>
        </w:rPr>
        <w:t xml:space="preserve"> </w:t>
      </w:r>
      <w:r w:rsidRPr="00E303AD">
        <w:rPr>
          <w:rFonts w:eastAsia="Calibri" w:hint="cs"/>
          <w:rtl/>
        </w:rPr>
        <w:t>ל</w:t>
      </w:r>
      <w:r w:rsidRPr="00E303AD">
        <w:rPr>
          <w:rFonts w:eastAsia="Calibri"/>
          <w:rtl/>
        </w:rPr>
        <w:t>התנה</w:t>
      </w:r>
      <w:r w:rsidRPr="00E303AD">
        <w:rPr>
          <w:rFonts w:eastAsia="Calibri" w:hint="cs"/>
          <w:rtl/>
        </w:rPr>
        <w:t>גות</w:t>
      </w:r>
      <w:r w:rsidRPr="00E303AD">
        <w:rPr>
          <w:rFonts w:eastAsia="Calibri"/>
          <w:rtl/>
        </w:rPr>
        <w:t xml:space="preserve"> </w:t>
      </w:r>
      <w:r w:rsidRPr="00E303AD">
        <w:rPr>
          <w:rFonts w:eastAsia="Calibri" w:hint="cs"/>
          <w:rtl/>
        </w:rPr>
        <w:t>נפגעת הסחר בבני אדם</w:t>
      </w:r>
      <w:r w:rsidRPr="00E303AD">
        <w:rPr>
          <w:rFonts w:eastAsia="Calibri"/>
          <w:rtl/>
        </w:rPr>
        <w:t xml:space="preserve"> בתקופת שהות</w:t>
      </w:r>
      <w:r w:rsidRPr="00E303AD">
        <w:rPr>
          <w:rFonts w:eastAsia="Calibri" w:hint="cs"/>
          <w:rtl/>
        </w:rPr>
        <w:t>ה</w:t>
      </w:r>
      <w:r w:rsidRPr="00E303AD">
        <w:rPr>
          <w:rFonts w:eastAsia="Calibri"/>
          <w:rtl/>
        </w:rPr>
        <w:t xml:space="preserve"> במקלט </w:t>
      </w:r>
      <w:r w:rsidRPr="00E303AD">
        <w:rPr>
          <w:rFonts w:eastAsia="Calibri" w:hint="cs"/>
          <w:rtl/>
        </w:rPr>
        <w:t>ולגורמי</w:t>
      </w:r>
      <w:r w:rsidRPr="00E303AD">
        <w:rPr>
          <w:rFonts w:eastAsia="Calibri"/>
          <w:rtl/>
        </w:rPr>
        <w:t xml:space="preserve"> התמיכה </w:t>
      </w:r>
      <w:r w:rsidRPr="00E303AD">
        <w:rPr>
          <w:rFonts w:eastAsia="Calibri" w:hint="cs"/>
          <w:rtl/>
        </w:rPr>
        <w:t>העומדים לרשותה</w:t>
      </w:r>
      <w:r w:rsidRPr="00E303AD">
        <w:rPr>
          <w:rFonts w:eastAsia="Calibri"/>
          <w:rtl/>
        </w:rPr>
        <w:t xml:space="preserve">; </w:t>
      </w:r>
      <w:r w:rsidRPr="00E303AD">
        <w:rPr>
          <w:rFonts w:eastAsia="Calibri" w:hint="cs"/>
          <w:rtl/>
        </w:rPr>
        <w:t xml:space="preserve">מסמכי תיק בית המשפט, אם יש מסמכים כאלה; </w:t>
      </w:r>
      <w:r w:rsidRPr="00E303AD">
        <w:rPr>
          <w:rFonts w:eastAsia="Calibri"/>
          <w:rtl/>
        </w:rPr>
        <w:t xml:space="preserve">וכן מסמכים נלווים </w:t>
      </w:r>
      <w:r w:rsidRPr="00E303AD">
        <w:rPr>
          <w:rFonts w:eastAsia="Calibri" w:hint="cs"/>
          <w:rtl/>
        </w:rPr>
        <w:t xml:space="preserve">ובהם </w:t>
      </w:r>
      <w:r w:rsidRPr="00E303AD">
        <w:rPr>
          <w:rFonts w:eastAsia="Calibri"/>
          <w:rtl/>
        </w:rPr>
        <w:t>אישורים ממעסיקים פוטנציאליים, מכתבי תמיכה מארגוני סיוע ומסמך נסיעה תקף.</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אם הרשות מאשרת את הבקשה</w:t>
      </w:r>
      <w:r w:rsidRPr="00E303AD">
        <w:rPr>
          <w:rFonts w:eastAsia="Calibri"/>
          <w:rtl/>
        </w:rPr>
        <w:t xml:space="preserve">, </w:t>
      </w:r>
      <w:r w:rsidRPr="00E303AD">
        <w:rPr>
          <w:rFonts w:eastAsia="Calibri" w:hint="cs"/>
          <w:rtl/>
        </w:rPr>
        <w:t>זכאי קורבן הסחר ל</w:t>
      </w:r>
      <w:r w:rsidRPr="00E303AD">
        <w:rPr>
          <w:rFonts w:eastAsia="Calibri"/>
          <w:rtl/>
        </w:rPr>
        <w:t>אשרת ב/1 לשנה שלמה</w:t>
      </w:r>
      <w:r>
        <w:rPr>
          <w:rFonts w:eastAsia="Calibri"/>
          <w:vertAlign w:val="superscript"/>
          <w:rtl/>
        </w:rPr>
        <w:footnoteReference w:id="130"/>
      </w:r>
      <w:r w:rsidRPr="00E303AD">
        <w:rPr>
          <w:rFonts w:eastAsia="Calibri"/>
          <w:rtl/>
        </w:rPr>
        <w:t xml:space="preserve">. </w:t>
      </w:r>
      <w:r w:rsidRPr="00E303AD">
        <w:rPr>
          <w:rFonts w:eastAsia="Calibri" w:hint="cs"/>
          <w:rtl/>
        </w:rPr>
        <w:t>אם לפי חוות דעתם של גורמי המקלט אפיק תעסוקתי לא יסייע לשיקום הקורבן, ניתן להעניק לו למהלך שנת השיקום אשרה מסוג ב/2 ש</w:t>
      </w:r>
      <w:r w:rsidRPr="00E303AD">
        <w:rPr>
          <w:rFonts w:eastAsia="Calibri"/>
          <w:rtl/>
        </w:rPr>
        <w:t>אינה מקנה זכות לעבוד בישראל</w:t>
      </w:r>
      <w:r w:rsidRPr="00E303AD">
        <w:rPr>
          <w:rFonts w:eastAsia="Calibri" w:hint="cs"/>
          <w:rtl/>
        </w:rPr>
        <w:t xml:space="preserve">. </w:t>
      </w:r>
      <w:r w:rsidRPr="00E303AD">
        <w:rPr>
          <w:rFonts w:eastAsia="Calibri"/>
          <w:rtl/>
        </w:rPr>
        <w:t xml:space="preserve">הארכות נוספות מעבר לשנה זו אינן ניתנות </w:t>
      </w:r>
      <w:r w:rsidRPr="00E303AD">
        <w:rPr>
          <w:rFonts w:eastAsia="Calibri" w:hint="cs"/>
          <w:rtl/>
        </w:rPr>
        <w:t>כדבר שבשגרה</w:t>
      </w:r>
      <w:r w:rsidRPr="00E303AD">
        <w:rPr>
          <w:rFonts w:eastAsia="Calibri"/>
          <w:rtl/>
        </w:rPr>
        <w:t xml:space="preserve">, </w:t>
      </w:r>
      <w:r w:rsidRPr="00E303AD">
        <w:rPr>
          <w:rFonts w:eastAsia="Calibri" w:hint="cs"/>
          <w:rtl/>
        </w:rPr>
        <w:t>ו</w:t>
      </w:r>
      <w:r w:rsidRPr="00E303AD">
        <w:rPr>
          <w:rFonts w:eastAsia="Calibri"/>
          <w:rtl/>
        </w:rPr>
        <w:t xml:space="preserve">הרשות </w:t>
      </w:r>
      <w:r w:rsidRPr="00E303AD">
        <w:rPr>
          <w:rFonts w:eastAsia="Calibri" w:hint="cs"/>
          <w:rtl/>
        </w:rPr>
        <w:t xml:space="preserve">רשאית לאשרן </w:t>
      </w:r>
      <w:r w:rsidRPr="00E303AD">
        <w:rPr>
          <w:rFonts w:eastAsia="Calibri"/>
          <w:rtl/>
        </w:rPr>
        <w:t xml:space="preserve">רק במקרים חריגים </w:t>
      </w:r>
      <w:r w:rsidRPr="00E303AD">
        <w:rPr>
          <w:rFonts w:eastAsia="Calibri" w:hint="cs"/>
          <w:rtl/>
        </w:rPr>
        <w:t>ש</w:t>
      </w:r>
      <w:r w:rsidRPr="00E303AD">
        <w:rPr>
          <w:rFonts w:eastAsia="Calibri"/>
          <w:rtl/>
        </w:rPr>
        <w:t>בהם מתקיימות נסיבות מיוחדות המצדיקות זאת.</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חשיבות </w:t>
      </w:r>
      <w:r w:rsidRPr="00E303AD">
        <w:rPr>
          <w:rFonts w:eastAsia="Calibri"/>
          <w:rtl/>
        </w:rPr>
        <w:t xml:space="preserve">הענקת האשרה והארכתה </w:t>
      </w:r>
      <w:r w:rsidRPr="00E303AD">
        <w:rPr>
          <w:rFonts w:eastAsia="Calibri" w:hint="cs"/>
          <w:rtl/>
        </w:rPr>
        <w:t>מתבטאת</w:t>
      </w:r>
      <w:r w:rsidRPr="00E303AD">
        <w:rPr>
          <w:rFonts w:eastAsia="Calibri"/>
          <w:rtl/>
        </w:rPr>
        <w:t xml:space="preserve"> </w:t>
      </w:r>
      <w:r w:rsidRPr="00E303AD">
        <w:rPr>
          <w:rFonts w:eastAsia="Calibri" w:hint="cs"/>
          <w:rtl/>
        </w:rPr>
        <w:t>באפשרות</w:t>
      </w:r>
      <w:r w:rsidRPr="00E303AD">
        <w:rPr>
          <w:rFonts w:eastAsia="Calibri"/>
          <w:rtl/>
        </w:rPr>
        <w:t xml:space="preserve"> ל</w:t>
      </w:r>
      <w:r w:rsidRPr="00E303AD">
        <w:rPr>
          <w:rFonts w:eastAsia="Calibri" w:hint="cs"/>
          <w:rtl/>
        </w:rPr>
        <w:t>תת לקורבן</w:t>
      </w:r>
      <w:r w:rsidRPr="00E303AD">
        <w:rPr>
          <w:rFonts w:eastAsia="Calibri"/>
          <w:rtl/>
        </w:rPr>
        <w:t xml:space="preserve"> לשהות בישראל באופן חוקי, להשתתף בהליכים המשפטיים וליהנות מהגנה ו</w:t>
      </w:r>
      <w:r w:rsidRPr="00E303AD">
        <w:rPr>
          <w:rFonts w:eastAsia="Calibri" w:hint="cs"/>
          <w:rtl/>
        </w:rPr>
        <w:t>מ</w:t>
      </w:r>
      <w:r w:rsidRPr="00E303AD">
        <w:rPr>
          <w:rFonts w:eastAsia="Calibri"/>
          <w:rtl/>
        </w:rPr>
        <w:t>זכויות בסיסיות לאורך כל התקופה</w:t>
      </w:r>
      <w:r w:rsidRPr="00E303AD">
        <w:rPr>
          <w:rFonts w:eastAsia="Calibri"/>
        </w:rPr>
        <w:t>.</w:t>
      </w:r>
      <w:r w:rsidRPr="00E303AD">
        <w:rPr>
          <w:rFonts w:eastAsia="Calibri" w:hint="cs"/>
          <w:rtl/>
        </w:rPr>
        <w:t xml:space="preserve"> כפי שעולה מדברי הממונה הארצית על נושא הסחר בבני אדם, הפועלת באגף הסיוע המשפטי, האשרה מעניקה יציבות לקורבנות הסחר ומגינה עליהם מפני מצב של חוסר ודאות והחמרה קשה במצבם הנפשי הקשה ממילא.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עוד יצוין כי הנפקת אשרה מסוג ב/1, המקנה לקורבן זכות לעבוד בישראל, הכרחית לשם הצלחת הטיפול בתיקי חקירה שבהם יש חשד לביצוע עבירות סחר בבני אדם. </w:t>
      </w:r>
      <w:r w:rsidRPr="00E303AD">
        <w:rPr>
          <w:rFonts w:eastAsia="Calibri"/>
          <w:rtl/>
        </w:rPr>
        <w:t xml:space="preserve">מתן אפשרות לעבוד עשוי לצמצם את הסיכון שהקורבנות </w:t>
      </w:r>
      <w:r w:rsidRPr="00E303AD">
        <w:rPr>
          <w:rFonts w:eastAsia="Calibri" w:hint="cs"/>
          <w:rtl/>
        </w:rPr>
        <w:t>(מרביתן זרות)</w:t>
      </w:r>
      <w:r w:rsidRPr="00E303AD">
        <w:rPr>
          <w:rFonts w:eastAsia="Calibri"/>
          <w:rtl/>
        </w:rPr>
        <w:t xml:space="preserve"> יעזבו את המדינה</w:t>
      </w:r>
      <w:r>
        <w:rPr>
          <w:rFonts w:eastAsia="Calibri"/>
          <w:vertAlign w:val="superscript"/>
          <w:rtl/>
        </w:rPr>
        <w:footnoteReference w:id="131"/>
      </w:r>
      <w:r w:rsidRPr="00E303AD">
        <w:rPr>
          <w:rFonts w:eastAsia="Calibri" w:hint="cs"/>
          <w:rtl/>
        </w:rPr>
        <w:t xml:space="preserve">, </w:t>
      </w:r>
      <w:r w:rsidRPr="00E303AD">
        <w:rPr>
          <w:rFonts w:eastAsia="Calibri"/>
          <w:rtl/>
        </w:rPr>
        <w:t xml:space="preserve">ובכך </w:t>
      </w:r>
      <w:r w:rsidRPr="00E303AD">
        <w:rPr>
          <w:rFonts w:eastAsia="Calibri" w:hint="cs"/>
          <w:rtl/>
        </w:rPr>
        <w:t>להפחית את מספר תיקי החקירה שבהם</w:t>
      </w:r>
      <w:r w:rsidRPr="00E303AD">
        <w:rPr>
          <w:rFonts w:eastAsia="Calibri"/>
          <w:rtl/>
        </w:rPr>
        <w:t xml:space="preserve"> התביעה נדרשת להתמודד עם כשלים ראייתיים בשל הקושי לאתר</w:t>
      </w:r>
      <w:r w:rsidRPr="00E303AD">
        <w:rPr>
          <w:rFonts w:eastAsia="Calibri" w:hint="cs"/>
          <w:rtl/>
        </w:rPr>
        <w:t xml:space="preserve"> את הקורבנות</w:t>
      </w:r>
      <w:r w:rsidRPr="00E303AD">
        <w:rPr>
          <w:rFonts w:eastAsia="Calibri"/>
          <w:rtl/>
        </w:rPr>
        <w:t xml:space="preserve"> לצורך מתן עדות</w:t>
      </w:r>
      <w:r w:rsidRPr="00E303AD">
        <w:rPr>
          <w:rFonts w:eastAsia="Calibri" w:hint="cs"/>
          <w:rtl/>
        </w:rPr>
        <w:t xml:space="preserve"> -</w:t>
      </w:r>
      <w:r w:rsidRPr="00E303AD">
        <w:rPr>
          <w:rFonts w:eastAsia="Calibri"/>
          <w:rtl/>
        </w:rPr>
        <w:t xml:space="preserve"> </w:t>
      </w:r>
      <w:r w:rsidRPr="00E303AD">
        <w:rPr>
          <w:rFonts w:eastAsia="Calibri" w:hint="cs"/>
          <w:rtl/>
        </w:rPr>
        <w:t xml:space="preserve">כשלים </w:t>
      </w:r>
      <w:r w:rsidRPr="00E303AD">
        <w:rPr>
          <w:rFonts w:eastAsia="Calibri"/>
          <w:rtl/>
        </w:rPr>
        <w:t>אשר עלול</w:t>
      </w:r>
      <w:r w:rsidRPr="00E303AD">
        <w:rPr>
          <w:rFonts w:eastAsia="Calibri" w:hint="cs"/>
          <w:rtl/>
        </w:rPr>
        <w:t>ים</w:t>
      </w:r>
      <w:r w:rsidRPr="00E303AD">
        <w:rPr>
          <w:rFonts w:eastAsia="Calibri"/>
          <w:rtl/>
        </w:rPr>
        <w:t xml:space="preserve"> להוביל לפגיעה ראייתית בתיקים פליליים ולהגעה להסדרי טיעון מק</w:t>
      </w:r>
      <w:r w:rsidRPr="00E303AD">
        <w:rPr>
          <w:rFonts w:eastAsia="Calibri" w:hint="cs"/>
          <w:rtl/>
        </w:rPr>
        <w:t>י</w:t>
      </w:r>
      <w:r w:rsidRPr="00E303AD">
        <w:rPr>
          <w:rFonts w:eastAsia="Calibri"/>
          <w:rtl/>
        </w:rPr>
        <w:t>לים</w:t>
      </w:r>
      <w:r w:rsidRPr="00E303AD">
        <w:rPr>
          <w:rFonts w:eastAsia="Calibri" w:hint="cs"/>
          <w:rtl/>
        </w:rPr>
        <w:t xml:space="preserve">. </w:t>
      </w:r>
      <w:r w:rsidRPr="00E303AD">
        <w:rPr>
          <w:rFonts w:eastAsia="Calibri"/>
          <w:rtl/>
        </w:rPr>
        <w:t xml:space="preserve">לפיכך, </w:t>
      </w:r>
      <w:r w:rsidRPr="00E303AD">
        <w:rPr>
          <w:rFonts w:eastAsia="Calibri" w:hint="cs"/>
          <w:rtl/>
        </w:rPr>
        <w:t xml:space="preserve">על פי </w:t>
      </w:r>
      <w:r w:rsidRPr="00E303AD">
        <w:rPr>
          <w:rFonts w:eastAsia="Calibri"/>
          <w:rtl/>
        </w:rPr>
        <w:t>נוהלי הרשות יש לבחון את המלצת צוות החקירה למתן אשרת עבודה כצעד המסייע לקידום התיק</w:t>
      </w:r>
      <w:r>
        <w:rPr>
          <w:rFonts w:eastAsia="Calibri"/>
          <w:vertAlign w:val="superscript"/>
          <w:rtl/>
        </w:rPr>
        <w:footnoteReference w:id="132"/>
      </w:r>
      <w:r w:rsidRPr="00E303AD">
        <w:rPr>
          <w:rFonts w:eastAsia="Calibri" w:hint="cs"/>
          <w:rtl/>
        </w:rPr>
        <w:t>. חיזוק לכך ניתן למצוא בהנחיית פרקליט המדינה ולפיה בעבירות מסוג זה יש מקום להעיד את קורבן הסחר בעדות מוקדמת בשל החשש שהוא יצא מהמדינה</w:t>
      </w:r>
      <w:r>
        <w:rPr>
          <w:rFonts w:eastAsia="Calibri"/>
          <w:vertAlign w:val="superscript"/>
          <w:rtl/>
        </w:rPr>
        <w:footnoteReference w:id="133"/>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 xml:space="preserve">לפי </w:t>
      </w:r>
      <w:r w:rsidRPr="00E303AD">
        <w:rPr>
          <w:rFonts w:eastAsia="Calibri" w:hint="cs"/>
          <w:rtl/>
        </w:rPr>
        <w:t>ה</w:t>
      </w:r>
      <w:r w:rsidRPr="00E303AD">
        <w:rPr>
          <w:rFonts w:eastAsia="Calibri"/>
          <w:rtl/>
        </w:rPr>
        <w:t xml:space="preserve">נוהל </w:t>
      </w:r>
      <w:r w:rsidRPr="00E303AD">
        <w:rPr>
          <w:rFonts w:eastAsia="Calibri" w:hint="eastAsia"/>
          <w:rtl/>
        </w:rPr>
        <w:t>לטיפול</w:t>
      </w:r>
      <w:r w:rsidRPr="00E303AD">
        <w:rPr>
          <w:rFonts w:eastAsia="Calibri"/>
          <w:rtl/>
        </w:rPr>
        <w:t xml:space="preserve"> </w:t>
      </w:r>
      <w:r w:rsidRPr="00E303AD">
        <w:rPr>
          <w:rFonts w:eastAsia="Calibri" w:hint="eastAsia"/>
          <w:rtl/>
        </w:rPr>
        <w:t>ב</w:t>
      </w:r>
      <w:r w:rsidRPr="00E303AD">
        <w:rPr>
          <w:rFonts w:eastAsia="Calibri"/>
          <w:rtl/>
        </w:rPr>
        <w:t>נפגעות סחר בנשים</w:t>
      </w:r>
      <w:r>
        <w:rPr>
          <w:rFonts w:eastAsia="Calibri"/>
          <w:vertAlign w:val="superscript"/>
          <w:rtl/>
        </w:rPr>
        <w:footnoteReference w:id="134"/>
      </w:r>
      <w:r w:rsidRPr="00E303AD">
        <w:rPr>
          <w:rFonts w:eastAsia="Calibri"/>
          <w:rtl/>
        </w:rPr>
        <w:t xml:space="preserve">, </w:t>
      </w:r>
      <w:r w:rsidRPr="00E303AD">
        <w:rPr>
          <w:rFonts w:eastAsia="Calibri" w:hint="cs"/>
          <w:rtl/>
        </w:rPr>
        <w:t xml:space="preserve">ככלל, על הרשות להעניק לקורבן הסחר </w:t>
      </w:r>
      <w:r w:rsidRPr="00E303AD">
        <w:rPr>
          <w:rFonts w:eastAsia="Calibri"/>
          <w:rtl/>
        </w:rPr>
        <w:t xml:space="preserve">רישיון ב/1 לשנת </w:t>
      </w:r>
      <w:r w:rsidRPr="00E303AD">
        <w:rPr>
          <w:rFonts w:eastAsia="Calibri" w:hint="cs"/>
          <w:rtl/>
        </w:rPr>
        <w:t>ה</w:t>
      </w:r>
      <w:r w:rsidRPr="00E303AD">
        <w:rPr>
          <w:rFonts w:eastAsia="Calibri"/>
          <w:rtl/>
        </w:rPr>
        <w:t>שיקום</w:t>
      </w:r>
      <w:r w:rsidRPr="00E303AD">
        <w:rPr>
          <w:rFonts w:eastAsia="Calibri" w:hint="cs"/>
          <w:rtl/>
        </w:rPr>
        <w:t xml:space="preserve">. על הרשות להפעיל את </w:t>
      </w:r>
      <w:r w:rsidRPr="00E303AD">
        <w:rPr>
          <w:rFonts w:eastAsia="Calibri"/>
          <w:rtl/>
        </w:rPr>
        <w:t xml:space="preserve">שיקול דעתה </w:t>
      </w:r>
      <w:r w:rsidRPr="00E303AD">
        <w:rPr>
          <w:rFonts w:eastAsia="Calibri" w:hint="cs"/>
          <w:rtl/>
        </w:rPr>
        <w:t xml:space="preserve">ולממש את סמכותה בהתחשב בעמדה המקצועית של </w:t>
      </w:r>
      <w:r w:rsidRPr="00E303AD">
        <w:rPr>
          <w:rFonts w:eastAsia="Calibri"/>
          <w:rtl/>
        </w:rPr>
        <w:t>גורמי המקלט והטיפול</w:t>
      </w:r>
      <w:r w:rsidRPr="00E303AD">
        <w:rPr>
          <w:rFonts w:eastAsia="Calibri" w:hint="cs"/>
          <w:rtl/>
        </w:rPr>
        <w:t xml:space="preserve">, </w:t>
      </w:r>
      <w:r w:rsidRPr="00E303AD">
        <w:rPr>
          <w:rFonts w:eastAsia="Calibri"/>
          <w:rtl/>
        </w:rPr>
        <w:t>ובפרט בנוגע להיתרים לעבודה כחלק בלתי נפרד מתהליך השיקום</w:t>
      </w:r>
      <w:r w:rsidRPr="00E303AD">
        <w:rPr>
          <w:rFonts w:eastAsia="Calibri" w:hint="cs"/>
          <w:rtl/>
        </w:rPr>
        <w:t>.</w:t>
      </w:r>
    </w:p>
    <w:p w:rsidR="00284A43">
      <w:pPr>
        <w:bidi w:val="0"/>
        <w:spacing w:after="200" w:line="276" w:lineRule="auto"/>
        <w:rPr>
          <w:rFonts w:eastAsia="Calibri"/>
          <w:rtl/>
        </w:rPr>
      </w:pPr>
      <w:bookmarkStart w:id="147" w:name="_Hlk209946118"/>
      <w:r>
        <w:rPr>
          <w:rFonts w:eastAsia="Calibri"/>
          <w:rtl/>
        </w:rPr>
        <w:br w:type="page"/>
      </w:r>
    </w:p>
    <w:p w:rsidR="00E303AD" w:rsidRPr="00E303AD" w:rsidP="00E303AD">
      <w:pPr>
        <w:spacing w:line="269" w:lineRule="auto"/>
        <w:ind w:left="-567"/>
        <w:jc w:val="center"/>
        <w:rPr>
          <w:rFonts w:eastAsia="Calibri"/>
          <w:b/>
          <w:bCs/>
          <w:rtl/>
        </w:rPr>
      </w:pPr>
      <w:r w:rsidRPr="00E303AD">
        <w:rPr>
          <w:rFonts w:eastAsia="Calibri" w:hint="cs"/>
          <w:rtl/>
        </w:rPr>
        <w:t>תרשים 11:</w:t>
      </w:r>
      <w:r w:rsidRPr="00E303AD">
        <w:rPr>
          <w:rFonts w:eastAsia="Calibri" w:hint="cs"/>
          <w:b/>
          <w:bCs/>
          <w:rtl/>
        </w:rPr>
        <w:t xml:space="preserve"> השלבים המרכזיים בהליך מתן האשרה לקורבנות סחר בבני אדם</w:t>
      </w:r>
    </w:p>
    <w:p w:rsidR="00E303AD" w:rsidRPr="00E303AD" w:rsidP="00E303AD">
      <w:pPr>
        <w:spacing w:line="269" w:lineRule="auto"/>
        <w:jc w:val="center"/>
        <w:rPr>
          <w:rFonts w:eastAsia="Calibri"/>
          <w:szCs w:val="20"/>
          <w:rtl/>
        </w:rPr>
      </w:pPr>
      <w:r w:rsidRPr="00E303AD">
        <w:rPr>
          <w:rFonts w:eastAsia="Calibri"/>
          <w:noProof/>
        </w:rPr>
        <w:drawing>
          <wp:inline distT="0" distB="0" distL="0" distR="0">
            <wp:extent cx="4705560" cy="5573865"/>
            <wp:effectExtent l="0" t="0" r="0" b="8255"/>
            <wp:docPr id="78" name="תמונה 78" descr="התרשים מתאר את השלבים המרכזיים בהליך מתן האשרה לקורבנות סחר בבני אדם:&#10;&#10;שלב 1: הכרה כקורבן סחר והעברה למקלט.&#10;&#10;שלב 2: בתוך חודש מההגעה למקלט הוגשה בקשה לאשרה מהרשות: אשרה מסוג ב/1, המקנה זכות לעבוד בישראל, או מסוג ב/2 במקרים שבהם העבודה אינה רלוונטית בנסיבות העניין.&#10;&#10;שלב 3: בחינת הבקשה על ידי הרשות על סמך המסמכים המצורפים לה והמלצת גורמי המקלט והטיפול.&#10;&#10;שלב 4: הנפקת האשרה המתאימה. אם נדרשת להעיד במסגרת חקירה או הליך פלילי - לתקופות של עד חצי שנה הניתנות להארכה עד לסיום החקירה או ההליך הפלילי; בהיעדר חקירה או הליך פלילי, או בסיומם - שנת שיקום.&#10;&#10;שלב 5: כחודש לפני פקיעת תוקף האשרה המקלט מגיש בקשה להארכתה.&#10;&#10;שלב 6: בחינת הבקשה על ידי הרשות על סמך המסמכים המצורפים לה והחלטה. תוצאות הבחינה יכולות להיות אישור ההארכה או דחיית ההארכה, שאז ניתן להגיש ערר בתוך 21 ימים.&#10;&#10;שלב 7 (סיום): בסיום ההליך הפלילי יש אפשרות להגשת בקשה לשנת שיקום או חזרה לארץ המוצא לפי רצון הקורבן; בסיום שנת השיקום ניתן להגיש בקשה להארכה נוספת בנסיבות חריגות בלבד, או לחזור לארץ המוצ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
                    <pic:cNvPicPr/>
                  </pic:nvPicPr>
                  <pic:blipFill>
                    <a:blip xmlns:r="http://schemas.openxmlformats.org/officeDocument/2006/relationships" r:embed="rId33"/>
                    <a:stretch>
                      <a:fillRect/>
                    </a:stretch>
                  </pic:blipFill>
                  <pic:spPr>
                    <a:xfrm>
                      <a:off x="0" y="0"/>
                      <a:ext cx="4711999" cy="5581493"/>
                    </a:xfrm>
                    <a:prstGeom prst="rect">
                      <a:avLst/>
                    </a:prstGeom>
                  </pic:spPr>
                </pic:pic>
              </a:graphicData>
            </a:graphic>
          </wp:inline>
        </w:drawing>
      </w:r>
    </w:p>
    <w:p w:rsidR="00E303AD" w:rsidRPr="00E303AD" w:rsidP="00E303AD">
      <w:pPr>
        <w:spacing w:line="269" w:lineRule="auto"/>
        <w:jc w:val="left"/>
        <w:rPr>
          <w:rFonts w:eastAsia="Calibri"/>
          <w:szCs w:val="20"/>
          <w:rtl/>
        </w:rPr>
      </w:pPr>
      <w:r w:rsidRPr="00E303AD">
        <w:rPr>
          <w:rFonts w:eastAsia="Calibri" w:hint="cs"/>
          <w:szCs w:val="20"/>
          <w:rtl/>
        </w:rPr>
        <w:t>לפי נוהלי רשות האוכלוסין, בעיבוד משרד מבקר המדינה</w:t>
      </w:r>
      <w:r>
        <w:rPr>
          <w:rFonts w:eastAsia="Calibri"/>
          <w:szCs w:val="20"/>
          <w:vertAlign w:val="superscript"/>
          <w:rtl/>
        </w:rPr>
        <w:footnoteReference w:id="135"/>
      </w:r>
      <w:r w:rsidRPr="00E303AD">
        <w:rPr>
          <w:rFonts w:eastAsia="Calibri" w:hint="cs"/>
          <w:szCs w:val="20"/>
          <w:rtl/>
        </w:rPr>
        <w:t>.</w:t>
      </w:r>
    </w:p>
    <w:p w:rsidR="00E303AD" w:rsidRPr="00E303AD" w:rsidP="00E303AD">
      <w:pPr>
        <w:spacing w:line="269" w:lineRule="auto"/>
        <w:rPr>
          <w:rFonts w:eastAsia="Calibri"/>
          <w:szCs w:val="20"/>
          <w:rtl/>
        </w:rPr>
      </w:pPr>
    </w:p>
    <w:p w:rsidR="00E303AD" w:rsidRPr="00E303AD" w:rsidP="00E303AD">
      <w:pPr>
        <w:keepNext/>
        <w:keepLines/>
        <w:spacing w:line="269" w:lineRule="auto"/>
        <w:outlineLvl w:val="3"/>
        <w:rPr>
          <w:rFonts w:eastAsia="Times New Roman"/>
          <w:bCs/>
          <w:szCs w:val="26"/>
          <w:rtl/>
        </w:rPr>
      </w:pPr>
      <w:bookmarkStart w:id="148" w:name="_Toc221474987"/>
      <w:bookmarkStart w:id="149" w:name="_Toc224808295"/>
      <w:bookmarkStart w:id="150" w:name="_Hlk221464047"/>
      <w:r w:rsidRPr="00E303AD">
        <w:rPr>
          <w:rFonts w:eastAsia="Times New Roman" w:hint="cs"/>
          <w:bCs/>
          <w:szCs w:val="26"/>
          <w:rtl/>
        </w:rPr>
        <w:t>פעולות רשות האוכלוסין וההגירה בהליך מתן אשרה לקורבנות סחר בבני אדם</w:t>
      </w:r>
      <w:bookmarkEnd w:id="148"/>
      <w:bookmarkEnd w:id="149"/>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P="00E303AD">
      <w:pPr>
        <w:spacing w:line="269" w:lineRule="auto"/>
        <w:rPr>
          <w:rFonts w:eastAsia="Calibri"/>
          <w:rtl/>
        </w:rPr>
      </w:pPr>
      <w:r w:rsidRPr="00E303AD">
        <w:rPr>
          <w:rFonts w:eastAsia="Calibri" w:hint="cs"/>
          <w:rtl/>
        </w:rPr>
        <w:t>אגף הסיוע המשפטי במשרד המשפטים</w:t>
      </w:r>
      <w:r>
        <w:rPr>
          <w:rFonts w:eastAsia="Calibri"/>
          <w:vertAlign w:val="superscript"/>
          <w:rtl/>
        </w:rPr>
        <w:footnoteReference w:id="136"/>
      </w:r>
      <w:r w:rsidRPr="00E303AD">
        <w:rPr>
          <w:rFonts w:eastAsia="Calibri" w:hint="cs"/>
          <w:rtl/>
        </w:rPr>
        <w:t xml:space="preserve"> מעניק סיוע משפטי לקורבנות סחר בהתאם לזכאותם מכוח סעיף 8 להחלטת הממשלה 2806</w:t>
      </w:r>
      <w:r>
        <w:rPr>
          <w:rFonts w:eastAsia="Calibri"/>
          <w:vertAlign w:val="superscript"/>
          <w:rtl/>
        </w:rPr>
        <w:footnoteReference w:id="137"/>
      </w:r>
      <w:r w:rsidRPr="00E303AD">
        <w:rPr>
          <w:rFonts w:eastAsia="Calibri" w:hint="cs"/>
          <w:rtl/>
        </w:rPr>
        <w:t xml:space="preserve">. סיוע זה מוענק לצורך מימוש זכויותיהם, בין היתר בהליכים מינהליים ובהליכים הנוגעים למתן אשרות שהייה. </w:t>
      </w:r>
    </w:p>
    <w:p w:rsidR="00284A43" w:rsidRPr="00E303AD" w:rsidP="00E303AD">
      <w:pPr>
        <w:spacing w:line="269" w:lineRule="auto"/>
        <w:rPr>
          <w:rFonts w:eastAsia="Calibri"/>
          <w:rtl/>
        </w:rPr>
      </w:pPr>
    </w:p>
    <w:p w:rsidR="00E303AD" w:rsidRPr="00E303AD" w:rsidP="00284A43">
      <w:pPr>
        <w:spacing w:line="269" w:lineRule="auto"/>
        <w:rPr>
          <w:rFonts w:eastAsia="Calibri"/>
          <w:rtl/>
        </w:rPr>
      </w:pPr>
      <w:r w:rsidRPr="00E303AD">
        <w:rPr>
          <w:rFonts w:eastAsia="Calibri" w:hint="cs"/>
          <w:rtl/>
        </w:rPr>
        <w:t xml:space="preserve">במהלך הביקורת מסר אגף הסיוע המשפטי פרטים על פעולתה של רשות האוכלוסין בהליך מתן אשרה לקורבנות סחר בבני אדם בכמה תיקים. </w:t>
      </w:r>
    </w:p>
    <w:bookmarkEnd w:id="147"/>
    <w:p w:rsidR="00E303AD" w:rsidRPr="00E303AD" w:rsidP="00AD748F">
      <w:pPr>
        <w:spacing w:line="269" w:lineRule="auto"/>
        <w:ind w:left="-45"/>
        <w:rPr>
          <w:rFonts w:eastAsia="Calibri"/>
          <w:b/>
          <w:bCs/>
          <w:rtl/>
        </w:rPr>
      </w:pPr>
      <w:r w:rsidRPr="00E303AD">
        <w:rPr>
          <w:rFonts w:eastAsia="Calibri" w:hint="cs"/>
          <w:b/>
          <w:bCs/>
          <w:rtl/>
        </w:rPr>
        <w:t>בביקורת נמצא כי במסגרת טיפולה של הרשות בכמה בקשות למתן אשרת שהייה לקורבנות סחר בבני אדם היא פעלה תוך חריגה מסמכותה ובניגוד לנהלים. להלן הפרטים:</w:t>
      </w:r>
    </w:p>
    <w:p w:rsidR="00E303AD" w:rsidRPr="00E303AD" w:rsidP="00E303AD">
      <w:pPr>
        <w:spacing w:line="269" w:lineRule="auto"/>
        <w:ind w:left="-567"/>
        <w:rPr>
          <w:rFonts w:eastAsia="Calibri" w:cs="Times New Roman"/>
          <w:sz w:val="24"/>
          <w:szCs w:val="20"/>
        </w:rPr>
      </w:pPr>
      <w:r w:rsidRPr="00E303AD">
        <w:rPr>
          <w:rFonts w:eastAsia="Calibri" w:hint="cs"/>
          <w:szCs w:val="20"/>
          <w:rtl/>
        </w:rPr>
        <w:t xml:space="preserve"> </w:t>
      </w:r>
    </w:p>
    <w:p w:rsidR="00E303AD" w:rsidRPr="00E303AD" w:rsidP="00522B30">
      <w:pPr>
        <w:numPr>
          <w:ilvl w:val="6"/>
          <w:numId w:val="24"/>
        </w:numPr>
        <w:spacing w:line="269" w:lineRule="auto"/>
        <w:ind w:left="312"/>
        <w:contextualSpacing/>
        <w:rPr>
          <w:rFonts w:eastAsia="Calibri"/>
        </w:rPr>
      </w:pPr>
      <w:bookmarkStart w:id="151" w:name="_Toc221474988"/>
      <w:bookmarkStart w:id="152" w:name="_Toc221475127"/>
      <w:r w:rsidRPr="00E303AD">
        <w:rPr>
          <w:rFonts w:eastAsia="Times New Roman" w:hint="eastAsia"/>
          <w:bCs/>
          <w:spacing w:val="40"/>
          <w:rtl/>
        </w:rPr>
        <w:t>פעולות</w:t>
      </w:r>
      <w:r w:rsidRPr="00E303AD">
        <w:rPr>
          <w:rFonts w:eastAsia="Times New Roman"/>
          <w:bCs/>
          <w:spacing w:val="40"/>
          <w:rtl/>
        </w:rPr>
        <w:t xml:space="preserve"> </w:t>
      </w:r>
      <w:r w:rsidRPr="00E303AD">
        <w:rPr>
          <w:rFonts w:eastAsia="Times New Roman" w:hint="cs"/>
          <w:bCs/>
          <w:spacing w:val="40"/>
          <w:rtl/>
        </w:rPr>
        <w:t>פיקוח בניגוד לנוהל הרשות</w:t>
      </w:r>
      <w:bookmarkEnd w:id="151"/>
      <w:bookmarkEnd w:id="152"/>
      <w:r w:rsidRPr="00E303AD">
        <w:rPr>
          <w:rFonts w:eastAsia="Times New Roman" w:hint="cs"/>
          <w:bCs/>
          <w:spacing w:val="40"/>
          <w:rtl/>
        </w:rPr>
        <w:t xml:space="preserve">: </w:t>
      </w:r>
      <w:r w:rsidRPr="00E303AD">
        <w:rPr>
          <w:rFonts w:eastAsia="Calibri" w:hint="cs"/>
          <w:rtl/>
        </w:rPr>
        <w:t xml:space="preserve">בשנת 2020 פנתה לרשות באת כוחן של שתי נפגעות סחר בבני אדם, שהעידו במשפט שהסתיים בהרשעה, בנוגע למתן אשרות עבורן. כאמור בנוהלי הרשות, ככלל, בנסיבות האמורות נפגעות הסחר בבני אדם זכאיות לאשרה המאפשרת שנת שיקום.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ind w:left="312"/>
        <w:contextualSpacing/>
        <w:rPr>
          <w:rFonts w:eastAsia="Calibri"/>
          <w:rtl/>
        </w:rPr>
      </w:pPr>
      <w:r w:rsidRPr="00E303AD">
        <w:rPr>
          <w:rFonts w:eastAsia="Calibri" w:hint="cs"/>
          <w:rtl/>
        </w:rPr>
        <w:t xml:space="preserve">במקרה המתואר, משהגיעה הבקשה להארכת האשרה במסגרת שנת השיקום, </w:t>
      </w:r>
      <w:r w:rsidRPr="00E303AD">
        <w:rPr>
          <w:rFonts w:eastAsia="Calibri"/>
          <w:rtl/>
        </w:rPr>
        <w:t xml:space="preserve">רשות האוכלוסין </w:t>
      </w:r>
      <w:r w:rsidRPr="00E303AD">
        <w:rPr>
          <w:rFonts w:eastAsia="Calibri" w:hint="cs"/>
          <w:rtl/>
        </w:rPr>
        <w:t xml:space="preserve">שלחה </w:t>
      </w:r>
      <w:r w:rsidRPr="00E303AD">
        <w:rPr>
          <w:rFonts w:eastAsia="Calibri"/>
          <w:rtl/>
        </w:rPr>
        <w:t>פקחים מטעם מ</w:t>
      </w:r>
      <w:r w:rsidRPr="00E303AD">
        <w:rPr>
          <w:rFonts w:eastAsia="Calibri" w:hint="cs"/>
          <w:rtl/>
        </w:rPr>
        <w:t>י</w:t>
      </w:r>
      <w:r w:rsidRPr="00E303AD">
        <w:rPr>
          <w:rFonts w:eastAsia="Calibri"/>
          <w:rtl/>
        </w:rPr>
        <w:t>נהל אכיפה</w:t>
      </w:r>
      <w:r w:rsidRPr="00E303AD">
        <w:rPr>
          <w:rFonts w:eastAsia="Calibri" w:hint="cs"/>
          <w:rtl/>
        </w:rPr>
        <w:t xml:space="preserve"> וזרים (להלן - מינהל אכיפה),</w:t>
      </w:r>
      <w:r w:rsidRPr="00E303AD">
        <w:rPr>
          <w:rFonts w:eastAsia="Calibri"/>
          <w:rtl/>
        </w:rPr>
        <w:t xml:space="preserve"> בטענה כי </w:t>
      </w:r>
      <w:r w:rsidRPr="00E303AD">
        <w:rPr>
          <w:rFonts w:eastAsia="Calibri" w:hint="cs"/>
          <w:rtl/>
        </w:rPr>
        <w:t xml:space="preserve">מהמסמכים שצורפו לבקשה עלה </w:t>
      </w:r>
      <w:r w:rsidRPr="00E303AD">
        <w:rPr>
          <w:rFonts w:eastAsia="Calibri"/>
          <w:rtl/>
        </w:rPr>
        <w:t xml:space="preserve">חשש שהנשים </w:t>
      </w:r>
      <w:r w:rsidRPr="00E303AD">
        <w:rPr>
          <w:rFonts w:eastAsia="Calibri" w:hint="cs"/>
          <w:rtl/>
        </w:rPr>
        <w:t xml:space="preserve">(אשר הוכרו כאמור כקורבנות סחר בבני אדם) </w:t>
      </w:r>
      <w:r w:rsidRPr="00E303AD">
        <w:rPr>
          <w:rFonts w:eastAsia="Calibri"/>
          <w:rtl/>
        </w:rPr>
        <w:t>חזרו לעסוק בזנות בניגוד למטרות שנת השיקום</w:t>
      </w:r>
      <w:r w:rsidRPr="00E303AD">
        <w:rPr>
          <w:rFonts w:eastAsia="Calibri" w:hint="cs"/>
          <w:rtl/>
        </w:rPr>
        <w:t xml:space="preserve">. טענה זו שבה ועלתה גם בתשובתה של הרשות לביקורת ממאי 2026. בהקשר זה יצוין כי פעולת פיקוח זו </w:t>
      </w:r>
      <w:r w:rsidRPr="00E303AD">
        <w:rPr>
          <w:rFonts w:eastAsia="Calibri"/>
          <w:rtl/>
        </w:rPr>
        <w:t xml:space="preserve">אינה נכללת בתחומי הפעילות המנויים </w:t>
      </w:r>
      <w:r w:rsidRPr="00E303AD">
        <w:rPr>
          <w:rFonts w:eastAsia="Calibri" w:hint="cs"/>
          <w:rtl/>
        </w:rPr>
        <w:t>בסעיף 2 בנוהל בנושא "נוהל הפעלת סמכויות פקח"</w:t>
      </w:r>
      <w:r>
        <w:rPr>
          <w:rFonts w:eastAsia="Calibri"/>
          <w:vertAlign w:val="superscript"/>
          <w:rtl/>
        </w:rPr>
        <w:footnoteReference w:id="138"/>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ind w:left="312"/>
        <w:contextualSpacing/>
        <w:rPr>
          <w:rFonts w:eastAsia="Calibri"/>
          <w:rtl/>
        </w:rPr>
      </w:pPr>
      <w:r w:rsidRPr="00E303AD">
        <w:rPr>
          <w:rFonts w:eastAsia="Calibri" w:hint="cs"/>
          <w:rtl/>
        </w:rPr>
        <w:t xml:space="preserve">עקב פעולת פיקוח חריגה זו </w:t>
      </w:r>
      <w:r w:rsidRPr="00E303AD">
        <w:rPr>
          <w:rFonts w:eastAsia="Calibri"/>
          <w:rtl/>
        </w:rPr>
        <w:t xml:space="preserve">עוכב מתן האשרות, עד שהוגש ערר </w:t>
      </w:r>
      <w:r w:rsidRPr="00E303AD">
        <w:rPr>
          <w:rFonts w:eastAsia="Calibri" w:hint="cs"/>
          <w:rtl/>
        </w:rPr>
        <w:t>ו</w:t>
      </w:r>
      <w:r w:rsidRPr="00E303AD">
        <w:rPr>
          <w:rFonts w:eastAsia="Calibri"/>
          <w:rtl/>
        </w:rPr>
        <w:t xml:space="preserve">במסגרתו ניתן צו להארכת האשרה מסוג ב/1. בעקבות </w:t>
      </w:r>
      <w:r w:rsidRPr="00E303AD">
        <w:rPr>
          <w:rFonts w:eastAsia="Calibri" w:hint="cs"/>
          <w:rtl/>
        </w:rPr>
        <w:t xml:space="preserve">הגשת </w:t>
      </w:r>
      <w:r w:rsidRPr="00E303AD">
        <w:rPr>
          <w:rFonts w:eastAsia="Calibri"/>
          <w:rtl/>
        </w:rPr>
        <w:t>הצו ו</w:t>
      </w:r>
      <w:r w:rsidRPr="00E303AD">
        <w:rPr>
          <w:rFonts w:eastAsia="Calibri" w:hint="cs"/>
          <w:rtl/>
        </w:rPr>
        <w:t xml:space="preserve">מתן </w:t>
      </w:r>
      <w:r w:rsidRPr="00E303AD">
        <w:rPr>
          <w:rFonts w:eastAsia="Calibri"/>
          <w:rtl/>
        </w:rPr>
        <w:t xml:space="preserve">הערר, רשות האוכלוסין </w:t>
      </w:r>
      <w:r w:rsidRPr="00E303AD">
        <w:rPr>
          <w:rFonts w:eastAsia="Calibri" w:hint="cs"/>
          <w:rtl/>
        </w:rPr>
        <w:t>החליטה לחזור בה מכל ההגבלות ו</w:t>
      </w:r>
      <w:r w:rsidRPr="00E303AD">
        <w:rPr>
          <w:rFonts w:eastAsia="Calibri"/>
          <w:rtl/>
        </w:rPr>
        <w:t>אישר</w:t>
      </w:r>
      <w:r w:rsidRPr="00E303AD">
        <w:rPr>
          <w:rFonts w:eastAsia="Calibri" w:hint="cs"/>
          <w:rtl/>
        </w:rPr>
        <w:t>ה</w:t>
      </w:r>
      <w:r w:rsidRPr="00E303AD">
        <w:rPr>
          <w:rFonts w:eastAsia="Calibri"/>
          <w:rtl/>
        </w:rPr>
        <w:t xml:space="preserve"> את הבקשה לשנת השיקום. במסגרת החלטה זו, </w:t>
      </w:r>
      <w:r w:rsidRPr="00E303AD">
        <w:rPr>
          <w:rFonts w:eastAsia="Calibri" w:hint="cs"/>
          <w:rtl/>
        </w:rPr>
        <w:t>בית הדין לעררים חייב את</w:t>
      </w:r>
      <w:r w:rsidRPr="00E303AD">
        <w:rPr>
          <w:rFonts w:eastAsia="Calibri"/>
          <w:rtl/>
        </w:rPr>
        <w:t xml:space="preserve"> הרשות בתשלום הוצאות משפט</w:t>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522B30">
      <w:pPr>
        <w:numPr>
          <w:ilvl w:val="6"/>
          <w:numId w:val="24"/>
        </w:numPr>
        <w:spacing w:line="269" w:lineRule="auto"/>
        <w:ind w:left="312"/>
        <w:contextualSpacing/>
        <w:rPr>
          <w:rFonts w:eastAsia="Calibri"/>
        </w:rPr>
      </w:pPr>
      <w:bookmarkStart w:id="153" w:name="_Toc221474989"/>
      <w:bookmarkStart w:id="154" w:name="_Toc221475128"/>
      <w:r w:rsidRPr="00E303AD">
        <w:rPr>
          <w:rFonts w:eastAsia="Times New Roman" w:hint="eastAsia"/>
          <w:bCs/>
          <w:spacing w:val="40"/>
          <w:rtl/>
        </w:rPr>
        <w:t>חיוב</w:t>
      </w:r>
      <w:r w:rsidRPr="00E303AD">
        <w:rPr>
          <w:rFonts w:eastAsia="Times New Roman"/>
          <w:bCs/>
          <w:spacing w:val="40"/>
          <w:rtl/>
        </w:rPr>
        <w:t xml:space="preserve"> בהפקדת </w:t>
      </w:r>
      <w:r w:rsidRPr="00E303AD">
        <w:rPr>
          <w:rFonts w:eastAsia="Times New Roman" w:hint="cs"/>
          <w:bCs/>
          <w:spacing w:val="40"/>
          <w:rtl/>
        </w:rPr>
        <w:t>ערבות שלא כדין</w:t>
      </w:r>
      <w:bookmarkEnd w:id="153"/>
      <w:bookmarkEnd w:id="154"/>
      <w:r w:rsidRPr="00E303AD">
        <w:rPr>
          <w:rFonts w:eastAsia="Times New Roman" w:hint="cs"/>
          <w:bCs/>
          <w:spacing w:val="40"/>
          <w:rtl/>
        </w:rPr>
        <w:t>:</w:t>
      </w:r>
      <w:r w:rsidRPr="00E303AD">
        <w:rPr>
          <w:rFonts w:eastAsia="Calibri" w:hint="cs"/>
          <w:rtl/>
        </w:rPr>
        <w:t xml:space="preserve"> </w:t>
      </w:r>
      <w:r w:rsidRPr="00E303AD">
        <w:rPr>
          <w:rFonts w:eastAsia="Calibri"/>
          <w:rtl/>
        </w:rPr>
        <w:t xml:space="preserve">הנוהל בעניין מתן אשרות לקורבנות סחר </w:t>
      </w:r>
      <w:r w:rsidRPr="00E303AD">
        <w:rPr>
          <w:rFonts w:eastAsia="Calibri" w:hint="cs"/>
          <w:rtl/>
        </w:rPr>
        <w:t xml:space="preserve">בבני אדם </w:t>
      </w:r>
      <w:r w:rsidRPr="00E303AD">
        <w:rPr>
          <w:rFonts w:eastAsia="Calibri"/>
          <w:rtl/>
        </w:rPr>
        <w:t>המבקשות להעיד מסדיר גם את האפשרות להנפיק</w:t>
      </w:r>
      <w:r w:rsidRPr="00E303AD">
        <w:rPr>
          <w:rFonts w:eastAsia="Calibri" w:hint="cs"/>
          <w:rtl/>
        </w:rPr>
        <w:t xml:space="preserve"> "אשרת חוזר"</w:t>
      </w:r>
      <w:r>
        <w:rPr>
          <w:rFonts w:eastAsia="Calibri"/>
          <w:vertAlign w:val="superscript"/>
          <w:rtl/>
        </w:rPr>
        <w:footnoteReference w:id="139"/>
      </w:r>
      <w:r w:rsidRPr="00E303AD">
        <w:rPr>
          <w:rFonts w:eastAsia="Calibri" w:hint="cs"/>
          <w:rtl/>
        </w:rPr>
        <w:t>. אשרה זו מאפשרת</w:t>
      </w:r>
      <w:r w:rsidRPr="00E303AD">
        <w:rPr>
          <w:rFonts w:eastAsia="Calibri"/>
          <w:rtl/>
        </w:rPr>
        <w:t xml:space="preserve"> לקורבנות </w:t>
      </w:r>
      <w:r w:rsidRPr="00E303AD">
        <w:rPr>
          <w:rFonts w:eastAsia="Calibri" w:hint="cs"/>
          <w:rtl/>
        </w:rPr>
        <w:t xml:space="preserve">סחר בבני אדם המבקשות להעיד </w:t>
      </w:r>
      <w:r w:rsidRPr="00E303AD">
        <w:rPr>
          <w:rFonts w:eastAsia="Calibri"/>
          <w:rtl/>
        </w:rPr>
        <w:t xml:space="preserve">לצאת מישראל ולשוב אליה לצורך השלמת שנת השיקום </w:t>
      </w:r>
      <w:r w:rsidRPr="00E303AD">
        <w:rPr>
          <w:rFonts w:eastAsia="Calibri" w:hint="cs"/>
          <w:rtl/>
        </w:rPr>
        <w:t>ש</w:t>
      </w:r>
      <w:r w:rsidRPr="00E303AD">
        <w:rPr>
          <w:rFonts w:eastAsia="Calibri"/>
          <w:rtl/>
        </w:rPr>
        <w:t>ה</w:t>
      </w:r>
      <w:r w:rsidRPr="00E303AD">
        <w:rPr>
          <w:rFonts w:eastAsia="Calibri" w:hint="cs"/>
          <w:rtl/>
        </w:rPr>
        <w:t>ן</w:t>
      </w:r>
      <w:r w:rsidRPr="00E303AD">
        <w:rPr>
          <w:rFonts w:eastAsia="Calibri"/>
          <w:rtl/>
        </w:rPr>
        <w:t xml:space="preserve"> זכאיות</w:t>
      </w:r>
      <w:r w:rsidRPr="00E303AD">
        <w:rPr>
          <w:rFonts w:eastAsia="Calibri" w:hint="cs"/>
          <w:rtl/>
        </w:rPr>
        <w:t xml:space="preserve"> לה</w:t>
      </w:r>
      <w:r w:rsidRPr="00E303AD">
        <w:rPr>
          <w:rFonts w:eastAsia="Calibri"/>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ind w:left="312"/>
        <w:contextualSpacing/>
        <w:rPr>
          <w:rFonts w:eastAsia="Calibri"/>
          <w:rtl/>
        </w:rPr>
      </w:pPr>
      <w:r w:rsidRPr="00E303AD">
        <w:rPr>
          <w:rFonts w:eastAsia="Calibri"/>
          <w:rtl/>
        </w:rPr>
        <w:t xml:space="preserve">בדצמבר 2020 יצאה מהארץ, מטעמים אישיים, אישה שהוכרה כקורבן סחר בבני אדם, לאחר שקיבלה כדין "אשרת חוזר". </w:t>
      </w:r>
      <w:r w:rsidRPr="00E303AD">
        <w:rPr>
          <w:rFonts w:eastAsia="Calibri" w:hint="cs"/>
          <w:rtl/>
        </w:rPr>
        <w:t>עם זאת,</w:t>
      </w:r>
      <w:r w:rsidRPr="00E303AD">
        <w:rPr>
          <w:rFonts w:eastAsia="Calibri"/>
          <w:rtl/>
        </w:rPr>
        <w:t xml:space="preserve"> בשל מגבלות הקורונה שהיו בתוקף באותה עת, פקעה האשרה </w:t>
      </w:r>
      <w:r w:rsidRPr="00E303AD">
        <w:rPr>
          <w:rFonts w:eastAsia="Calibri" w:hint="cs"/>
          <w:rtl/>
        </w:rPr>
        <w:t>לפני ש</w:t>
      </w:r>
      <w:r w:rsidRPr="00E303AD">
        <w:rPr>
          <w:rFonts w:eastAsia="Calibri"/>
          <w:rtl/>
        </w:rPr>
        <w:t xml:space="preserve">הספיקה לשוב לישראל. עם הסרת ההגבלות ביקשה האישה לשוב ארצה לצורך המשך שנת השיקום </w:t>
      </w:r>
      <w:r w:rsidRPr="00E303AD">
        <w:rPr>
          <w:rFonts w:eastAsia="Calibri" w:hint="cs"/>
          <w:rtl/>
        </w:rPr>
        <w:t>שאושרה</w:t>
      </w:r>
      <w:r w:rsidRPr="00E303AD">
        <w:rPr>
          <w:rFonts w:eastAsia="Calibri"/>
          <w:rtl/>
        </w:rPr>
        <w:t xml:space="preserve"> לה, אולם רשות האוכלוסין התנתה את חזרתה בהפקדת ערבות כספית מראש בסך של 30,000 ש"ח.</w:t>
      </w:r>
      <w:r w:rsidRPr="00E303AD">
        <w:rPr>
          <w:rFonts w:eastAsia="Calibri" w:hint="cs"/>
          <w:rtl/>
        </w:rPr>
        <w:t xml:space="preserve"> </w:t>
      </w:r>
      <w:r w:rsidRPr="00E303AD">
        <w:rPr>
          <w:rFonts w:eastAsia="Calibri"/>
          <w:rtl/>
        </w:rPr>
        <w:t>דרישה זו אינה נזכרת בנוהל ואינה נמנית עם סמכויותיה של הרשות על פי ההסדר הקבוע בו</w:t>
      </w:r>
      <w:r w:rsidRPr="00E303AD">
        <w:rPr>
          <w:rFonts w:eastAsia="Calibri"/>
        </w:rPr>
        <w:t>.</w:t>
      </w:r>
      <w:r w:rsidRPr="00E303AD">
        <w:rPr>
          <w:rFonts w:eastAsia="Calibri" w:hint="cs"/>
          <w:rtl/>
        </w:rPr>
        <w:t xml:space="preserve"> </w:t>
      </w:r>
    </w:p>
    <w:bookmarkEnd w:id="150"/>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ind w:left="312"/>
        <w:contextualSpacing/>
        <w:rPr>
          <w:rFonts w:eastAsia="Calibri"/>
        </w:rPr>
      </w:pPr>
      <w:r w:rsidRPr="00E303AD">
        <w:rPr>
          <w:rFonts w:eastAsia="Calibri" w:hint="cs"/>
          <w:rtl/>
        </w:rPr>
        <w:t>"נוכח האופי החריג של החלטה זו [שקיבלה רשות האוכלוסין] והשלכות הרוחב הפוטנציאליות הקשות שהיא נושאת עמה, בקיום התחייבויותיה של מדינת ישראל בהתאם לדין הבין-לאומי ובהתאם לדין הפנימי ולמדיניות הממשלה לאורך שנים ארוכות, מעבר לפגיעה הקשה והלא מידתית בקורבן"</w:t>
      </w:r>
      <w:r>
        <w:rPr>
          <w:rFonts w:eastAsia="Calibri"/>
          <w:vertAlign w:val="superscript"/>
          <w:rtl/>
        </w:rPr>
        <w:footnoteReference w:id="140"/>
      </w:r>
      <w:r w:rsidRPr="00E303AD">
        <w:rPr>
          <w:rFonts w:eastAsia="Calibri" w:hint="cs"/>
          <w:rtl/>
        </w:rPr>
        <w:t xml:space="preserve"> נקטה המתאמת צעד חריג וכתבה חוות דעת התומכת בעמדת אגף הסיוע המשפטי שייצג את נפגעת הסחר בבני אדם בערר שהוגש על ההחלטה. ימים ספורים לאחר שהוגש הערר, בצירוף חוות דעתה של המתאמת, ביטלה הרשות את החלטתה והתירה לקורבן הסחר בבני אדם לחזור מייד לישראל, ללא הפקדת ערבות, לצורך מימוש זכותה לשנת שיקום. </w:t>
      </w:r>
    </w:p>
    <w:p w:rsidR="00E303AD" w:rsidRPr="00E303AD" w:rsidP="00E303AD">
      <w:pPr>
        <w:spacing w:line="269" w:lineRule="auto"/>
        <w:ind w:left="-567"/>
        <w:rPr>
          <w:rFonts w:eastAsia="Calibri"/>
          <w:szCs w:val="20"/>
        </w:rPr>
      </w:pPr>
      <w:r w:rsidRPr="00E303AD">
        <w:rPr>
          <w:rFonts w:eastAsia="Calibri" w:hint="cs"/>
          <w:szCs w:val="20"/>
          <w:rtl/>
        </w:rPr>
        <w:t xml:space="preserve"> </w:t>
      </w:r>
    </w:p>
    <w:p w:rsidR="00E303AD" w:rsidRPr="00E303AD" w:rsidP="00522B30">
      <w:pPr>
        <w:numPr>
          <w:ilvl w:val="6"/>
          <w:numId w:val="24"/>
        </w:numPr>
        <w:spacing w:line="269" w:lineRule="auto"/>
        <w:ind w:left="312"/>
        <w:contextualSpacing/>
        <w:rPr>
          <w:rFonts w:eastAsia="Calibri"/>
        </w:rPr>
      </w:pPr>
      <w:bookmarkStart w:id="155" w:name="_Toc221474990"/>
      <w:bookmarkStart w:id="156" w:name="_Toc221475129"/>
      <w:r w:rsidRPr="00E303AD">
        <w:rPr>
          <w:rFonts w:eastAsia="Times New Roman" w:hint="cs"/>
          <w:bCs/>
          <w:spacing w:val="40"/>
          <w:rtl/>
        </w:rPr>
        <w:t>דרישה לבדיקה מחודשת של מעמד קורבן הסחר לאחר סגירת תיק החקירה המשטרתי</w:t>
      </w:r>
      <w:bookmarkEnd w:id="155"/>
      <w:bookmarkEnd w:id="156"/>
      <w:r w:rsidRPr="00E303AD">
        <w:rPr>
          <w:rFonts w:eastAsia="Times New Roman" w:hint="cs"/>
          <w:bCs/>
          <w:spacing w:val="40"/>
          <w:rtl/>
        </w:rPr>
        <w:t>:</w:t>
      </w:r>
      <w:r w:rsidRPr="00E303AD">
        <w:rPr>
          <w:rFonts w:eastAsia="Calibri" w:hint="cs"/>
          <w:rtl/>
        </w:rPr>
        <w:t xml:space="preserve"> בסוף שנת 2022 הוגשה בקשה להארכת אשרה של אישה שהוכרה כקורבן סחר בבני אדם ושימשה עדה בהליך פלילי אשר בסופו של דבר נסגר. רשות האוכלוסין סברה </w:t>
      </w:r>
      <w:r w:rsidRPr="00E303AD">
        <w:rPr>
          <w:rFonts w:eastAsia="Calibri"/>
          <w:rtl/>
        </w:rPr>
        <w:t>כי</w:t>
      </w:r>
      <w:r w:rsidRPr="00E303AD">
        <w:rPr>
          <w:rFonts w:eastAsia="Calibri" w:hint="cs"/>
          <w:rtl/>
        </w:rPr>
        <w:t xml:space="preserve"> מאחר</w:t>
      </w:r>
      <w:r w:rsidRPr="00E303AD">
        <w:rPr>
          <w:rFonts w:eastAsia="Calibri"/>
          <w:rtl/>
        </w:rPr>
        <w:t xml:space="preserve"> </w:t>
      </w:r>
      <w:r w:rsidRPr="00E303AD">
        <w:rPr>
          <w:rFonts w:eastAsia="Calibri" w:hint="cs"/>
          <w:rtl/>
        </w:rPr>
        <w:t>ש</w:t>
      </w:r>
      <w:r w:rsidRPr="00E303AD">
        <w:rPr>
          <w:rFonts w:eastAsia="Calibri"/>
          <w:rtl/>
        </w:rPr>
        <w:t>תיק החקירה נסגר, נדרשת בדיקה מחודשת של קיומה של ראשית ראיה</w:t>
      </w:r>
      <w:r w:rsidRPr="00E303AD">
        <w:rPr>
          <w:rFonts w:eastAsia="Calibri" w:hint="cs"/>
          <w:rtl/>
        </w:rPr>
        <w:t xml:space="preserve"> להיותה קורבן סחר לצורך בחינת זכאותה לאשרה בשנת השיקום. לכן התנתה הרשות את מתן האשרה באישור המשטרה שראשית הראיה להיותה נפגעת סחר בבני אדם עדיין עומדת בעינה. </w:t>
      </w:r>
      <w:r w:rsidRPr="00E303AD">
        <w:rPr>
          <w:rFonts w:eastAsia="Calibri" w:hint="cs"/>
          <w:rtl/>
        </w:rPr>
        <w:t xml:space="preserve">לטענת הרשות, בתיקים רבים המשטרה סוגרת את תיק החקירה מטעמים שונים, והיא מבקשת לוודא כי למרות סגירת התיק, ראשית הראיה עומדת בעינה וכי אכן מדובר בקורבן סחר. </w:t>
      </w:r>
    </w:p>
    <w:p w:rsidR="00E303AD" w:rsidRPr="00E303AD" w:rsidP="00E303AD">
      <w:pPr>
        <w:spacing w:line="269" w:lineRule="auto"/>
        <w:ind w:left="-567"/>
        <w:rPr>
          <w:rFonts w:eastAsia="Calibri"/>
          <w:szCs w:val="20"/>
          <w:rtl/>
        </w:rPr>
      </w:pPr>
    </w:p>
    <w:p w:rsidR="00E303AD" w:rsidRPr="00E303AD" w:rsidP="00E303AD">
      <w:pPr>
        <w:spacing w:line="269" w:lineRule="auto"/>
        <w:ind w:left="312"/>
        <w:contextualSpacing/>
        <w:rPr>
          <w:rFonts w:eastAsia="Calibri"/>
          <w:rtl/>
        </w:rPr>
      </w:pPr>
      <w:r w:rsidRPr="00E303AD">
        <w:rPr>
          <w:rFonts w:eastAsia="Calibri" w:hint="cs"/>
          <w:rtl/>
        </w:rPr>
        <w:t xml:space="preserve">בעניין זה יצוין כי </w:t>
      </w:r>
      <w:r w:rsidRPr="00E303AD">
        <w:rPr>
          <w:rFonts w:eastAsia="Calibri"/>
          <w:rtl/>
        </w:rPr>
        <w:t>סגירת תיק במשטרה</w:t>
      </w:r>
      <w:r w:rsidRPr="00E303AD">
        <w:rPr>
          <w:rFonts w:eastAsia="Calibri" w:hint="cs"/>
          <w:rtl/>
        </w:rPr>
        <w:t xml:space="preserve"> נגד מי שנחשד בעבירת סחר בבני אדם</w:t>
      </w:r>
      <w:r w:rsidRPr="00E303AD">
        <w:rPr>
          <w:rFonts w:eastAsia="Calibri"/>
          <w:rtl/>
        </w:rPr>
        <w:t xml:space="preserve"> </w:t>
      </w:r>
      <w:r w:rsidRPr="00E303AD">
        <w:rPr>
          <w:rFonts w:eastAsia="Calibri" w:hint="cs"/>
          <w:rtl/>
        </w:rPr>
        <w:t>אין בה כשלעצמה כדי להשפיע על תוקף ההכרה שניתנה לקורבן הסחר, וממילא הגורם הרלוונטי להענקת הכרה או לבטלה הוא המתאמת</w:t>
      </w:r>
      <w:r w:rsidRPr="00E303AD">
        <w:rPr>
          <w:rFonts w:eastAsia="Calibri"/>
        </w:rPr>
        <w:t>.</w:t>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522B30">
      <w:pPr>
        <w:numPr>
          <w:ilvl w:val="6"/>
          <w:numId w:val="24"/>
        </w:numPr>
        <w:spacing w:line="269" w:lineRule="auto"/>
        <w:ind w:left="312"/>
        <w:contextualSpacing/>
        <w:rPr>
          <w:rFonts w:eastAsia="Calibri"/>
          <w:rtl/>
        </w:rPr>
      </w:pPr>
      <w:bookmarkStart w:id="157" w:name="_Toc221474991"/>
      <w:bookmarkStart w:id="158" w:name="_Toc221475130"/>
      <w:r w:rsidRPr="00E303AD">
        <w:rPr>
          <w:rFonts w:eastAsia="Times New Roman" w:hint="eastAsia"/>
          <w:bCs/>
          <w:spacing w:val="40"/>
          <w:rtl/>
        </w:rPr>
        <w:t>מתן</w:t>
      </w:r>
      <w:r w:rsidRPr="00E303AD">
        <w:rPr>
          <w:rFonts w:eastAsia="Times New Roman"/>
          <w:bCs/>
          <w:spacing w:val="40"/>
          <w:rtl/>
        </w:rPr>
        <w:t xml:space="preserve"> אשר</w:t>
      </w:r>
      <w:r w:rsidRPr="00E303AD">
        <w:rPr>
          <w:rFonts w:eastAsia="Times New Roman" w:hint="eastAsia"/>
          <w:bCs/>
          <w:spacing w:val="40"/>
          <w:rtl/>
        </w:rPr>
        <w:t>ת</w:t>
      </w:r>
      <w:r w:rsidRPr="00E303AD">
        <w:rPr>
          <w:rFonts w:eastAsia="Times New Roman"/>
          <w:bCs/>
          <w:spacing w:val="40"/>
          <w:rtl/>
        </w:rPr>
        <w:t xml:space="preserve"> שהייה </w:t>
      </w:r>
      <w:r w:rsidRPr="00E303AD">
        <w:rPr>
          <w:rFonts w:eastAsia="Times New Roman" w:hint="cs"/>
          <w:bCs/>
          <w:spacing w:val="40"/>
          <w:rtl/>
        </w:rPr>
        <w:t>שונה מזו הקבועה בנוהלי הרשות</w:t>
      </w:r>
      <w:bookmarkEnd w:id="157"/>
      <w:bookmarkEnd w:id="158"/>
      <w:r w:rsidRPr="00E303AD">
        <w:rPr>
          <w:rFonts w:eastAsia="Times New Roman" w:hint="cs"/>
          <w:bCs/>
          <w:spacing w:val="40"/>
          <w:rtl/>
        </w:rPr>
        <w:t>:</w:t>
      </w:r>
      <w:r w:rsidRPr="00E303AD">
        <w:rPr>
          <w:rFonts w:eastAsia="Calibri" w:hint="cs"/>
          <w:rtl/>
        </w:rPr>
        <w:t xml:space="preserve"> </w:t>
      </w:r>
      <w:r w:rsidRPr="00E303AD">
        <w:rPr>
          <w:rFonts w:eastAsia="Calibri"/>
          <w:rtl/>
        </w:rPr>
        <w:t>בשנת 202</w:t>
      </w:r>
      <w:r w:rsidRPr="00E303AD">
        <w:rPr>
          <w:rFonts w:eastAsia="Calibri" w:hint="cs"/>
          <w:rtl/>
        </w:rPr>
        <w:t>3</w:t>
      </w:r>
      <w:r w:rsidRPr="00E303AD">
        <w:rPr>
          <w:rFonts w:eastAsia="Calibri"/>
          <w:rtl/>
        </w:rPr>
        <w:t xml:space="preserve"> הגיעו </w:t>
      </w:r>
      <w:r w:rsidRPr="00E303AD">
        <w:rPr>
          <w:rFonts w:eastAsia="Calibri" w:hint="cs"/>
          <w:rtl/>
        </w:rPr>
        <w:t xml:space="preserve">למקלט </w:t>
      </w:r>
      <w:r w:rsidRPr="00E303AD">
        <w:rPr>
          <w:rFonts w:eastAsia="Calibri"/>
          <w:rtl/>
        </w:rPr>
        <w:t xml:space="preserve">שתי </w:t>
      </w:r>
      <w:r w:rsidRPr="00E303AD">
        <w:rPr>
          <w:rFonts w:eastAsia="Calibri" w:hint="cs"/>
          <w:rtl/>
        </w:rPr>
        <w:t>נשים שהוכרו כ</w:t>
      </w:r>
      <w:r w:rsidRPr="00E303AD">
        <w:rPr>
          <w:rFonts w:eastAsia="Calibri"/>
          <w:rtl/>
        </w:rPr>
        <w:t xml:space="preserve">קורבנות סחר </w:t>
      </w:r>
      <w:r w:rsidRPr="00E303AD">
        <w:rPr>
          <w:rFonts w:eastAsia="Calibri" w:hint="cs"/>
          <w:rtl/>
        </w:rPr>
        <w:t xml:space="preserve">בבני אדם </w:t>
      </w:r>
      <w:r w:rsidRPr="00E303AD">
        <w:rPr>
          <w:rFonts w:eastAsia="Calibri"/>
          <w:rtl/>
        </w:rPr>
        <w:t>ללא דרכון או מסמך מזהה</w:t>
      </w:r>
      <w:r w:rsidRPr="00E303AD">
        <w:rPr>
          <w:rFonts w:eastAsia="Calibri" w:hint="cs"/>
          <w:rtl/>
        </w:rPr>
        <w:t>, אשר המשטרה החליטה כי הן נדרשות למסור עדות בחקירה, וכי הישארותן בישראל לצורך כך הכרחית</w:t>
      </w:r>
      <w:r w:rsidRPr="00E303AD">
        <w:rPr>
          <w:rFonts w:eastAsia="Calibri"/>
          <w:rtl/>
        </w:rPr>
        <w:t>. רשות האוכלוסין</w:t>
      </w:r>
      <w:r w:rsidRPr="00E303AD">
        <w:rPr>
          <w:rFonts w:eastAsia="Calibri" w:hint="cs"/>
          <w:rtl/>
        </w:rPr>
        <w:t xml:space="preserve"> סירבה להעניק לנשים את האשרה מסוג ב/1, האשרה הנדרשת על פי נהליה אשר מקנה להן זכות חוקית לעבוד - זכות אשר מעודדת את העדות להישאר בישראל לצורך מתן עדותן. הרשות נימקה את החלטתה בכך שאין בידי הנשים מסמך נסיעה (דרכון או תעודת מעבר) והעניקה להן אשרה לפי סעיף 2(א)(5)</w:t>
      </w:r>
      <w:r>
        <w:rPr>
          <w:rFonts w:eastAsia="Calibri"/>
          <w:vertAlign w:val="superscript"/>
          <w:rtl/>
        </w:rPr>
        <w:footnoteReference w:id="141"/>
      </w:r>
      <w:r w:rsidRPr="00E303AD">
        <w:rPr>
          <w:rFonts w:eastAsia="Calibri" w:hint="cs"/>
          <w:rtl/>
        </w:rPr>
        <w:t xml:space="preserve"> - אשרה שונה מהקבוע בנוהלי הרשות, שאינה כוללת רישיון עבודה. אגף </w:t>
      </w:r>
      <w:r w:rsidRPr="00E303AD">
        <w:rPr>
          <w:rFonts w:eastAsia="Calibri"/>
          <w:rtl/>
        </w:rPr>
        <w:t xml:space="preserve">הסיוע המשפטי </w:t>
      </w:r>
      <w:r w:rsidRPr="00E303AD">
        <w:rPr>
          <w:rFonts w:eastAsia="Calibri" w:hint="cs"/>
          <w:rtl/>
        </w:rPr>
        <w:t xml:space="preserve">שלח לרשות האוכלוסין מכתב התראה טרם הגשת </w:t>
      </w:r>
      <w:r w:rsidRPr="00E303AD">
        <w:rPr>
          <w:rFonts w:eastAsia="Calibri"/>
          <w:rtl/>
        </w:rPr>
        <w:t>ערר על החלטה זו לבית הדין לעררים ו</w:t>
      </w:r>
      <w:r w:rsidRPr="00E303AD">
        <w:rPr>
          <w:rFonts w:eastAsia="Calibri" w:hint="cs"/>
          <w:rtl/>
        </w:rPr>
        <w:t>דרש</w:t>
      </w:r>
      <w:r w:rsidRPr="00E303AD">
        <w:rPr>
          <w:rFonts w:eastAsia="Calibri"/>
          <w:rtl/>
        </w:rPr>
        <w:t xml:space="preserve"> להורות </w:t>
      </w:r>
      <w:r w:rsidRPr="00E303AD">
        <w:rPr>
          <w:rFonts w:eastAsia="Calibri" w:hint="cs"/>
          <w:rtl/>
        </w:rPr>
        <w:t>לרשות לתת לנשים אשרת שהייה</w:t>
      </w:r>
      <w:r w:rsidRPr="00E303AD">
        <w:rPr>
          <w:rFonts w:eastAsia="Calibri"/>
          <w:rtl/>
        </w:rPr>
        <w:t xml:space="preserve"> מסוג ב/1 לאלתר</w:t>
      </w:r>
      <w:r w:rsidRPr="00E303AD">
        <w:rPr>
          <w:rFonts w:eastAsia="Calibri" w:hint="cs"/>
          <w:rtl/>
        </w:rPr>
        <w:t xml:space="preserve">. </w:t>
      </w:r>
      <w:r w:rsidRPr="00E303AD">
        <w:rPr>
          <w:rFonts w:eastAsia="Calibri"/>
          <w:rtl/>
        </w:rPr>
        <w:t>לאחר משלוח מכתב התראה, וביום הגשת הערר, נעתרה הרשות ונתנה לנפגעות אשרות שהייה כנדרש</w:t>
      </w:r>
      <w:r w:rsidRPr="00E303AD">
        <w:rPr>
          <w:rFonts w:eastAsia="Calibri"/>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ind w:left="312"/>
        <w:contextualSpacing/>
        <w:rPr>
          <w:rFonts w:eastAsia="Calibri"/>
          <w:rtl/>
        </w:rPr>
      </w:pPr>
      <w:r w:rsidRPr="00E303AD">
        <w:rPr>
          <w:rFonts w:eastAsia="Calibri" w:hint="cs"/>
          <w:rtl/>
        </w:rPr>
        <w:t xml:space="preserve">במקרה דומה, בשנת 2025 זומנו 11 נשים שהוכרו כקורבנות סחר בבני אדם לחקירה משטרתית כעדות בהליכים פליליים. גם במקרה זה העניקה להן הרשות אשרה מסוג 2(א)(5), לתקופה של ארבעה חודשים, ולא את האשרה המתחייבת לפי הנוהל.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ind w:left="312"/>
        <w:contextualSpacing/>
        <w:rPr>
          <w:rFonts w:eastAsia="Calibri"/>
          <w:rtl/>
        </w:rPr>
      </w:pPr>
      <w:r w:rsidRPr="00E303AD">
        <w:rPr>
          <w:rFonts w:eastAsia="Calibri" w:hint="cs"/>
          <w:rtl/>
        </w:rPr>
        <w:t xml:space="preserve">במאי 2025 כתבה המתאמת למנהלת אגף אוכלוסיות זמניות ברשות האוכלוסין בעניין האשרה הזמנית כי אישור מסוג זה </w:t>
      </w:r>
      <w:r w:rsidRPr="00E303AD">
        <w:rPr>
          <w:rFonts w:eastAsia="Calibri"/>
          <w:rtl/>
        </w:rPr>
        <w:t>ל</w:t>
      </w:r>
      <w:r w:rsidRPr="00E303AD">
        <w:rPr>
          <w:rFonts w:eastAsia="Calibri" w:hint="cs"/>
          <w:rtl/>
        </w:rPr>
        <w:t>ארבעה</w:t>
      </w:r>
      <w:r w:rsidRPr="00E303AD">
        <w:rPr>
          <w:rFonts w:eastAsia="Calibri"/>
          <w:rtl/>
        </w:rPr>
        <w:t xml:space="preserve"> חודשים לא יאפשר </w:t>
      </w:r>
      <w:r w:rsidRPr="00E303AD">
        <w:rPr>
          <w:rFonts w:eastAsia="Calibri" w:hint="cs"/>
          <w:rtl/>
        </w:rPr>
        <w:t xml:space="preserve">לקורבנות הסחר </w:t>
      </w:r>
      <w:r w:rsidRPr="00E303AD">
        <w:rPr>
          <w:rFonts w:eastAsia="Calibri"/>
          <w:rtl/>
        </w:rPr>
        <w:t>למצוא עבודה סבירה וראויה</w:t>
      </w:r>
      <w:r w:rsidRPr="00E303AD">
        <w:rPr>
          <w:rFonts w:eastAsia="Calibri" w:hint="cs"/>
          <w:rtl/>
        </w:rPr>
        <w:t>,</w:t>
      </w:r>
      <w:r w:rsidRPr="00E303AD">
        <w:rPr>
          <w:rFonts w:eastAsia="Calibri"/>
          <w:rtl/>
        </w:rPr>
        <w:t xml:space="preserve"> לכן </w:t>
      </w:r>
      <w:r w:rsidRPr="00E303AD">
        <w:rPr>
          <w:rFonts w:eastAsia="Calibri" w:hint="cs"/>
          <w:rtl/>
        </w:rPr>
        <w:t xml:space="preserve">הנשים </w:t>
      </w:r>
      <w:r w:rsidRPr="00E303AD">
        <w:rPr>
          <w:rFonts w:eastAsia="Calibri"/>
          <w:rtl/>
        </w:rPr>
        <w:t xml:space="preserve">לא יישארו בישראל </w:t>
      </w:r>
      <w:r w:rsidRPr="00E303AD">
        <w:rPr>
          <w:rFonts w:eastAsia="Calibri" w:hint="cs"/>
          <w:rtl/>
        </w:rPr>
        <w:t>ו</w:t>
      </w:r>
      <w:r w:rsidRPr="00E303AD">
        <w:rPr>
          <w:rFonts w:eastAsia="Calibri"/>
          <w:rtl/>
        </w:rPr>
        <w:t xml:space="preserve">לא </w:t>
      </w:r>
      <w:r w:rsidRPr="00E303AD">
        <w:rPr>
          <w:rFonts w:eastAsia="Calibri" w:hint="cs"/>
          <w:rtl/>
        </w:rPr>
        <w:t>ניתן יהיה</w:t>
      </w:r>
      <w:r w:rsidRPr="00E303AD">
        <w:rPr>
          <w:rFonts w:eastAsia="Calibri"/>
          <w:rtl/>
        </w:rPr>
        <w:t xml:space="preserve"> להעיד אות</w:t>
      </w:r>
      <w:r w:rsidRPr="00E303AD">
        <w:rPr>
          <w:rFonts w:eastAsia="Calibri" w:hint="cs"/>
          <w:rtl/>
        </w:rPr>
        <w:t>ן.</w:t>
      </w:r>
      <w:r w:rsidRPr="00E303AD">
        <w:rPr>
          <w:rFonts w:eastAsia="Calibri"/>
          <w:rtl/>
        </w:rPr>
        <w:t xml:space="preserve"> ה</w:t>
      </w:r>
      <w:r w:rsidRPr="00E303AD">
        <w:rPr>
          <w:rFonts w:eastAsia="Calibri" w:hint="cs"/>
          <w:rtl/>
        </w:rPr>
        <w:t>ן</w:t>
      </w:r>
      <w:r w:rsidRPr="00E303AD">
        <w:rPr>
          <w:rFonts w:eastAsia="Calibri"/>
          <w:rtl/>
        </w:rPr>
        <w:t xml:space="preserve"> גם לא ישתקמו ויחזרו שוב למעגל הסחר</w:t>
      </w:r>
      <w:r w:rsidRPr="00E303AD">
        <w:rPr>
          <w:rFonts w:eastAsia="Calibri" w:hint="cs"/>
          <w:rtl/>
        </w:rPr>
        <w:t>,</w:t>
      </w:r>
      <w:r w:rsidRPr="00E303AD">
        <w:rPr>
          <w:rFonts w:eastAsia="Calibri"/>
          <w:rtl/>
        </w:rPr>
        <w:t xml:space="preserve"> והסוחרים ימשיכו להביא </w:t>
      </w:r>
      <w:r w:rsidRPr="00E303AD">
        <w:rPr>
          <w:rFonts w:eastAsia="Calibri" w:hint="cs"/>
          <w:rtl/>
        </w:rPr>
        <w:t>לישראל</w:t>
      </w:r>
      <w:r w:rsidRPr="00E303AD">
        <w:rPr>
          <w:rFonts w:eastAsia="Calibri"/>
          <w:rtl/>
        </w:rPr>
        <w:t xml:space="preserve"> ק</w:t>
      </w:r>
      <w:r w:rsidRPr="00E303AD">
        <w:rPr>
          <w:rFonts w:eastAsia="Calibri" w:hint="cs"/>
          <w:rtl/>
        </w:rPr>
        <w:t>ו</w:t>
      </w:r>
      <w:r w:rsidRPr="00E303AD">
        <w:rPr>
          <w:rFonts w:eastAsia="Calibri"/>
          <w:rtl/>
        </w:rPr>
        <w:t xml:space="preserve">רבנות סחר </w:t>
      </w:r>
      <w:r w:rsidRPr="00E303AD">
        <w:rPr>
          <w:rFonts w:eastAsia="Calibri" w:hint="cs"/>
          <w:rtl/>
        </w:rPr>
        <w:t>רבים נוספים. המתאמת הדגישה כי ללא</w:t>
      </w:r>
      <w:r w:rsidRPr="00E303AD">
        <w:rPr>
          <w:rFonts w:eastAsia="Calibri"/>
          <w:rtl/>
        </w:rPr>
        <w:t xml:space="preserve"> שיתוף הפעולה של</w:t>
      </w:r>
      <w:r w:rsidRPr="00E303AD">
        <w:rPr>
          <w:rFonts w:eastAsia="Calibri" w:hint="cs"/>
          <w:rtl/>
        </w:rPr>
        <w:t xml:space="preserve"> הקורבנות</w:t>
      </w:r>
      <w:r w:rsidRPr="00E303AD">
        <w:rPr>
          <w:rFonts w:eastAsia="Calibri"/>
          <w:rtl/>
        </w:rPr>
        <w:t xml:space="preserve"> עם המשטרה והפרקליטות כמעט </w:t>
      </w:r>
      <w:r w:rsidRPr="00E303AD">
        <w:rPr>
          <w:rFonts w:eastAsia="Calibri" w:hint="cs"/>
          <w:rtl/>
        </w:rPr>
        <w:t>ש</w:t>
      </w:r>
      <w:r w:rsidRPr="00E303AD">
        <w:rPr>
          <w:rFonts w:eastAsia="Calibri"/>
          <w:rtl/>
        </w:rPr>
        <w:t xml:space="preserve">אין אפשרות </w:t>
      </w:r>
      <w:r w:rsidRPr="00E303AD">
        <w:rPr>
          <w:rFonts w:eastAsia="Calibri" w:hint="cs"/>
          <w:rtl/>
        </w:rPr>
        <w:t>לגבש</w:t>
      </w:r>
      <w:r w:rsidRPr="00E303AD">
        <w:rPr>
          <w:rFonts w:eastAsia="Calibri"/>
          <w:rtl/>
        </w:rPr>
        <w:t xml:space="preserve"> תיקים פליליים ו</w:t>
      </w:r>
      <w:r w:rsidRPr="00E303AD">
        <w:rPr>
          <w:rFonts w:eastAsia="Calibri" w:hint="cs"/>
          <w:rtl/>
        </w:rPr>
        <w:t xml:space="preserve">לבסס </w:t>
      </w:r>
      <w:r w:rsidRPr="00E303AD">
        <w:rPr>
          <w:rFonts w:eastAsia="Calibri"/>
          <w:rtl/>
        </w:rPr>
        <w:t>כתבי אישום חמורים.</w:t>
      </w:r>
      <w:r w:rsidRPr="00E303AD">
        <w:rPr>
          <w:rFonts w:eastAsia="Calibri" w:hint="cs"/>
          <w:rtl/>
        </w:rPr>
        <w:t xml:space="preserve"> </w:t>
      </w:r>
      <w:r w:rsidRPr="00E303AD">
        <w:rPr>
          <w:rFonts w:eastAsia="Calibri"/>
          <w:rtl/>
        </w:rPr>
        <w:t xml:space="preserve">בתגובה </w:t>
      </w:r>
      <w:r w:rsidRPr="00E303AD">
        <w:rPr>
          <w:rFonts w:eastAsia="Calibri" w:hint="cs"/>
          <w:rtl/>
        </w:rPr>
        <w:t>על כך</w:t>
      </w:r>
      <w:r w:rsidRPr="00E303AD">
        <w:rPr>
          <w:rFonts w:eastAsia="Calibri" w:hint="cs"/>
        </w:rPr>
        <w:t xml:space="preserve"> </w:t>
      </w:r>
      <w:r w:rsidRPr="00E303AD">
        <w:rPr>
          <w:rFonts w:eastAsia="Calibri"/>
          <w:rtl/>
        </w:rPr>
        <w:t xml:space="preserve">טענה הרשות כי </w:t>
      </w:r>
      <w:r w:rsidRPr="00E303AD">
        <w:rPr>
          <w:rFonts w:eastAsia="Calibri" w:hint="cs"/>
          <w:rtl/>
        </w:rPr>
        <w:t xml:space="preserve">לפני קבלת האשרה </w:t>
      </w:r>
      <w:r w:rsidRPr="00E303AD">
        <w:rPr>
          <w:rFonts w:eastAsia="Calibri"/>
          <w:rtl/>
        </w:rPr>
        <w:t xml:space="preserve">על </w:t>
      </w:r>
      <w:r w:rsidRPr="00E303AD">
        <w:rPr>
          <w:rFonts w:eastAsia="Calibri" w:hint="cs"/>
          <w:rtl/>
        </w:rPr>
        <w:t>הקורבנות</w:t>
      </w:r>
      <w:r w:rsidRPr="00E303AD">
        <w:rPr>
          <w:rFonts w:eastAsia="Calibri"/>
          <w:rtl/>
        </w:rPr>
        <w:t xml:space="preserve"> להיקלט במקלט ול</w:t>
      </w:r>
      <w:r w:rsidRPr="00E303AD">
        <w:rPr>
          <w:rFonts w:eastAsia="Calibri" w:hint="cs"/>
          <w:rtl/>
        </w:rPr>
        <w:t>גבש</w:t>
      </w:r>
      <w:r w:rsidRPr="00E303AD">
        <w:rPr>
          <w:rFonts w:eastAsia="Calibri"/>
          <w:rtl/>
        </w:rPr>
        <w:t xml:space="preserve"> תוכנית טיפול, </w:t>
      </w:r>
      <w:r w:rsidRPr="00E303AD">
        <w:rPr>
          <w:rFonts w:eastAsia="Calibri" w:hint="cs"/>
          <w:rtl/>
        </w:rPr>
        <w:t>משום ש</w:t>
      </w:r>
      <w:r w:rsidRPr="00E303AD">
        <w:rPr>
          <w:rFonts w:eastAsia="Calibri"/>
          <w:rtl/>
        </w:rPr>
        <w:t>לעיתים הם עוזבים את המקלט זמן קצר לאחר הגעתם</w:t>
      </w:r>
      <w:r w:rsidRPr="00E303AD">
        <w:rPr>
          <w:rFonts w:eastAsia="Calibri" w:hint="cs"/>
          <w:rtl/>
        </w:rPr>
        <w:t>, ועל כן יש לדחות מתן אשרה מסוג ב/1 לתקופה ארוכה יותר עד לבירור מצבם. בתשובת רשות האוכלוסין למשרד מבקר המדינה במאי 2026 (להלן - תשובת רשות האוכלוסין)</w:t>
      </w:r>
      <w:r w:rsidRPr="00E303AD">
        <w:rPr>
          <w:rFonts w:eastAsia="Calibri" w:hint="cs"/>
        </w:rPr>
        <w:t xml:space="preserve"> </w:t>
      </w:r>
      <w:r w:rsidRPr="00E303AD">
        <w:rPr>
          <w:rFonts w:eastAsia="Calibri" w:hint="cs"/>
          <w:rtl/>
        </w:rPr>
        <w:t>נמסרה כי האשרה המוגבלת ניתנה לנוכח מידע ולפיו הנשים המשיכו לעסוק בזנות.</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ind w:left="312"/>
        <w:rPr>
          <w:rFonts w:eastAsia="Calibri"/>
          <w:rtl/>
        </w:rPr>
      </w:pPr>
      <w:r w:rsidRPr="00E303AD">
        <w:rPr>
          <w:rFonts w:eastAsia="Calibri" w:hint="cs"/>
          <w:rtl/>
        </w:rPr>
        <w:t xml:space="preserve">מדוגמאות אלו עולה כי רשות האוכלוסין העניקה אשרה שונה מזו הקבועה </w:t>
      </w:r>
      <w:r w:rsidRPr="00E303AD">
        <w:rPr>
          <w:rFonts w:eastAsia="Calibri" w:hint="cs"/>
          <w:sz w:val="24"/>
          <w:rtl/>
        </w:rPr>
        <w:t>בנוהל</w:t>
      </w:r>
      <w:r w:rsidRPr="00E303AD">
        <w:rPr>
          <w:rFonts w:eastAsia="Calibri"/>
          <w:sz w:val="24"/>
          <w:rtl/>
        </w:rPr>
        <w:t xml:space="preserve"> </w:t>
      </w:r>
      <w:r w:rsidRPr="00E303AD">
        <w:rPr>
          <w:rFonts w:eastAsia="Calibri" w:hint="cs"/>
          <w:sz w:val="24"/>
          <w:rtl/>
        </w:rPr>
        <w:t xml:space="preserve">שלה עצמה </w:t>
      </w:r>
      <w:r w:rsidRPr="00E303AD">
        <w:rPr>
          <w:rFonts w:eastAsia="Calibri"/>
          <w:sz w:val="24"/>
          <w:rtl/>
        </w:rPr>
        <w:t>בנושא "הטיפול בקורבנות סחר בנשים המבקשות להעי</w:t>
      </w:r>
      <w:r w:rsidRPr="00E303AD">
        <w:rPr>
          <w:rFonts w:eastAsia="Calibri" w:hint="eastAsia"/>
          <w:sz w:val="24"/>
          <w:rtl/>
        </w:rPr>
        <w:t>ד</w:t>
      </w:r>
      <w:r w:rsidRPr="00E303AD">
        <w:rPr>
          <w:rFonts w:eastAsia="Calibri"/>
          <w:sz w:val="24"/>
          <w:rtl/>
        </w:rPr>
        <w:t>"</w:t>
      </w:r>
      <w:r>
        <w:rPr>
          <w:rFonts w:eastAsia="Calibri"/>
          <w:sz w:val="24"/>
          <w:vertAlign w:val="superscript"/>
          <w:rtl/>
        </w:rPr>
        <w:footnoteReference w:id="142"/>
      </w:r>
      <w:r w:rsidRPr="00E303AD">
        <w:rPr>
          <w:rFonts w:eastAsia="Calibri" w:hint="cs"/>
          <w:sz w:val="24"/>
          <w:rtl/>
        </w:rPr>
        <w:t xml:space="preserve">. </w:t>
      </w:r>
      <w:r w:rsidRPr="00E303AD">
        <w:rPr>
          <w:rFonts w:eastAsia="Calibri" w:hint="cs"/>
          <w:rtl/>
        </w:rPr>
        <w:t xml:space="preserve">סירוב הרשות להעניק אשרה מהסוג הקבוע בנוהל נומקה בכל אחד מהמקרים בעילה שונה, אם כי אף אחת מהן אינה מצדיקה חריגה מהנוהל הקובע כי בתקופת ניהול ההליך הפלילי תוענק לקורבן הסחר אשרה מסוג ב/1 (או ב/2, במקרים שבהם אישור עבודה אינו רלוונטי). </w:t>
      </w:r>
    </w:p>
    <w:p w:rsidR="00E303AD" w:rsidRPr="00E303AD" w:rsidP="00E303AD">
      <w:pPr>
        <w:spacing w:line="269" w:lineRule="auto"/>
        <w:ind w:left="-567"/>
        <w:rPr>
          <w:rFonts w:eastAsia="Calibri"/>
          <w:szCs w:val="20"/>
          <w:rtl/>
        </w:rPr>
      </w:pPr>
      <w:bookmarkStart w:id="159" w:name="_Hlk224731014"/>
      <w:r w:rsidRPr="00E303AD">
        <w:rPr>
          <w:rFonts w:eastAsia="Calibri" w:hint="cs"/>
          <w:szCs w:val="20"/>
          <w:rtl/>
        </w:rPr>
        <w:t xml:space="preserve"> </w:t>
      </w:r>
    </w:p>
    <w:p w:rsidR="00E303AD" w:rsidRPr="00E303AD" w:rsidP="00E303AD">
      <w:pPr>
        <w:spacing w:line="269" w:lineRule="auto"/>
        <w:rPr>
          <w:rFonts w:eastAsia="Calibri"/>
          <w:b/>
          <w:bCs/>
          <w:rtl/>
        </w:rPr>
      </w:pPr>
      <w:bookmarkStart w:id="160" w:name="_Hlk222316002"/>
      <w:bookmarkStart w:id="161" w:name="_Hlk222315825"/>
      <w:r w:rsidRPr="00E303AD">
        <w:rPr>
          <w:rFonts w:eastAsia="Calibri" w:hint="cs"/>
          <w:b/>
          <w:bCs/>
          <w:rtl/>
        </w:rPr>
        <w:t xml:space="preserve">הדוגמאות המובאות בפרק זה משקפות ליקויים באופן שבו החילה רשות האוכלוסין וההגירה במשרד הפנים את סמכותה למתן אשרת שהייה למי שהוכרו כקורבנות סחר בבני אדם. נמצא כי במקרים אלו הליך קבלת ההחלטות למתן אשרה התבצע שלא בהתאם לנוהלי רשות האוכלוסין ותוך חריגה מסמכות: התניית אישור חזרה לארץ של קורבן סחר בבני אדם לצורך </w:t>
      </w:r>
      <w:r w:rsidRPr="00E303AD">
        <w:rPr>
          <w:rFonts w:eastAsia="Calibri"/>
          <w:b/>
          <w:bCs/>
          <w:rtl/>
        </w:rPr>
        <w:t>השלמת שנת השיקום ש</w:t>
      </w:r>
      <w:r w:rsidRPr="00E303AD">
        <w:rPr>
          <w:rFonts w:eastAsia="Calibri" w:hint="cs"/>
          <w:b/>
          <w:bCs/>
          <w:rtl/>
        </w:rPr>
        <w:t>ל</w:t>
      </w:r>
      <w:r w:rsidRPr="00E303AD">
        <w:rPr>
          <w:rFonts w:eastAsia="Calibri"/>
          <w:b/>
          <w:bCs/>
          <w:rtl/>
        </w:rPr>
        <w:t xml:space="preserve">ה </w:t>
      </w:r>
      <w:r w:rsidRPr="00E303AD">
        <w:rPr>
          <w:rFonts w:eastAsia="Calibri" w:hint="cs"/>
          <w:b/>
          <w:bCs/>
          <w:rtl/>
        </w:rPr>
        <w:t xml:space="preserve">היא </w:t>
      </w:r>
      <w:r w:rsidRPr="00E303AD">
        <w:rPr>
          <w:rFonts w:eastAsia="Calibri"/>
          <w:b/>
          <w:bCs/>
          <w:rtl/>
        </w:rPr>
        <w:t>זכאית</w:t>
      </w:r>
      <w:r w:rsidRPr="00E303AD">
        <w:rPr>
          <w:rFonts w:eastAsia="Calibri" w:hint="cs"/>
          <w:b/>
          <w:bCs/>
          <w:rtl/>
        </w:rPr>
        <w:t xml:space="preserve"> בהפקדת ערבות חריגה; מתן אשרת שהייה מוגבלת לנשים שהוכרו </w:t>
      </w:r>
      <w:r w:rsidRPr="00E303AD">
        <w:rPr>
          <w:rFonts w:eastAsia="Calibri" w:hint="cs"/>
          <w:b/>
          <w:bCs/>
          <w:rtl/>
        </w:rPr>
        <w:t>כקורבנות סחר שאינה תואמת את נוהל הרשות לעניין אשרות לקורבנות סחר המבקשות להעיד, דבר אשר עלול להוביל לעזיבת קרבנות הסחר, למרות החלטת המשטרה כי הישארותן בישראל לצורך מתן עדות היא הכרחית; דרישה לבדיקה מחודשת של מעמד קורבן הסחר לאחר סגירת תיק החקירה המשטרתי</w:t>
      </w:r>
      <w:r w:rsidRPr="00E303AD">
        <w:rPr>
          <w:rFonts w:eastAsia="Times New Roman" w:hint="cs"/>
          <w:bCs/>
          <w:sz w:val="16"/>
          <w:szCs w:val="22"/>
          <w:rtl/>
        </w:rPr>
        <w:t xml:space="preserve">; </w:t>
      </w:r>
      <w:r w:rsidRPr="00E303AD">
        <w:rPr>
          <w:rFonts w:eastAsia="Calibri" w:hint="cs"/>
          <w:b/>
          <w:bCs/>
          <w:rtl/>
        </w:rPr>
        <w:t xml:space="preserve">שליחת פקחים לברר אם קורבנות סחר בבני אדם שבו לעסוק בזנות </w:t>
      </w:r>
      <w:r w:rsidRPr="00E303AD">
        <w:rPr>
          <w:rFonts w:eastAsia="Calibri"/>
          <w:b/>
          <w:bCs/>
          <w:rtl/>
        </w:rPr>
        <w:t>אף שפעולה זו אינה נכללת בתחומי הפעילות המוגדרים של הפקחים</w:t>
      </w:r>
      <w:r w:rsidRPr="00E303AD">
        <w:rPr>
          <w:rFonts w:eastAsia="Calibri" w:hint="cs"/>
          <w:b/>
          <w:bCs/>
          <w:rtl/>
        </w:rPr>
        <w:t>.</w:t>
      </w:r>
      <w:bookmarkEnd w:id="160"/>
      <w:r w:rsidRPr="00E303AD">
        <w:rPr>
          <w:rFonts w:eastAsia="Calibri" w:hint="cs"/>
          <w:b/>
          <w:bCs/>
          <w:rtl/>
        </w:rPr>
        <w:t xml:space="preserve"> </w:t>
      </w:r>
    </w:p>
    <w:bookmarkEnd w:id="161"/>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בהחלטת הממשלה 1862 נקבע כי יחידת התיאום נדרשת לקיים מפגשים עיתיים כדי לטייב את ממשקי העבודה בין כלל הגורמים המעורבים בשרשרת הסיוע לקורבנות סחר בבני אדם</w:t>
      </w:r>
      <w:r>
        <w:rPr>
          <w:rFonts w:eastAsia="Calibri"/>
          <w:vertAlign w:val="superscript"/>
          <w:rtl/>
        </w:rPr>
        <w:footnoteReference w:id="143"/>
      </w:r>
      <w:r w:rsidRPr="00E303AD">
        <w:rPr>
          <w:rFonts w:eastAsia="Calibri" w:hint="cs"/>
          <w:rtl/>
        </w:rPr>
        <w:t>, ובכלל זה אגף הסיוע המשפטי והרשות.</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במהלך הביקורת מסר אגף הסיוע המשפטי כי אם הוא סבור ש</w:t>
      </w:r>
      <w:r w:rsidRPr="00E303AD">
        <w:rPr>
          <w:rFonts w:eastAsia="Calibri"/>
          <w:rtl/>
        </w:rPr>
        <w:t xml:space="preserve">החלטות </w:t>
      </w:r>
      <w:r w:rsidRPr="00E303AD">
        <w:rPr>
          <w:rFonts w:eastAsia="Calibri" w:hint="cs"/>
          <w:rtl/>
        </w:rPr>
        <w:t xml:space="preserve">הרשות </w:t>
      </w:r>
      <w:r w:rsidRPr="00E303AD">
        <w:rPr>
          <w:rFonts w:eastAsia="Calibri"/>
          <w:rtl/>
        </w:rPr>
        <w:t xml:space="preserve">אינן </w:t>
      </w:r>
      <w:r w:rsidRPr="00E303AD">
        <w:rPr>
          <w:rFonts w:eastAsia="Calibri" w:hint="cs"/>
          <w:rtl/>
        </w:rPr>
        <w:t xml:space="preserve">עולות בקנה אחד עם </w:t>
      </w:r>
      <w:r w:rsidRPr="00E303AD">
        <w:rPr>
          <w:rFonts w:eastAsia="Calibri"/>
          <w:rtl/>
        </w:rPr>
        <w:t>הנהלים והעקרונות של מניעת סחר בבני אדם ושיקום הקורבנות</w:t>
      </w:r>
      <w:r w:rsidRPr="00E303AD">
        <w:rPr>
          <w:rFonts w:eastAsia="Calibri" w:hint="cs"/>
          <w:rtl/>
        </w:rPr>
        <w:t xml:space="preserve"> או אם הרשות אינה נענית לבקשות המובאות לפתחה,</w:t>
      </w:r>
      <w:r w:rsidRPr="00E303AD">
        <w:rPr>
          <w:rFonts w:eastAsia="Calibri"/>
          <w:rtl/>
        </w:rPr>
        <w:t xml:space="preserve"> </w:t>
      </w:r>
      <w:r w:rsidRPr="00E303AD">
        <w:rPr>
          <w:rFonts w:eastAsia="Calibri" w:hint="cs"/>
          <w:rtl/>
        </w:rPr>
        <w:t>פועל ה</w:t>
      </w:r>
      <w:r w:rsidRPr="00E303AD">
        <w:rPr>
          <w:rFonts w:eastAsia="Calibri"/>
          <w:rtl/>
        </w:rPr>
        <w:t xml:space="preserve">אגף </w:t>
      </w:r>
      <w:r w:rsidRPr="00E303AD">
        <w:rPr>
          <w:rFonts w:eastAsia="Calibri" w:hint="cs"/>
          <w:rtl/>
        </w:rPr>
        <w:t xml:space="preserve">באמצעות </w:t>
      </w:r>
      <w:r w:rsidRPr="00E303AD">
        <w:rPr>
          <w:rFonts w:eastAsia="Calibri"/>
          <w:rtl/>
        </w:rPr>
        <w:t>הגשת עררים על החלטות</w:t>
      </w:r>
      <w:r w:rsidRPr="00E303AD">
        <w:rPr>
          <w:rFonts w:eastAsia="Calibri" w:hint="cs"/>
          <w:rtl/>
        </w:rPr>
        <w:t>יה</w:t>
      </w:r>
      <w:r w:rsidRPr="00E303AD">
        <w:rPr>
          <w:rFonts w:eastAsia="Calibri"/>
          <w:rtl/>
        </w:rPr>
        <w:t xml:space="preserve"> </w:t>
      </w:r>
      <w:r w:rsidRPr="00E303AD">
        <w:rPr>
          <w:rFonts w:eastAsia="Calibri" w:hint="cs"/>
          <w:rtl/>
        </w:rPr>
        <w:t>בבית הדין לעררים</w:t>
      </w:r>
      <w:r w:rsidRPr="00E303AD">
        <w:rPr>
          <w:rFonts w:eastAsia="Calibri"/>
          <w:rtl/>
        </w:rPr>
        <w:t xml:space="preserve">. </w:t>
      </w:r>
      <w:r w:rsidRPr="00E303AD">
        <w:rPr>
          <w:rFonts w:eastAsia="Calibri" w:hint="cs"/>
          <w:rtl/>
        </w:rPr>
        <w:t xml:space="preserve">לטענתו, </w:t>
      </w:r>
      <w:r w:rsidRPr="00E303AD">
        <w:rPr>
          <w:rFonts w:eastAsia="Calibri"/>
          <w:rtl/>
        </w:rPr>
        <w:t xml:space="preserve">גישה זו ננקטת </w:t>
      </w:r>
      <w:r w:rsidRPr="00E303AD">
        <w:rPr>
          <w:rFonts w:eastAsia="Calibri" w:hint="cs"/>
          <w:rtl/>
        </w:rPr>
        <w:t>על רקע המחלוקות התדירות בינו ובין רשות האוכלוסין וכדי להניע את הרשות לקדם את מתן האשרה, כדי למנוע</w:t>
      </w:r>
      <w:r w:rsidRPr="00E303AD">
        <w:rPr>
          <w:rFonts w:eastAsia="Calibri"/>
          <w:rtl/>
        </w:rPr>
        <w:t xml:space="preserve"> פגיעה במעמד</w:t>
      </w:r>
      <w:r w:rsidRPr="00E303AD">
        <w:rPr>
          <w:rFonts w:eastAsia="Calibri" w:hint="cs"/>
          <w:rtl/>
        </w:rPr>
        <w:t xml:space="preserve"> הקורבנות</w:t>
      </w:r>
      <w:r w:rsidRPr="00E303AD">
        <w:rPr>
          <w:rFonts w:eastAsia="Calibri"/>
          <w:rtl/>
        </w:rPr>
        <w:t>, להבטיח רצף מימוש זכויות</w:t>
      </w:r>
      <w:r w:rsidRPr="00E303AD">
        <w:rPr>
          <w:rFonts w:eastAsia="Calibri" w:hint="cs"/>
          <w:rtl/>
        </w:rPr>
        <w:t xml:space="preserve"> ו</w:t>
      </w:r>
      <w:r w:rsidRPr="00E303AD">
        <w:rPr>
          <w:rFonts w:eastAsia="Calibri"/>
          <w:rtl/>
        </w:rPr>
        <w:t>לאפשר תהליך שיקום אפקטיבי וחיזוק ההגנה על שלומם</w:t>
      </w:r>
      <w:r w:rsidRPr="00E303AD">
        <w:rPr>
          <w:rFonts w:eastAsia="Calibri" w:hint="cs"/>
          <w:rtl/>
        </w:rPr>
        <w:t xml:space="preserve"> של הקורבנות. המחלוקות בין אגף הסיוע המשפטי לרשות האוכלוסין הגיעו גם לשולחנו של מנכ"ל רשות האוכלוסין.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במהלך הביקורת, ובזיקה לקשיים שעלו בין הגופים, פנתה יחידת התיאום לגורמים הממונים ברשות, כפי שיפורט להלן:</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numPr>
          <w:ilvl w:val="0"/>
          <w:numId w:val="23"/>
        </w:numPr>
        <w:spacing w:line="269" w:lineRule="auto"/>
        <w:ind w:left="312"/>
        <w:contextualSpacing/>
        <w:rPr>
          <w:rFonts w:eastAsia="Calibri"/>
        </w:rPr>
      </w:pPr>
      <w:r w:rsidRPr="00E303AD">
        <w:rPr>
          <w:rFonts w:eastAsia="Calibri" w:hint="cs"/>
          <w:rtl/>
        </w:rPr>
        <w:t xml:space="preserve">ב-19.5.25 פנתה המתאמת למנהלת אגף אוכלוסיות זמניות במינהל אוכלוסין ברשות והלינה על התנהלות שיטתית של מניעת אשרות עבודה מקורבנות הסחר </w:t>
      </w:r>
      <w:r w:rsidRPr="00E303AD">
        <w:rPr>
          <w:rFonts w:eastAsia="Calibri"/>
          <w:rtl/>
        </w:rPr>
        <w:t>באופן הנוגד את נ</w:t>
      </w:r>
      <w:r w:rsidRPr="00E303AD">
        <w:rPr>
          <w:rFonts w:eastAsia="Calibri" w:hint="cs"/>
          <w:rtl/>
        </w:rPr>
        <w:t>ו</w:t>
      </w:r>
      <w:r w:rsidRPr="00E303AD">
        <w:rPr>
          <w:rFonts w:eastAsia="Calibri"/>
          <w:rtl/>
        </w:rPr>
        <w:t>הלי הרשות עצמה ו</w:t>
      </w:r>
      <w:r w:rsidRPr="00E303AD">
        <w:rPr>
          <w:rFonts w:eastAsia="Calibri" w:hint="cs"/>
          <w:rtl/>
        </w:rPr>
        <w:t xml:space="preserve">את </w:t>
      </w:r>
      <w:r w:rsidRPr="00E303AD">
        <w:rPr>
          <w:rFonts w:eastAsia="Calibri"/>
          <w:rtl/>
        </w:rPr>
        <w:t>החלטות הממשלה. המתאמת דרשה מהרשות "להתעשת" ולתקן מי</w:t>
      </w:r>
      <w:r w:rsidRPr="00E303AD">
        <w:rPr>
          <w:rFonts w:eastAsia="Calibri" w:hint="cs"/>
          <w:rtl/>
        </w:rPr>
        <w:t>י</w:t>
      </w:r>
      <w:r w:rsidRPr="00E303AD">
        <w:rPr>
          <w:rFonts w:eastAsia="Calibri"/>
          <w:rtl/>
        </w:rPr>
        <w:t xml:space="preserve">ד את הטעויות, שכן התנהלות זו עלולה להביא לפגיעה בהליכים הפליליים המתנהלים </w:t>
      </w:r>
      <w:r w:rsidRPr="00E303AD">
        <w:rPr>
          <w:rFonts w:eastAsia="Calibri" w:hint="cs"/>
          <w:rtl/>
        </w:rPr>
        <w:t xml:space="preserve">ובכך לגרום </w:t>
      </w:r>
      <w:r w:rsidRPr="00E303AD">
        <w:rPr>
          <w:rFonts w:eastAsia="Calibri"/>
          <w:rtl/>
        </w:rPr>
        <w:t xml:space="preserve">לירידה בדירוג </w:t>
      </w:r>
      <w:r w:rsidRPr="00E303AD">
        <w:rPr>
          <w:rFonts w:eastAsia="Calibri" w:hint="cs"/>
          <w:rtl/>
        </w:rPr>
        <w:t xml:space="preserve">של ישראל בדוחות </w:t>
      </w:r>
      <w:r w:rsidRPr="00E303AD">
        <w:rPr>
          <w:rFonts w:eastAsia="Calibri"/>
          <w:rtl/>
        </w:rPr>
        <w:t>האמריקאי</w:t>
      </w:r>
      <w:r w:rsidRPr="00E303AD">
        <w:rPr>
          <w:rFonts w:eastAsia="Calibri" w:hint="cs"/>
          <w:rtl/>
        </w:rPr>
        <w:t>ם</w:t>
      </w:r>
      <w:r w:rsidRPr="00E303AD">
        <w:rPr>
          <w:rFonts w:eastAsia="Calibri"/>
          <w:rtl/>
        </w:rPr>
        <w:t xml:space="preserve">, </w:t>
      </w:r>
      <w:r w:rsidRPr="00E303AD">
        <w:rPr>
          <w:rFonts w:eastAsia="Calibri" w:hint="cs"/>
          <w:rtl/>
        </w:rPr>
        <w:t>ל</w:t>
      </w:r>
      <w:r w:rsidRPr="00E303AD">
        <w:rPr>
          <w:rFonts w:eastAsia="Calibri"/>
          <w:rtl/>
        </w:rPr>
        <w:t>הטלת סנקציות על מדינת ישראל ו</w:t>
      </w:r>
      <w:r w:rsidRPr="00E303AD">
        <w:rPr>
          <w:rFonts w:eastAsia="Calibri" w:hint="cs"/>
          <w:rtl/>
        </w:rPr>
        <w:t>ל</w:t>
      </w:r>
      <w:r w:rsidRPr="00E303AD">
        <w:rPr>
          <w:rFonts w:eastAsia="Calibri"/>
          <w:rtl/>
        </w:rPr>
        <w:t>פגיעה באינטרסים הלאומיים</w:t>
      </w:r>
      <w:r w:rsidRPr="00E303AD">
        <w:rPr>
          <w:rFonts w:eastAsia="Calibri" w:hint="cs"/>
          <w:rtl/>
        </w:rPr>
        <w:t>.</w:t>
      </w:r>
    </w:p>
    <w:p w:rsidR="00E303AD" w:rsidRPr="00E303AD" w:rsidP="00E303AD">
      <w:pPr>
        <w:spacing w:line="269" w:lineRule="auto"/>
        <w:ind w:left="-567"/>
        <w:rPr>
          <w:rFonts w:eastAsia="Calibri"/>
          <w:szCs w:val="20"/>
        </w:rPr>
      </w:pPr>
      <w:r w:rsidRPr="00E303AD">
        <w:rPr>
          <w:rFonts w:eastAsia="Calibri" w:hint="cs"/>
          <w:szCs w:val="20"/>
          <w:rtl/>
        </w:rPr>
        <w:t xml:space="preserve"> </w:t>
      </w:r>
    </w:p>
    <w:p w:rsidR="00E303AD" w:rsidRPr="00E303AD" w:rsidP="00E303AD">
      <w:pPr>
        <w:numPr>
          <w:ilvl w:val="0"/>
          <w:numId w:val="23"/>
        </w:numPr>
        <w:spacing w:line="269" w:lineRule="auto"/>
        <w:ind w:left="312"/>
        <w:contextualSpacing/>
        <w:rPr>
          <w:rFonts w:eastAsia="Calibri"/>
        </w:rPr>
      </w:pPr>
      <w:r w:rsidRPr="00E303AD">
        <w:rPr>
          <w:rFonts w:eastAsia="Calibri" w:hint="cs"/>
          <w:rtl/>
        </w:rPr>
        <w:t xml:space="preserve">ב-3.6.25 פנתה המתאמת למנהלת אגף אוכלוסיות זמניות במינהל </w:t>
      </w:r>
      <w:r w:rsidRPr="00E303AD">
        <w:rPr>
          <w:rFonts w:eastAsia="Calibri"/>
          <w:rtl/>
        </w:rPr>
        <w:t xml:space="preserve">והתריעה כי </w:t>
      </w:r>
      <w:r w:rsidRPr="00E303AD">
        <w:rPr>
          <w:rFonts w:eastAsia="Calibri" w:hint="cs"/>
          <w:rtl/>
        </w:rPr>
        <w:t xml:space="preserve">אם </w:t>
      </w:r>
      <w:r w:rsidRPr="00E303AD">
        <w:rPr>
          <w:rFonts w:eastAsia="Calibri"/>
          <w:rtl/>
        </w:rPr>
        <w:t xml:space="preserve">יימשך העיכוב במתן אשרות עבודה לקורבנות סחר המעידות בהליכים הפליליים, </w:t>
      </w:r>
      <w:r w:rsidRPr="00E303AD">
        <w:rPr>
          <w:rFonts w:eastAsia="Calibri" w:hint="cs"/>
          <w:rtl/>
        </w:rPr>
        <w:t xml:space="preserve">היא </w:t>
      </w:r>
      <w:r w:rsidRPr="00E303AD">
        <w:rPr>
          <w:rFonts w:eastAsia="Calibri"/>
          <w:rtl/>
        </w:rPr>
        <w:t xml:space="preserve">תיאלץ לפנות לשר הפנים </w:t>
      </w:r>
      <w:r w:rsidRPr="00E303AD">
        <w:rPr>
          <w:rFonts w:eastAsia="Calibri" w:hint="cs"/>
          <w:rtl/>
        </w:rPr>
        <w:t xml:space="preserve">ולהביא לידיעתו </w:t>
      </w:r>
      <w:r w:rsidRPr="00E303AD">
        <w:rPr>
          <w:rFonts w:eastAsia="Calibri"/>
          <w:rtl/>
        </w:rPr>
        <w:t xml:space="preserve">את התלונות של כלל הגופים - </w:t>
      </w:r>
      <w:r w:rsidRPr="00E303AD">
        <w:rPr>
          <w:rFonts w:eastAsia="Calibri" w:hint="cs"/>
          <w:rtl/>
        </w:rPr>
        <w:t>ה</w:t>
      </w:r>
      <w:r w:rsidRPr="00E303AD">
        <w:rPr>
          <w:rFonts w:eastAsia="Calibri"/>
          <w:rtl/>
        </w:rPr>
        <w:t xml:space="preserve">משטרה, </w:t>
      </w:r>
      <w:r w:rsidRPr="00E303AD">
        <w:rPr>
          <w:rFonts w:eastAsia="Calibri" w:hint="cs"/>
          <w:rtl/>
        </w:rPr>
        <w:t>ה</w:t>
      </w:r>
      <w:r w:rsidRPr="00E303AD">
        <w:rPr>
          <w:rFonts w:eastAsia="Calibri"/>
          <w:rtl/>
        </w:rPr>
        <w:t xml:space="preserve">פרקליטות, משרד הרווחה ומשרד המשפטים - נגד הרשות. כמו כן, ציינה המתאמת כי </w:t>
      </w:r>
      <w:r w:rsidRPr="00E303AD">
        <w:rPr>
          <w:rFonts w:eastAsia="Calibri" w:hint="cs"/>
          <w:rtl/>
        </w:rPr>
        <w:t xml:space="preserve">לאופן תפקודה הבלתי סביר של </w:t>
      </w:r>
      <w:r w:rsidRPr="00E303AD">
        <w:rPr>
          <w:rFonts w:eastAsia="Calibri"/>
          <w:rtl/>
        </w:rPr>
        <w:t xml:space="preserve">הרשות </w:t>
      </w:r>
      <w:r w:rsidRPr="00E303AD">
        <w:rPr>
          <w:rFonts w:eastAsia="Calibri" w:hint="cs"/>
          <w:rtl/>
        </w:rPr>
        <w:t>יש השפעות על התחום ה</w:t>
      </w:r>
      <w:r w:rsidRPr="00E303AD">
        <w:rPr>
          <w:rFonts w:eastAsia="Calibri"/>
          <w:rtl/>
        </w:rPr>
        <w:t>מדיני ו</w:t>
      </w:r>
      <w:r w:rsidRPr="00E303AD">
        <w:rPr>
          <w:rFonts w:eastAsia="Calibri" w:hint="cs"/>
          <w:rtl/>
        </w:rPr>
        <w:t>ה</w:t>
      </w:r>
      <w:r w:rsidRPr="00E303AD">
        <w:rPr>
          <w:rFonts w:eastAsia="Calibri"/>
          <w:rtl/>
        </w:rPr>
        <w:t xml:space="preserve">בין-לאומי. </w:t>
      </w:r>
      <w:r w:rsidRPr="00E303AD">
        <w:rPr>
          <w:rFonts w:eastAsia="Calibri" w:hint="cs"/>
          <w:rtl/>
        </w:rPr>
        <w:t>בתגובה על ההודעה מסרה מנהלת האגף ב-4.6.25 כי לשכות הרשות מטפלות במגוון רחב של נושאים מלבד קורבנות הסחר בבני אדם כי באפשרות קורבנות הסחר בבני אדם לקבוע תור לפני הגעה ללשכה, וכי עד כה לא נפגעו חקירות עקב היעדר מתן אשרה</w:t>
      </w:r>
      <w:r>
        <w:rPr>
          <w:rFonts w:eastAsia="Calibri"/>
          <w:vertAlign w:val="superscript"/>
          <w:rtl/>
        </w:rPr>
        <w:footnoteReference w:id="144"/>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numPr>
          <w:ilvl w:val="0"/>
          <w:numId w:val="23"/>
        </w:numPr>
        <w:spacing w:line="269" w:lineRule="auto"/>
        <w:ind w:left="312"/>
        <w:contextualSpacing/>
        <w:rPr>
          <w:rFonts w:eastAsia="Calibri"/>
        </w:rPr>
      </w:pPr>
      <w:r w:rsidRPr="00E303AD">
        <w:rPr>
          <w:rFonts w:eastAsia="Calibri" w:hint="cs"/>
          <w:rtl/>
        </w:rPr>
        <w:t xml:space="preserve">ב-16.7.25, ולאחר </w:t>
      </w:r>
      <w:r w:rsidRPr="00E303AD">
        <w:rPr>
          <w:rFonts w:eastAsia="Calibri"/>
          <w:rtl/>
        </w:rPr>
        <w:t>פניות חוזרות ונשנות</w:t>
      </w:r>
      <w:r w:rsidRPr="00E303AD">
        <w:rPr>
          <w:rFonts w:eastAsia="Calibri" w:hint="cs"/>
          <w:rtl/>
        </w:rPr>
        <w:t xml:space="preserve"> של המתאמת לרשות</w:t>
      </w:r>
      <w:r w:rsidRPr="00E303AD">
        <w:rPr>
          <w:rFonts w:eastAsia="Calibri"/>
          <w:rtl/>
        </w:rPr>
        <w:t xml:space="preserve">, שלחה המתאמת </w:t>
      </w:r>
      <w:r w:rsidRPr="00E303AD">
        <w:rPr>
          <w:rFonts w:eastAsia="Calibri" w:hint="cs"/>
          <w:rtl/>
        </w:rPr>
        <w:t xml:space="preserve">לרשות </w:t>
      </w:r>
      <w:r w:rsidRPr="00E303AD">
        <w:rPr>
          <w:rFonts w:eastAsia="Calibri"/>
          <w:rtl/>
        </w:rPr>
        <w:t xml:space="preserve">הודעה חריפה והביעה את התנגדותה הנחרצת </w:t>
      </w:r>
      <w:r w:rsidRPr="00E303AD">
        <w:rPr>
          <w:rFonts w:eastAsia="Calibri" w:hint="cs"/>
          <w:rtl/>
        </w:rPr>
        <w:t>למענה שנתנה ל</w:t>
      </w:r>
      <w:r w:rsidRPr="00E303AD">
        <w:rPr>
          <w:rFonts w:eastAsia="Calibri"/>
          <w:rtl/>
        </w:rPr>
        <w:t>נשים שהוכרו כקרבנות סחר ושהן עדות בפרשי</w:t>
      </w:r>
      <w:r w:rsidRPr="00E303AD">
        <w:rPr>
          <w:rFonts w:eastAsia="Calibri" w:hint="cs"/>
          <w:rtl/>
        </w:rPr>
        <w:t>י</w:t>
      </w:r>
      <w:r w:rsidRPr="00E303AD">
        <w:rPr>
          <w:rFonts w:eastAsia="Calibri"/>
          <w:rtl/>
        </w:rPr>
        <w:t xml:space="preserve">ה </w:t>
      </w:r>
      <w:r w:rsidRPr="00E303AD">
        <w:rPr>
          <w:rFonts w:eastAsia="Calibri" w:hint="cs"/>
          <w:rtl/>
        </w:rPr>
        <w:t xml:space="preserve">רחבת היקף שמתנהלת </w:t>
      </w:r>
      <w:r w:rsidRPr="00E303AD">
        <w:rPr>
          <w:rFonts w:eastAsia="Calibri"/>
          <w:rtl/>
        </w:rPr>
        <w:t xml:space="preserve">בבית המשפט המחוזי. המתאמת ציינה כי </w:t>
      </w:r>
      <w:r w:rsidRPr="00E303AD">
        <w:rPr>
          <w:rFonts w:eastAsia="Calibri" w:hint="cs"/>
          <w:rtl/>
        </w:rPr>
        <w:t xml:space="preserve">לא זו בלבד שהרשות פעלה </w:t>
      </w:r>
      <w:r w:rsidRPr="00E303AD">
        <w:rPr>
          <w:rFonts w:eastAsia="Calibri"/>
          <w:rtl/>
        </w:rPr>
        <w:t xml:space="preserve">בניגוד להחלטת הממשלה, </w:t>
      </w:r>
      <w:r w:rsidRPr="00E303AD">
        <w:rPr>
          <w:rFonts w:eastAsia="Calibri" w:hint="cs"/>
          <w:rtl/>
        </w:rPr>
        <w:t xml:space="preserve">אלא שפעילותה פוגעת קשות </w:t>
      </w:r>
      <w:r w:rsidRPr="00E303AD">
        <w:rPr>
          <w:rFonts w:eastAsia="Calibri"/>
          <w:rtl/>
        </w:rPr>
        <w:t xml:space="preserve">בקורבנות הסחר, </w:t>
      </w:r>
      <w:r w:rsidRPr="00E303AD">
        <w:rPr>
          <w:rFonts w:eastAsia="Calibri" w:hint="cs"/>
          <w:rtl/>
        </w:rPr>
        <w:t>מובילה ל</w:t>
      </w:r>
      <w:r w:rsidRPr="00E303AD">
        <w:rPr>
          <w:rFonts w:eastAsia="Calibri"/>
          <w:rtl/>
        </w:rPr>
        <w:t>דחיקה שלהם חזרה למעגל הזנות ו</w:t>
      </w:r>
      <w:r w:rsidRPr="00E303AD">
        <w:rPr>
          <w:rFonts w:eastAsia="Calibri" w:hint="cs"/>
          <w:rtl/>
        </w:rPr>
        <w:t>ל</w:t>
      </w:r>
      <w:r w:rsidRPr="00E303AD">
        <w:rPr>
          <w:rFonts w:eastAsia="Calibri"/>
          <w:rtl/>
        </w:rPr>
        <w:t xml:space="preserve">פגיעה חמורה בתיקים פליליים שמושקעים בהם מאמצים </w:t>
      </w:r>
      <w:r w:rsidRPr="00E303AD">
        <w:rPr>
          <w:rFonts w:eastAsia="Calibri" w:hint="cs"/>
          <w:rtl/>
        </w:rPr>
        <w:t>רבים</w:t>
      </w:r>
      <w:r w:rsidRPr="00E303AD">
        <w:rPr>
          <w:rFonts w:eastAsia="Calibri"/>
          <w:rtl/>
        </w:rPr>
        <w:t>.</w:t>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Pr>
      </w:pPr>
      <w:r w:rsidRPr="00E303AD">
        <w:rPr>
          <w:rFonts w:eastAsia="Calibri" w:hint="cs"/>
          <w:rtl/>
        </w:rPr>
        <w:t xml:space="preserve">בתשובת רשות האוכלוסין נמסר כי בעבר </w:t>
      </w:r>
      <w:r w:rsidRPr="00E303AD">
        <w:rPr>
          <w:rFonts w:eastAsia="Calibri"/>
          <w:rtl/>
        </w:rPr>
        <w:t xml:space="preserve">הרשות ייעדה לשכה אחת, באזור </w:t>
      </w:r>
      <w:r w:rsidRPr="00E303AD">
        <w:rPr>
          <w:rFonts w:eastAsia="Calibri" w:hint="cs"/>
          <w:rtl/>
        </w:rPr>
        <w:t>ש</w:t>
      </w:r>
      <w:r w:rsidRPr="00E303AD">
        <w:rPr>
          <w:rFonts w:eastAsia="Calibri"/>
          <w:rtl/>
        </w:rPr>
        <w:t>בו נמצא המקלט</w:t>
      </w:r>
      <w:r w:rsidRPr="00E303AD">
        <w:rPr>
          <w:rFonts w:eastAsia="Calibri" w:hint="cs"/>
          <w:rtl/>
        </w:rPr>
        <w:t>, לטיפול בהנפקת אשרות לקורבנות סחר.</w:t>
      </w:r>
      <w:r w:rsidRPr="00E303AD">
        <w:rPr>
          <w:rFonts w:eastAsia="Calibri"/>
          <w:rtl/>
        </w:rPr>
        <w:t xml:space="preserve"> </w:t>
      </w:r>
      <w:r w:rsidRPr="00E303AD">
        <w:rPr>
          <w:rFonts w:eastAsia="Calibri" w:hint="cs"/>
          <w:rtl/>
        </w:rPr>
        <w:t xml:space="preserve">מאז, </w:t>
      </w:r>
      <w:r w:rsidRPr="00E303AD">
        <w:rPr>
          <w:rFonts w:eastAsia="Calibri"/>
          <w:rtl/>
        </w:rPr>
        <w:t>פעל</w:t>
      </w:r>
      <w:r w:rsidRPr="00E303AD">
        <w:rPr>
          <w:rFonts w:eastAsia="Calibri" w:hint="cs"/>
          <w:rtl/>
        </w:rPr>
        <w:t>ה</w:t>
      </w:r>
      <w:r w:rsidRPr="00E303AD">
        <w:rPr>
          <w:rFonts w:eastAsia="Calibri"/>
          <w:rtl/>
        </w:rPr>
        <w:t xml:space="preserve"> </w:t>
      </w:r>
      <w:r w:rsidRPr="00E303AD">
        <w:rPr>
          <w:rFonts w:eastAsia="Calibri" w:hint="cs"/>
          <w:rtl/>
        </w:rPr>
        <w:t xml:space="preserve">הרשות </w:t>
      </w:r>
      <w:r w:rsidRPr="00E303AD">
        <w:rPr>
          <w:rFonts w:eastAsia="Calibri"/>
          <w:rtl/>
        </w:rPr>
        <w:t xml:space="preserve">לייעל את הליך הנפקת הרישיונות וכיום קורבנות הסחר אינם צריכים להתייצב בלשכות שכן הרישיונות נשלחים </w:t>
      </w:r>
      <w:r w:rsidRPr="00E303AD">
        <w:rPr>
          <w:rFonts w:eastAsia="Calibri" w:hint="cs"/>
          <w:rtl/>
        </w:rPr>
        <w:t xml:space="preserve">אליהם </w:t>
      </w:r>
      <w:r w:rsidRPr="00E303AD">
        <w:rPr>
          <w:rFonts w:eastAsia="Calibri"/>
          <w:rtl/>
        </w:rPr>
        <w:t xml:space="preserve">ישרות </w:t>
      </w:r>
      <w:r w:rsidRPr="00E303AD">
        <w:rPr>
          <w:rFonts w:eastAsia="Calibri" w:hint="cs"/>
          <w:rtl/>
        </w:rPr>
        <w:t>בדוא"ל</w:t>
      </w:r>
      <w:r w:rsidRPr="00E303AD">
        <w:rPr>
          <w:rFonts w:eastAsia="Calibri"/>
          <w:rtl/>
        </w:rPr>
        <w:t>.</w:t>
      </w:r>
      <w:r w:rsidRPr="00E303AD">
        <w:rPr>
          <w:rFonts w:eastAsia="Calibri" w:hint="cs"/>
          <w:rtl/>
        </w:rPr>
        <w:t xml:space="preserve"> כמו כן, ציינה כי </w:t>
      </w:r>
      <w:r w:rsidRPr="00E303AD">
        <w:rPr>
          <w:rFonts w:eastAsia="Calibri"/>
          <w:rtl/>
        </w:rPr>
        <w:t xml:space="preserve">בסוף שנת 2025 הוקמה במטה הרשות יחידה שמטרתה </w:t>
      </w:r>
      <w:r w:rsidRPr="00E303AD">
        <w:rPr>
          <w:rFonts w:eastAsia="Calibri" w:hint="cs"/>
          <w:rtl/>
        </w:rPr>
        <w:t>לתכלל</w:t>
      </w:r>
      <w:r w:rsidRPr="00E303AD">
        <w:rPr>
          <w:rFonts w:eastAsia="Calibri"/>
          <w:rtl/>
        </w:rPr>
        <w:t xml:space="preserve"> ו</w:t>
      </w:r>
      <w:r w:rsidRPr="00E303AD">
        <w:rPr>
          <w:rFonts w:eastAsia="Calibri" w:hint="cs"/>
          <w:rtl/>
        </w:rPr>
        <w:t>ל</w:t>
      </w:r>
      <w:r w:rsidRPr="00E303AD">
        <w:rPr>
          <w:rFonts w:eastAsia="Calibri"/>
          <w:rtl/>
        </w:rPr>
        <w:t xml:space="preserve">טפל </w:t>
      </w:r>
      <w:r w:rsidRPr="00E303AD">
        <w:rPr>
          <w:rFonts w:eastAsia="Calibri" w:hint="cs"/>
          <w:rtl/>
        </w:rPr>
        <w:t>ב</w:t>
      </w:r>
      <w:r w:rsidRPr="00E303AD">
        <w:rPr>
          <w:rFonts w:eastAsia="Calibri"/>
          <w:rtl/>
        </w:rPr>
        <w:t xml:space="preserve">נושא הסחר </w:t>
      </w:r>
      <w:r w:rsidRPr="00E303AD">
        <w:rPr>
          <w:rFonts w:eastAsia="Calibri" w:hint="cs"/>
          <w:rtl/>
        </w:rPr>
        <w:t>ל</w:t>
      </w:r>
      <w:r w:rsidRPr="00E303AD">
        <w:rPr>
          <w:rFonts w:eastAsia="Calibri"/>
          <w:rtl/>
        </w:rPr>
        <w:t>מול כל הגורמים הרלוונטיים.</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Pr>
      </w:pPr>
      <w:r w:rsidRPr="00E303AD">
        <w:rPr>
          <w:rFonts w:eastAsia="Calibri" w:hint="cs"/>
          <w:rtl/>
        </w:rPr>
        <w:t xml:space="preserve">בתגובת המתאמת ממאי 2026 היא ציינה כי </w:t>
      </w:r>
      <w:r w:rsidRPr="00E303AD">
        <w:rPr>
          <w:rFonts w:eastAsia="Calibri"/>
          <w:rtl/>
        </w:rPr>
        <w:t xml:space="preserve">ניתן למצוא </w:t>
      </w:r>
      <w:r w:rsidRPr="00E303AD">
        <w:rPr>
          <w:rFonts w:eastAsia="Calibri" w:hint="cs"/>
          <w:rtl/>
        </w:rPr>
        <w:t xml:space="preserve">את </w:t>
      </w:r>
      <w:r w:rsidRPr="00E303AD">
        <w:rPr>
          <w:rFonts w:eastAsia="Calibri"/>
          <w:rtl/>
        </w:rPr>
        <w:t xml:space="preserve">הדרך, </w:t>
      </w:r>
      <w:r w:rsidRPr="00E303AD">
        <w:rPr>
          <w:rFonts w:eastAsia="Calibri" w:hint="cs"/>
          <w:rtl/>
        </w:rPr>
        <w:t>למשל</w:t>
      </w:r>
      <w:r w:rsidRPr="00E303AD">
        <w:rPr>
          <w:rFonts w:eastAsia="Calibri"/>
          <w:rtl/>
        </w:rPr>
        <w:t xml:space="preserve"> בשיתוף פעולה עם גורמי הרווחה, להתמודד עם </w:t>
      </w:r>
      <w:r w:rsidRPr="00E303AD">
        <w:rPr>
          <w:rFonts w:eastAsia="Calibri" w:hint="cs"/>
          <w:rtl/>
        </w:rPr>
        <w:t xml:space="preserve">השיקולים המקצועיים </w:t>
      </w:r>
      <w:r w:rsidRPr="00E303AD">
        <w:rPr>
          <w:rFonts w:eastAsia="Calibri"/>
          <w:rtl/>
        </w:rPr>
        <w:t>הלגיטימיים של רשות האוכלוסין בלי לפגוע במתן אשרות העבודה לקורבנות</w:t>
      </w:r>
      <w:r w:rsidRPr="00E303AD">
        <w:rPr>
          <w:rFonts w:eastAsia="Calibri" w:hint="cs"/>
          <w:rtl/>
        </w:rPr>
        <w:t xml:space="preserve"> הסחר</w:t>
      </w:r>
      <w:r w:rsidRPr="00E303AD">
        <w:rPr>
          <w:rFonts w:eastAsia="Calibri"/>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bookmarkStart w:id="162" w:name="_Hlk224806533"/>
      <w:bookmarkStart w:id="163" w:name="_Hlk224806060"/>
      <w:r w:rsidRPr="00E303AD">
        <w:rPr>
          <w:rFonts w:eastAsia="Calibri" w:hint="cs"/>
          <w:b/>
          <w:bCs/>
          <w:rtl/>
        </w:rPr>
        <w:t>בביקורת עלה כי בשנתיים האחרונות התגלעו מחלוקות מהותיות בין רשות האוכלוסין וההגירה שבמשרד הפנים ובין אגף הסיוע המשפטי במשרד המשפטים בנוגע לקבלת אשרות שהייה לקורבנות הסחר בבני אדם. מחלוקות אלו פגעו בשיתוף הפעולה בין הגופים וביחסי העבודה ביניהם. עקב כך מפעיל אגף הסיוע המשפטי כלים משפטיים, ובכלל זה מגיש עררים ותביעות נזיקיות, שתכליתם להניע את הרשות לאישור אשרות שהייה בהתאם לדין. האגף ציין לפני צוות הביקורת כי מדובר בהליכי סרק שהיו יכולים להימנע לו היה שיתוף פעולה בין שני הגופים, וכי נקיטתם גורמת לבזבוז משאבי ציבור ואינה מביאה לטיפול בשורש הבעיה</w:t>
      </w:r>
      <w:bookmarkEnd w:id="162"/>
      <w:r w:rsidRPr="00E303AD">
        <w:rPr>
          <w:rFonts w:eastAsia="Calibri" w:hint="cs"/>
          <w:b/>
          <w:b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bookmarkStart w:id="164" w:name="_Hlk224806612"/>
      <w:r w:rsidRPr="00E303AD">
        <w:rPr>
          <w:rFonts w:eastAsia="Calibri" w:hint="cs"/>
          <w:b/>
          <w:bCs/>
          <w:rtl/>
        </w:rPr>
        <w:t>לפי עמדת המתאמת ב</w:t>
      </w:r>
      <w:r w:rsidRPr="00E303AD">
        <w:rPr>
          <w:rFonts w:eastAsia="Calibri"/>
          <w:b/>
          <w:bCs/>
          <w:rtl/>
        </w:rPr>
        <w:t>יחידת התיאום הממשלתית למאבק בסחר בבני אדם במשרד המשפטים</w:t>
      </w:r>
      <w:r w:rsidRPr="00E303AD">
        <w:rPr>
          <w:rFonts w:eastAsia="Calibri" w:hint="cs"/>
          <w:b/>
          <w:bCs/>
          <w:rtl/>
        </w:rPr>
        <w:t xml:space="preserve"> </w:t>
      </w:r>
      <w:r w:rsidRPr="00E303AD">
        <w:rPr>
          <w:rFonts w:eastAsia="Calibri" w:hint="cs"/>
          <w:b/>
          <w:bCs/>
          <w:rtl/>
        </w:rPr>
        <w:t>- היחידה האחראית להגברת שיתוף הפעולה בין גורמי האכיפה הפליליים והאזרחיים - דפוס הפעולה של</w:t>
      </w:r>
      <w:r w:rsidRPr="00E303AD">
        <w:rPr>
          <w:rFonts w:eastAsia="Calibri"/>
          <w:b/>
          <w:bCs/>
          <w:rtl/>
        </w:rPr>
        <w:t xml:space="preserve"> </w:t>
      </w:r>
      <w:r w:rsidRPr="00E303AD">
        <w:rPr>
          <w:rFonts w:eastAsia="Calibri" w:hint="cs"/>
          <w:b/>
          <w:bCs/>
          <w:rtl/>
        </w:rPr>
        <w:t xml:space="preserve">הרשות, הכולל מניעה </w:t>
      </w:r>
      <w:r w:rsidRPr="00E303AD">
        <w:rPr>
          <w:rFonts w:eastAsia="Calibri"/>
          <w:b/>
          <w:bCs/>
          <w:rtl/>
        </w:rPr>
        <w:t>שיטתית של אשרות עבודה מקורבנות הסחר</w:t>
      </w:r>
      <w:r w:rsidRPr="00E303AD">
        <w:rPr>
          <w:rFonts w:eastAsia="Calibri" w:hint="cs"/>
          <w:b/>
          <w:bCs/>
          <w:rtl/>
        </w:rPr>
        <w:t>,</w:t>
      </w:r>
      <w:r w:rsidRPr="00E303AD">
        <w:rPr>
          <w:rFonts w:eastAsia="Calibri"/>
          <w:b/>
          <w:bCs/>
          <w:rtl/>
        </w:rPr>
        <w:t xml:space="preserve"> </w:t>
      </w:r>
      <w:r w:rsidRPr="00E303AD">
        <w:rPr>
          <w:rFonts w:eastAsia="Calibri" w:hint="cs"/>
          <w:b/>
          <w:bCs/>
          <w:rtl/>
        </w:rPr>
        <w:t>בלתי סביר. לפי עמדתה, דפוס פעולה זה עומד בניגוד ל</w:t>
      </w:r>
      <w:r w:rsidRPr="00E303AD">
        <w:rPr>
          <w:rFonts w:eastAsia="Calibri"/>
          <w:b/>
          <w:bCs/>
          <w:rtl/>
        </w:rPr>
        <w:t xml:space="preserve">החלטות הממשלה </w:t>
      </w:r>
      <w:r w:rsidRPr="00E303AD">
        <w:rPr>
          <w:rFonts w:eastAsia="Calibri" w:hint="cs"/>
          <w:b/>
          <w:bCs/>
          <w:rtl/>
        </w:rPr>
        <w:t>ואף</w:t>
      </w:r>
      <w:r w:rsidRPr="00E303AD">
        <w:rPr>
          <w:rFonts w:eastAsia="Calibri"/>
          <w:b/>
          <w:bCs/>
          <w:rtl/>
        </w:rPr>
        <w:t xml:space="preserve"> </w:t>
      </w:r>
      <w:r w:rsidRPr="00E303AD">
        <w:rPr>
          <w:rFonts w:eastAsia="Calibri" w:hint="cs"/>
          <w:b/>
          <w:bCs/>
          <w:rtl/>
        </w:rPr>
        <w:t>ל</w:t>
      </w:r>
      <w:r w:rsidRPr="00E303AD">
        <w:rPr>
          <w:rFonts w:eastAsia="Calibri"/>
          <w:b/>
          <w:bCs/>
          <w:rtl/>
        </w:rPr>
        <w:t>נוהלי הרשות עצמה</w:t>
      </w:r>
      <w:r w:rsidRPr="00E303AD">
        <w:rPr>
          <w:rFonts w:eastAsia="Calibri" w:hint="cs"/>
          <w:b/>
          <w:bCs/>
          <w:rtl/>
        </w:rPr>
        <w:t xml:space="preserve">, </w:t>
      </w:r>
      <w:r w:rsidRPr="00E303AD">
        <w:rPr>
          <w:rFonts w:eastAsia="Calibri"/>
          <w:b/>
          <w:bCs/>
          <w:rtl/>
        </w:rPr>
        <w:t>פוגע קשות בקורבנות הסחר, מוביל לדחיק</w:t>
      </w:r>
      <w:r w:rsidRPr="00E303AD">
        <w:rPr>
          <w:rFonts w:eastAsia="Calibri" w:hint="cs"/>
          <w:b/>
          <w:bCs/>
          <w:rtl/>
        </w:rPr>
        <w:t>ת</w:t>
      </w:r>
      <w:r w:rsidRPr="00E303AD">
        <w:rPr>
          <w:rFonts w:eastAsia="Calibri"/>
          <w:b/>
          <w:bCs/>
          <w:rtl/>
        </w:rPr>
        <w:t>ם חזרה למעגל הזנות ולפגיעה חמורה ב</w:t>
      </w:r>
      <w:r w:rsidRPr="00E303AD">
        <w:rPr>
          <w:rFonts w:eastAsia="Calibri" w:hint="cs"/>
          <w:b/>
          <w:bCs/>
          <w:rtl/>
        </w:rPr>
        <w:t xml:space="preserve">ניהול </w:t>
      </w:r>
      <w:r w:rsidRPr="00E303AD">
        <w:rPr>
          <w:rFonts w:eastAsia="Calibri"/>
          <w:b/>
          <w:bCs/>
          <w:rtl/>
        </w:rPr>
        <w:t xml:space="preserve">תיקים פליליים </w:t>
      </w:r>
      <w:r w:rsidRPr="00E303AD">
        <w:rPr>
          <w:rFonts w:eastAsia="Calibri" w:hint="cs"/>
          <w:b/>
          <w:bCs/>
          <w:rtl/>
        </w:rPr>
        <w:t>ש</w:t>
      </w:r>
      <w:r w:rsidRPr="00E303AD">
        <w:rPr>
          <w:rFonts w:eastAsia="Calibri"/>
          <w:b/>
          <w:bCs/>
          <w:rtl/>
        </w:rPr>
        <w:t>מושקע בהם מאמ</w:t>
      </w:r>
      <w:r w:rsidRPr="00E303AD">
        <w:rPr>
          <w:rFonts w:eastAsia="Calibri" w:hint="cs"/>
          <w:b/>
          <w:bCs/>
          <w:rtl/>
        </w:rPr>
        <w:t>ץ</w:t>
      </w:r>
      <w:r w:rsidRPr="00E303AD">
        <w:rPr>
          <w:rFonts w:eastAsia="Calibri"/>
          <w:b/>
          <w:bCs/>
          <w:rtl/>
        </w:rPr>
        <w:t xml:space="preserve"> רב</w:t>
      </w:r>
      <w:r w:rsidRPr="00E303AD">
        <w:rPr>
          <w:rFonts w:eastAsia="Calibri" w:hint="cs"/>
          <w:b/>
          <w:bCs/>
          <w:rtl/>
        </w:rPr>
        <w:t>.</w:t>
      </w:r>
      <w:r w:rsidRPr="00E303AD">
        <w:rPr>
          <w:rFonts w:eastAsia="Calibri"/>
          <w:b/>
          <w:bCs/>
          <w:rtl/>
        </w:rPr>
        <w:t xml:space="preserve"> </w:t>
      </w:r>
      <w:r w:rsidRPr="00E303AD">
        <w:rPr>
          <w:rFonts w:eastAsia="Calibri" w:hint="cs"/>
          <w:b/>
          <w:bCs/>
          <w:rtl/>
        </w:rPr>
        <w:t xml:space="preserve">לשיטת המתאמת ביחידה דפוס זה אף </w:t>
      </w:r>
      <w:r w:rsidRPr="00E303AD">
        <w:rPr>
          <w:rFonts w:eastAsia="Calibri"/>
          <w:b/>
          <w:bCs/>
          <w:rtl/>
        </w:rPr>
        <w:t xml:space="preserve">עלול לגרום לירידה </w:t>
      </w:r>
      <w:r w:rsidRPr="00E303AD">
        <w:rPr>
          <w:rFonts w:eastAsia="Calibri" w:hint="cs"/>
          <w:b/>
          <w:bCs/>
          <w:rtl/>
        </w:rPr>
        <w:t xml:space="preserve">של ישראל </w:t>
      </w:r>
      <w:r w:rsidRPr="00E303AD">
        <w:rPr>
          <w:rFonts w:eastAsia="Calibri"/>
          <w:b/>
          <w:bCs/>
          <w:rtl/>
        </w:rPr>
        <w:t xml:space="preserve">בדירוג האמריקאי, להטלת סנקציות על </w:t>
      </w:r>
      <w:r w:rsidRPr="00E303AD">
        <w:rPr>
          <w:rFonts w:eastAsia="Calibri" w:hint="cs"/>
          <w:b/>
          <w:bCs/>
          <w:rtl/>
        </w:rPr>
        <w:t>ה</w:t>
      </w:r>
      <w:r w:rsidRPr="00E303AD">
        <w:rPr>
          <w:rFonts w:eastAsia="Calibri"/>
          <w:b/>
          <w:bCs/>
          <w:rtl/>
        </w:rPr>
        <w:t>מדינ</w:t>
      </w:r>
      <w:r w:rsidRPr="00E303AD">
        <w:rPr>
          <w:rFonts w:eastAsia="Calibri" w:hint="cs"/>
          <w:b/>
          <w:bCs/>
          <w:rtl/>
        </w:rPr>
        <w:t>ה</w:t>
      </w:r>
      <w:r w:rsidRPr="00E303AD">
        <w:rPr>
          <w:rFonts w:eastAsia="Calibri"/>
          <w:b/>
          <w:bCs/>
          <w:rtl/>
        </w:rPr>
        <w:t xml:space="preserve"> ולפגיעה באינטרסים הלאומיים</w:t>
      </w:r>
      <w:r w:rsidRPr="00E303AD">
        <w:rPr>
          <w:rFonts w:eastAsia="Calibri" w:hint="cs"/>
          <w:b/>
          <w:bCs/>
          <w:rtl/>
        </w:rPr>
        <w:t xml:space="preserve"> שלה</w:t>
      </w:r>
      <w:bookmarkEnd w:id="163"/>
      <w:r w:rsidRPr="00E303AD">
        <w:rPr>
          <w:rFonts w:eastAsia="Calibri"/>
          <w:b/>
          <w:bCs/>
          <w:rtl/>
        </w:rPr>
        <w:t>.</w:t>
      </w:r>
      <w:bookmarkEnd w:id="164"/>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בתשובת רשות האוכלוסין צוין כי היא </w:t>
      </w:r>
      <w:r w:rsidRPr="00E303AD">
        <w:rPr>
          <w:rFonts w:eastAsia="Calibri"/>
          <w:rtl/>
        </w:rPr>
        <w:t>משתפת פעולה עם כל גוף שיש לו נגיעה לנושא המאבק בסחר בבני אדם</w:t>
      </w:r>
      <w:r w:rsidRPr="00E303AD">
        <w:rPr>
          <w:rFonts w:eastAsia="Calibri" w:hint="cs"/>
          <w:rtl/>
        </w:rPr>
        <w:t>,</w:t>
      </w:r>
      <w:r w:rsidRPr="00E303AD">
        <w:rPr>
          <w:rFonts w:eastAsia="Calibri"/>
          <w:rtl/>
        </w:rPr>
        <w:t xml:space="preserve"> לרבות האגף לסיוע המשפטי</w:t>
      </w:r>
      <w:r w:rsidRPr="00E303AD">
        <w:rPr>
          <w:rFonts w:eastAsia="Calibri" w:hint="cs"/>
          <w:rtl/>
        </w:rPr>
        <w:t xml:space="preserve"> במשרד המשפטים</w:t>
      </w:r>
      <w:r w:rsidRPr="00E303AD">
        <w:rPr>
          <w:rFonts w:eastAsia="Calibri"/>
          <w:rtl/>
        </w:rPr>
        <w:t xml:space="preserve">, אך </w:t>
      </w:r>
      <w:r w:rsidRPr="00E303AD">
        <w:rPr>
          <w:rFonts w:eastAsia="Calibri" w:hint="cs"/>
          <w:rtl/>
        </w:rPr>
        <w:t>למרבה הצער</w:t>
      </w:r>
      <w:r w:rsidRPr="00E303AD">
        <w:rPr>
          <w:rFonts w:eastAsia="Calibri"/>
          <w:rtl/>
        </w:rPr>
        <w:t xml:space="preserve"> </w:t>
      </w:r>
      <w:r w:rsidRPr="00E303AD">
        <w:rPr>
          <w:rFonts w:eastAsia="Calibri" w:hint="cs"/>
          <w:rtl/>
        </w:rPr>
        <w:t>לעיתים נ</w:t>
      </w:r>
      <w:r w:rsidRPr="00E303AD">
        <w:rPr>
          <w:rFonts w:eastAsia="Calibri"/>
          <w:rtl/>
        </w:rPr>
        <w:t xml:space="preserve">ציגי האגף לסיוע משפטי </w:t>
      </w:r>
      <w:r w:rsidRPr="00E303AD">
        <w:rPr>
          <w:rFonts w:eastAsia="Calibri" w:hint="cs"/>
          <w:rtl/>
        </w:rPr>
        <w:t>אינם</w:t>
      </w:r>
      <w:r w:rsidRPr="00E303AD">
        <w:rPr>
          <w:rFonts w:eastAsia="Calibri"/>
          <w:rtl/>
        </w:rPr>
        <w:t xml:space="preserve"> </w:t>
      </w:r>
      <w:r w:rsidRPr="00E303AD">
        <w:rPr>
          <w:rFonts w:eastAsia="Calibri" w:hint="cs"/>
          <w:rtl/>
        </w:rPr>
        <w:t>פועלים</w:t>
      </w:r>
      <w:r w:rsidRPr="00E303AD">
        <w:rPr>
          <w:rFonts w:eastAsia="Calibri"/>
          <w:rtl/>
        </w:rPr>
        <w:t xml:space="preserve"> </w:t>
      </w:r>
      <w:r w:rsidRPr="00E303AD">
        <w:rPr>
          <w:rFonts w:eastAsia="Calibri" w:hint="cs"/>
          <w:rtl/>
        </w:rPr>
        <w:t>לפי ה</w:t>
      </w:r>
      <w:r w:rsidRPr="00E303AD">
        <w:rPr>
          <w:rFonts w:eastAsia="Calibri"/>
          <w:rtl/>
        </w:rPr>
        <w:t>נהלים ו</w:t>
      </w:r>
      <w:r w:rsidRPr="00E303AD">
        <w:rPr>
          <w:rFonts w:eastAsia="Calibri" w:hint="cs"/>
          <w:rtl/>
        </w:rPr>
        <w:t>ה</w:t>
      </w:r>
      <w:r w:rsidRPr="00E303AD">
        <w:rPr>
          <w:rFonts w:eastAsia="Calibri"/>
          <w:rtl/>
        </w:rPr>
        <w:t>כללים שנקבעו. ל</w:t>
      </w:r>
      <w:r w:rsidRPr="00E303AD">
        <w:rPr>
          <w:rFonts w:eastAsia="Calibri" w:hint="cs"/>
          <w:rtl/>
        </w:rPr>
        <w:t>משל,</w:t>
      </w:r>
      <w:r w:rsidRPr="00E303AD">
        <w:rPr>
          <w:rFonts w:eastAsia="Calibri"/>
          <w:rtl/>
        </w:rPr>
        <w:t xml:space="preserve"> </w:t>
      </w:r>
      <w:r w:rsidRPr="00E303AD">
        <w:rPr>
          <w:rFonts w:eastAsia="Calibri" w:hint="cs"/>
          <w:rtl/>
        </w:rPr>
        <w:t xml:space="preserve">בקשות להארכת האשרה מוגשות באיחור או בסמוך למועד פקיעתה ואף לאחר שפקעה; עוד צוין כי </w:t>
      </w:r>
      <w:r w:rsidRPr="00E303AD">
        <w:rPr>
          <w:rFonts w:eastAsia="Calibri"/>
          <w:rtl/>
        </w:rPr>
        <w:t xml:space="preserve">הגורמים המטפלים בקורבנות הסחר </w:t>
      </w:r>
      <w:r w:rsidRPr="00E303AD">
        <w:rPr>
          <w:rFonts w:eastAsia="Calibri" w:hint="cs"/>
          <w:rtl/>
        </w:rPr>
        <w:t xml:space="preserve">מטעם משרד הרווחה </w:t>
      </w:r>
      <w:r w:rsidRPr="00E303AD">
        <w:rPr>
          <w:rFonts w:eastAsia="Calibri"/>
          <w:rtl/>
        </w:rPr>
        <w:t>מבקשים לקבל את רישיונות העבודה בישראל ללא הגשת ת</w:t>
      </w:r>
      <w:r w:rsidRPr="00E303AD">
        <w:rPr>
          <w:rFonts w:eastAsia="Calibri" w:hint="cs"/>
          <w:rtl/>
        </w:rPr>
        <w:t>ו</w:t>
      </w:r>
      <w:r w:rsidRPr="00E303AD">
        <w:rPr>
          <w:rFonts w:eastAsia="Calibri"/>
          <w:rtl/>
        </w:rPr>
        <w:t>כנית סדורה של שיקום, ו</w:t>
      </w:r>
      <w:r w:rsidRPr="00E303AD">
        <w:rPr>
          <w:rFonts w:eastAsia="Calibri" w:hint="cs"/>
          <w:rtl/>
        </w:rPr>
        <w:t>ב</w:t>
      </w:r>
      <w:r w:rsidRPr="00E303AD">
        <w:rPr>
          <w:rFonts w:eastAsia="Calibri"/>
          <w:rtl/>
        </w:rPr>
        <w:t xml:space="preserve">לא </w:t>
      </w:r>
      <w:r w:rsidRPr="00E303AD">
        <w:rPr>
          <w:rFonts w:eastAsia="Calibri" w:hint="cs"/>
          <w:rtl/>
        </w:rPr>
        <w:t xml:space="preserve">לבצע </w:t>
      </w:r>
      <w:r w:rsidRPr="00E303AD">
        <w:rPr>
          <w:rFonts w:eastAsia="Calibri"/>
          <w:rtl/>
        </w:rPr>
        <w:t xml:space="preserve">בקרה </w:t>
      </w:r>
      <w:r w:rsidRPr="00E303AD">
        <w:rPr>
          <w:rFonts w:eastAsia="Calibri" w:hint="cs"/>
          <w:rtl/>
        </w:rPr>
        <w:t>כדי לוודא ש</w:t>
      </w:r>
      <w:r w:rsidRPr="00E303AD">
        <w:rPr>
          <w:rFonts w:eastAsia="Calibri"/>
          <w:rtl/>
        </w:rPr>
        <w:t xml:space="preserve">הקורבן מנהל </w:t>
      </w:r>
      <w:r w:rsidRPr="00E303AD">
        <w:rPr>
          <w:rFonts w:eastAsia="Calibri" w:hint="cs"/>
          <w:rtl/>
        </w:rPr>
        <w:t xml:space="preserve">אורח </w:t>
      </w:r>
      <w:r w:rsidRPr="00E303AD">
        <w:rPr>
          <w:rFonts w:eastAsia="Calibri"/>
          <w:rtl/>
        </w:rPr>
        <w:t xml:space="preserve">חיים </w:t>
      </w:r>
      <w:r w:rsidRPr="00E303AD">
        <w:rPr>
          <w:rFonts w:eastAsia="Calibri" w:hint="cs"/>
          <w:rtl/>
        </w:rPr>
        <w:t xml:space="preserve">שיאפשר לו </w:t>
      </w:r>
      <w:r w:rsidRPr="00E303AD">
        <w:rPr>
          <w:rFonts w:eastAsia="Calibri"/>
          <w:rtl/>
        </w:rPr>
        <w:t>להשתקם.</w:t>
      </w:r>
    </w:p>
    <w:p w:rsidR="00E303AD" w:rsidRPr="00E303AD" w:rsidP="00E303AD">
      <w:pPr>
        <w:spacing w:line="269" w:lineRule="auto"/>
        <w:ind w:left="-567"/>
        <w:rPr>
          <w:rFonts w:eastAsia="Calibri"/>
          <w:szCs w:val="20"/>
          <w:rtl/>
        </w:rPr>
      </w:pPr>
    </w:p>
    <w:p w:rsidR="00E303AD" w:rsidRPr="00E303AD" w:rsidP="00E303AD">
      <w:pPr>
        <w:spacing w:line="269" w:lineRule="auto"/>
        <w:rPr>
          <w:rFonts w:eastAsia="Calibri"/>
          <w:rtl/>
        </w:rPr>
      </w:pPr>
      <w:r w:rsidRPr="00E303AD">
        <w:rPr>
          <w:rFonts w:eastAsia="Calibri" w:hint="cs"/>
          <w:rtl/>
        </w:rPr>
        <w:t xml:space="preserve">הרשות ציינה בתשובתה </w:t>
      </w:r>
      <w:r w:rsidRPr="00E303AD">
        <w:rPr>
          <w:rFonts w:eastAsia="Calibri"/>
          <w:rtl/>
        </w:rPr>
        <w:t xml:space="preserve">כי </w:t>
      </w:r>
      <w:r w:rsidRPr="00E303AD">
        <w:rPr>
          <w:rFonts w:eastAsia="Calibri" w:hint="cs"/>
          <w:rtl/>
        </w:rPr>
        <w:t xml:space="preserve">היא אינה משמשת "חותמת גומי" למתן רישיונות שהייה בישראל לזרים, וכי </w:t>
      </w:r>
      <w:r w:rsidRPr="00E303AD">
        <w:rPr>
          <w:rFonts w:eastAsia="Calibri"/>
          <w:rtl/>
        </w:rPr>
        <w:t>תפקיד</w:t>
      </w:r>
      <w:r w:rsidRPr="00E303AD">
        <w:rPr>
          <w:rFonts w:eastAsia="Calibri" w:hint="cs"/>
          <w:rtl/>
        </w:rPr>
        <w:t>ה</w:t>
      </w:r>
      <w:r w:rsidRPr="00E303AD">
        <w:rPr>
          <w:rFonts w:eastAsia="Calibri"/>
          <w:rtl/>
        </w:rPr>
        <w:t xml:space="preserve"> להגן על קורבנות הסחר</w:t>
      </w:r>
      <w:r w:rsidRPr="00E303AD">
        <w:rPr>
          <w:rFonts w:eastAsia="Calibri" w:hint="cs"/>
          <w:rtl/>
        </w:rPr>
        <w:t xml:space="preserve"> תוך הקפדה על כך</w:t>
      </w:r>
      <w:r w:rsidRPr="00E303AD">
        <w:rPr>
          <w:rFonts w:eastAsia="Calibri"/>
          <w:rtl/>
        </w:rPr>
        <w:t xml:space="preserve"> שהרישיונות מונפקים למטרת עדות ושיקום</w:t>
      </w:r>
      <w:r w:rsidRPr="00E303AD">
        <w:rPr>
          <w:rFonts w:eastAsia="Calibri" w:hint="cs"/>
          <w:rtl/>
        </w:rPr>
        <w:t>,</w:t>
      </w:r>
      <w:r w:rsidRPr="00E303AD">
        <w:rPr>
          <w:rFonts w:eastAsia="Calibri"/>
          <w:rtl/>
        </w:rPr>
        <w:t xml:space="preserve"> ולא למטרות אחרות</w:t>
      </w:r>
      <w:r w:rsidRPr="00E303AD">
        <w:rPr>
          <w:rFonts w:eastAsia="Calibri" w:hint="cs"/>
          <w:rtl/>
        </w:rPr>
        <w:t xml:space="preserve">. עוד מסרה הרשות כי היא </w:t>
      </w:r>
      <w:r w:rsidRPr="00E303AD">
        <w:rPr>
          <w:rFonts w:eastAsia="Calibri"/>
          <w:rtl/>
        </w:rPr>
        <w:t>שותפה מלאה הן במתן רישיונות למי שהוכרו כקורבנות סחר והן במניעה של הסחר ו</w:t>
      </w:r>
      <w:r w:rsidRPr="00E303AD">
        <w:rPr>
          <w:rFonts w:eastAsia="Calibri" w:hint="cs"/>
          <w:rtl/>
        </w:rPr>
        <w:t>ב</w:t>
      </w:r>
      <w:r w:rsidRPr="00E303AD">
        <w:rPr>
          <w:rFonts w:eastAsia="Calibri"/>
          <w:rtl/>
        </w:rPr>
        <w:t xml:space="preserve">דאגה לכך שקורבנות אכן ישתקמו ולא ישובו למעגל הזנות. </w:t>
      </w:r>
      <w:r w:rsidRPr="00E303AD">
        <w:rPr>
          <w:rFonts w:eastAsia="Calibri" w:hint="cs"/>
          <w:rtl/>
        </w:rPr>
        <w:t>לכן, אם מצוי בידי</w:t>
      </w:r>
      <w:r w:rsidRPr="00E303AD">
        <w:rPr>
          <w:rFonts w:eastAsia="Calibri"/>
          <w:rtl/>
        </w:rPr>
        <w:t xml:space="preserve"> </w:t>
      </w:r>
      <w:r w:rsidRPr="00E303AD">
        <w:rPr>
          <w:rFonts w:eastAsia="Calibri" w:hint="cs"/>
          <w:rtl/>
        </w:rPr>
        <w:t>הרשות</w:t>
      </w:r>
      <w:r w:rsidRPr="00E303AD">
        <w:rPr>
          <w:rFonts w:eastAsia="Calibri"/>
          <w:rtl/>
        </w:rPr>
        <w:t xml:space="preserve"> מידע קונקרטי על עיסוק בזנות של קורבנות סחר ב</w:t>
      </w:r>
      <w:r w:rsidRPr="00E303AD">
        <w:rPr>
          <w:rFonts w:eastAsia="Calibri" w:hint="cs"/>
          <w:rtl/>
        </w:rPr>
        <w:t>עת</w:t>
      </w:r>
      <w:r w:rsidRPr="00E303AD">
        <w:rPr>
          <w:rFonts w:eastAsia="Calibri"/>
          <w:rtl/>
        </w:rPr>
        <w:t xml:space="preserve"> </w:t>
      </w:r>
      <w:r w:rsidRPr="00E303AD">
        <w:rPr>
          <w:rFonts w:eastAsia="Calibri" w:hint="cs"/>
          <w:rtl/>
        </w:rPr>
        <w:t>ש</w:t>
      </w:r>
      <w:r w:rsidRPr="00E303AD">
        <w:rPr>
          <w:rFonts w:eastAsia="Calibri"/>
          <w:rtl/>
        </w:rPr>
        <w:t>הרישיון</w:t>
      </w:r>
      <w:r w:rsidRPr="00E303AD">
        <w:rPr>
          <w:rFonts w:eastAsia="Calibri" w:hint="cs"/>
          <w:rtl/>
        </w:rPr>
        <w:t xml:space="preserve"> עומד בתוקף,</w:t>
      </w:r>
      <w:r w:rsidRPr="00E303AD">
        <w:rPr>
          <w:rFonts w:eastAsia="Calibri"/>
          <w:rtl/>
        </w:rPr>
        <w:t xml:space="preserve"> ומתוך אחריות מ</w:t>
      </w:r>
      <w:r w:rsidRPr="00E303AD">
        <w:rPr>
          <w:rFonts w:eastAsia="Calibri" w:hint="cs"/>
          <w:rtl/>
        </w:rPr>
        <w:t>י</w:t>
      </w:r>
      <w:r w:rsidRPr="00E303AD">
        <w:rPr>
          <w:rFonts w:eastAsia="Calibri"/>
          <w:rtl/>
        </w:rPr>
        <w:t xml:space="preserve">נהלית, </w:t>
      </w:r>
      <w:r w:rsidRPr="00E303AD">
        <w:rPr>
          <w:rFonts w:eastAsia="Calibri" w:hint="cs"/>
          <w:rtl/>
        </w:rPr>
        <w:t>הרשות</w:t>
      </w:r>
      <w:r w:rsidRPr="00E303AD">
        <w:rPr>
          <w:rFonts w:eastAsia="Calibri"/>
          <w:rtl/>
        </w:rPr>
        <w:t xml:space="preserve"> עור</w:t>
      </w:r>
      <w:r w:rsidRPr="00E303AD">
        <w:rPr>
          <w:rFonts w:eastAsia="Calibri" w:hint="cs"/>
          <w:rtl/>
        </w:rPr>
        <w:t>כת</w:t>
      </w:r>
      <w:r w:rsidRPr="00E303AD">
        <w:rPr>
          <w:rFonts w:eastAsia="Calibri"/>
          <w:rtl/>
        </w:rPr>
        <w:t xml:space="preserve"> בירורים</w:t>
      </w:r>
      <w:r w:rsidRPr="00E303AD">
        <w:rPr>
          <w:rFonts w:eastAsia="Calibri" w:hint="cs"/>
          <w:rtl/>
        </w:rPr>
        <w:t xml:space="preserve"> ופונה</w:t>
      </w:r>
      <w:r w:rsidRPr="00E303AD">
        <w:rPr>
          <w:rFonts w:eastAsia="Calibri"/>
          <w:rtl/>
        </w:rPr>
        <w:t xml:space="preserve"> אל הגורמים הרלוונטיים המלווים את הקורבנות. חוסר שיתוף פעולה מצ</w:t>
      </w:r>
      <w:r w:rsidRPr="00E303AD">
        <w:rPr>
          <w:rFonts w:eastAsia="Calibri" w:hint="cs"/>
          <w:rtl/>
        </w:rPr>
        <w:t>י</w:t>
      </w:r>
      <w:r w:rsidRPr="00E303AD">
        <w:rPr>
          <w:rFonts w:eastAsia="Calibri"/>
          <w:rtl/>
        </w:rPr>
        <w:t>ד</w:t>
      </w:r>
      <w:r w:rsidRPr="00E303AD">
        <w:rPr>
          <w:rFonts w:eastAsia="Calibri" w:hint="cs"/>
          <w:rtl/>
        </w:rPr>
        <w:t>ם</w:t>
      </w:r>
      <w:r w:rsidRPr="00E303AD">
        <w:rPr>
          <w:rFonts w:eastAsia="Calibri"/>
          <w:rtl/>
        </w:rPr>
        <w:t xml:space="preserve"> מונע מ</w:t>
      </w:r>
      <w:r w:rsidRPr="00E303AD">
        <w:rPr>
          <w:rFonts w:eastAsia="Calibri" w:hint="cs"/>
          <w:rtl/>
        </w:rPr>
        <w:t>הרשות</w:t>
      </w:r>
      <w:r w:rsidRPr="00E303AD">
        <w:rPr>
          <w:rFonts w:eastAsia="Calibri"/>
          <w:rtl/>
        </w:rPr>
        <w:t xml:space="preserve"> לוודא שהקורבנות אכן עוברות הליך שיקום יעיל</w:t>
      </w:r>
      <w:r w:rsidRPr="00E303AD">
        <w:rPr>
          <w:rFonts w:eastAsia="Calibri" w:hint="cs"/>
          <w:rtl/>
        </w:rPr>
        <w:t>,</w:t>
      </w:r>
      <w:r w:rsidRPr="00E303AD">
        <w:rPr>
          <w:rFonts w:eastAsia="Calibri"/>
          <w:rtl/>
        </w:rPr>
        <w:t xml:space="preserve"> ו</w:t>
      </w:r>
      <w:r w:rsidRPr="00E303AD">
        <w:rPr>
          <w:rFonts w:eastAsia="Calibri" w:hint="cs"/>
          <w:rtl/>
        </w:rPr>
        <w:t xml:space="preserve">בהיעדר מידע הסותר את המידע שברשותה - </w:t>
      </w:r>
      <w:r w:rsidRPr="00E303AD">
        <w:rPr>
          <w:rFonts w:eastAsia="Calibri"/>
          <w:rtl/>
        </w:rPr>
        <w:t xml:space="preserve">אין באפשרות </w:t>
      </w:r>
      <w:r w:rsidRPr="00E303AD">
        <w:rPr>
          <w:rFonts w:eastAsia="Calibri" w:hint="cs"/>
          <w:rtl/>
        </w:rPr>
        <w:t xml:space="preserve">הרשות </w:t>
      </w:r>
      <w:r w:rsidRPr="00E303AD">
        <w:rPr>
          <w:rFonts w:eastAsia="Calibri"/>
          <w:rtl/>
        </w:rPr>
        <w:t>להעניק מעמד בישראל.</w:t>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אגף הסיוע המשפטי התייחס לתשובת הרשות וציין כי </w:t>
      </w:r>
      <w:r w:rsidRPr="00E303AD">
        <w:rPr>
          <w:rFonts w:eastAsia="Calibri"/>
          <w:rtl/>
        </w:rPr>
        <w:t>ככלל הסיוע המשפטי מייצג בהגשת בקשות לשנת שיקום לנפגעי סחר ואינו מגיש בקשות להארכת אשרות. במקרים נדירים שבהם הסיוע המשפטי גילה, אגב הטיפול בהגשת בקשה לשנת שיקום, כי עקב טעות נדרשת למעשה אשר</w:t>
      </w:r>
      <w:r w:rsidRPr="00E303AD">
        <w:rPr>
          <w:rFonts w:eastAsia="Calibri" w:hint="cs"/>
          <w:rtl/>
        </w:rPr>
        <w:t>ה</w:t>
      </w:r>
      <w:r w:rsidRPr="00E303AD">
        <w:rPr>
          <w:rFonts w:eastAsia="Calibri"/>
          <w:rtl/>
        </w:rPr>
        <w:t xml:space="preserve"> </w:t>
      </w:r>
      <w:r w:rsidRPr="00E303AD">
        <w:rPr>
          <w:rFonts w:eastAsia="Calibri" w:hint="cs"/>
          <w:rtl/>
        </w:rPr>
        <w:t xml:space="preserve">לתקופת </w:t>
      </w:r>
      <w:r w:rsidRPr="00E303AD">
        <w:rPr>
          <w:rFonts w:eastAsia="Calibri"/>
          <w:rtl/>
        </w:rPr>
        <w:t>עד</w:t>
      </w:r>
      <w:r w:rsidRPr="00E303AD">
        <w:rPr>
          <w:rFonts w:eastAsia="Calibri" w:hint="cs"/>
          <w:rtl/>
        </w:rPr>
        <w:t>ות,</w:t>
      </w:r>
      <w:r w:rsidRPr="00E303AD">
        <w:rPr>
          <w:rFonts w:eastAsia="Calibri"/>
          <w:rtl/>
        </w:rPr>
        <w:t xml:space="preserve"> הפנ</w:t>
      </w:r>
      <w:r w:rsidRPr="00E303AD">
        <w:rPr>
          <w:rFonts w:eastAsia="Calibri" w:hint="cs"/>
          <w:rtl/>
        </w:rPr>
        <w:t>י</w:t>
      </w:r>
      <w:r w:rsidRPr="00E303AD">
        <w:rPr>
          <w:rFonts w:eastAsia="Calibri"/>
          <w:rtl/>
        </w:rPr>
        <w:t>יה לרשות האוכלוסין התבצעה מיד עם קבלת אישור המשטרה שהנפגע דרוש לחקירה.</w:t>
      </w:r>
      <w:r w:rsidRPr="00E303AD">
        <w:rPr>
          <w:rFonts w:eastAsia="Calibri" w:hint="cs"/>
          <w:rtl/>
        </w:rPr>
        <w:t xml:space="preserve"> </w:t>
      </w:r>
      <w:r w:rsidRPr="00E303AD">
        <w:rPr>
          <w:rFonts w:eastAsia="Calibri"/>
          <w:rtl/>
        </w:rPr>
        <w:t xml:space="preserve">בכל הקשור לעדות - לרשות האוכלוסין אין שיקול דעת ועליה לתת אשרה לחצי שנה ללא שיהוי. באשר לטענה לפיה על רשות האוכלוסין להבטיח כתנאי למתן אשרה שמתקיים הליך </w:t>
      </w:r>
      <w:r w:rsidRPr="00E303AD">
        <w:rPr>
          <w:rFonts w:eastAsia="Calibri"/>
          <w:rtl/>
        </w:rPr>
        <w:t xml:space="preserve">שיקום, הרי שהרשות אינה אמונה על הליך השיקום של נפגעי סחר ואין לה כלים להעריך </w:t>
      </w:r>
      <w:r w:rsidRPr="00E303AD">
        <w:rPr>
          <w:rFonts w:eastAsia="Calibri" w:hint="cs"/>
          <w:rtl/>
        </w:rPr>
        <w:t>אותו</w:t>
      </w:r>
      <w:r w:rsidRPr="00E303AD">
        <w:rPr>
          <w:rFonts w:eastAsia="Calibri"/>
          <w:rtl/>
        </w:rPr>
        <w:t xml:space="preserve">. לכן עליה לקבל את חוות דעתם של גורמי המקצוע המוסמכים לטפל בנפגעים.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יחידת התיאום מסר</w:t>
      </w:r>
      <w:r w:rsidRPr="00E303AD">
        <w:rPr>
          <w:rFonts w:eastAsia="Calibri" w:hint="eastAsia"/>
          <w:rtl/>
        </w:rPr>
        <w:t>ה</w:t>
      </w:r>
      <w:r w:rsidRPr="00E303AD">
        <w:rPr>
          <w:rFonts w:eastAsia="Calibri"/>
          <w:rtl/>
        </w:rPr>
        <w:t xml:space="preserve"> בהתייחסות</w:t>
      </w:r>
      <w:r w:rsidRPr="00E303AD">
        <w:rPr>
          <w:rFonts w:eastAsia="Calibri" w:hint="eastAsia"/>
          <w:rtl/>
        </w:rPr>
        <w:t>ה</w:t>
      </w:r>
      <w:r w:rsidRPr="00E303AD">
        <w:rPr>
          <w:rFonts w:eastAsia="Calibri"/>
          <w:rtl/>
        </w:rPr>
        <w:t xml:space="preserve"> לתשובת הרשות כי המדיניות הממשלתית כפי שבאה לידי ביטוי בהחלטת הממשלה 1862 היא לתת אשרות עבודה לכלל קרבנות הסחר. נ</w:t>
      </w:r>
      <w:r w:rsidR="00522B30">
        <w:rPr>
          <w:rFonts w:eastAsia="Calibri" w:hint="cs"/>
          <w:rtl/>
        </w:rPr>
        <w:t>ו</w:t>
      </w:r>
      <w:r w:rsidRPr="00E303AD">
        <w:rPr>
          <w:rFonts w:eastAsia="Calibri"/>
          <w:rtl/>
        </w:rPr>
        <w:t>הלי רשות האוכלוסין אינם נותנים שיקול דעת לרשות להחליט שלא לתת אשרה בנימוק שהקרבן במעגל הזנות או שהבקשה הוגשה באיחור, וככל שמדובר בעדות הם אינם מקנים שיקול דעת כלל. בקשות להכרה מובאות בפני חברי הועדה המייעצת אשר כוללת גם נציגות רשות האוכלוסין, וניתנת ההזדמנות להביא את כל המידע בפני הועדה והמתאמת וכן להביע התנגדות להכרה במקרים שיבחרו בכך. לנציגים הממשלתיים בוועדה, עומדת גם האפשרות לערור על החלטת המתאמת להכיר בקרבן</w:t>
      </w:r>
      <w:r w:rsidRPr="00E303AD">
        <w:rPr>
          <w:rFonts w:eastAsia="Calibri" w:hint="cs"/>
          <w:rtl/>
        </w:rPr>
        <w:t>,</w:t>
      </w:r>
      <w:r w:rsidRPr="00E303AD">
        <w:rPr>
          <w:rFonts w:eastAsia="Calibri"/>
          <w:rtl/>
        </w:rPr>
        <w:t xml:space="preserve"> אפשרות </w:t>
      </w:r>
      <w:r w:rsidRPr="00E303AD">
        <w:rPr>
          <w:rFonts w:eastAsia="Calibri" w:hint="cs"/>
          <w:rtl/>
        </w:rPr>
        <w:t>ש</w:t>
      </w:r>
      <w:r w:rsidRPr="00E303AD">
        <w:rPr>
          <w:rFonts w:eastAsia="Calibri"/>
          <w:rtl/>
        </w:rPr>
        <w:t xml:space="preserve">לא מומשה מעולם על ידי רשות האוכלוסין. </w:t>
      </w:r>
      <w:r w:rsidRPr="00E303AD">
        <w:rPr>
          <w:rFonts w:eastAsia="Calibri" w:hint="cs"/>
          <w:rtl/>
        </w:rPr>
        <w:t>משכך</w:t>
      </w:r>
      <w:r w:rsidRPr="00E303AD">
        <w:rPr>
          <w:rFonts w:eastAsia="Calibri"/>
          <w:rtl/>
        </w:rPr>
        <w:t xml:space="preserve">, </w:t>
      </w:r>
      <w:r w:rsidRPr="00E303AD">
        <w:rPr>
          <w:rFonts w:eastAsia="Calibri" w:hint="cs"/>
          <w:rtl/>
        </w:rPr>
        <w:t xml:space="preserve">הרשות </w:t>
      </w:r>
      <w:r w:rsidRPr="00E303AD">
        <w:rPr>
          <w:rFonts w:eastAsia="Calibri"/>
          <w:rtl/>
        </w:rPr>
        <w:t xml:space="preserve">אינה יכולה להימנע מהחלת המשמעויות הנובעות </w:t>
      </w:r>
      <w:r w:rsidRPr="00E303AD">
        <w:rPr>
          <w:rFonts w:eastAsia="Calibri" w:hint="cs"/>
          <w:rtl/>
        </w:rPr>
        <w:t>מ</w:t>
      </w:r>
      <w:r w:rsidRPr="00E303AD">
        <w:rPr>
          <w:rFonts w:eastAsia="Calibri"/>
          <w:rtl/>
        </w:rPr>
        <w:t>ההכרה - מתן אשרת עבודה, אלא אם כן, עולה מידע חדש סותר, ואז יש להביאו לבחינת המתאמת שתקיים בחינה מחדש. עוד נמסר כי כל פניה למתאמת מצד רשות האוכלוסין בטענה ביחס לגוף ממשלתי אחר, תזכה להתייחסות במלוא כובד הראש, וככל שיש קושי או חסם שחוזר על עצמו - הוא יטופל.</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 xml:space="preserve">משרד הרווחה התייחס לתשובת הרשות וציין כי </w:t>
      </w:r>
      <w:r w:rsidRPr="00E303AD">
        <w:rPr>
          <w:rFonts w:eastAsia="Calibri" w:hint="cs"/>
          <w:rtl/>
        </w:rPr>
        <w:t>הוא</w:t>
      </w:r>
      <w:r w:rsidRPr="00E303AD">
        <w:rPr>
          <w:rFonts w:eastAsia="Calibri"/>
          <w:rtl/>
        </w:rPr>
        <w:t xml:space="preserve"> פועל לאורך השנים בשיתוף פעולה מקצועי, רציף ומוסדר עם רשות האוכלוסין. במסגרת זו התקיימו בשנים 2023 </w:t>
      </w:r>
      <w:r w:rsidRPr="00E303AD">
        <w:rPr>
          <w:rFonts w:eastAsia="Calibri" w:hint="cs"/>
          <w:rtl/>
        </w:rPr>
        <w:t>-</w:t>
      </w:r>
      <w:r w:rsidRPr="00E303AD">
        <w:rPr>
          <w:rFonts w:eastAsia="Calibri"/>
          <w:rtl/>
        </w:rPr>
        <w:t xml:space="preserve"> 2024 דיונים מקצועיים משותפים, אשר הובילו לגיבוש דף הנחיות מוסכם בנובמבר 2023, המסדיר את אופן כתיבת הדוחות המועברים לרשות לצורך בחינת בקשות למתן אשרות שהייה ועבודה. תפקידו של משרד הרווחה הוא להעריך את מצבן הטיפולי והשיקומי של המטופלות ולהעמיד לרשותן את המענים המקצועיים הנדרשים. המלצות המשרד ניתנות מנקודת מבט מקצועית-טיפולית בלבד, בהתאם למצבן של המטופלות ולהתקדמותן בהליך השיקום. להערכתו של משרד הרווחה חלק מהמחלוקות המתעוררות מעת לעת בין משרד הרווחה לבין רשות האוכלוסין נובעות מפערים בתפיסת מושג השיקום ובאופן הערכתו. משרד הרווחה בוחן את ההליך השיקומי מנקודת מבט טיפולית, המתחשבת במאפייניהן הייחודיים של נפגעות טראומה וסחר בבני אדם ובאופיו ההדרגתי של תהליך השיקום. משרד הרווחה מפעיל מנגנוני פיקוח ובקרה מקצועיים על המסגרות המטפלות בקורבנות סחר, פועל להתאמת תוכניות הטיפול והשיקום למאפייניהן של המטופלות, ומוודא כי ההערכות המקצועיות המועברות לגורמים המוסמכים מבוססות על בחינה מעמיקה ועדכנית של מצבן. משרד הרווחה פועל בשקיפות מלאה ובשיתוף פעולה עם רשות האוכלוסין, ומעביר מידע מקצועי בהתאם לסמכויותיו, לתפקידיו ולחובות הסודיות החלות עליו. משרד הרווחה ימשיך לפעול בהתאם למדיניות מדינת ישראל ולמחויבויותיה הבין-לאומיות כלפי קורבנות סחר בבני אדם, תוך שיתוף פעולה עם כלל הגורמים הרלוונטיים, מתוך מחויבות למתן מענה מקצועי, אחראי ורגיש לאוכלוסייה פגיעה זו.</w:t>
      </w:r>
    </w:p>
    <w:p w:rsidR="00E303AD" w:rsidRPr="00E303AD" w:rsidP="00E303AD">
      <w:pPr>
        <w:spacing w:line="269" w:lineRule="auto"/>
        <w:ind w:left="-567"/>
        <w:rPr>
          <w:rFonts w:eastAsia="Calibri"/>
          <w:szCs w:val="20"/>
          <w:rtl/>
        </w:rPr>
      </w:pPr>
    </w:p>
    <w:p w:rsidR="00E303AD" w:rsidRPr="00E303AD" w:rsidP="00E303AD">
      <w:pPr>
        <w:spacing w:line="269" w:lineRule="auto"/>
        <w:rPr>
          <w:rFonts w:eastAsia="Calibri"/>
          <w:b/>
          <w:bCs/>
          <w:rtl/>
        </w:rPr>
      </w:pPr>
      <w:r w:rsidRPr="00E303AD">
        <w:rPr>
          <w:rFonts w:eastAsia="Calibri" w:hint="cs"/>
          <w:b/>
          <w:bCs/>
          <w:rtl/>
        </w:rPr>
        <w:t xml:space="preserve">על רשות האוכלוסין להקפיד על מתן האשרה </w:t>
      </w:r>
      <w:r w:rsidRPr="00E303AD">
        <w:rPr>
          <w:rFonts w:eastAsia="Calibri"/>
          <w:b/>
          <w:bCs/>
          <w:rtl/>
        </w:rPr>
        <w:t xml:space="preserve">לכל קורבן </w:t>
      </w:r>
      <w:r w:rsidRPr="00E303AD">
        <w:rPr>
          <w:rFonts w:eastAsia="Calibri" w:hint="cs"/>
          <w:b/>
          <w:bCs/>
          <w:rtl/>
        </w:rPr>
        <w:t>סחר בבני אדם בהתאם לסמכות המוקנית לה בנהליה, ובאופן שיאפשר להבטיח את מימוש זכויותיהן של מי שהוכרו כקורבנות סחר בבני אדם ויעודד אותן לשתף פעולה בהליכים פליליים שמבצעת המדינה בעניינן של עבירות סחר בבני אדם. כמו כן, מומלץ שאגף הסיוע משפטי ורשות האוכלוסין יקיימו שיח משותף באשר למחלוקות ביניהם, בין היתר על בסיס מקרים פרטניים, זאת לצורך טיוב הפעולה בעתיד.</w:t>
      </w:r>
      <w:bookmarkEnd w:id="159"/>
    </w:p>
    <w:p w:rsidR="00E303AD" w:rsidRPr="00E303AD" w:rsidP="00E303AD">
      <w:pPr>
        <w:spacing w:line="269" w:lineRule="auto"/>
        <w:rPr>
          <w:rFonts w:eastAsia="Calibri"/>
          <w:b/>
          <w:bCs/>
        </w:rPr>
      </w:pPr>
    </w:p>
    <w:p w:rsidR="00E303AD" w:rsidRPr="00E303AD" w:rsidP="00E303AD">
      <w:pPr>
        <w:spacing w:line="269" w:lineRule="auto"/>
        <w:rPr>
          <w:rFonts w:eastAsia="Calibri"/>
        </w:rPr>
      </w:pPr>
      <w:r w:rsidRPr="00E303AD">
        <w:rPr>
          <w:rFonts w:eastAsia="Calibri"/>
          <w:noProof/>
        </w:rPr>
        <w:drawing>
          <wp:inline distT="0" distB="0" distL="0" distR="0">
            <wp:extent cx="5220335" cy="941070"/>
            <wp:effectExtent l="0" t="0" r="0" b="0"/>
            <wp:docPr id="106" name="תמונה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
                    <pic:cNvPicPr/>
                  </pic:nvPicPr>
                  <pic:blipFill>
                    <a:blip xmlns:r="http://schemas.openxmlformats.org/officeDocument/2006/relationships" r:embed="rId34"/>
                    <a:stretch>
                      <a:fillRect/>
                    </a:stretch>
                  </pic:blipFill>
                  <pic:spPr>
                    <a:xfrm>
                      <a:off x="0" y="0"/>
                      <a:ext cx="5220335" cy="941070"/>
                    </a:xfrm>
                    <a:prstGeom prst="rect">
                      <a:avLst/>
                    </a:prstGeom>
                  </pic:spPr>
                </pic:pic>
              </a:graphicData>
            </a:graphic>
          </wp:inline>
        </w:drawing>
      </w:r>
    </w:p>
    <w:p w:rsidR="00E303AD" w:rsidRPr="00E303AD" w:rsidP="00E303AD">
      <w:pPr>
        <w:bidi w:val="0"/>
        <w:spacing w:line="269" w:lineRule="auto"/>
        <w:rPr>
          <w:rFonts w:eastAsia="Calibri"/>
          <w:rtl/>
        </w:rPr>
      </w:pPr>
      <w:bookmarkStart w:id="165" w:name="_Toc221474995"/>
      <w:bookmarkStart w:id="166" w:name="_Toc224808296"/>
      <w:bookmarkStart w:id="167" w:name="_Toc232696569"/>
      <w:r w:rsidRPr="00E303AD">
        <w:rPr>
          <w:rFonts w:eastAsia="Calibri"/>
          <w:rtl/>
        </w:rPr>
        <w:br w:type="page"/>
      </w:r>
    </w:p>
    <w:p w:rsidR="00E303AD" w:rsidRPr="00E303AD" w:rsidP="00E303AD">
      <w:pPr>
        <w:keepNext/>
        <w:keepLines/>
        <w:spacing w:line="269" w:lineRule="auto"/>
        <w:jc w:val="center"/>
        <w:outlineLvl w:val="1"/>
        <w:rPr>
          <w:rFonts w:eastAsia="Times New Roman"/>
          <w:bCs/>
          <w:szCs w:val="32"/>
          <w:rtl/>
        </w:rPr>
      </w:pPr>
      <w:r w:rsidRPr="00E303AD">
        <w:rPr>
          <w:rFonts w:eastAsia="Times New Roman" w:hint="cs"/>
          <w:bCs/>
          <w:szCs w:val="32"/>
          <w:rtl/>
        </w:rPr>
        <w:t>התוכנית הלאומית הרב-שנתית למאבק בסחר בבני אדם</w:t>
      </w:r>
      <w:bookmarkEnd w:id="165"/>
      <w:bookmarkEnd w:id="166"/>
      <w:bookmarkEnd w:id="167"/>
    </w:p>
    <w:p w:rsidR="00E303AD" w:rsidRPr="003F31C2" w:rsidP="00E303AD">
      <w:pPr>
        <w:spacing w:line="269" w:lineRule="auto"/>
        <w:ind w:left="-567"/>
        <w:rPr>
          <w:rFonts w:eastAsia="Calibri"/>
          <w:sz w:val="18"/>
          <w:szCs w:val="18"/>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ב</w:t>
      </w:r>
      <w:r w:rsidRPr="00E303AD">
        <w:rPr>
          <w:rFonts w:eastAsia="Calibri" w:hint="cs"/>
          <w:rtl/>
        </w:rPr>
        <w:t xml:space="preserve">מסגרת החלטת הממשלה 1862 </w:t>
      </w:r>
      <w:r w:rsidRPr="00E303AD">
        <w:rPr>
          <w:rFonts w:eastAsia="Calibri"/>
          <w:rtl/>
        </w:rPr>
        <w:t xml:space="preserve">אושרה </w:t>
      </w:r>
      <w:bookmarkStart w:id="168" w:name="_Hlk230512220"/>
      <w:r w:rsidRPr="00E303AD">
        <w:rPr>
          <w:rFonts w:eastAsia="Calibri"/>
          <w:rtl/>
        </w:rPr>
        <w:t>הת</w:t>
      </w:r>
      <w:r w:rsidRPr="00E303AD">
        <w:rPr>
          <w:rFonts w:eastAsia="Calibri" w:hint="cs"/>
          <w:rtl/>
        </w:rPr>
        <w:t>ו</w:t>
      </w:r>
      <w:r w:rsidRPr="00E303AD">
        <w:rPr>
          <w:rFonts w:eastAsia="Calibri"/>
          <w:rtl/>
        </w:rPr>
        <w:t xml:space="preserve">כנית הלאומית הרב-שנתית למאבק בסחר בבני אדם לשנים </w:t>
      </w:r>
      <w:r w:rsidRPr="00E303AD">
        <w:rPr>
          <w:rFonts w:eastAsia="Calibri" w:hint="cs"/>
          <w:rtl/>
        </w:rPr>
        <w:t>2022 - 2026</w:t>
      </w:r>
      <w:bookmarkEnd w:id="168"/>
      <w:r>
        <w:rPr>
          <w:rFonts w:eastAsia="Calibri"/>
          <w:sz w:val="24"/>
          <w:vertAlign w:val="superscript"/>
          <w:rtl/>
        </w:rPr>
        <w:footnoteReference w:id="145"/>
      </w:r>
      <w:r w:rsidRPr="00E303AD">
        <w:rPr>
          <w:rFonts w:eastAsia="Calibri"/>
          <w:rtl/>
        </w:rPr>
        <w:t>. הת</w:t>
      </w:r>
      <w:r w:rsidRPr="00E303AD">
        <w:rPr>
          <w:rFonts w:eastAsia="Calibri" w:hint="cs"/>
          <w:rtl/>
        </w:rPr>
        <w:t>ו</w:t>
      </w:r>
      <w:r w:rsidRPr="00E303AD">
        <w:rPr>
          <w:rFonts w:eastAsia="Calibri"/>
          <w:rtl/>
        </w:rPr>
        <w:t>כנית גובשה על ידי ועדת המנכ׳׳לים הקבועה למאבק</w:t>
      </w:r>
      <w:r w:rsidRPr="00E303AD">
        <w:rPr>
          <w:rFonts w:eastAsia="Calibri" w:hint="cs"/>
          <w:rtl/>
        </w:rPr>
        <w:t xml:space="preserve"> </w:t>
      </w:r>
      <w:r w:rsidRPr="00E303AD">
        <w:rPr>
          <w:rFonts w:eastAsia="Calibri"/>
          <w:rtl/>
        </w:rPr>
        <w:t xml:space="preserve">בסחר בבני אדם, </w:t>
      </w:r>
      <w:r w:rsidRPr="00E303AD">
        <w:rPr>
          <w:rFonts w:eastAsia="Calibri" w:hint="cs"/>
          <w:rtl/>
        </w:rPr>
        <w:t>בשיתוף</w:t>
      </w:r>
      <w:r w:rsidRPr="00E303AD">
        <w:rPr>
          <w:rFonts w:eastAsia="Calibri"/>
          <w:rtl/>
        </w:rPr>
        <w:t xml:space="preserve"> 14 משרדי ממשלה</w:t>
      </w:r>
      <w:r w:rsidRPr="00E303AD">
        <w:rPr>
          <w:rFonts w:eastAsia="Calibri" w:hint="cs"/>
          <w:rtl/>
        </w:rPr>
        <w:t xml:space="preserve">, לנוכח </w:t>
      </w:r>
      <w:r w:rsidRPr="00E303AD">
        <w:rPr>
          <w:rFonts w:eastAsia="Calibri"/>
          <w:rtl/>
        </w:rPr>
        <w:t xml:space="preserve">הצורך </w:t>
      </w:r>
      <w:r w:rsidRPr="00E303AD">
        <w:rPr>
          <w:rFonts w:eastAsia="Calibri" w:hint="cs"/>
          <w:rtl/>
        </w:rPr>
        <w:t>ב</w:t>
      </w:r>
      <w:r w:rsidRPr="00E303AD">
        <w:rPr>
          <w:rFonts w:eastAsia="Calibri"/>
          <w:rtl/>
        </w:rPr>
        <w:t xml:space="preserve">התמודדות </w:t>
      </w:r>
      <w:r w:rsidRPr="00E303AD">
        <w:rPr>
          <w:rFonts w:eastAsia="Calibri" w:hint="cs"/>
          <w:rtl/>
        </w:rPr>
        <w:t xml:space="preserve">שיטתית ומקיפה </w:t>
      </w:r>
      <w:r w:rsidRPr="00E303AD">
        <w:rPr>
          <w:rFonts w:eastAsia="Calibri"/>
          <w:rtl/>
        </w:rPr>
        <w:t>עם תופעת הסחר בבני אדם בישראל, תוך התאמת המענים הממשלתיים להתפתחויות בזיר</w:t>
      </w:r>
      <w:r w:rsidRPr="00E303AD">
        <w:rPr>
          <w:rFonts w:eastAsia="Calibri" w:hint="cs"/>
          <w:rtl/>
        </w:rPr>
        <w:t>ה</w:t>
      </w:r>
      <w:r w:rsidRPr="00E303AD">
        <w:rPr>
          <w:rFonts w:eastAsia="Calibri"/>
          <w:rtl/>
        </w:rPr>
        <w:t xml:space="preserve"> המקומית והבי</w:t>
      </w:r>
      <w:r w:rsidRPr="00E303AD">
        <w:rPr>
          <w:rFonts w:eastAsia="Calibri" w:hint="cs"/>
          <w:rtl/>
        </w:rPr>
        <w:t>ן-</w:t>
      </w:r>
      <w:r w:rsidRPr="00E303AD">
        <w:rPr>
          <w:rFonts w:eastAsia="Calibri"/>
          <w:rtl/>
        </w:rPr>
        <w:t xml:space="preserve">לאומית. </w:t>
      </w:r>
    </w:p>
    <w:p w:rsidR="00E303AD" w:rsidRPr="003F31C2" w:rsidP="00E303AD">
      <w:pPr>
        <w:spacing w:line="269" w:lineRule="auto"/>
        <w:ind w:left="-567"/>
        <w:rPr>
          <w:rFonts w:eastAsia="Calibri"/>
          <w:sz w:val="18"/>
          <w:szCs w:val="18"/>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התוכנית כוללת צעדים מערכתיים רחבי היקף</w:t>
      </w:r>
      <w:r>
        <w:rPr>
          <w:rFonts w:eastAsia="Calibri"/>
          <w:sz w:val="24"/>
          <w:vertAlign w:val="superscript"/>
          <w:rtl/>
        </w:rPr>
        <w:footnoteReference w:id="146"/>
      </w:r>
      <w:r w:rsidRPr="00E303AD">
        <w:rPr>
          <w:rFonts w:eastAsia="Calibri" w:hint="cs"/>
          <w:rtl/>
        </w:rPr>
        <w:t xml:space="preserve"> בחמישה מישורים עיקריים: מחקר, מניעה, אכיפה, הגנה והכשרות</w:t>
      </w:r>
      <w:r>
        <w:rPr>
          <w:rFonts w:eastAsia="Calibri"/>
          <w:sz w:val="24"/>
          <w:vertAlign w:val="superscript"/>
          <w:rtl/>
        </w:rPr>
        <w:footnoteReference w:id="147"/>
      </w:r>
      <w:r w:rsidRPr="00E303AD">
        <w:rPr>
          <w:rFonts w:eastAsia="Calibri" w:hint="cs"/>
          <w:rtl/>
        </w:rPr>
        <w:t>.</w:t>
      </w:r>
      <w:r w:rsidRPr="00E303AD">
        <w:rPr>
          <w:rFonts w:eastAsia="Calibri"/>
          <w:rtl/>
        </w:rPr>
        <w:t xml:space="preserve"> </w:t>
      </w:r>
      <w:r w:rsidRPr="00E303AD">
        <w:rPr>
          <w:rFonts w:eastAsia="Calibri" w:hint="cs"/>
          <w:rtl/>
        </w:rPr>
        <w:t xml:space="preserve">התוכנית </w:t>
      </w:r>
      <w:r w:rsidRPr="00E303AD">
        <w:rPr>
          <w:rFonts w:eastAsia="Calibri"/>
          <w:rtl/>
        </w:rPr>
        <w:t>חלה על כלל סוגי הסחר בבני אדם</w:t>
      </w:r>
      <w:r w:rsidRPr="00E303AD">
        <w:rPr>
          <w:rFonts w:eastAsia="Calibri" w:hint="cs"/>
          <w:rtl/>
        </w:rPr>
        <w:t>, לרבות: סחר למטרת זנות ועבירות מין, סחר למטרת עבדות ועבודת כפייה, סחר למטרת נטילת איברים מן הגוף, סחר למטרת הולדת ילד ונטילתו</w:t>
      </w:r>
      <w:r>
        <w:rPr>
          <w:rFonts w:eastAsia="Calibri"/>
          <w:sz w:val="24"/>
          <w:vertAlign w:val="superscript"/>
          <w:rtl/>
        </w:rPr>
        <w:footnoteReference w:id="148"/>
      </w:r>
      <w:r w:rsidRPr="00E303AD">
        <w:rPr>
          <w:rFonts w:eastAsia="Calibri" w:hint="cs"/>
          <w:rtl/>
        </w:rPr>
        <w:t>.</w:t>
      </w:r>
    </w:p>
    <w:p w:rsidR="00E303AD" w:rsidRPr="003F31C2" w:rsidP="00E303AD">
      <w:pPr>
        <w:spacing w:line="269" w:lineRule="auto"/>
        <w:ind w:left="-567"/>
        <w:rPr>
          <w:rFonts w:eastAsia="Calibri"/>
          <w:sz w:val="18"/>
          <w:szCs w:val="18"/>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בהחלט</w:t>
      </w:r>
      <w:r w:rsidRPr="00E303AD">
        <w:rPr>
          <w:rFonts w:eastAsia="Calibri" w:hint="cs"/>
          <w:rtl/>
        </w:rPr>
        <w:t xml:space="preserve">ת הממשלה 1862 נקבע כי </w:t>
      </w:r>
      <w:r w:rsidRPr="00E303AD">
        <w:rPr>
          <w:rFonts w:eastAsia="Calibri"/>
          <w:rtl/>
        </w:rPr>
        <w:t xml:space="preserve">סמכות ההכרה בקורבנות סחר בבני אדם </w:t>
      </w:r>
      <w:r w:rsidRPr="00E303AD">
        <w:rPr>
          <w:rFonts w:eastAsia="Calibri" w:hint="cs"/>
          <w:rtl/>
        </w:rPr>
        <w:t xml:space="preserve">תועבר </w:t>
      </w:r>
      <w:r w:rsidRPr="00E303AD">
        <w:rPr>
          <w:rFonts w:eastAsia="Calibri"/>
          <w:rtl/>
        </w:rPr>
        <w:t xml:space="preserve">מהמשטרה ליחידת התיאום, </w:t>
      </w:r>
      <w:r w:rsidRPr="00E303AD">
        <w:rPr>
          <w:rFonts w:eastAsia="Calibri" w:hint="cs"/>
          <w:rtl/>
        </w:rPr>
        <w:t xml:space="preserve">וכי היחידה תקבע </w:t>
      </w:r>
      <w:r w:rsidRPr="00E303AD">
        <w:rPr>
          <w:rFonts w:eastAsia="Calibri"/>
          <w:rtl/>
        </w:rPr>
        <w:t>מנגנון הכרה מינהלי</w:t>
      </w:r>
      <w:r w:rsidRPr="00E303AD">
        <w:rPr>
          <w:rFonts w:eastAsia="Calibri" w:hint="cs"/>
          <w:rtl/>
        </w:rPr>
        <w:t xml:space="preserve"> ותנהל אותו</w:t>
      </w:r>
      <w:r w:rsidRPr="00E303AD">
        <w:rPr>
          <w:rFonts w:eastAsia="Calibri"/>
          <w:rtl/>
        </w:rPr>
        <w:t>, תוך התייעצות עם ועדה מקצועית בין-משרדית</w:t>
      </w:r>
      <w:r>
        <w:rPr>
          <w:rFonts w:eastAsia="Calibri"/>
          <w:vertAlign w:val="superscript"/>
          <w:rtl/>
        </w:rPr>
        <w:footnoteReference w:id="149"/>
      </w:r>
      <w:r w:rsidRPr="00E303AD">
        <w:rPr>
          <w:rFonts w:eastAsia="Calibri"/>
          <w:rtl/>
        </w:rPr>
        <w:t xml:space="preserve">. בכך הממשלה </w:t>
      </w:r>
      <w:r w:rsidRPr="00E303AD">
        <w:rPr>
          <w:rFonts w:eastAsia="Calibri" w:hint="cs"/>
          <w:rtl/>
        </w:rPr>
        <w:t xml:space="preserve">ביקשה </w:t>
      </w:r>
      <w:r w:rsidRPr="00E303AD">
        <w:rPr>
          <w:rFonts w:eastAsia="Calibri"/>
          <w:rtl/>
        </w:rPr>
        <w:t xml:space="preserve">להבטיח הליך רגיש, מקצועי ויעיל יותר עבור הקורבנות, לצד </w:t>
      </w:r>
      <w:r w:rsidRPr="00E303AD">
        <w:rPr>
          <w:rFonts w:eastAsia="Calibri" w:hint="cs"/>
          <w:rtl/>
        </w:rPr>
        <w:t xml:space="preserve">הגברת </w:t>
      </w:r>
      <w:r w:rsidRPr="00E303AD">
        <w:rPr>
          <w:rFonts w:eastAsia="Calibri"/>
          <w:rtl/>
        </w:rPr>
        <w:t>שיתופי הפעולה בין כלל הגורמים הרלוונטיים</w:t>
      </w:r>
      <w:r w:rsidRPr="00E303AD">
        <w:rPr>
          <w:rFonts w:eastAsia="Calibri" w:hint="cs"/>
          <w:rtl/>
        </w:rPr>
        <w:t xml:space="preserve"> -</w:t>
      </w:r>
      <w:r w:rsidRPr="00E303AD">
        <w:rPr>
          <w:rFonts w:eastAsia="Calibri"/>
          <w:rtl/>
        </w:rPr>
        <w:t xml:space="preserve"> משרדי ממשלה, גופי אכיפה, ארגוני </w:t>
      </w:r>
      <w:r w:rsidRPr="00E303AD">
        <w:rPr>
          <w:rFonts w:eastAsia="Calibri" w:hint="cs"/>
          <w:rtl/>
        </w:rPr>
        <w:t>ה</w:t>
      </w:r>
      <w:r w:rsidRPr="00E303AD">
        <w:rPr>
          <w:rFonts w:eastAsia="Calibri"/>
          <w:rtl/>
        </w:rPr>
        <w:t xml:space="preserve">חברה </w:t>
      </w:r>
      <w:r w:rsidRPr="00E303AD">
        <w:rPr>
          <w:rFonts w:eastAsia="Calibri" w:hint="cs"/>
          <w:rtl/>
        </w:rPr>
        <w:t>ה</w:t>
      </w:r>
      <w:r w:rsidRPr="00E303AD">
        <w:rPr>
          <w:rFonts w:eastAsia="Calibri"/>
          <w:rtl/>
        </w:rPr>
        <w:t>אזרחית וגופים בי</w:t>
      </w:r>
      <w:r w:rsidRPr="00E303AD">
        <w:rPr>
          <w:rFonts w:eastAsia="Calibri" w:hint="cs"/>
          <w:rtl/>
        </w:rPr>
        <w:t>ן-</w:t>
      </w:r>
      <w:r w:rsidRPr="00E303AD">
        <w:rPr>
          <w:rFonts w:eastAsia="Calibri"/>
          <w:rtl/>
        </w:rPr>
        <w:t>לאומיים</w:t>
      </w:r>
      <w:r>
        <w:rPr>
          <w:rFonts w:eastAsia="Calibri"/>
          <w:vertAlign w:val="superscript"/>
          <w:rtl/>
        </w:rPr>
        <w:footnoteReference w:id="150"/>
      </w:r>
      <w:r w:rsidRPr="00E303AD">
        <w:rPr>
          <w:rFonts w:eastAsia="Calibri"/>
        </w:rPr>
        <w:t>.</w:t>
      </w:r>
    </w:p>
    <w:p w:rsidR="00E303AD" w:rsidRPr="003F31C2" w:rsidP="00E303AD">
      <w:pPr>
        <w:spacing w:line="269" w:lineRule="auto"/>
        <w:ind w:left="-567"/>
        <w:rPr>
          <w:rFonts w:eastAsia="Calibri"/>
          <w:sz w:val="18"/>
          <w:szCs w:val="18"/>
          <w:rtl/>
        </w:rPr>
      </w:pPr>
      <w:r w:rsidRPr="00E303AD">
        <w:rPr>
          <w:rFonts w:eastAsia="Calibri" w:hint="cs"/>
          <w:szCs w:val="20"/>
          <w:rtl/>
        </w:rPr>
        <w:t xml:space="preserve"> </w:t>
      </w:r>
    </w:p>
    <w:p w:rsidR="00E303AD" w:rsidP="00E303AD">
      <w:pPr>
        <w:spacing w:line="269" w:lineRule="auto"/>
        <w:rPr>
          <w:rFonts w:eastAsia="Calibri"/>
          <w:rtl/>
        </w:rPr>
      </w:pPr>
      <w:r w:rsidRPr="00E303AD">
        <w:rPr>
          <w:rFonts w:eastAsia="Calibri" w:hint="cs"/>
          <w:rtl/>
        </w:rPr>
        <w:t>להלן בתרשים יסוכמו עיקרי החלטת הממשלה 1862:</w:t>
      </w:r>
    </w:p>
    <w:p w:rsidR="003F31C2" w:rsidRPr="003F31C2" w:rsidP="00E303AD">
      <w:pPr>
        <w:spacing w:line="269" w:lineRule="auto"/>
        <w:rPr>
          <w:rFonts w:eastAsia="Calibri"/>
          <w:sz w:val="16"/>
          <w:szCs w:val="20"/>
          <w:rtl/>
        </w:rPr>
      </w:pPr>
    </w:p>
    <w:p w:rsidR="00E303AD" w:rsidRPr="00E303AD" w:rsidP="00E303AD">
      <w:pPr>
        <w:spacing w:line="269" w:lineRule="auto"/>
        <w:jc w:val="center"/>
        <w:rPr>
          <w:rFonts w:eastAsia="Calibri"/>
          <w:b/>
          <w:bCs/>
          <w:rtl/>
        </w:rPr>
      </w:pPr>
      <w:bookmarkStart w:id="169" w:name="_Hlk209946138"/>
      <w:r w:rsidRPr="00E303AD">
        <w:rPr>
          <w:rFonts w:eastAsia="Calibri" w:hint="cs"/>
          <w:rtl/>
        </w:rPr>
        <w:t>תרשים 12:</w:t>
      </w:r>
      <w:r w:rsidRPr="00E303AD">
        <w:rPr>
          <w:rFonts w:eastAsia="Calibri" w:hint="cs"/>
          <w:b/>
          <w:bCs/>
          <w:rtl/>
        </w:rPr>
        <w:t xml:space="preserve"> עיקרי החלטת הממשלה 1862 הנוגעים לסחר למטרות מין</w:t>
      </w:r>
    </w:p>
    <w:p w:rsidR="00E303AD" w:rsidRPr="00E303AD" w:rsidP="00E303AD">
      <w:pPr>
        <w:spacing w:line="269" w:lineRule="auto"/>
        <w:jc w:val="center"/>
        <w:rPr>
          <w:rFonts w:eastAsia="Calibri"/>
          <w:b/>
          <w:bCs/>
        </w:rPr>
      </w:pPr>
      <w:r w:rsidRPr="00E303AD">
        <w:rPr>
          <w:rFonts w:eastAsia="Calibri"/>
          <w:noProof/>
        </w:rPr>
        <w:drawing>
          <wp:inline distT="0" distB="0" distL="0" distR="0">
            <wp:extent cx="4034751" cy="2727297"/>
            <wp:effectExtent l="0" t="0" r="4445" b="0"/>
            <wp:docPr id="79" name="תמונה 79" descr="התרשים מציג את עיקרי החלטת הממשלה 1862 הנוגעים לסחר למטרות מין בחלוקה לארבעה תחומי פעולה, כל אחד עם פירוט של הפעולות הכלולות בו.&#10;&#10;התחום הראשון, &quot;ידע, פיתוח ומחקר&quot;, כולל מחקר מלווה; צוות ייעודי למו&quot;פ; שת&quot;פ בין-משרדי ובין-לאומי; טיוב ממשקי עבודה; הנגשה של נתונים ומערכות מידע.&#10;&#10;התחום השני, &quot;הגנה על קורבנות&quot;, כולל הטמעת מנגנון שיקום חדש; התאמה והנגשה של שירותים; זכויות וליווי בהליך הפלילי*; חזרה בטוחה לארץ המוצא;&#10;התאמת מקלטים למגוון רחב של אוכלוסיות; התאמת מענים לבעלי אזרחות ישראלית.&#10;&#10;התחום השלישי, &quot;אכיפה&quot;, כולל אכיפה יזומה ומשולבת; הקמת צוותים ייעודיים ופורומים קבועים בין-משרדיים; הרחבת האכיפה בתחום הפשיעה הכלכלית ובמרחב הסייבר.&#10;&#10;התחום הרביעי, &quot;הכשרות והעלאת מודעות&quot;, כולל פיתוח תוכנית הכשרה שנתית; ארגון הכשרות ותרגולים; הטמעת גישות מותאמות מגדרית ותרבותית בכלל המערכות הרלוונטיות; הטמעת עקרון אי-הענישה**; ביצוע קמפיין להעלאת המודעות בציב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xmlns:r="http://schemas.openxmlformats.org/officeDocument/2006/relationships" r:embed="rId35"/>
                    <a:stretch>
                      <a:fillRect/>
                    </a:stretch>
                  </pic:blipFill>
                  <pic:spPr>
                    <a:xfrm>
                      <a:off x="0" y="0"/>
                      <a:ext cx="4034751" cy="2727297"/>
                    </a:xfrm>
                    <a:prstGeom prst="rect">
                      <a:avLst/>
                    </a:prstGeom>
                  </pic:spPr>
                </pic:pic>
              </a:graphicData>
            </a:graphic>
          </wp:inline>
        </w:drawing>
      </w:r>
    </w:p>
    <w:p w:rsidR="00E303AD" w:rsidRPr="00E303AD" w:rsidP="00E303AD">
      <w:pPr>
        <w:spacing w:line="269" w:lineRule="auto"/>
        <w:jc w:val="left"/>
        <w:rPr>
          <w:rFonts w:eastAsia="Calibri"/>
          <w:szCs w:val="20"/>
          <w:rtl/>
        </w:rPr>
      </w:pPr>
      <w:bookmarkStart w:id="170" w:name="_Hlk203656887"/>
      <w:r w:rsidRPr="00E303AD">
        <w:rPr>
          <w:rFonts w:eastAsia="Calibri" w:hint="cs"/>
          <w:szCs w:val="20"/>
          <w:rtl/>
        </w:rPr>
        <w:t>על פי החלטת הממשלה 1862 בעיבוד משרד מבקר המדינה</w:t>
      </w:r>
      <w:r>
        <w:rPr>
          <w:rFonts w:eastAsia="Calibri"/>
          <w:vertAlign w:val="superscript"/>
          <w:rtl/>
        </w:rPr>
        <w:footnoteReference w:id="151"/>
      </w:r>
      <w:r w:rsidRPr="00E303AD">
        <w:rPr>
          <w:rFonts w:eastAsia="Calibri" w:hint="cs"/>
          <w:szCs w:val="20"/>
          <w:rtl/>
        </w:rPr>
        <w:t xml:space="preserve">. </w:t>
      </w:r>
      <w:bookmarkEnd w:id="170"/>
    </w:p>
    <w:bookmarkEnd w:id="169"/>
    <w:p w:rsidR="00E303AD" w:rsidRPr="00E303AD" w:rsidP="00E303AD">
      <w:pPr>
        <w:spacing w:line="269" w:lineRule="auto"/>
        <w:rPr>
          <w:rFonts w:eastAsia="Calibri"/>
          <w:sz w:val="18"/>
          <w:szCs w:val="22"/>
          <w:rtl/>
        </w:rPr>
      </w:pPr>
      <w:r w:rsidRPr="00E303AD">
        <w:rPr>
          <w:rFonts w:eastAsia="Calibri" w:hint="cs"/>
          <w:sz w:val="18"/>
          <w:szCs w:val="22"/>
          <w:rtl/>
        </w:rPr>
        <w:t xml:space="preserve">* </w:t>
      </w:r>
      <w:r w:rsidRPr="00E303AD">
        <w:rPr>
          <w:rFonts w:eastAsia="Calibri" w:hint="cs"/>
          <w:szCs w:val="20"/>
          <w:rtl/>
        </w:rPr>
        <w:t xml:space="preserve">במסגרת תיקון חקיקה משנת 2025 </w:t>
      </w:r>
      <w:r w:rsidRPr="00E303AD">
        <w:rPr>
          <w:rFonts w:eastAsia="Calibri"/>
          <w:szCs w:val="20"/>
          <w:rtl/>
        </w:rPr>
        <w:t>הורחב הסיוע המשפטי באופן שיחול גם על עבירות של סחר בבני אדם, וזאת החל משלב החקירה הפלילית</w:t>
      </w:r>
      <w:r w:rsidRPr="00E303AD">
        <w:rPr>
          <w:rFonts w:eastAsia="Calibri" w:hint="cs"/>
          <w:szCs w:val="20"/>
          <w:rtl/>
        </w:rPr>
        <w:t>.</w:t>
      </w:r>
      <w:r w:rsidRPr="00E303AD">
        <w:rPr>
          <w:rFonts w:eastAsia="Calibri" w:hint="cs"/>
          <w:sz w:val="18"/>
          <w:szCs w:val="22"/>
          <w:rtl/>
        </w:rPr>
        <w:t xml:space="preserve"> </w:t>
      </w:r>
    </w:p>
    <w:p w:rsidR="00E303AD" w:rsidRPr="00E303AD" w:rsidP="00E303AD">
      <w:pPr>
        <w:spacing w:line="269" w:lineRule="auto"/>
        <w:rPr>
          <w:rFonts w:eastAsia="Calibri"/>
          <w:sz w:val="16"/>
          <w:szCs w:val="20"/>
          <w:rtl/>
        </w:rPr>
      </w:pPr>
      <w:r w:rsidRPr="00E303AD">
        <w:rPr>
          <w:rFonts w:eastAsia="Calibri" w:hint="cs"/>
          <w:sz w:val="18"/>
          <w:szCs w:val="22"/>
          <w:rtl/>
        </w:rPr>
        <w:t>**</w:t>
      </w:r>
      <w:r w:rsidR="003F31C2">
        <w:rPr>
          <w:rFonts w:eastAsia="Calibri" w:hint="cs"/>
          <w:sz w:val="16"/>
          <w:szCs w:val="20"/>
          <w:rtl/>
        </w:rPr>
        <w:t xml:space="preserve"> </w:t>
      </w:r>
      <w:r w:rsidRPr="00E303AD">
        <w:rPr>
          <w:rFonts w:eastAsia="Calibri" w:hint="cs"/>
          <w:sz w:val="16"/>
          <w:szCs w:val="20"/>
          <w:rtl/>
        </w:rPr>
        <w:t xml:space="preserve">עקרון אי-הענישה קובע שאין מפלילים קורבן סחר בבני אדם בגין עבירות שהן תוצאה של הסחר או הכרוכות בעבירת הסחר. </w:t>
      </w:r>
    </w:p>
    <w:p w:rsidR="00E303AD" w:rsidRPr="00E303AD" w:rsidP="00E303AD">
      <w:pPr>
        <w:spacing w:line="269" w:lineRule="auto"/>
        <w:jc w:val="left"/>
        <w:rPr>
          <w:rFonts w:eastAsia="Calibri"/>
          <w:sz w:val="18"/>
          <w:szCs w:val="22"/>
          <w:rtl/>
        </w:rPr>
      </w:pPr>
      <w:r w:rsidRPr="00E303AD">
        <w:rPr>
          <w:rFonts w:eastAsia="Calibri"/>
          <w:noProof/>
        </w:rPr>
        <w:drawing>
          <wp:inline distT="0" distB="0" distL="0" distR="0">
            <wp:extent cx="5220335" cy="766445"/>
            <wp:effectExtent l="0" t="0" r="0" b="0"/>
            <wp:docPr id="107" name="תמונה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
                    <pic:cNvPicPr/>
                  </pic:nvPicPr>
                  <pic:blipFill>
                    <a:blip xmlns:r="http://schemas.openxmlformats.org/officeDocument/2006/relationships" r:embed="rId36"/>
                    <a:stretch>
                      <a:fillRect/>
                    </a:stretch>
                  </pic:blipFill>
                  <pic:spPr>
                    <a:xfrm>
                      <a:off x="0" y="0"/>
                      <a:ext cx="5220335" cy="766445"/>
                    </a:xfrm>
                    <a:prstGeom prst="rect">
                      <a:avLst/>
                    </a:prstGeom>
                  </pic:spPr>
                </pic:pic>
              </a:graphicData>
            </a:graphic>
          </wp:inline>
        </w:drawing>
      </w:r>
    </w:p>
    <w:p w:rsidR="00E303AD" w:rsidP="00E303AD">
      <w:pPr>
        <w:spacing w:line="269" w:lineRule="auto"/>
        <w:rPr>
          <w:rFonts w:eastAsia="Calibri"/>
          <w:rtl/>
        </w:rPr>
      </w:pPr>
      <w:bookmarkStart w:id="171" w:name="_Toc221474996"/>
      <w:bookmarkStart w:id="172" w:name="_Toc224808297"/>
    </w:p>
    <w:p w:rsidR="00CB7C1A" w:rsidRPr="00E303AD" w:rsidP="00E303AD">
      <w:pPr>
        <w:spacing w:line="269" w:lineRule="auto"/>
        <w:rPr>
          <w:rFonts w:eastAsia="Calibri"/>
          <w:rtl/>
        </w:rPr>
      </w:pPr>
    </w:p>
    <w:p w:rsidR="00E303AD" w:rsidRPr="00E303AD" w:rsidP="00E303AD">
      <w:pPr>
        <w:keepNext/>
        <w:keepLines/>
        <w:spacing w:line="269" w:lineRule="auto"/>
        <w:outlineLvl w:val="2"/>
        <w:rPr>
          <w:rFonts w:eastAsia="Times New Roman"/>
          <w:bCs/>
          <w:szCs w:val="28"/>
          <w:u w:val="single"/>
          <w:rtl/>
        </w:rPr>
      </w:pPr>
      <w:bookmarkStart w:id="173" w:name="_Toc232696570"/>
      <w:r w:rsidRPr="00E303AD">
        <w:rPr>
          <w:rFonts w:eastAsia="Times New Roman" w:hint="cs"/>
          <w:bCs/>
          <w:szCs w:val="28"/>
          <w:u w:val="single"/>
          <w:rtl/>
        </w:rPr>
        <w:t>פעולות יחידת התיאום למאבק בסחר בבני אדם ליישום החלטת הממשלה 1862</w:t>
      </w:r>
      <w:bookmarkEnd w:id="171"/>
      <w:bookmarkEnd w:id="172"/>
      <w:bookmarkEnd w:id="173"/>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 xml:space="preserve">יחידת התיאום היא הגוף המרכזי האחראי </w:t>
      </w:r>
      <w:r w:rsidRPr="00E303AD">
        <w:rPr>
          <w:rFonts w:eastAsia="Calibri" w:hint="cs"/>
          <w:rtl/>
        </w:rPr>
        <w:t>ל</w:t>
      </w:r>
      <w:r w:rsidRPr="00E303AD">
        <w:rPr>
          <w:rFonts w:eastAsia="Calibri"/>
          <w:rtl/>
        </w:rPr>
        <w:t xml:space="preserve">עיצוב, </w:t>
      </w:r>
      <w:r w:rsidRPr="00E303AD">
        <w:rPr>
          <w:rFonts w:eastAsia="Calibri" w:hint="cs"/>
          <w:rtl/>
        </w:rPr>
        <w:t>ל</w:t>
      </w:r>
      <w:r w:rsidRPr="00E303AD">
        <w:rPr>
          <w:rFonts w:eastAsia="Calibri"/>
          <w:rtl/>
        </w:rPr>
        <w:t>תיאום ו</w:t>
      </w:r>
      <w:r w:rsidRPr="00E303AD">
        <w:rPr>
          <w:rFonts w:eastAsia="Calibri" w:hint="cs"/>
          <w:rtl/>
        </w:rPr>
        <w:t>ל</w:t>
      </w:r>
      <w:r w:rsidRPr="00E303AD">
        <w:rPr>
          <w:rFonts w:eastAsia="Calibri"/>
          <w:rtl/>
        </w:rPr>
        <w:t>הובל</w:t>
      </w:r>
      <w:r w:rsidRPr="00E303AD">
        <w:rPr>
          <w:rFonts w:eastAsia="Calibri" w:hint="cs"/>
          <w:rtl/>
        </w:rPr>
        <w:t>ה של</w:t>
      </w:r>
      <w:r w:rsidRPr="00E303AD">
        <w:rPr>
          <w:rFonts w:eastAsia="Calibri"/>
          <w:rtl/>
        </w:rPr>
        <w:t xml:space="preserve"> המדיניות הלאומית בתחום זה. תפקידה המרכזי הוא לגבש ולתאם את הפעילות הבין-משרדית </w:t>
      </w:r>
      <w:r w:rsidRPr="00E303AD">
        <w:rPr>
          <w:rFonts w:eastAsia="Calibri" w:hint="cs"/>
          <w:rtl/>
        </w:rPr>
        <w:t>ל</w:t>
      </w:r>
      <w:r w:rsidRPr="00E303AD">
        <w:rPr>
          <w:rFonts w:eastAsia="Calibri"/>
          <w:rtl/>
        </w:rPr>
        <w:t xml:space="preserve">מאבק בסחר בבני אדם, בזנות ובעבירות פוליגמיה, תוך שיתוף פעולה עם משרדי </w:t>
      </w:r>
      <w:r w:rsidRPr="00E303AD">
        <w:rPr>
          <w:rFonts w:eastAsia="Calibri" w:hint="cs"/>
          <w:rtl/>
        </w:rPr>
        <w:t>ה</w:t>
      </w:r>
      <w:r w:rsidRPr="00E303AD">
        <w:rPr>
          <w:rFonts w:eastAsia="Calibri"/>
          <w:rtl/>
        </w:rPr>
        <w:t xml:space="preserve">ממשלה, גופי </w:t>
      </w:r>
      <w:r w:rsidRPr="00E303AD">
        <w:rPr>
          <w:rFonts w:eastAsia="Calibri" w:hint="cs"/>
          <w:rtl/>
        </w:rPr>
        <w:t>ה</w:t>
      </w:r>
      <w:r w:rsidRPr="00E303AD">
        <w:rPr>
          <w:rFonts w:eastAsia="Calibri"/>
          <w:rtl/>
        </w:rPr>
        <w:t xml:space="preserve">אכיפה, רשויות </w:t>
      </w:r>
      <w:r w:rsidRPr="00E303AD">
        <w:rPr>
          <w:rFonts w:eastAsia="Calibri" w:hint="cs"/>
          <w:rtl/>
        </w:rPr>
        <w:t>ה</w:t>
      </w:r>
      <w:r w:rsidRPr="00E303AD">
        <w:rPr>
          <w:rFonts w:eastAsia="Calibri"/>
          <w:rtl/>
        </w:rPr>
        <w:t xml:space="preserve">רווחה, מערכת הבריאות, ארגוני </w:t>
      </w:r>
      <w:r w:rsidRPr="00E303AD">
        <w:rPr>
          <w:rFonts w:eastAsia="Calibri" w:hint="cs"/>
          <w:rtl/>
        </w:rPr>
        <w:t>ה</w:t>
      </w:r>
      <w:r w:rsidRPr="00E303AD">
        <w:rPr>
          <w:rFonts w:eastAsia="Calibri"/>
          <w:rtl/>
        </w:rPr>
        <w:t xml:space="preserve">חברה </w:t>
      </w:r>
      <w:r w:rsidRPr="00E303AD">
        <w:rPr>
          <w:rFonts w:eastAsia="Calibri" w:hint="cs"/>
          <w:rtl/>
        </w:rPr>
        <w:t>ה</w:t>
      </w:r>
      <w:r w:rsidRPr="00E303AD">
        <w:rPr>
          <w:rFonts w:eastAsia="Calibri"/>
          <w:rtl/>
        </w:rPr>
        <w:t>אזרחית ו</w:t>
      </w:r>
      <w:r w:rsidRPr="00E303AD">
        <w:rPr>
          <w:rFonts w:eastAsia="Calibri" w:hint="cs"/>
          <w:rtl/>
        </w:rPr>
        <w:t>ה</w:t>
      </w:r>
      <w:r w:rsidRPr="00E303AD">
        <w:rPr>
          <w:rFonts w:eastAsia="Calibri"/>
          <w:rtl/>
        </w:rPr>
        <w:t xml:space="preserve">גורמים </w:t>
      </w:r>
      <w:r w:rsidRPr="00E303AD">
        <w:rPr>
          <w:rFonts w:eastAsia="Calibri" w:hint="cs"/>
          <w:rtl/>
        </w:rPr>
        <w:t>ה</w:t>
      </w:r>
      <w:r w:rsidRPr="00E303AD">
        <w:rPr>
          <w:rFonts w:eastAsia="Calibri"/>
          <w:rtl/>
        </w:rPr>
        <w:t>בי</w:t>
      </w:r>
      <w:r w:rsidRPr="00E303AD">
        <w:rPr>
          <w:rFonts w:eastAsia="Calibri" w:hint="cs"/>
          <w:rtl/>
        </w:rPr>
        <w:t>ן-</w:t>
      </w:r>
      <w:r w:rsidRPr="00E303AD">
        <w:rPr>
          <w:rFonts w:eastAsia="Calibri"/>
          <w:rtl/>
        </w:rPr>
        <w:t>לאומיים</w:t>
      </w:r>
      <w:r>
        <w:rPr>
          <w:rFonts w:eastAsia="Calibri"/>
          <w:vertAlign w:val="superscript"/>
          <w:rtl/>
        </w:rPr>
        <w:footnoteReference w:id="152"/>
      </w:r>
      <w:r w:rsidRPr="00E303AD">
        <w:rPr>
          <w:rFonts w:eastAsia="Calibri" w:hint="cs"/>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כמו כן</w:t>
      </w:r>
      <w:r w:rsidRPr="00E303AD">
        <w:rPr>
          <w:rFonts w:eastAsia="Calibri"/>
          <w:rtl/>
        </w:rPr>
        <w:t>, היחידה מנהלת את מנגנון ההכרה בקורבנות סחר בבני אדם</w:t>
      </w:r>
      <w:r>
        <w:rPr>
          <w:rFonts w:eastAsia="Calibri"/>
          <w:vertAlign w:val="superscript"/>
          <w:rtl/>
        </w:rPr>
        <w:footnoteReference w:id="153"/>
      </w:r>
      <w:r w:rsidRPr="00E303AD">
        <w:rPr>
          <w:rFonts w:eastAsia="Calibri" w:hint="cs"/>
          <w:rtl/>
        </w:rPr>
        <w:t>, מנגנון ש</w:t>
      </w:r>
      <w:r w:rsidRPr="00E303AD">
        <w:rPr>
          <w:rFonts w:eastAsia="Calibri"/>
          <w:rtl/>
        </w:rPr>
        <w:t xml:space="preserve">נועד </w:t>
      </w:r>
      <w:r w:rsidRPr="00E303AD">
        <w:rPr>
          <w:rFonts w:eastAsia="Calibri" w:hint="cs"/>
          <w:rtl/>
        </w:rPr>
        <w:t xml:space="preserve">להסדיר </w:t>
      </w:r>
      <w:r w:rsidRPr="00E303AD">
        <w:rPr>
          <w:rFonts w:eastAsia="Calibri"/>
          <w:rtl/>
        </w:rPr>
        <w:t>בחינה יעילה, רגישה ומקיפה של בקשות להכרה בק</w:t>
      </w:r>
      <w:r w:rsidRPr="00E303AD">
        <w:rPr>
          <w:rFonts w:eastAsia="Calibri" w:hint="cs"/>
          <w:rtl/>
        </w:rPr>
        <w:t>ו</w:t>
      </w:r>
      <w:r w:rsidRPr="00E303AD">
        <w:rPr>
          <w:rFonts w:eastAsia="Calibri"/>
          <w:rtl/>
        </w:rPr>
        <w:t>רבנות סחר בבני אדם</w:t>
      </w:r>
      <w:r w:rsidRPr="00E303AD">
        <w:rPr>
          <w:rFonts w:eastAsia="Calibri" w:hint="cs"/>
          <w:rtl/>
        </w:rPr>
        <w:t>. ההליך מתבצע</w:t>
      </w:r>
      <w:r w:rsidRPr="00E303AD">
        <w:rPr>
          <w:rFonts w:eastAsia="Calibri"/>
          <w:rtl/>
        </w:rPr>
        <w:t xml:space="preserve"> תוך התאמה למאפיינים הטראומ</w:t>
      </w:r>
      <w:r w:rsidRPr="00E303AD">
        <w:rPr>
          <w:rFonts w:eastAsia="Calibri" w:hint="cs"/>
          <w:rtl/>
        </w:rPr>
        <w:t>ת</w:t>
      </w:r>
      <w:r w:rsidRPr="00E303AD">
        <w:rPr>
          <w:rFonts w:eastAsia="Calibri"/>
          <w:rtl/>
        </w:rPr>
        <w:t>יים של הפונים</w:t>
      </w:r>
      <w:r w:rsidRPr="00E303AD">
        <w:rPr>
          <w:rFonts w:eastAsia="Calibri" w:hint="cs"/>
          <w:rtl/>
        </w:rPr>
        <w:t xml:space="preserve"> והפחתת </w:t>
      </w:r>
      <w:r w:rsidRPr="00E303AD">
        <w:rPr>
          <w:rFonts w:eastAsia="Calibri"/>
          <w:rtl/>
        </w:rPr>
        <w:t>עיכובים ככל האפשר</w:t>
      </w:r>
      <w:r w:rsidRPr="00E303AD">
        <w:rPr>
          <w:rFonts w:eastAsia="Calibri" w:hint="cs"/>
          <w:rtl/>
        </w:rPr>
        <w:t>. הדבר נועד</w:t>
      </w:r>
      <w:r w:rsidRPr="00E303AD">
        <w:rPr>
          <w:rFonts w:eastAsia="Calibri"/>
          <w:rtl/>
        </w:rPr>
        <w:t xml:space="preserve"> להבטיח </w:t>
      </w:r>
      <w:r w:rsidRPr="00E303AD">
        <w:rPr>
          <w:rFonts w:eastAsia="Calibri" w:hint="cs"/>
          <w:rtl/>
        </w:rPr>
        <w:t>כי תינתן ל</w:t>
      </w:r>
      <w:r w:rsidRPr="00E303AD">
        <w:rPr>
          <w:rFonts w:eastAsia="Calibri"/>
          <w:rtl/>
        </w:rPr>
        <w:t>ק</w:t>
      </w:r>
      <w:r w:rsidRPr="00E303AD">
        <w:rPr>
          <w:rFonts w:eastAsia="Calibri" w:hint="cs"/>
          <w:rtl/>
        </w:rPr>
        <w:t>ו</w:t>
      </w:r>
      <w:r w:rsidRPr="00E303AD">
        <w:rPr>
          <w:rFonts w:eastAsia="Calibri"/>
          <w:rtl/>
        </w:rPr>
        <w:t>רבנות</w:t>
      </w:r>
      <w:r w:rsidRPr="00E303AD">
        <w:rPr>
          <w:rFonts w:eastAsia="Calibri" w:hint="cs"/>
          <w:rtl/>
        </w:rPr>
        <w:t xml:space="preserve"> הסחר בבני אדם גישה מהירה </w:t>
      </w:r>
      <w:r w:rsidRPr="00E303AD">
        <w:rPr>
          <w:rFonts w:eastAsia="Calibri"/>
          <w:rtl/>
        </w:rPr>
        <w:t>למסלולי הגנה, תמיכה ושיקום</w:t>
      </w:r>
      <w:r>
        <w:rPr>
          <w:rFonts w:eastAsia="Calibri"/>
          <w:vertAlign w:val="superscript"/>
          <w:rtl/>
        </w:rPr>
        <w:footnoteReference w:id="154"/>
      </w:r>
      <w:r w:rsidRPr="00E303AD">
        <w:rPr>
          <w:rFonts w:eastAsia="Calibri"/>
        </w:rPr>
        <w:t>.</w:t>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 xml:space="preserve">במסגרת פעילותה היחידה מתאמת שיתופי פעולה בין-לאומיים עם מדינות </w:t>
      </w:r>
      <w:r w:rsidRPr="00E303AD">
        <w:rPr>
          <w:rFonts w:eastAsia="Calibri" w:hint="cs"/>
          <w:rtl/>
        </w:rPr>
        <w:t>ה</w:t>
      </w:r>
      <w:r w:rsidRPr="00E303AD">
        <w:rPr>
          <w:rFonts w:eastAsia="Calibri"/>
          <w:rtl/>
        </w:rPr>
        <w:t>מוצא של קורבנות</w:t>
      </w:r>
      <w:r w:rsidRPr="00E303AD">
        <w:rPr>
          <w:rFonts w:eastAsia="Calibri" w:hint="cs"/>
          <w:rtl/>
        </w:rPr>
        <w:t xml:space="preserve"> סחר בבני אדם</w:t>
      </w:r>
      <w:r w:rsidRPr="00E303AD">
        <w:rPr>
          <w:rFonts w:eastAsia="Calibri"/>
          <w:rtl/>
        </w:rPr>
        <w:t xml:space="preserve"> ומייצגת את מדינת ישראל בפורומים בי</w:t>
      </w:r>
      <w:r w:rsidRPr="00E303AD">
        <w:rPr>
          <w:rFonts w:eastAsia="Calibri" w:hint="cs"/>
          <w:rtl/>
        </w:rPr>
        <w:t>ן-</w:t>
      </w:r>
      <w:r w:rsidRPr="00E303AD">
        <w:rPr>
          <w:rFonts w:eastAsia="Calibri"/>
          <w:rtl/>
        </w:rPr>
        <w:t>לאומיים העוסקים במאבק בתופעה</w:t>
      </w:r>
      <w:r>
        <w:rPr>
          <w:rFonts w:eastAsia="Calibri"/>
          <w:vertAlign w:val="superscript"/>
          <w:rtl/>
        </w:rPr>
        <w:footnoteReference w:id="155"/>
      </w:r>
      <w:r w:rsidRPr="00E303AD">
        <w:rPr>
          <w:rFonts w:eastAsia="Calibri"/>
        </w:rPr>
        <w:t>.</w:t>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כמו כן, </w:t>
      </w:r>
      <w:r w:rsidRPr="00E303AD">
        <w:rPr>
          <w:rFonts w:eastAsia="Calibri"/>
          <w:rtl/>
        </w:rPr>
        <w:t xml:space="preserve">ליחידה </w:t>
      </w:r>
      <w:r w:rsidRPr="00E303AD">
        <w:rPr>
          <w:rFonts w:eastAsia="Calibri" w:hint="cs"/>
          <w:rtl/>
        </w:rPr>
        <w:t>תפקיד מרכזי</w:t>
      </w:r>
      <w:r w:rsidRPr="00E303AD">
        <w:rPr>
          <w:rFonts w:eastAsia="Calibri"/>
          <w:rtl/>
        </w:rPr>
        <w:t xml:space="preserve"> בהבטחת טיפול מקצועי, רגיש ואפקטיבי ב</w:t>
      </w:r>
      <w:r w:rsidRPr="00E303AD">
        <w:rPr>
          <w:rFonts w:eastAsia="Calibri" w:hint="cs"/>
          <w:rtl/>
        </w:rPr>
        <w:t>סוגיית ה</w:t>
      </w:r>
      <w:r w:rsidRPr="00E303AD">
        <w:rPr>
          <w:rFonts w:eastAsia="Calibri"/>
          <w:rtl/>
        </w:rPr>
        <w:t xml:space="preserve">סחר בבני אדם בישראל. היא משמשת מוקד לפניות מצד משרדי ממשלה, ארגוני </w:t>
      </w:r>
      <w:r w:rsidRPr="00E303AD">
        <w:rPr>
          <w:rFonts w:eastAsia="Calibri" w:hint="cs"/>
          <w:rtl/>
        </w:rPr>
        <w:t>ה</w:t>
      </w:r>
      <w:r w:rsidRPr="00E303AD">
        <w:rPr>
          <w:rFonts w:eastAsia="Calibri"/>
          <w:rtl/>
        </w:rPr>
        <w:t xml:space="preserve">חברה </w:t>
      </w:r>
      <w:r w:rsidRPr="00E303AD">
        <w:rPr>
          <w:rFonts w:eastAsia="Calibri" w:hint="cs"/>
          <w:rtl/>
        </w:rPr>
        <w:t>ה</w:t>
      </w:r>
      <w:r w:rsidRPr="00E303AD">
        <w:rPr>
          <w:rFonts w:eastAsia="Calibri"/>
          <w:rtl/>
        </w:rPr>
        <w:t>אזרחית וקורבנות</w:t>
      </w:r>
      <w:r w:rsidRPr="00E303AD">
        <w:rPr>
          <w:rFonts w:eastAsia="Calibri" w:hint="cs"/>
          <w:rtl/>
        </w:rPr>
        <w:t xml:space="preserve"> הסחר בבני אדם</w:t>
      </w:r>
      <w:r w:rsidRPr="00E303AD">
        <w:rPr>
          <w:rFonts w:eastAsia="Calibri"/>
          <w:rtl/>
        </w:rPr>
        <w:t xml:space="preserve"> עצמם. </w:t>
      </w:r>
      <w:r w:rsidRPr="00E303AD">
        <w:rPr>
          <w:rFonts w:eastAsia="Calibri" w:hint="cs"/>
          <w:rtl/>
        </w:rPr>
        <w:t xml:space="preserve">זאת, בין היתר, </w:t>
      </w:r>
      <w:r w:rsidRPr="00E303AD">
        <w:rPr>
          <w:rFonts w:eastAsia="Calibri"/>
          <w:rtl/>
        </w:rPr>
        <w:t xml:space="preserve">במסגרת המשימות שהוטל עליה </w:t>
      </w:r>
      <w:r w:rsidRPr="00E303AD">
        <w:rPr>
          <w:rFonts w:eastAsia="Calibri" w:hint="cs"/>
          <w:rtl/>
        </w:rPr>
        <w:t xml:space="preserve">לבצע, בשיתוף עם 14 משרדי ממשלה, </w:t>
      </w:r>
      <w:r w:rsidRPr="00E303AD">
        <w:rPr>
          <w:rFonts w:eastAsia="Calibri"/>
          <w:rtl/>
        </w:rPr>
        <w:t xml:space="preserve">בהחלטת </w:t>
      </w:r>
      <w:r w:rsidRPr="00E303AD">
        <w:rPr>
          <w:rFonts w:eastAsia="Calibri" w:hint="cs"/>
          <w:rtl/>
        </w:rPr>
        <w:t>ה</w:t>
      </w:r>
      <w:r w:rsidRPr="00E303AD">
        <w:rPr>
          <w:rFonts w:eastAsia="Calibri"/>
          <w:rtl/>
        </w:rPr>
        <w:t>ממשלה 1862</w:t>
      </w:r>
      <w:r w:rsidRPr="00E303AD">
        <w:rPr>
          <w:rFonts w:eastAsia="Calibri" w:hint="cs"/>
          <w:rtl/>
        </w:rPr>
        <w:t xml:space="preserve">. בהתאם להחלטה זו, </w:t>
      </w:r>
      <w:r w:rsidRPr="00E303AD">
        <w:rPr>
          <w:rFonts w:eastAsia="Calibri"/>
          <w:rtl/>
        </w:rPr>
        <w:t>מ</w:t>
      </w:r>
      <w:r w:rsidRPr="00E303AD">
        <w:rPr>
          <w:rFonts w:eastAsia="Calibri" w:hint="cs"/>
          <w:rtl/>
        </w:rPr>
        <w:t>וטלת</w:t>
      </w:r>
      <w:r w:rsidRPr="00E303AD">
        <w:rPr>
          <w:rFonts w:eastAsia="Calibri"/>
          <w:rtl/>
        </w:rPr>
        <w:t xml:space="preserve"> על היחידה אחריות </w:t>
      </w:r>
      <w:r w:rsidRPr="00E303AD">
        <w:rPr>
          <w:rFonts w:eastAsia="Calibri" w:hint="cs"/>
          <w:rtl/>
        </w:rPr>
        <w:t xml:space="preserve">רבה </w:t>
      </w:r>
      <w:r w:rsidRPr="00E303AD">
        <w:rPr>
          <w:rFonts w:eastAsia="Calibri"/>
          <w:rtl/>
        </w:rPr>
        <w:t>לתיאום ו</w:t>
      </w:r>
      <w:r w:rsidRPr="00E303AD">
        <w:rPr>
          <w:rFonts w:eastAsia="Calibri" w:hint="cs"/>
          <w:rtl/>
        </w:rPr>
        <w:t>ל</w:t>
      </w:r>
      <w:r w:rsidRPr="00E303AD">
        <w:rPr>
          <w:rFonts w:eastAsia="Calibri"/>
          <w:rtl/>
        </w:rPr>
        <w:t xml:space="preserve">קידום </w:t>
      </w:r>
      <w:r w:rsidRPr="00E303AD">
        <w:rPr>
          <w:rFonts w:eastAsia="Calibri" w:hint="cs"/>
          <w:rtl/>
        </w:rPr>
        <w:t xml:space="preserve">של </w:t>
      </w:r>
      <w:r w:rsidRPr="00E303AD">
        <w:rPr>
          <w:rFonts w:eastAsia="Calibri"/>
          <w:rtl/>
        </w:rPr>
        <w:t>פעולות המשקפות את יישום ההחלטה ברמה המערכתית</w:t>
      </w:r>
      <w:r>
        <w:rPr>
          <w:rFonts w:eastAsia="Calibri"/>
          <w:vertAlign w:val="superscript"/>
          <w:rtl/>
        </w:rPr>
        <w:footnoteReference w:id="156"/>
      </w:r>
      <w:r w:rsidRPr="00E303AD">
        <w:rPr>
          <w:rFonts w:eastAsia="Calibri"/>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יחידת התיאום פועלת מכוח החלטת הממשלה 63 משנת 2006, ומכוחן של החלטות ממשלה עוקבות, כגורם מתכלל הפועל לתיאום ולהנעה של תהליכים כלל-ממשלתיים בתחום המאבק בסחר בבני אדם. היחידה פועלת מול הגופים שבסמכותם לנקוט צעדים להגנה, למניעה ולאכיפה בתחום עבירות הסחר בבני אדם. בין צעדים אלו נכללים</w:t>
      </w:r>
      <w:r w:rsidRPr="00E303AD">
        <w:rPr>
          <w:rFonts w:eastAsia="Calibri"/>
          <w:rtl/>
        </w:rPr>
        <w:t xml:space="preserve"> הרחבת הסיוע המשפטי לנפגעים</w:t>
      </w:r>
      <w:r w:rsidRPr="00E303AD">
        <w:rPr>
          <w:rFonts w:eastAsia="Calibri" w:hint="cs"/>
          <w:rtl/>
        </w:rPr>
        <w:t xml:space="preserve">, </w:t>
      </w:r>
      <w:r w:rsidRPr="00E303AD">
        <w:rPr>
          <w:rFonts w:eastAsia="Calibri"/>
          <w:rtl/>
        </w:rPr>
        <w:t xml:space="preserve">התאמות </w:t>
      </w:r>
      <w:r w:rsidRPr="00E303AD">
        <w:rPr>
          <w:rFonts w:eastAsia="Calibri" w:hint="cs"/>
          <w:rtl/>
        </w:rPr>
        <w:t xml:space="preserve">שניתנות לקורבנות </w:t>
      </w:r>
      <w:r w:rsidRPr="00E303AD">
        <w:rPr>
          <w:rFonts w:eastAsia="Calibri"/>
          <w:rtl/>
        </w:rPr>
        <w:t>בהליכי מתן עדות</w:t>
      </w:r>
      <w:r w:rsidRPr="00E303AD">
        <w:rPr>
          <w:rFonts w:eastAsia="Calibri" w:hint="cs"/>
          <w:rtl/>
        </w:rPr>
        <w:t>,</w:t>
      </w:r>
      <w:r w:rsidRPr="00E303AD">
        <w:rPr>
          <w:rFonts w:eastAsia="Calibri"/>
          <w:rtl/>
        </w:rPr>
        <w:t xml:space="preserve"> לרבות עדות מוקדמת או היוועדות חזותית, הטמעת עקרון אי</w:t>
      </w:r>
      <w:r w:rsidRPr="00E303AD">
        <w:rPr>
          <w:rFonts w:eastAsia="Calibri" w:hint="cs"/>
          <w:rtl/>
        </w:rPr>
        <w:t>-</w:t>
      </w:r>
      <w:r w:rsidRPr="00E303AD">
        <w:rPr>
          <w:rFonts w:eastAsia="Calibri"/>
          <w:rtl/>
        </w:rPr>
        <w:t>הענישה לנפגעים,</w:t>
      </w:r>
      <w:r w:rsidRPr="00E303AD">
        <w:rPr>
          <w:rFonts w:eastAsia="Calibri" w:hint="cs"/>
          <w:rtl/>
        </w:rPr>
        <w:t xml:space="preserve"> </w:t>
      </w:r>
      <w:r w:rsidRPr="00E303AD">
        <w:rPr>
          <w:rFonts w:eastAsia="Calibri"/>
          <w:rtl/>
        </w:rPr>
        <w:t>התאמת צוותי המקלט למציאות המשתנה של תופעת הסחר</w:t>
      </w:r>
      <w:r w:rsidRPr="00E303AD">
        <w:rPr>
          <w:rFonts w:eastAsia="Calibri" w:hint="cs"/>
          <w:rtl/>
        </w:rPr>
        <w:t xml:space="preserve"> בבני אדם,</w:t>
      </w:r>
      <w:r w:rsidRPr="00E303AD">
        <w:rPr>
          <w:rFonts w:eastAsia="Calibri"/>
          <w:rtl/>
        </w:rPr>
        <w:t xml:space="preserve"> הבטחת נגישות </w:t>
      </w:r>
      <w:r w:rsidRPr="00E303AD">
        <w:rPr>
          <w:rFonts w:eastAsia="Calibri" w:hint="cs"/>
          <w:rtl/>
        </w:rPr>
        <w:t xml:space="preserve">של </w:t>
      </w:r>
      <w:r w:rsidRPr="00E303AD">
        <w:rPr>
          <w:rFonts w:eastAsia="Calibri"/>
          <w:rtl/>
        </w:rPr>
        <w:t xml:space="preserve">מתורגמנים, </w:t>
      </w:r>
      <w:r w:rsidRPr="00E303AD">
        <w:rPr>
          <w:rFonts w:eastAsia="Calibri" w:hint="cs"/>
          <w:rtl/>
        </w:rPr>
        <w:t>ו</w:t>
      </w:r>
      <w:r w:rsidRPr="00E303AD">
        <w:rPr>
          <w:rFonts w:eastAsia="Calibri"/>
          <w:rtl/>
        </w:rPr>
        <w:t>קיום מפגשים סדירים של כלל הגופים המלווים את קורבנו</w:t>
      </w:r>
      <w:r w:rsidRPr="00E303AD">
        <w:rPr>
          <w:rFonts w:eastAsia="Calibri" w:hint="cs"/>
          <w:rtl/>
        </w:rPr>
        <w:t>ת הסחר בבני אדם</w:t>
      </w:r>
      <w:r>
        <w:rPr>
          <w:rFonts w:eastAsia="Calibri"/>
          <w:vertAlign w:val="superscript"/>
          <w:rtl/>
        </w:rPr>
        <w:footnoteReference w:id="157"/>
      </w:r>
      <w:r w:rsidRPr="00E303AD">
        <w:rPr>
          <w:rFonts w:eastAsia="Calibri"/>
        </w:rPr>
        <w:t>.</w:t>
      </w:r>
      <w:r w:rsidRPr="00E303AD">
        <w:rPr>
          <w:rFonts w:eastAsia="Calibri" w:hint="cs"/>
          <w:rtl/>
        </w:rPr>
        <w:t xml:space="preserve"> </w:t>
      </w:r>
      <w:bookmarkStart w:id="174" w:name="_Hlk232347786"/>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התוכנית הלאומית הרב-שנתית למאבק בסחר בבני אדם</w:t>
      </w:r>
      <w:r w:rsidRPr="00E303AD">
        <w:rPr>
          <w:rFonts w:eastAsia="Calibri" w:hint="cs"/>
          <w:rtl/>
        </w:rPr>
        <w:t>,</w:t>
      </w:r>
      <w:r w:rsidRPr="00E303AD">
        <w:rPr>
          <w:rFonts w:eastAsia="Calibri"/>
          <w:rtl/>
        </w:rPr>
        <w:t xml:space="preserve"> כפי שנקבעה בהחלטה</w:t>
      </w:r>
      <w:r w:rsidRPr="00E303AD">
        <w:rPr>
          <w:rFonts w:eastAsia="Calibri" w:hint="cs"/>
          <w:rtl/>
        </w:rPr>
        <w:t xml:space="preserve"> הממשלה</w:t>
      </w:r>
      <w:r w:rsidRPr="00E303AD">
        <w:rPr>
          <w:rFonts w:eastAsia="Calibri"/>
          <w:rtl/>
        </w:rPr>
        <w:t xml:space="preserve"> 1862</w:t>
      </w:r>
      <w:r w:rsidRPr="00E303AD">
        <w:rPr>
          <w:rFonts w:eastAsia="Calibri" w:hint="cs"/>
          <w:rtl/>
        </w:rPr>
        <w:t>,</w:t>
      </w:r>
      <w:r w:rsidRPr="00E303AD">
        <w:rPr>
          <w:rFonts w:eastAsia="Calibri"/>
          <w:rtl/>
        </w:rPr>
        <w:t xml:space="preserve"> </w:t>
      </w:r>
      <w:r w:rsidRPr="00E303AD">
        <w:rPr>
          <w:rFonts w:eastAsia="Calibri" w:hint="cs"/>
          <w:rtl/>
        </w:rPr>
        <w:t xml:space="preserve">היא כאמור תוכנית חומש משנת </w:t>
      </w:r>
      <w:r w:rsidRPr="00E303AD">
        <w:rPr>
          <w:rFonts w:eastAsia="Calibri"/>
          <w:rtl/>
        </w:rPr>
        <w:t xml:space="preserve">2022 </w:t>
      </w:r>
      <w:r w:rsidRPr="00E303AD">
        <w:rPr>
          <w:rFonts w:eastAsia="Calibri" w:hint="cs"/>
          <w:rtl/>
        </w:rPr>
        <w:t>אשר מסתיימת בחודשים הקרובים - בסוף שנת 2026. במסגרת התוכנית, ו</w:t>
      </w:r>
      <w:r w:rsidRPr="00E303AD">
        <w:rPr>
          <w:rFonts w:eastAsia="Calibri"/>
          <w:rtl/>
        </w:rPr>
        <w:t>מכוח ה</w:t>
      </w:r>
      <w:r w:rsidRPr="00E303AD">
        <w:rPr>
          <w:rFonts w:eastAsia="Calibri" w:hint="cs"/>
          <w:rtl/>
        </w:rPr>
        <w:t>ה</w:t>
      </w:r>
      <w:r w:rsidRPr="00E303AD">
        <w:rPr>
          <w:rFonts w:eastAsia="Calibri"/>
          <w:rtl/>
        </w:rPr>
        <w:t>חלט</w:t>
      </w:r>
      <w:r w:rsidRPr="00E303AD">
        <w:rPr>
          <w:rFonts w:eastAsia="Calibri" w:hint="cs"/>
          <w:rtl/>
        </w:rPr>
        <w:t>ה,</w:t>
      </w:r>
      <w:r w:rsidRPr="00E303AD">
        <w:rPr>
          <w:rFonts w:eastAsia="Calibri"/>
          <w:rtl/>
        </w:rPr>
        <w:t xml:space="preserve"> הוטלו </w:t>
      </w:r>
      <w:r w:rsidRPr="00E303AD">
        <w:rPr>
          <w:rFonts w:eastAsia="Calibri" w:hint="cs"/>
          <w:rtl/>
        </w:rPr>
        <w:t xml:space="preserve">משימות רבות על גופים שונים, לרבות </w:t>
      </w:r>
      <w:r w:rsidRPr="00E303AD">
        <w:rPr>
          <w:rFonts w:eastAsia="Calibri"/>
          <w:rtl/>
        </w:rPr>
        <w:t>על יחידת התיאום</w:t>
      </w:r>
      <w:r w:rsidRPr="00E303AD">
        <w:rPr>
          <w:rFonts w:eastAsia="Calibri" w:hint="cs"/>
          <w:rtl/>
        </w:rPr>
        <w:t>. היחידה פעלה לקדם אותן באופן מדורג,</w:t>
      </w:r>
      <w:r w:rsidRPr="00E303AD">
        <w:rPr>
          <w:rFonts w:eastAsia="Calibri"/>
          <w:rtl/>
        </w:rPr>
        <w:t xml:space="preserve"> בפריסה על פני שנות ביצועה של התוכנית, </w:t>
      </w:r>
      <w:r w:rsidRPr="00E303AD">
        <w:rPr>
          <w:rFonts w:eastAsia="Calibri" w:hint="cs"/>
          <w:rtl/>
        </w:rPr>
        <w:t>ונכון למאי 2026 קידמה חלק ניכר מהמשימות שהוטלו עליה</w:t>
      </w:r>
      <w:bookmarkEnd w:id="174"/>
      <w:r w:rsidRPr="00E303AD">
        <w:rPr>
          <w:rFonts w:eastAsia="Calibri" w:hint="cs"/>
          <w:rtl/>
        </w:rPr>
        <w:t xml:space="preserve">, </w:t>
      </w:r>
      <w:bookmarkStart w:id="175" w:name="_Hlk232347715"/>
      <w:r w:rsidRPr="00E303AD">
        <w:rPr>
          <w:rFonts w:eastAsia="Calibri" w:hint="cs"/>
          <w:rtl/>
        </w:rPr>
        <w:t>לרבות</w:t>
      </w:r>
      <w:r w:rsidRPr="00E303AD">
        <w:rPr>
          <w:rFonts w:eastAsia="Calibri" w:hint="cs"/>
          <w:sz w:val="16"/>
          <w:szCs w:val="20"/>
          <w:rtl/>
        </w:rPr>
        <w:t xml:space="preserve"> </w:t>
      </w:r>
      <w:r w:rsidRPr="00E303AD">
        <w:rPr>
          <w:rFonts w:eastAsia="Calibri" w:hint="cs"/>
          <w:rtl/>
        </w:rPr>
        <w:t xml:space="preserve">השקה והטמעה של מודל הגנה </w:t>
      </w:r>
      <w:r w:rsidRPr="00E303AD">
        <w:rPr>
          <w:rFonts w:eastAsia="Calibri" w:hint="cs"/>
          <w:rtl/>
        </w:rPr>
        <w:t xml:space="preserve">חדש על קורבנות סחר בבני אדם; הרחבה של שירותי הבריאות לקורבנות הסחר; יישום תיקון חקיקה שלפיו החל מאפריל 2025 ניתן סיוע משפטי לנפגעים גם בייצוג וקבלת ייעוץ במימוש זכויותיהם כנפגעי עבירה בהליכים הפליליים המתנהלים נגד הפוגעים; </w:t>
      </w:r>
      <w:bookmarkStart w:id="176" w:name="_Hlk232348880"/>
      <w:r w:rsidRPr="00E303AD">
        <w:rPr>
          <w:rFonts w:eastAsia="Calibri" w:hint="cs"/>
          <w:rtl/>
        </w:rPr>
        <w:t>הטמעה וביסוס של מנגנון הכרה חדש בקורבנות סחר וחיזוק שיתופי הפעולה הבין-משרדיים בנושא</w:t>
      </w:r>
      <w:bookmarkEnd w:id="176"/>
      <w:r w:rsidRPr="00E303AD">
        <w:rPr>
          <w:rFonts w:eastAsia="Calibri" w:hint="cs"/>
          <w:rtl/>
        </w:rPr>
        <w:t xml:space="preserve">; קידום של הקמת שני מחלקי מוסר במשטרה והקצאת כוח אדם ייעודי לטיפול בעבירות סחר בפרקליטות; ביסוס פורום עבודה משותף של המשטרה והפרקליטות. </w:t>
      </w:r>
    </w:p>
    <w:bookmarkEnd w:id="175"/>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b/>
          <w:bCs/>
          <w:rtl/>
        </w:rPr>
        <w:t>משרד מבקר המדינה בחן את המשימות שנותרו לביצוע על ידי יחידת התיאום</w:t>
      </w:r>
      <w:r w:rsidRPr="00E303AD">
        <w:rPr>
          <w:rFonts w:eastAsia="Calibri" w:hint="cs"/>
          <w:b/>
          <w:bCs/>
          <w:rtl/>
        </w:rPr>
        <w:t xml:space="preserve"> בהתאם להחלטת הממשלה 1862, וזאת על רקע</w:t>
      </w:r>
      <w:r w:rsidRPr="00E303AD">
        <w:rPr>
          <w:rFonts w:eastAsia="Calibri"/>
          <w:b/>
          <w:bCs/>
          <w:rtl/>
        </w:rPr>
        <w:t xml:space="preserve"> </w:t>
      </w:r>
      <w:r w:rsidRPr="00E303AD">
        <w:rPr>
          <w:rFonts w:eastAsia="Calibri" w:hint="eastAsia"/>
          <w:b/>
          <w:bCs/>
          <w:rtl/>
        </w:rPr>
        <w:t>היותה</w:t>
      </w:r>
      <w:r w:rsidRPr="00E303AD">
        <w:rPr>
          <w:rFonts w:eastAsia="Calibri"/>
          <w:b/>
          <w:bCs/>
          <w:rtl/>
        </w:rPr>
        <w:t xml:space="preserve"> הגוף </w:t>
      </w:r>
      <w:r w:rsidRPr="00E303AD">
        <w:rPr>
          <w:rFonts w:eastAsia="Calibri" w:hint="cs"/>
          <w:b/>
          <w:bCs/>
          <w:rtl/>
        </w:rPr>
        <w:t>הפועל לתיאום המערכת הממשלתית, לשיתוף הפעולה בין כלל הרשויות ובין הגופים הפועלים בתחום ולקידום מדיניות ממשלתית אפקטיבית במישורי האכיפה, המניעה וההגנה על הקורבנות ב</w:t>
      </w:r>
      <w:r w:rsidRPr="00E303AD">
        <w:rPr>
          <w:rFonts w:eastAsia="Calibri"/>
          <w:b/>
          <w:bCs/>
          <w:rtl/>
        </w:rPr>
        <w:t>תחו</w:t>
      </w:r>
      <w:r w:rsidRPr="00E303AD">
        <w:rPr>
          <w:rFonts w:eastAsia="Calibri" w:hint="cs"/>
          <w:b/>
          <w:bCs/>
          <w:rtl/>
        </w:rPr>
        <w:t>מי</w:t>
      </w:r>
      <w:r w:rsidRPr="00E303AD">
        <w:rPr>
          <w:rFonts w:eastAsia="Calibri"/>
          <w:b/>
          <w:bCs/>
          <w:rtl/>
        </w:rPr>
        <w:t xml:space="preserve"> </w:t>
      </w:r>
      <w:r w:rsidRPr="00E303AD">
        <w:rPr>
          <w:rFonts w:eastAsia="Calibri" w:hint="cs"/>
          <w:b/>
          <w:bCs/>
          <w:rtl/>
        </w:rPr>
        <w:t>המאבק בתופעת הסחר בבני אדם</w:t>
      </w:r>
      <w:r w:rsidRPr="00E303AD">
        <w:rPr>
          <w:rFonts w:eastAsia="Calibri"/>
          <w:b/>
          <w:bCs/>
          <w:rtl/>
        </w:rPr>
        <w:t xml:space="preserve"> </w:t>
      </w:r>
      <w:r w:rsidRPr="00E303AD">
        <w:rPr>
          <w:rFonts w:eastAsia="Calibri" w:hint="cs"/>
          <w:b/>
          <w:bCs/>
          <w:rtl/>
        </w:rPr>
        <w:t xml:space="preserve">ובתופעת הזנות. </w:t>
      </w:r>
      <w:r w:rsidRPr="00E303AD">
        <w:rPr>
          <w:rFonts w:eastAsia="Calibri"/>
          <w:b/>
          <w:bCs/>
          <w:rtl/>
        </w:rPr>
        <w:t>להלן יפורטו המשימות שטרם בוצעו</w:t>
      </w:r>
      <w:r w:rsidRPr="00E303AD">
        <w:rPr>
          <w:rFonts w:eastAsia="Calibri" w:hint="cs"/>
          <w:b/>
          <w:bCs/>
          <w:rtl/>
        </w:rPr>
        <w:t xml:space="preserve"> על ידי יחידת התיאום,</w:t>
      </w:r>
      <w:r w:rsidRPr="00E303AD">
        <w:rPr>
          <w:rFonts w:eastAsia="Calibri"/>
          <w:b/>
          <w:bCs/>
          <w:rtl/>
        </w:rPr>
        <w:t xml:space="preserve"> </w:t>
      </w:r>
      <w:r w:rsidRPr="00E303AD">
        <w:rPr>
          <w:rFonts w:eastAsia="Calibri" w:hint="cs"/>
          <w:b/>
          <w:bCs/>
          <w:rtl/>
        </w:rPr>
        <w:t>בשים לב</w:t>
      </w:r>
      <w:r w:rsidRPr="00E303AD">
        <w:rPr>
          <w:rFonts w:eastAsia="Calibri"/>
          <w:b/>
          <w:bCs/>
          <w:rtl/>
        </w:rPr>
        <w:t xml:space="preserve"> לפרק הזמן </w:t>
      </w:r>
      <w:r w:rsidRPr="00E303AD">
        <w:rPr>
          <w:rFonts w:eastAsia="Calibri" w:hint="cs"/>
          <w:b/>
          <w:bCs/>
          <w:rtl/>
        </w:rPr>
        <w:t>של מספר חודשים</w:t>
      </w:r>
      <w:r w:rsidRPr="00E303AD">
        <w:rPr>
          <w:rFonts w:eastAsia="Calibri"/>
          <w:b/>
          <w:bCs/>
          <w:rtl/>
        </w:rPr>
        <w:t xml:space="preserve"> שנותר להשלמתן</w:t>
      </w:r>
      <w:r w:rsidRPr="00E303AD">
        <w:rPr>
          <w:rFonts w:eastAsia="Calibri" w:hint="cs"/>
          <w:b/>
          <w:bCs/>
          <w:rtl/>
        </w:rPr>
        <w:t xml:space="preserve"> בהתאם להחלטת הממשלה - סוף שנת 2026.</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bookmarkStart w:id="177" w:name="_Toc221474997"/>
      <w:bookmarkStart w:id="178" w:name="_Toc221475136"/>
      <w:r w:rsidRPr="00E303AD">
        <w:rPr>
          <w:rFonts w:eastAsia="Times New Roman" w:hint="eastAsia"/>
          <w:bCs/>
          <w:spacing w:val="40"/>
          <w:rtl/>
        </w:rPr>
        <w:t>הגברת</w:t>
      </w:r>
      <w:r w:rsidRPr="00E303AD">
        <w:rPr>
          <w:rFonts w:eastAsia="Times New Roman"/>
          <w:bCs/>
          <w:spacing w:val="40"/>
          <w:rtl/>
        </w:rPr>
        <w:t xml:space="preserve"> </w:t>
      </w:r>
      <w:r w:rsidRPr="00E303AD">
        <w:rPr>
          <w:rFonts w:eastAsia="Times New Roman" w:hint="eastAsia"/>
          <w:bCs/>
          <w:spacing w:val="40"/>
          <w:rtl/>
        </w:rPr>
        <w:t>שיתוף</w:t>
      </w:r>
      <w:r w:rsidRPr="00E303AD">
        <w:rPr>
          <w:rFonts w:eastAsia="Times New Roman"/>
          <w:bCs/>
          <w:spacing w:val="40"/>
          <w:rtl/>
        </w:rPr>
        <w:t xml:space="preserve"> </w:t>
      </w:r>
      <w:r w:rsidRPr="00E303AD">
        <w:rPr>
          <w:rFonts w:eastAsia="Times New Roman" w:hint="eastAsia"/>
          <w:bCs/>
          <w:spacing w:val="40"/>
          <w:rtl/>
        </w:rPr>
        <w:t>הפעולה</w:t>
      </w:r>
      <w:r w:rsidRPr="00E303AD">
        <w:rPr>
          <w:rFonts w:eastAsia="Times New Roman"/>
          <w:bCs/>
          <w:spacing w:val="40"/>
          <w:rtl/>
        </w:rPr>
        <w:t xml:space="preserve"> </w:t>
      </w:r>
      <w:r w:rsidRPr="00E303AD">
        <w:rPr>
          <w:rFonts w:eastAsia="Times New Roman" w:hint="eastAsia"/>
          <w:bCs/>
          <w:spacing w:val="40"/>
          <w:rtl/>
        </w:rPr>
        <w:t>בין</w:t>
      </w:r>
      <w:r w:rsidRPr="00E303AD">
        <w:rPr>
          <w:rFonts w:eastAsia="Times New Roman"/>
          <w:bCs/>
          <w:spacing w:val="40"/>
          <w:rtl/>
        </w:rPr>
        <w:t xml:space="preserve"> </w:t>
      </w:r>
      <w:r w:rsidRPr="00E303AD">
        <w:rPr>
          <w:rFonts w:eastAsia="Times New Roman" w:hint="cs"/>
          <w:bCs/>
          <w:spacing w:val="40"/>
          <w:rtl/>
        </w:rPr>
        <w:t>מינהל אכיפה למשטרה</w:t>
      </w:r>
      <w:r w:rsidRPr="00E303AD">
        <w:rPr>
          <w:rFonts w:eastAsia="Times New Roman"/>
          <w:bCs/>
          <w:spacing w:val="40"/>
          <w:rtl/>
        </w:rPr>
        <w:t>:</w:t>
      </w:r>
      <w:bookmarkEnd w:id="177"/>
      <w:bookmarkEnd w:id="178"/>
      <w:r w:rsidRPr="00E303AD">
        <w:rPr>
          <w:rFonts w:eastAsia="Calibri" w:hint="cs"/>
          <w:rtl/>
        </w:rPr>
        <w:t xml:space="preserve"> לפי החלטת הממשלה 1862, </w:t>
      </w:r>
      <w:bookmarkStart w:id="179" w:name="_Hlk224724917"/>
      <w:r w:rsidRPr="00E303AD">
        <w:rPr>
          <w:rFonts w:eastAsia="Calibri"/>
          <w:rtl/>
        </w:rPr>
        <w:t xml:space="preserve">יחידת התיאום נושאת באחריות </w:t>
      </w:r>
      <w:r w:rsidRPr="00E303AD">
        <w:rPr>
          <w:rFonts w:eastAsia="Calibri" w:hint="cs"/>
          <w:rtl/>
        </w:rPr>
        <w:t>ה</w:t>
      </w:r>
      <w:r w:rsidRPr="00E303AD">
        <w:rPr>
          <w:rFonts w:eastAsia="Calibri"/>
          <w:rtl/>
        </w:rPr>
        <w:t xml:space="preserve">מרכזית </w:t>
      </w:r>
      <w:r w:rsidRPr="00E303AD">
        <w:rPr>
          <w:rFonts w:eastAsia="Calibri" w:hint="cs"/>
          <w:rtl/>
        </w:rPr>
        <w:t xml:space="preserve">ל"הגברת שיתוף הפעולה בין גורמי האכיפה הפליליים והאזרחיים". </w:t>
      </w:r>
      <w:bookmarkEnd w:id="179"/>
      <w:r w:rsidRPr="00E303AD">
        <w:rPr>
          <w:rFonts w:eastAsia="Calibri" w:hint="cs"/>
          <w:rtl/>
        </w:rPr>
        <w:t>לשם טיוב ממשקי העבודה בין הגופים האמונים על המאבק בסחר בבני אדם, עליה להבנות מנגנון לעבודה משותפת עם משרדי ממשלה וגופים נוספים, כמפורט בנספח להחלטת הממשלה</w:t>
      </w:r>
      <w:r>
        <w:rPr>
          <w:rFonts w:eastAsia="Calibri"/>
          <w:vertAlign w:val="superscript"/>
          <w:rtl/>
        </w:rPr>
        <w:footnoteReference w:id="158"/>
      </w:r>
      <w:r w:rsidRPr="00E303AD">
        <w:rPr>
          <w:rFonts w:eastAsia="Calibri" w:hint="cs"/>
          <w:rtl/>
        </w:rPr>
        <w:t>. עם גופים אלו נמנה מינהל אכיפה, האחראי להסדרת מעמדם החוקי של זרים בישראל, ל</w:t>
      </w:r>
      <w:r w:rsidRPr="00E303AD">
        <w:rPr>
          <w:rFonts w:eastAsia="Calibri"/>
          <w:rtl/>
        </w:rPr>
        <w:t>אכיפת חוקי השהייה</w:t>
      </w:r>
      <w:r w:rsidRPr="00E303AD">
        <w:rPr>
          <w:rFonts w:eastAsia="Calibri" w:hint="cs"/>
          <w:rtl/>
        </w:rPr>
        <w:t xml:space="preserve"> </w:t>
      </w:r>
      <w:r w:rsidRPr="00E303AD">
        <w:rPr>
          <w:rFonts w:eastAsia="Calibri"/>
          <w:rtl/>
        </w:rPr>
        <w:t>והתעסוקה</w:t>
      </w:r>
      <w:r w:rsidRPr="00E303AD">
        <w:rPr>
          <w:rFonts w:eastAsia="Calibri" w:hint="cs"/>
          <w:rtl/>
        </w:rPr>
        <w:t xml:space="preserve"> בישראל</w:t>
      </w:r>
      <w:r w:rsidRPr="00E303AD">
        <w:rPr>
          <w:rFonts w:eastAsia="Calibri"/>
          <w:rtl/>
        </w:rPr>
        <w:t xml:space="preserve">, </w:t>
      </w:r>
      <w:r w:rsidRPr="00E303AD">
        <w:rPr>
          <w:rFonts w:eastAsia="Calibri" w:hint="cs"/>
          <w:rtl/>
        </w:rPr>
        <w:t>ל</w:t>
      </w:r>
      <w:r w:rsidRPr="00E303AD">
        <w:rPr>
          <w:rFonts w:eastAsia="Calibri"/>
          <w:rtl/>
        </w:rPr>
        <w:t>טיפול במסתננים ו</w:t>
      </w:r>
      <w:r w:rsidRPr="00E303AD">
        <w:rPr>
          <w:rFonts w:eastAsia="Calibri" w:hint="cs"/>
          <w:rtl/>
        </w:rPr>
        <w:t>ב</w:t>
      </w:r>
      <w:r w:rsidRPr="00E303AD">
        <w:rPr>
          <w:rFonts w:eastAsia="Calibri"/>
          <w:rtl/>
        </w:rPr>
        <w:t xml:space="preserve">מבקשי מקלט, </w:t>
      </w:r>
      <w:r w:rsidRPr="00E303AD">
        <w:rPr>
          <w:rFonts w:eastAsia="Calibri" w:hint="cs"/>
          <w:rtl/>
        </w:rPr>
        <w:t>ל</w:t>
      </w:r>
      <w:r w:rsidRPr="00E303AD">
        <w:rPr>
          <w:rFonts w:eastAsia="Calibri"/>
          <w:rtl/>
        </w:rPr>
        <w:t xml:space="preserve">מתן מענה </w:t>
      </w:r>
      <w:r w:rsidRPr="00E303AD">
        <w:rPr>
          <w:rFonts w:eastAsia="Calibri" w:hint="cs"/>
          <w:rtl/>
        </w:rPr>
        <w:t xml:space="preserve">על פניות </w:t>
      </w:r>
      <w:r w:rsidRPr="00E303AD">
        <w:rPr>
          <w:rFonts w:eastAsia="Calibri"/>
          <w:rtl/>
        </w:rPr>
        <w:t>הציבור ו</w:t>
      </w:r>
      <w:r w:rsidRPr="00E303AD">
        <w:rPr>
          <w:rFonts w:eastAsia="Calibri" w:hint="cs"/>
          <w:rtl/>
        </w:rPr>
        <w:t>ל</w:t>
      </w:r>
      <w:r w:rsidRPr="00E303AD">
        <w:rPr>
          <w:rFonts w:eastAsia="Calibri"/>
          <w:rtl/>
        </w:rPr>
        <w:t>זיהוי עבירות סחר בבני אדם</w:t>
      </w:r>
      <w:r>
        <w:rPr>
          <w:rFonts w:eastAsia="Calibri"/>
          <w:vertAlign w:val="superscript"/>
          <w:rtl/>
        </w:rPr>
        <w:footnoteReference w:id="159"/>
      </w:r>
      <w:r w:rsidRPr="00E303AD">
        <w:rPr>
          <w:rFonts w:eastAsia="Calibri"/>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Pr>
      </w:pPr>
      <w:r w:rsidRPr="00E303AD">
        <w:rPr>
          <w:rFonts w:eastAsia="Calibri" w:hint="cs"/>
          <w:rtl/>
        </w:rPr>
        <w:t xml:space="preserve">המאבק בסחר בבני אדם מחייב </w:t>
      </w:r>
      <w:r w:rsidRPr="00E303AD">
        <w:rPr>
          <w:rFonts w:eastAsia="Calibri"/>
          <w:rtl/>
        </w:rPr>
        <w:t xml:space="preserve">שיתוף פעולה </w:t>
      </w:r>
      <w:r w:rsidRPr="00E303AD">
        <w:rPr>
          <w:rFonts w:eastAsia="Calibri" w:hint="cs"/>
          <w:rtl/>
        </w:rPr>
        <w:t>בין מינהל אכיפה ל</w:t>
      </w:r>
      <w:r w:rsidRPr="00E303AD">
        <w:rPr>
          <w:rFonts w:eastAsia="Calibri"/>
          <w:rtl/>
        </w:rPr>
        <w:t>משטרה</w:t>
      </w:r>
      <w:r w:rsidRPr="00E303AD">
        <w:rPr>
          <w:rFonts w:eastAsia="Calibri" w:hint="cs"/>
          <w:rtl/>
        </w:rPr>
        <w:t>. שיתוף פעולה זה ראוי</w:t>
      </w:r>
      <w:r w:rsidRPr="00E303AD">
        <w:rPr>
          <w:rFonts w:eastAsia="Calibri"/>
          <w:rtl/>
        </w:rPr>
        <w:t xml:space="preserve"> </w:t>
      </w:r>
      <w:r w:rsidRPr="00E303AD">
        <w:rPr>
          <w:rFonts w:eastAsia="Calibri" w:hint="cs"/>
          <w:rtl/>
        </w:rPr>
        <w:t xml:space="preserve">שיכלול </w:t>
      </w:r>
      <w:r w:rsidRPr="00E303AD">
        <w:rPr>
          <w:rFonts w:eastAsia="Calibri"/>
          <w:rtl/>
        </w:rPr>
        <w:t xml:space="preserve">חילופי מידע, טיפול באירועים חריגים של כניסה לא מבוקרת </w:t>
      </w:r>
      <w:r w:rsidRPr="00E303AD">
        <w:rPr>
          <w:rFonts w:eastAsia="Calibri" w:hint="cs"/>
          <w:rtl/>
        </w:rPr>
        <w:t xml:space="preserve">לגבולות המדינה </w:t>
      </w:r>
      <w:r w:rsidRPr="00E303AD">
        <w:rPr>
          <w:rFonts w:eastAsia="Calibri"/>
          <w:rtl/>
        </w:rPr>
        <w:t>ואיתור קורבנות סחר</w:t>
      </w:r>
      <w:r w:rsidRPr="00E303AD">
        <w:rPr>
          <w:rFonts w:eastAsia="Calibri" w:hint="cs"/>
          <w:rtl/>
        </w:rPr>
        <w:t xml:space="preserve"> בבני אדם. במסגרת זאת, מינהל אכיפה עשוי להיות גורם זיהוי רלוונטי של נפגעי סחר בבני אדם למטרות זנות, מידע שעשוי לשמש את המשטרה בפעולות האכיפה בתחום.</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מינהל אכיפה מסר ל</w:t>
      </w:r>
      <w:r w:rsidRPr="00E303AD">
        <w:rPr>
          <w:rFonts w:eastAsia="Calibri" w:hint="cs"/>
          <w:rtl/>
        </w:rPr>
        <w:t>משרד מבקר המדינה</w:t>
      </w:r>
      <w:r w:rsidRPr="00E303AD">
        <w:rPr>
          <w:rFonts w:eastAsia="Calibri"/>
          <w:rtl/>
        </w:rPr>
        <w:t xml:space="preserve"> כי </w:t>
      </w:r>
      <w:r w:rsidRPr="00E303AD">
        <w:rPr>
          <w:rFonts w:eastAsia="Calibri" w:hint="cs"/>
          <w:rtl/>
        </w:rPr>
        <w:t>יש קשיי תיאום עם המשטרה. למשל, לרוב המשטרה</w:t>
      </w:r>
      <w:r w:rsidRPr="00E303AD">
        <w:rPr>
          <w:rFonts w:eastAsia="Calibri"/>
          <w:rtl/>
        </w:rPr>
        <w:t xml:space="preserve"> </w:t>
      </w:r>
      <w:r w:rsidRPr="00E303AD">
        <w:rPr>
          <w:rFonts w:eastAsia="Calibri" w:hint="cs"/>
          <w:rtl/>
        </w:rPr>
        <w:t>לא יכלה להיענות</w:t>
      </w:r>
      <w:r w:rsidRPr="00E303AD">
        <w:rPr>
          <w:rFonts w:eastAsia="Calibri"/>
          <w:rtl/>
        </w:rPr>
        <w:t xml:space="preserve"> </w:t>
      </w:r>
      <w:r w:rsidRPr="00E303AD">
        <w:rPr>
          <w:rFonts w:eastAsia="Calibri" w:hint="cs"/>
          <w:rtl/>
        </w:rPr>
        <w:t>ל</w:t>
      </w:r>
      <w:r w:rsidRPr="00E303AD">
        <w:rPr>
          <w:rFonts w:eastAsia="Calibri"/>
          <w:rtl/>
        </w:rPr>
        <w:t>פנ</w:t>
      </w:r>
      <w:r w:rsidRPr="00E303AD">
        <w:rPr>
          <w:rFonts w:eastAsia="Calibri" w:hint="cs"/>
          <w:rtl/>
        </w:rPr>
        <w:t>יותיו</w:t>
      </w:r>
      <w:r w:rsidRPr="00E303AD">
        <w:rPr>
          <w:rFonts w:eastAsia="Calibri"/>
          <w:rtl/>
        </w:rPr>
        <w:t xml:space="preserve"> ל</w:t>
      </w:r>
      <w:r w:rsidRPr="00E303AD">
        <w:rPr>
          <w:rFonts w:eastAsia="Calibri" w:hint="cs"/>
          <w:rtl/>
        </w:rPr>
        <w:t xml:space="preserve">קבלת </w:t>
      </w:r>
      <w:r w:rsidRPr="00E303AD">
        <w:rPr>
          <w:rFonts w:eastAsia="Calibri"/>
          <w:rtl/>
        </w:rPr>
        <w:t xml:space="preserve">סיוע, </w:t>
      </w:r>
      <w:r w:rsidRPr="00E303AD">
        <w:rPr>
          <w:rFonts w:eastAsia="Calibri" w:hint="cs"/>
          <w:rtl/>
        </w:rPr>
        <w:t>לטענתה</w:t>
      </w:r>
      <w:r w:rsidRPr="00E303AD">
        <w:rPr>
          <w:rFonts w:eastAsia="Calibri"/>
          <w:rtl/>
        </w:rPr>
        <w:t xml:space="preserve"> בשל ריבוי משימות בתחנות המשטרה</w:t>
      </w:r>
      <w:r w:rsidRPr="00E303AD">
        <w:rPr>
          <w:rFonts w:eastAsia="Calibri" w:hint="cs"/>
          <w:rtl/>
        </w:rPr>
        <w:t>.</w:t>
      </w:r>
      <w:r w:rsidRPr="00E303AD">
        <w:rPr>
          <w:rFonts w:eastAsia="Calibri"/>
          <w:rtl/>
        </w:rPr>
        <w:t xml:space="preserve"> </w:t>
      </w:r>
      <w:r w:rsidRPr="00E303AD">
        <w:rPr>
          <w:rFonts w:eastAsia="Calibri" w:hint="cs"/>
          <w:rtl/>
        </w:rPr>
        <w:t>אם בכל זאת</w:t>
      </w:r>
      <w:r w:rsidRPr="00E303AD">
        <w:rPr>
          <w:rFonts w:eastAsia="Calibri"/>
          <w:rtl/>
        </w:rPr>
        <w:t xml:space="preserve"> נשלחת ניידת לשטח</w:t>
      </w:r>
      <w:r w:rsidRPr="00E303AD">
        <w:rPr>
          <w:rFonts w:eastAsia="Calibri" w:hint="cs"/>
          <w:rtl/>
        </w:rPr>
        <w:t>,</w:t>
      </w:r>
      <w:r w:rsidRPr="00E303AD">
        <w:rPr>
          <w:rFonts w:eastAsia="Calibri"/>
          <w:rtl/>
        </w:rPr>
        <w:t xml:space="preserve"> זמן ההגעה שלה </w:t>
      </w:r>
      <w:r w:rsidRPr="00E303AD">
        <w:rPr>
          <w:rFonts w:eastAsia="Calibri" w:hint="cs"/>
          <w:rtl/>
        </w:rPr>
        <w:t>אינו</w:t>
      </w:r>
      <w:r w:rsidRPr="00E303AD">
        <w:rPr>
          <w:rFonts w:eastAsia="Calibri"/>
          <w:rtl/>
        </w:rPr>
        <w:t xml:space="preserve"> סביר</w:t>
      </w:r>
      <w:r w:rsidRPr="00E303AD">
        <w:rPr>
          <w:rFonts w:eastAsia="Calibri" w:hint="cs"/>
          <w:rtl/>
        </w:rPr>
        <w:t>:</w:t>
      </w:r>
      <w:r w:rsidRPr="00E303AD">
        <w:rPr>
          <w:rFonts w:eastAsia="Calibri"/>
          <w:rtl/>
        </w:rPr>
        <w:t xml:space="preserve"> 40 </w:t>
      </w:r>
      <w:r w:rsidRPr="00E303AD">
        <w:rPr>
          <w:rFonts w:eastAsia="Calibri" w:hint="cs"/>
          <w:rtl/>
        </w:rPr>
        <w:t xml:space="preserve">עד </w:t>
      </w:r>
      <w:r w:rsidRPr="00E303AD">
        <w:rPr>
          <w:rFonts w:eastAsia="Calibri"/>
          <w:rtl/>
        </w:rPr>
        <w:t>60 דקות.</w:t>
      </w:r>
      <w:r w:rsidRPr="00E303AD">
        <w:rPr>
          <w:rFonts w:eastAsia="Calibri"/>
          <w:szCs w:val="20"/>
          <w:rtl/>
        </w:rPr>
        <w:t xml:space="preserve"> </w:t>
      </w:r>
      <w:r w:rsidRPr="00E303AD">
        <w:rPr>
          <w:rFonts w:eastAsia="Calibri" w:hint="cs"/>
          <w:rtl/>
        </w:rPr>
        <w:t xml:space="preserve">למשרד מבקר המדינה הוצג גם מקרה מאמצע שנת 2024 שבו פנה מינהל אכיפה למשטרה כדי לתאם איתה פעילות משותפת לאכיפת החוק בעניינן של נשים זרות </w:t>
      </w:r>
      <w:r w:rsidRPr="00E303AD">
        <w:rPr>
          <w:rFonts w:eastAsia="Calibri"/>
          <w:rtl/>
        </w:rPr>
        <w:t>ש</w:t>
      </w:r>
      <w:r w:rsidRPr="00E303AD">
        <w:rPr>
          <w:rFonts w:eastAsia="Calibri" w:hint="cs"/>
          <w:rtl/>
        </w:rPr>
        <w:t>לפי החשד</w:t>
      </w:r>
      <w:r w:rsidRPr="00E303AD">
        <w:rPr>
          <w:rFonts w:eastAsia="Calibri"/>
          <w:rtl/>
        </w:rPr>
        <w:t xml:space="preserve"> הובאו לישראל </w:t>
      </w:r>
      <w:r w:rsidRPr="00E303AD">
        <w:rPr>
          <w:rFonts w:eastAsia="Calibri" w:hint="cs"/>
          <w:rtl/>
        </w:rPr>
        <w:t>במסגרת</w:t>
      </w:r>
      <w:r w:rsidRPr="00E303AD">
        <w:rPr>
          <w:rFonts w:eastAsia="Calibri"/>
          <w:rtl/>
        </w:rPr>
        <w:t xml:space="preserve"> סחר בבני אדם לצ</w:t>
      </w:r>
      <w:r w:rsidRPr="00E303AD">
        <w:rPr>
          <w:rFonts w:eastAsia="Calibri" w:hint="cs"/>
          <w:rtl/>
        </w:rPr>
        <w:t>ו</w:t>
      </w:r>
      <w:r w:rsidRPr="00E303AD">
        <w:rPr>
          <w:rFonts w:eastAsia="Calibri"/>
          <w:rtl/>
        </w:rPr>
        <w:t>רכי מין.</w:t>
      </w:r>
      <w:r w:rsidRPr="00E303AD">
        <w:rPr>
          <w:rFonts w:eastAsia="Calibri" w:hint="cs"/>
          <w:rtl/>
        </w:rPr>
        <w:t xml:space="preserve"> למרות פניות חוזרות ונשנות של מינהל אכיפה למשטרה, ואף שהמשטרה מכירה בכך שביצוע פעילות משולבת היא אחד היעדים שהוצבו לה בהחלטת הממשלה 1862, לא קידמה המשטרה את הנושא, וגם יחידת התיאום שהייתה מעורבת בנושא לא הצליחה לתת מענה על הקושי, ושיתוף הפעולה בין מינהל אכיפה למשטרה טרם הוסדר</w:t>
      </w:r>
      <w:r w:rsidRPr="00E303AD">
        <w:rPr>
          <w:rFonts w:eastAsia="Calibri"/>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b/>
          <w:bCs/>
          <w:rtl/>
        </w:rPr>
        <w:t>ב</w:t>
      </w:r>
      <w:r w:rsidRPr="00E303AD">
        <w:rPr>
          <w:rFonts w:eastAsia="Calibri"/>
          <w:b/>
          <w:bCs/>
          <w:rtl/>
        </w:rPr>
        <w:t>ביקורת ה</w:t>
      </w:r>
      <w:r w:rsidRPr="00E303AD">
        <w:rPr>
          <w:rFonts w:eastAsia="Calibri" w:hint="cs"/>
          <w:b/>
          <w:bCs/>
          <w:rtl/>
        </w:rPr>
        <w:t>ו</w:t>
      </w:r>
      <w:r w:rsidRPr="00E303AD">
        <w:rPr>
          <w:rFonts w:eastAsia="Calibri"/>
          <w:b/>
          <w:bCs/>
          <w:rtl/>
        </w:rPr>
        <w:t>על</w:t>
      </w:r>
      <w:r w:rsidRPr="00E303AD">
        <w:rPr>
          <w:rFonts w:eastAsia="Calibri" w:hint="cs"/>
          <w:b/>
          <w:bCs/>
          <w:rtl/>
        </w:rPr>
        <w:t>ו</w:t>
      </w:r>
      <w:r w:rsidRPr="00E303AD">
        <w:rPr>
          <w:rFonts w:eastAsia="Calibri"/>
          <w:b/>
          <w:bCs/>
          <w:rtl/>
        </w:rPr>
        <w:t xml:space="preserve"> קשיים בשיתוף הפעולה בין המשטרה </w:t>
      </w:r>
      <w:r w:rsidRPr="00E303AD">
        <w:rPr>
          <w:rFonts w:eastAsia="Calibri" w:hint="cs"/>
          <w:b/>
          <w:bCs/>
          <w:rtl/>
        </w:rPr>
        <w:t>ו</w:t>
      </w:r>
      <w:r w:rsidRPr="00E303AD">
        <w:rPr>
          <w:rFonts w:eastAsia="Calibri"/>
          <w:b/>
          <w:bCs/>
          <w:rtl/>
        </w:rPr>
        <w:t>בין מינהל אכיפה</w:t>
      </w:r>
      <w:r w:rsidRPr="00E303AD">
        <w:rPr>
          <w:rFonts w:eastAsia="Calibri" w:hint="cs"/>
          <w:b/>
          <w:bCs/>
          <w:rtl/>
        </w:rPr>
        <w:t xml:space="preserve"> וזרים ברשות האוכלוסין וההגירה במשרד הפנים אף שהוא עשוי לתרום למאבק בסחר בבני אדם למטרות זנות</w:t>
      </w:r>
      <w:r w:rsidRPr="00E303AD">
        <w:rPr>
          <w:rFonts w:eastAsia="Calibri"/>
          <w:b/>
          <w:bCs/>
          <w:rtl/>
        </w:rPr>
        <w:t xml:space="preserve">. הגופים, הפועלים כל אחד בתחומו, </w:t>
      </w:r>
      <w:r w:rsidRPr="00E303AD">
        <w:rPr>
          <w:rFonts w:eastAsia="Calibri" w:hint="cs"/>
          <w:b/>
          <w:bCs/>
          <w:rtl/>
        </w:rPr>
        <w:t>אינם משתפים זה את זה</w:t>
      </w:r>
      <w:r w:rsidRPr="00E303AD">
        <w:rPr>
          <w:rFonts w:eastAsia="Calibri"/>
          <w:b/>
          <w:bCs/>
          <w:rtl/>
        </w:rPr>
        <w:t xml:space="preserve"> </w:t>
      </w:r>
      <w:r w:rsidRPr="00E303AD">
        <w:rPr>
          <w:rFonts w:eastAsia="Calibri" w:hint="cs"/>
          <w:b/>
          <w:bCs/>
          <w:rtl/>
        </w:rPr>
        <w:t>ב</w:t>
      </w:r>
      <w:r w:rsidRPr="00E303AD">
        <w:rPr>
          <w:rFonts w:eastAsia="Calibri"/>
          <w:b/>
          <w:bCs/>
          <w:rtl/>
        </w:rPr>
        <w:t>מידע ונתונים רלוונטיים היכולים לסייע לאכיפה</w:t>
      </w:r>
      <w:r w:rsidRPr="00E303AD">
        <w:rPr>
          <w:rFonts w:eastAsia="Calibri" w:hint="cs"/>
          <w:b/>
          <w:bCs/>
          <w:rtl/>
        </w:rPr>
        <w:t xml:space="preserve"> ולמאבק בסחר בבני אדם למטרות זנות, פעולות הגופים אינן מתואמות</w:t>
      </w:r>
      <w:r w:rsidRPr="00E303AD">
        <w:rPr>
          <w:rFonts w:eastAsia="Calibri"/>
          <w:b/>
          <w:bCs/>
          <w:rtl/>
        </w:rPr>
        <w:t xml:space="preserve"> ויחסי העבודה ביניהם אינם מוסדרים ב</w:t>
      </w:r>
      <w:r w:rsidRPr="00E303AD">
        <w:rPr>
          <w:rFonts w:eastAsia="Calibri" w:hint="cs"/>
          <w:b/>
          <w:bCs/>
          <w:rtl/>
        </w:rPr>
        <w:t xml:space="preserve">שום </w:t>
      </w:r>
      <w:r w:rsidRPr="00E303AD">
        <w:rPr>
          <w:rFonts w:eastAsia="Calibri"/>
          <w:b/>
          <w:bCs/>
          <w:rtl/>
        </w:rPr>
        <w:t>נוהל</w:t>
      </w:r>
      <w:r>
        <w:rPr>
          <w:rFonts w:eastAsia="Calibri"/>
          <w:b/>
          <w:bCs/>
          <w:vertAlign w:val="superscript"/>
          <w:rtl/>
        </w:rPr>
        <w:footnoteReference w:id="160"/>
      </w:r>
      <w:r w:rsidRPr="00E303AD">
        <w:rPr>
          <w:rFonts w:eastAsia="Calibri"/>
          <w:b/>
          <w:bCs/>
          <w:rtl/>
        </w:rPr>
        <w:t xml:space="preserve">. </w:t>
      </w:r>
      <w:bookmarkStart w:id="181" w:name="_Hlk222661388"/>
      <w:r w:rsidRPr="00E303AD">
        <w:rPr>
          <w:rFonts w:eastAsia="Calibri" w:hint="cs"/>
          <w:b/>
          <w:bCs/>
          <w:rtl/>
        </w:rPr>
        <w:t xml:space="preserve">לדברי מינהל אכיפה, </w:t>
      </w:r>
      <w:r w:rsidRPr="00E303AD">
        <w:rPr>
          <w:rFonts w:eastAsia="Calibri"/>
          <w:b/>
          <w:bCs/>
          <w:rtl/>
        </w:rPr>
        <w:t>מידת שיתוף הפעולה</w:t>
      </w:r>
      <w:r w:rsidRPr="00E303AD">
        <w:rPr>
          <w:rFonts w:eastAsia="Calibri" w:hint="cs"/>
          <w:b/>
          <w:bCs/>
          <w:rtl/>
        </w:rPr>
        <w:t xml:space="preserve"> בינו ובין המשטרה מועטה מהנדרש.</w:t>
      </w:r>
      <w:bookmarkEnd w:id="181"/>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bookmarkStart w:id="182" w:name="_Hlk222316360"/>
      <w:r w:rsidRPr="00E303AD">
        <w:rPr>
          <w:rFonts w:eastAsia="Calibri" w:hint="cs"/>
          <w:b/>
          <w:bCs/>
          <w:rtl/>
        </w:rPr>
        <w:t xml:space="preserve">נמצא כי אף שבהתאם להחלטת הממשלה 1862 משנת 2022 על יחידת התיאום </w:t>
      </w:r>
      <w:bookmarkEnd w:id="182"/>
      <w:r w:rsidRPr="00E303AD">
        <w:rPr>
          <w:rFonts w:eastAsia="Calibri" w:hint="cs"/>
          <w:b/>
          <w:bCs/>
          <w:rtl/>
        </w:rPr>
        <w:t xml:space="preserve">הממשלתית </w:t>
      </w:r>
      <w:r w:rsidRPr="00E303AD">
        <w:rPr>
          <w:rFonts w:eastAsia="Calibri"/>
          <w:b/>
          <w:bCs/>
          <w:rtl/>
        </w:rPr>
        <w:t xml:space="preserve">למאבק בסחר בבני אדם במשרד המשפטים </w:t>
      </w:r>
      <w:r w:rsidRPr="00E303AD">
        <w:rPr>
          <w:rFonts w:eastAsia="Calibri" w:hint="cs"/>
          <w:b/>
          <w:bCs/>
          <w:rtl/>
        </w:rPr>
        <w:t xml:space="preserve">להגביר את שיתוף הפעולה בין גורמי האכיפה, </w:t>
      </w:r>
      <w:r w:rsidRPr="00E303AD">
        <w:rPr>
          <w:rFonts w:eastAsia="Calibri" w:hint="cs"/>
          <w:b/>
          <w:bCs/>
          <w:rtl/>
        </w:rPr>
        <w:t>שיתוף הפעולה בין מינהל אכיפה ובין המשטרה טרם הוסדר. זאת,</w:t>
      </w:r>
      <w:r w:rsidRPr="00E303AD">
        <w:rPr>
          <w:rFonts w:eastAsia="Calibri"/>
          <w:b/>
          <w:bCs/>
          <w:rtl/>
        </w:rPr>
        <w:t xml:space="preserve"> </w:t>
      </w:r>
      <w:r w:rsidRPr="00E303AD">
        <w:rPr>
          <w:rFonts w:eastAsia="Calibri" w:hint="cs"/>
          <w:b/>
          <w:bCs/>
          <w:rtl/>
        </w:rPr>
        <w:t>אף שהתקיימו כמה וכמה</w:t>
      </w:r>
      <w:r w:rsidRPr="00E303AD">
        <w:rPr>
          <w:rFonts w:eastAsia="Calibri"/>
          <w:b/>
          <w:bCs/>
          <w:rtl/>
        </w:rPr>
        <w:t xml:space="preserve"> דיונים </w:t>
      </w:r>
      <w:r w:rsidRPr="00E303AD">
        <w:rPr>
          <w:rFonts w:eastAsia="Calibri" w:hint="eastAsia"/>
          <w:b/>
          <w:bCs/>
          <w:rtl/>
        </w:rPr>
        <w:t>ש</w:t>
      </w:r>
      <w:r w:rsidRPr="00E303AD">
        <w:rPr>
          <w:rFonts w:eastAsia="Calibri"/>
          <w:b/>
          <w:bCs/>
          <w:rtl/>
        </w:rPr>
        <w:t xml:space="preserve">נועדו לטייב ולהסדיר את ממשקי העבודה </w:t>
      </w:r>
      <w:r w:rsidRPr="00E303AD">
        <w:rPr>
          <w:rFonts w:eastAsia="Calibri" w:hint="cs"/>
          <w:b/>
          <w:bCs/>
          <w:rtl/>
        </w:rPr>
        <w:t xml:space="preserve">בין </w:t>
      </w:r>
      <w:r w:rsidRPr="00E303AD">
        <w:rPr>
          <w:rFonts w:eastAsia="Calibri"/>
          <w:b/>
          <w:bCs/>
          <w:rtl/>
        </w:rPr>
        <w:t>כלל הגורמים הרלוונטיים למאבק בסחר בבני אדם, ובהם המשטרה, משרד המשפטים, רשות האוכלוסין, משרד הרווחה ומשרד החוץ</w:t>
      </w:r>
      <w:r w:rsidRPr="00E303AD">
        <w:rPr>
          <w:rFonts w:eastAsia="Calibri" w:hint="cs"/>
          <w:b/>
          <w:bCs/>
          <w:rtl/>
        </w:rPr>
        <w:t>.</w:t>
      </w:r>
      <w:r w:rsidRPr="00E303AD">
        <w:rPr>
          <w:rFonts w:eastAsia="Calibri"/>
          <w:b/>
          <w:bCs/>
          <w:rtl/>
        </w:rPr>
        <w:t xml:space="preserve"> </w:t>
      </w:r>
      <w:r w:rsidRPr="00E303AD">
        <w:rPr>
          <w:rFonts w:eastAsia="Calibri" w:hint="cs"/>
          <w:b/>
          <w:bCs/>
          <w:rtl/>
        </w:rPr>
        <w:t xml:space="preserve">נציגי </w:t>
      </w:r>
      <w:r w:rsidRPr="00E303AD">
        <w:rPr>
          <w:rFonts w:eastAsia="Calibri"/>
          <w:b/>
          <w:bCs/>
          <w:rtl/>
        </w:rPr>
        <w:t>יחידת התיאום הש</w:t>
      </w:r>
      <w:r w:rsidRPr="00E303AD">
        <w:rPr>
          <w:rFonts w:eastAsia="Calibri" w:hint="cs"/>
          <w:b/>
          <w:bCs/>
          <w:rtl/>
        </w:rPr>
        <w:t>ת</w:t>
      </w:r>
      <w:r w:rsidRPr="00E303AD">
        <w:rPr>
          <w:rFonts w:eastAsia="Calibri"/>
          <w:b/>
          <w:bCs/>
          <w:rtl/>
        </w:rPr>
        <w:t>תפ</w:t>
      </w:r>
      <w:r w:rsidRPr="00E303AD">
        <w:rPr>
          <w:rFonts w:eastAsia="Calibri" w:hint="cs"/>
          <w:b/>
          <w:bCs/>
          <w:rtl/>
        </w:rPr>
        <w:t>ו</w:t>
      </w:r>
      <w:r w:rsidRPr="00E303AD">
        <w:rPr>
          <w:rFonts w:eastAsia="Calibri"/>
          <w:b/>
          <w:bCs/>
          <w:rtl/>
        </w:rPr>
        <w:t xml:space="preserve"> </w:t>
      </w:r>
      <w:r w:rsidRPr="00E303AD">
        <w:rPr>
          <w:rFonts w:eastAsia="Calibri" w:hint="cs"/>
          <w:b/>
          <w:bCs/>
          <w:rtl/>
        </w:rPr>
        <w:t>ב</w:t>
      </w:r>
      <w:r w:rsidRPr="00E303AD">
        <w:rPr>
          <w:rFonts w:eastAsia="Calibri"/>
          <w:b/>
          <w:bCs/>
          <w:rtl/>
        </w:rPr>
        <w:t>דיונים אלה, ולעיתים אף הוביל</w:t>
      </w:r>
      <w:r w:rsidRPr="00E303AD">
        <w:rPr>
          <w:rFonts w:eastAsia="Calibri" w:hint="cs"/>
          <w:b/>
          <w:bCs/>
          <w:rtl/>
        </w:rPr>
        <w:t>ו</w:t>
      </w:r>
      <w:r w:rsidRPr="00E303AD">
        <w:rPr>
          <w:rFonts w:eastAsia="Calibri"/>
          <w:b/>
          <w:bCs/>
          <w:rtl/>
        </w:rPr>
        <w:t xml:space="preserve"> את המפגשים </w:t>
      </w:r>
      <w:r w:rsidRPr="00E303AD">
        <w:rPr>
          <w:rFonts w:eastAsia="Calibri" w:hint="cs"/>
          <w:b/>
          <w:bCs/>
          <w:rtl/>
        </w:rPr>
        <w:t>כדי</w:t>
      </w:r>
      <w:r w:rsidRPr="00E303AD">
        <w:rPr>
          <w:rFonts w:eastAsia="Calibri"/>
          <w:b/>
          <w:bCs/>
          <w:rtl/>
        </w:rPr>
        <w:t xml:space="preserve"> לקדם חיבור ותיאום בין הגורמים</w:t>
      </w:r>
      <w:r w:rsidRPr="00E303AD">
        <w:rPr>
          <w:rFonts w:eastAsia="Calibri" w:hint="cs"/>
          <w:b/>
          <w:bCs/>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r w:rsidRPr="00E303AD">
        <w:rPr>
          <w:rFonts w:eastAsia="Calibri" w:hint="eastAsia"/>
          <w:b/>
          <w:bCs/>
          <w:rtl/>
        </w:rPr>
        <w:t>אומנם</w:t>
      </w:r>
      <w:r w:rsidRPr="00E303AD">
        <w:rPr>
          <w:rFonts w:eastAsia="Calibri"/>
          <w:b/>
          <w:bCs/>
          <w:rtl/>
        </w:rPr>
        <w:t xml:space="preserve"> </w:t>
      </w:r>
      <w:r w:rsidRPr="00E303AD">
        <w:rPr>
          <w:rFonts w:eastAsia="Calibri" w:hint="eastAsia"/>
          <w:b/>
          <w:bCs/>
          <w:rtl/>
        </w:rPr>
        <w:t>בשנת</w:t>
      </w:r>
      <w:r w:rsidRPr="00E303AD">
        <w:rPr>
          <w:rFonts w:eastAsia="Calibri"/>
          <w:b/>
          <w:bCs/>
          <w:rtl/>
        </w:rPr>
        <w:t xml:space="preserve"> 2025, </w:t>
      </w:r>
      <w:r w:rsidRPr="00E303AD">
        <w:rPr>
          <w:rFonts w:eastAsia="Calibri" w:hint="eastAsia"/>
          <w:b/>
          <w:bCs/>
          <w:rtl/>
        </w:rPr>
        <w:t>במסגרת</w:t>
      </w:r>
      <w:r w:rsidRPr="00E303AD">
        <w:rPr>
          <w:rFonts w:eastAsia="Calibri"/>
          <w:b/>
          <w:bCs/>
          <w:rtl/>
        </w:rPr>
        <w:t xml:space="preserve"> החלטת </w:t>
      </w:r>
      <w:r w:rsidRPr="00E303AD">
        <w:rPr>
          <w:rFonts w:eastAsia="Calibri" w:hint="eastAsia"/>
          <w:b/>
          <w:bCs/>
          <w:rtl/>
        </w:rPr>
        <w:t>ה</w:t>
      </w:r>
      <w:r w:rsidRPr="00E303AD">
        <w:rPr>
          <w:rFonts w:eastAsia="Calibri"/>
          <w:b/>
          <w:bCs/>
          <w:rtl/>
        </w:rPr>
        <w:t>ממשלה 1752</w:t>
      </w:r>
      <w:r>
        <w:rPr>
          <w:rFonts w:eastAsia="Calibri"/>
          <w:b/>
          <w:bCs/>
          <w:vertAlign w:val="superscript"/>
          <w:rtl/>
        </w:rPr>
        <w:footnoteReference w:id="161"/>
      </w:r>
      <w:r w:rsidRPr="00E303AD">
        <w:rPr>
          <w:rFonts w:eastAsia="Calibri"/>
          <w:b/>
          <w:bCs/>
          <w:rtl/>
        </w:rPr>
        <w:t xml:space="preserve"> </w:t>
      </w:r>
      <w:r w:rsidRPr="00E303AD">
        <w:rPr>
          <w:rFonts w:eastAsia="Calibri" w:hint="eastAsia"/>
          <w:b/>
          <w:bCs/>
          <w:rtl/>
        </w:rPr>
        <w:t>שעניינה</w:t>
      </w:r>
      <w:r w:rsidRPr="00E303AD">
        <w:rPr>
          <w:rFonts w:eastAsia="Calibri"/>
          <w:b/>
          <w:bCs/>
          <w:rtl/>
        </w:rPr>
        <w:t xml:space="preserve"> ייעול ושיפור </w:t>
      </w:r>
      <w:r w:rsidRPr="00E303AD">
        <w:rPr>
          <w:rFonts w:eastAsia="Calibri" w:hint="eastAsia"/>
          <w:b/>
          <w:bCs/>
          <w:rtl/>
        </w:rPr>
        <w:t>של</w:t>
      </w:r>
      <w:r w:rsidRPr="00E303AD">
        <w:rPr>
          <w:rFonts w:eastAsia="Calibri"/>
          <w:b/>
          <w:bCs/>
          <w:rtl/>
        </w:rPr>
        <w:t xml:space="preserve"> </w:t>
      </w:r>
      <w:r w:rsidRPr="00E303AD">
        <w:rPr>
          <w:rFonts w:eastAsia="Calibri" w:hint="eastAsia"/>
          <w:b/>
          <w:bCs/>
          <w:rtl/>
        </w:rPr>
        <w:t>הפיקוח</w:t>
      </w:r>
      <w:r w:rsidRPr="00E303AD">
        <w:rPr>
          <w:rFonts w:eastAsia="Calibri"/>
          <w:b/>
          <w:bCs/>
          <w:rtl/>
        </w:rPr>
        <w:t xml:space="preserve"> </w:t>
      </w:r>
      <w:r w:rsidRPr="00E303AD">
        <w:rPr>
          <w:rFonts w:eastAsia="Calibri" w:hint="eastAsia"/>
          <w:b/>
          <w:bCs/>
          <w:rtl/>
        </w:rPr>
        <w:t>על</w:t>
      </w:r>
      <w:r w:rsidRPr="00E303AD">
        <w:rPr>
          <w:rFonts w:eastAsia="Calibri"/>
          <w:b/>
          <w:bCs/>
          <w:rtl/>
        </w:rPr>
        <w:t xml:space="preserve"> </w:t>
      </w:r>
      <w:r w:rsidRPr="00E303AD">
        <w:rPr>
          <w:rFonts w:eastAsia="Calibri" w:hint="eastAsia"/>
          <w:b/>
          <w:bCs/>
          <w:rtl/>
        </w:rPr>
        <w:t>העסקת</w:t>
      </w:r>
      <w:r w:rsidRPr="00E303AD">
        <w:rPr>
          <w:rFonts w:eastAsia="Calibri"/>
          <w:b/>
          <w:bCs/>
          <w:rtl/>
        </w:rPr>
        <w:t xml:space="preserve"> </w:t>
      </w:r>
      <w:r w:rsidRPr="00E303AD">
        <w:rPr>
          <w:rFonts w:eastAsia="Calibri" w:hint="eastAsia"/>
          <w:b/>
          <w:bCs/>
          <w:rtl/>
        </w:rPr>
        <w:t>עובדים</w:t>
      </w:r>
      <w:r w:rsidRPr="00E303AD">
        <w:rPr>
          <w:rFonts w:eastAsia="Calibri"/>
          <w:b/>
          <w:bCs/>
          <w:rtl/>
        </w:rPr>
        <w:t xml:space="preserve"> </w:t>
      </w:r>
      <w:r w:rsidRPr="00E303AD">
        <w:rPr>
          <w:rFonts w:eastAsia="Calibri" w:hint="eastAsia"/>
          <w:b/>
          <w:bCs/>
          <w:rtl/>
        </w:rPr>
        <w:t>זרים</w:t>
      </w:r>
      <w:r w:rsidRPr="00E303AD">
        <w:rPr>
          <w:rFonts w:eastAsia="Calibri"/>
          <w:b/>
          <w:bCs/>
          <w:rtl/>
        </w:rPr>
        <w:t xml:space="preserve"> ושל האכיפה בנושא, הובנה מנגנון לשיתוף פעולה בין גופי האכיפה, אך המנגנון עוסק בהיבטים ה</w:t>
      </w:r>
      <w:r w:rsidRPr="00E303AD">
        <w:rPr>
          <w:rFonts w:eastAsia="Calibri" w:hint="eastAsia"/>
          <w:b/>
          <w:bCs/>
          <w:rtl/>
        </w:rPr>
        <w:t>נוגעים</w:t>
      </w:r>
      <w:r w:rsidRPr="00E303AD">
        <w:rPr>
          <w:rFonts w:eastAsia="Calibri"/>
          <w:b/>
          <w:bCs/>
          <w:rtl/>
        </w:rPr>
        <w:t xml:space="preserve"> לעובדים זרים ואינו מקיף את כלל תופעת הסחר בבני אדם כמתחייב מהחלטת </w:t>
      </w:r>
      <w:r w:rsidRPr="00E303AD">
        <w:rPr>
          <w:rFonts w:eastAsia="Calibri" w:hint="eastAsia"/>
          <w:b/>
          <w:bCs/>
          <w:rtl/>
        </w:rPr>
        <w:t>הממשלה</w:t>
      </w:r>
      <w:r w:rsidRPr="00E303AD">
        <w:rPr>
          <w:rFonts w:eastAsia="Calibri"/>
          <w:b/>
          <w:bCs/>
          <w:rtl/>
        </w:rPr>
        <w:t xml:space="preserve"> 1862.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בתשובת המשטרה נמסר כי מבקר המדינה </w:t>
      </w:r>
      <w:r w:rsidRPr="00E303AD">
        <w:rPr>
          <w:rFonts w:eastAsia="Calibri"/>
          <w:rtl/>
        </w:rPr>
        <w:t xml:space="preserve">צודק </w:t>
      </w:r>
      <w:r w:rsidRPr="00E303AD">
        <w:rPr>
          <w:rFonts w:eastAsia="Calibri" w:hint="cs"/>
          <w:rtl/>
        </w:rPr>
        <w:t>בציינו ש</w:t>
      </w:r>
      <w:r w:rsidRPr="00E303AD">
        <w:rPr>
          <w:rFonts w:eastAsia="Calibri"/>
          <w:rtl/>
        </w:rPr>
        <w:t xml:space="preserve">בשנים קודמות לא היה קשר ישיר </w:t>
      </w:r>
      <w:r w:rsidRPr="00E303AD">
        <w:rPr>
          <w:rFonts w:eastAsia="Calibri" w:hint="cs"/>
          <w:rtl/>
        </w:rPr>
        <w:t xml:space="preserve">בין המשטרה לבין </w:t>
      </w:r>
      <w:r w:rsidRPr="00E303AD">
        <w:rPr>
          <w:rFonts w:eastAsia="Calibri"/>
          <w:rtl/>
        </w:rPr>
        <w:t>מ</w:t>
      </w:r>
      <w:r w:rsidRPr="00E303AD">
        <w:rPr>
          <w:rFonts w:eastAsia="Calibri" w:hint="cs"/>
          <w:rtl/>
        </w:rPr>
        <w:t>י</w:t>
      </w:r>
      <w:r w:rsidRPr="00E303AD">
        <w:rPr>
          <w:rFonts w:eastAsia="Calibri"/>
          <w:rtl/>
        </w:rPr>
        <w:t>נהל אכיפה ברשות האוכלוסין</w:t>
      </w:r>
      <w:r w:rsidRPr="00E303AD">
        <w:rPr>
          <w:rFonts w:eastAsia="Calibri" w:hint="cs"/>
          <w:rtl/>
        </w:rPr>
        <w:t>,</w:t>
      </w:r>
      <w:r w:rsidRPr="00E303AD">
        <w:rPr>
          <w:rFonts w:eastAsia="Calibri"/>
          <w:rtl/>
        </w:rPr>
        <w:t xml:space="preserve"> אך בשנת 2025 חוזקו ממשקי העבודה </w:t>
      </w:r>
      <w:r w:rsidRPr="00E303AD">
        <w:rPr>
          <w:rFonts w:eastAsia="Calibri" w:hint="cs"/>
          <w:rtl/>
        </w:rPr>
        <w:t>בין הגופים</w:t>
      </w:r>
      <w:r w:rsidRPr="00E303AD">
        <w:rPr>
          <w:rFonts w:eastAsia="Calibri"/>
          <w:rtl/>
        </w:rPr>
        <w:t>.</w:t>
      </w:r>
      <w:r w:rsidRPr="00E303AD">
        <w:rPr>
          <w:rFonts w:eastAsia="Calibri" w:hint="cs"/>
          <w:rtl/>
        </w:rPr>
        <w:t xml:space="preserve"> יש צדק אף בטענת מבקר המדינה ש</w:t>
      </w:r>
      <w:r w:rsidRPr="00E303AD">
        <w:rPr>
          <w:rFonts w:eastAsia="Calibri"/>
          <w:rtl/>
        </w:rPr>
        <w:t>עיקר שיתוף הפעולה עם רשות האוכלוסין ה</w:t>
      </w:r>
      <w:r w:rsidRPr="00E303AD">
        <w:rPr>
          <w:rFonts w:eastAsia="Calibri" w:hint="cs"/>
          <w:rtl/>
        </w:rPr>
        <w:t>יה</w:t>
      </w:r>
      <w:r w:rsidRPr="00E303AD">
        <w:rPr>
          <w:rFonts w:eastAsia="Calibri"/>
          <w:rtl/>
        </w:rPr>
        <w:t xml:space="preserve"> בהיבטים של עובדי</w:t>
      </w:r>
      <w:r w:rsidRPr="00E303AD">
        <w:rPr>
          <w:rFonts w:eastAsia="Calibri" w:hint="cs"/>
          <w:rtl/>
        </w:rPr>
        <w:t>ם</w:t>
      </w:r>
      <w:r w:rsidRPr="00E303AD">
        <w:rPr>
          <w:rFonts w:eastAsia="Calibri"/>
          <w:rtl/>
        </w:rPr>
        <w:t xml:space="preserve"> </w:t>
      </w:r>
      <w:r w:rsidRPr="00E303AD">
        <w:rPr>
          <w:rFonts w:ascii="David" w:eastAsia="Calibri" w:hAnsi="David" w:hint="cs"/>
          <w:rtl/>
        </w:rPr>
        <w:t>זרים,</w:t>
      </w:r>
      <w:r w:rsidRPr="00E303AD">
        <w:rPr>
          <w:rFonts w:eastAsia="Calibri"/>
          <w:rtl/>
        </w:rPr>
        <w:t xml:space="preserve"> </w:t>
      </w:r>
      <w:r w:rsidRPr="00E303AD">
        <w:rPr>
          <w:rFonts w:eastAsia="Calibri" w:hint="cs"/>
          <w:rtl/>
        </w:rPr>
        <w:t>אך</w:t>
      </w:r>
      <w:r w:rsidRPr="00E303AD">
        <w:rPr>
          <w:rFonts w:eastAsia="Calibri"/>
          <w:rtl/>
        </w:rPr>
        <w:t xml:space="preserve"> </w:t>
      </w:r>
      <w:r w:rsidRPr="00E303AD">
        <w:rPr>
          <w:rFonts w:ascii="David" w:eastAsia="Calibri" w:hAnsi="David" w:hint="cs"/>
          <w:rtl/>
        </w:rPr>
        <w:t>לאחרונה</w:t>
      </w:r>
      <w:r w:rsidRPr="00E303AD">
        <w:rPr>
          <w:rFonts w:eastAsia="Calibri"/>
          <w:rtl/>
        </w:rPr>
        <w:t xml:space="preserve"> </w:t>
      </w:r>
      <w:r w:rsidRPr="00E303AD">
        <w:rPr>
          <w:rFonts w:ascii="David" w:eastAsia="Calibri" w:hAnsi="David" w:hint="cs"/>
          <w:rtl/>
        </w:rPr>
        <w:t>מתקיים</w:t>
      </w:r>
      <w:r w:rsidRPr="00E303AD">
        <w:rPr>
          <w:rFonts w:eastAsia="Calibri"/>
          <w:rtl/>
        </w:rPr>
        <w:t xml:space="preserve"> </w:t>
      </w:r>
      <w:r w:rsidRPr="00E303AD">
        <w:rPr>
          <w:rFonts w:ascii="David" w:eastAsia="Calibri" w:hAnsi="David" w:hint="cs"/>
          <w:rtl/>
        </w:rPr>
        <w:t>שיתוף</w:t>
      </w:r>
      <w:r w:rsidRPr="00E303AD">
        <w:rPr>
          <w:rFonts w:eastAsia="Calibri"/>
          <w:rtl/>
        </w:rPr>
        <w:t xml:space="preserve"> </w:t>
      </w:r>
      <w:r w:rsidRPr="00E303AD">
        <w:rPr>
          <w:rFonts w:ascii="David" w:eastAsia="Calibri" w:hAnsi="David" w:hint="cs"/>
          <w:rtl/>
        </w:rPr>
        <w:t>פעולה</w:t>
      </w:r>
      <w:r w:rsidRPr="00E303AD">
        <w:rPr>
          <w:rFonts w:eastAsia="Calibri"/>
          <w:rtl/>
        </w:rPr>
        <w:t xml:space="preserve"> </w:t>
      </w:r>
      <w:r w:rsidRPr="00E303AD">
        <w:rPr>
          <w:rFonts w:ascii="David" w:eastAsia="Calibri" w:hAnsi="David" w:hint="cs"/>
          <w:rtl/>
        </w:rPr>
        <w:t>גם</w:t>
      </w:r>
      <w:r w:rsidRPr="00E303AD">
        <w:rPr>
          <w:rFonts w:eastAsia="Calibri"/>
          <w:rtl/>
        </w:rPr>
        <w:t xml:space="preserve"> </w:t>
      </w:r>
      <w:r w:rsidRPr="00E303AD">
        <w:rPr>
          <w:rFonts w:ascii="David" w:eastAsia="Calibri" w:hAnsi="David" w:hint="cs"/>
          <w:rtl/>
        </w:rPr>
        <w:t>בתחום</w:t>
      </w:r>
      <w:r w:rsidRPr="00E303AD">
        <w:rPr>
          <w:rFonts w:eastAsia="Calibri"/>
          <w:rtl/>
        </w:rPr>
        <w:t xml:space="preserve"> </w:t>
      </w:r>
      <w:r w:rsidRPr="00E303AD">
        <w:rPr>
          <w:rFonts w:ascii="David" w:eastAsia="Calibri" w:hAnsi="David" w:hint="cs"/>
          <w:rtl/>
        </w:rPr>
        <w:t>הזנות.</w:t>
      </w:r>
      <w:r w:rsidRPr="00E303AD">
        <w:rPr>
          <w:rFonts w:eastAsia="Calibri"/>
          <w:rtl/>
        </w:rPr>
        <w:t xml:space="preserve"> </w:t>
      </w:r>
      <w:r w:rsidRPr="00E303AD">
        <w:rPr>
          <w:rFonts w:eastAsia="Calibri" w:hint="cs"/>
          <w:rtl/>
        </w:rPr>
        <w:t>רשויות האכיפה מדווחות למשטרה על כל מקרה המעורר</w:t>
      </w:r>
      <w:r w:rsidRPr="00E303AD">
        <w:rPr>
          <w:rFonts w:eastAsia="Calibri" w:hint="cs"/>
          <w:rtl/>
        </w:rPr>
        <w:t xml:space="preserve"> </w:t>
      </w:r>
      <w:r w:rsidRPr="00E303AD">
        <w:rPr>
          <w:rFonts w:ascii="David" w:eastAsia="Calibri" w:hAnsi="David" w:hint="cs"/>
          <w:rtl/>
        </w:rPr>
        <w:t>חשד</w:t>
      </w:r>
      <w:r w:rsidRPr="00E303AD">
        <w:rPr>
          <w:rFonts w:eastAsia="Calibri"/>
          <w:rtl/>
        </w:rPr>
        <w:t xml:space="preserve"> </w:t>
      </w:r>
      <w:r w:rsidRPr="00E303AD">
        <w:rPr>
          <w:rFonts w:ascii="David" w:eastAsia="Calibri" w:hAnsi="David" w:hint="cs"/>
          <w:rtl/>
        </w:rPr>
        <w:t>לעבירה</w:t>
      </w:r>
      <w:r w:rsidRPr="00E303AD">
        <w:rPr>
          <w:rFonts w:eastAsia="Calibri"/>
          <w:rtl/>
        </w:rPr>
        <w:t xml:space="preserve"> </w:t>
      </w:r>
      <w:r w:rsidRPr="00E303AD">
        <w:rPr>
          <w:rFonts w:ascii="David" w:eastAsia="Calibri" w:hAnsi="David" w:hint="cs"/>
          <w:rtl/>
        </w:rPr>
        <w:t>פלילית</w:t>
      </w:r>
      <w:r w:rsidRPr="00E303AD">
        <w:rPr>
          <w:rFonts w:eastAsia="Calibri"/>
          <w:rtl/>
        </w:rPr>
        <w:t xml:space="preserve"> </w:t>
      </w:r>
      <w:r w:rsidRPr="00E303AD">
        <w:rPr>
          <w:rFonts w:ascii="David" w:eastAsia="Calibri" w:hAnsi="David" w:hint="cs"/>
          <w:rtl/>
        </w:rPr>
        <w:t>הנתונה</w:t>
      </w:r>
      <w:r w:rsidRPr="00E303AD">
        <w:rPr>
          <w:rFonts w:eastAsia="Calibri"/>
          <w:rtl/>
        </w:rPr>
        <w:t xml:space="preserve"> </w:t>
      </w:r>
      <w:r w:rsidRPr="00E303AD">
        <w:rPr>
          <w:rFonts w:ascii="David" w:eastAsia="Calibri" w:hAnsi="David" w:hint="cs"/>
          <w:rtl/>
        </w:rPr>
        <w:t>לסמכות</w:t>
      </w:r>
      <w:r w:rsidRPr="00E303AD">
        <w:rPr>
          <w:rFonts w:eastAsia="Calibri"/>
          <w:rtl/>
        </w:rPr>
        <w:t xml:space="preserve"> </w:t>
      </w:r>
      <w:r w:rsidRPr="00E303AD">
        <w:rPr>
          <w:rFonts w:ascii="David" w:eastAsia="Calibri" w:hAnsi="David" w:hint="cs"/>
          <w:rtl/>
        </w:rPr>
        <w:t>המשטרה</w:t>
      </w:r>
      <w:r w:rsidRPr="00E303AD">
        <w:rPr>
          <w:rFonts w:eastAsia="Calibri" w:hint="cs"/>
          <w:rtl/>
        </w:rPr>
        <w:t>,</w:t>
      </w:r>
      <w:r w:rsidRPr="00E303AD">
        <w:rPr>
          <w:rFonts w:eastAsia="Calibri"/>
          <w:rtl/>
        </w:rPr>
        <w:t xml:space="preserve"> </w:t>
      </w:r>
      <w:r w:rsidRPr="00E303AD">
        <w:rPr>
          <w:rFonts w:eastAsia="Calibri" w:hint="cs"/>
          <w:rtl/>
        </w:rPr>
        <w:t>ו</w:t>
      </w:r>
      <w:r w:rsidRPr="00E303AD">
        <w:rPr>
          <w:rFonts w:ascii="David" w:eastAsia="Calibri" w:hAnsi="David" w:hint="cs"/>
          <w:rtl/>
        </w:rPr>
        <w:t>בכמה</w:t>
      </w:r>
      <w:r w:rsidRPr="00E303AD">
        <w:rPr>
          <w:rFonts w:eastAsia="Calibri"/>
          <w:rtl/>
        </w:rPr>
        <w:t xml:space="preserve"> </w:t>
      </w:r>
      <w:r w:rsidRPr="00E303AD">
        <w:rPr>
          <w:rFonts w:ascii="David" w:eastAsia="Calibri" w:hAnsi="David" w:hint="cs"/>
          <w:rtl/>
        </w:rPr>
        <w:t>הזדמנויות</w:t>
      </w:r>
      <w:r w:rsidRPr="00E303AD">
        <w:rPr>
          <w:rFonts w:eastAsia="Calibri"/>
          <w:rtl/>
        </w:rPr>
        <w:t xml:space="preserve"> </w:t>
      </w:r>
      <w:r w:rsidRPr="00E303AD">
        <w:rPr>
          <w:rFonts w:eastAsia="Calibri" w:hint="cs"/>
          <w:rtl/>
        </w:rPr>
        <w:t xml:space="preserve">אף </w:t>
      </w:r>
      <w:r w:rsidRPr="00E303AD">
        <w:rPr>
          <w:rFonts w:ascii="David" w:eastAsia="Calibri" w:hAnsi="David" w:hint="cs"/>
          <w:rtl/>
        </w:rPr>
        <w:t>בוצעה</w:t>
      </w:r>
      <w:r w:rsidRPr="00E303AD">
        <w:rPr>
          <w:rFonts w:eastAsia="Calibri"/>
          <w:rtl/>
        </w:rPr>
        <w:t xml:space="preserve"> </w:t>
      </w:r>
      <w:r w:rsidRPr="00E303AD">
        <w:rPr>
          <w:rFonts w:ascii="David" w:eastAsia="Calibri" w:hAnsi="David" w:hint="cs"/>
          <w:rtl/>
        </w:rPr>
        <w:t>חקירה</w:t>
      </w:r>
      <w:r w:rsidRPr="00E303AD">
        <w:rPr>
          <w:rFonts w:eastAsia="Calibri"/>
          <w:rtl/>
        </w:rPr>
        <w:t xml:space="preserve"> </w:t>
      </w:r>
      <w:r w:rsidRPr="00E303AD">
        <w:rPr>
          <w:rFonts w:ascii="David" w:eastAsia="Calibri" w:hAnsi="David" w:hint="cs"/>
          <w:rtl/>
        </w:rPr>
        <w:t>משותפת</w:t>
      </w:r>
      <w:r w:rsidRPr="00E303AD">
        <w:rPr>
          <w:rFonts w:eastAsia="Calibri"/>
          <w:rtl/>
        </w:rPr>
        <w:t xml:space="preserve">. </w:t>
      </w:r>
      <w:r w:rsidRPr="00E303AD">
        <w:rPr>
          <w:rFonts w:ascii="David" w:eastAsia="Calibri" w:hAnsi="David" w:hint="cs"/>
          <w:rtl/>
        </w:rPr>
        <w:t>כמו</w:t>
      </w:r>
      <w:r w:rsidRPr="00E303AD">
        <w:rPr>
          <w:rFonts w:eastAsia="Calibri"/>
          <w:rtl/>
        </w:rPr>
        <w:t xml:space="preserve"> </w:t>
      </w:r>
      <w:r w:rsidRPr="00E303AD">
        <w:rPr>
          <w:rFonts w:ascii="David" w:eastAsia="Calibri" w:hAnsi="David" w:hint="cs"/>
          <w:rtl/>
        </w:rPr>
        <w:t>כן</w:t>
      </w:r>
      <w:r w:rsidRPr="00E303AD">
        <w:rPr>
          <w:rFonts w:eastAsia="Calibri"/>
          <w:rtl/>
        </w:rPr>
        <w:t xml:space="preserve">, </w:t>
      </w:r>
      <w:r w:rsidRPr="00E303AD">
        <w:rPr>
          <w:rFonts w:ascii="David" w:eastAsia="Calibri" w:hAnsi="David" w:hint="cs"/>
          <w:rtl/>
        </w:rPr>
        <w:t>התקיימו</w:t>
      </w:r>
      <w:r w:rsidRPr="00E303AD">
        <w:rPr>
          <w:rFonts w:eastAsia="Calibri"/>
          <w:rtl/>
        </w:rPr>
        <w:t xml:space="preserve"> </w:t>
      </w:r>
      <w:r w:rsidRPr="00E303AD">
        <w:rPr>
          <w:rFonts w:ascii="David" w:eastAsia="Calibri" w:hAnsi="David" w:hint="cs"/>
          <w:rtl/>
        </w:rPr>
        <w:t>ישיבות</w:t>
      </w:r>
      <w:r w:rsidRPr="00E303AD">
        <w:rPr>
          <w:rFonts w:eastAsia="Calibri"/>
          <w:rtl/>
        </w:rPr>
        <w:t xml:space="preserve"> </w:t>
      </w:r>
      <w:r w:rsidRPr="00E303AD">
        <w:rPr>
          <w:rFonts w:ascii="David" w:eastAsia="Calibri" w:hAnsi="David" w:hint="cs"/>
          <w:rtl/>
        </w:rPr>
        <w:t>עבודה</w:t>
      </w:r>
      <w:r w:rsidRPr="00E303AD">
        <w:rPr>
          <w:rFonts w:eastAsia="Calibri"/>
          <w:rtl/>
        </w:rPr>
        <w:t xml:space="preserve"> </w:t>
      </w:r>
      <w:r w:rsidRPr="00E303AD">
        <w:rPr>
          <w:rFonts w:ascii="David" w:eastAsia="Calibri" w:hAnsi="David" w:hint="cs"/>
          <w:rtl/>
        </w:rPr>
        <w:t>רבות</w:t>
      </w:r>
      <w:r w:rsidRPr="00E303AD">
        <w:rPr>
          <w:rFonts w:eastAsia="Calibri"/>
          <w:rtl/>
        </w:rPr>
        <w:t xml:space="preserve"> </w:t>
      </w:r>
      <w:r w:rsidRPr="00E303AD">
        <w:rPr>
          <w:rFonts w:ascii="David" w:eastAsia="Calibri" w:hAnsi="David" w:hint="cs"/>
          <w:rtl/>
        </w:rPr>
        <w:t>הן</w:t>
      </w:r>
      <w:r w:rsidRPr="00E303AD">
        <w:rPr>
          <w:rFonts w:eastAsia="Calibri"/>
          <w:rtl/>
        </w:rPr>
        <w:t xml:space="preserve"> </w:t>
      </w:r>
      <w:r w:rsidRPr="00E303AD">
        <w:rPr>
          <w:rFonts w:ascii="David" w:eastAsia="Calibri" w:hAnsi="David" w:hint="cs"/>
          <w:rtl/>
        </w:rPr>
        <w:t>במישור</w:t>
      </w:r>
      <w:r w:rsidRPr="00E303AD">
        <w:rPr>
          <w:rFonts w:eastAsia="Calibri"/>
          <w:rtl/>
        </w:rPr>
        <w:t xml:space="preserve"> </w:t>
      </w:r>
      <w:r w:rsidRPr="00E303AD">
        <w:rPr>
          <w:rFonts w:ascii="David" w:eastAsia="Calibri" w:hAnsi="David" w:hint="cs"/>
          <w:rtl/>
        </w:rPr>
        <w:t>הכללי</w:t>
      </w:r>
      <w:r w:rsidRPr="00E303AD">
        <w:rPr>
          <w:rFonts w:eastAsia="Calibri"/>
          <w:rtl/>
        </w:rPr>
        <w:t xml:space="preserve"> </w:t>
      </w:r>
      <w:r w:rsidRPr="00E303AD">
        <w:rPr>
          <w:rFonts w:ascii="David" w:eastAsia="Calibri" w:hAnsi="David" w:hint="cs"/>
          <w:rtl/>
        </w:rPr>
        <w:t>של</w:t>
      </w:r>
      <w:r w:rsidRPr="00E303AD">
        <w:rPr>
          <w:rFonts w:eastAsia="Calibri"/>
          <w:rtl/>
        </w:rPr>
        <w:t xml:space="preserve"> </w:t>
      </w:r>
      <w:r w:rsidRPr="00E303AD">
        <w:rPr>
          <w:rFonts w:ascii="David" w:eastAsia="Calibri" w:hAnsi="David" w:hint="cs"/>
          <w:rtl/>
        </w:rPr>
        <w:t>גיבוש</w:t>
      </w:r>
      <w:r w:rsidRPr="00E303AD">
        <w:rPr>
          <w:rFonts w:eastAsia="Calibri"/>
          <w:rtl/>
        </w:rPr>
        <w:t xml:space="preserve"> </w:t>
      </w:r>
      <w:r w:rsidRPr="00E303AD">
        <w:rPr>
          <w:rFonts w:ascii="David" w:eastAsia="Calibri" w:hAnsi="David" w:hint="cs"/>
          <w:rtl/>
        </w:rPr>
        <w:t>דרכי</w:t>
      </w:r>
      <w:r w:rsidRPr="00E303AD">
        <w:rPr>
          <w:rFonts w:eastAsia="Calibri"/>
          <w:rtl/>
        </w:rPr>
        <w:t xml:space="preserve"> </w:t>
      </w:r>
      <w:r w:rsidRPr="00E303AD">
        <w:rPr>
          <w:rFonts w:ascii="David" w:eastAsia="Calibri" w:hAnsi="David" w:hint="cs"/>
          <w:rtl/>
        </w:rPr>
        <w:t>עבודה</w:t>
      </w:r>
      <w:r w:rsidRPr="00E303AD">
        <w:rPr>
          <w:rFonts w:eastAsia="Calibri"/>
          <w:rtl/>
        </w:rPr>
        <w:t xml:space="preserve"> </w:t>
      </w:r>
      <w:r w:rsidRPr="00E303AD">
        <w:rPr>
          <w:rFonts w:ascii="David" w:eastAsia="Calibri" w:hAnsi="David" w:hint="cs"/>
          <w:rtl/>
        </w:rPr>
        <w:t>משותפות</w:t>
      </w:r>
      <w:r w:rsidRPr="00E303AD">
        <w:rPr>
          <w:rFonts w:eastAsia="Calibri"/>
          <w:rtl/>
        </w:rPr>
        <w:t xml:space="preserve"> </w:t>
      </w:r>
      <w:r w:rsidRPr="00E303AD">
        <w:rPr>
          <w:rFonts w:ascii="David" w:eastAsia="Calibri" w:hAnsi="David" w:hint="cs"/>
          <w:rtl/>
        </w:rPr>
        <w:t>והן</w:t>
      </w:r>
      <w:r w:rsidRPr="00E303AD">
        <w:rPr>
          <w:rFonts w:eastAsia="Calibri"/>
          <w:rtl/>
        </w:rPr>
        <w:t xml:space="preserve"> </w:t>
      </w:r>
      <w:r w:rsidRPr="00E303AD">
        <w:rPr>
          <w:rFonts w:ascii="David" w:eastAsia="Calibri" w:hAnsi="David" w:hint="cs"/>
          <w:rtl/>
        </w:rPr>
        <w:t>לגבי</w:t>
      </w:r>
      <w:r w:rsidRPr="00E303AD">
        <w:rPr>
          <w:rFonts w:eastAsia="Calibri"/>
          <w:rtl/>
        </w:rPr>
        <w:t xml:space="preserve"> </w:t>
      </w:r>
      <w:r w:rsidRPr="00E303AD">
        <w:rPr>
          <w:rFonts w:ascii="David" w:eastAsia="Calibri" w:hAnsi="David" w:hint="cs"/>
          <w:rtl/>
        </w:rPr>
        <w:t>תיקים</w:t>
      </w:r>
      <w:r w:rsidRPr="00E303AD">
        <w:rPr>
          <w:rFonts w:eastAsia="Calibri"/>
          <w:rtl/>
        </w:rPr>
        <w:t xml:space="preserve"> </w:t>
      </w:r>
      <w:r w:rsidRPr="00E303AD">
        <w:rPr>
          <w:rFonts w:ascii="David" w:eastAsia="Calibri" w:hAnsi="David" w:hint="cs"/>
          <w:rtl/>
        </w:rPr>
        <w:t>ספציפיים</w:t>
      </w:r>
      <w:r w:rsidRPr="00E303AD">
        <w:rPr>
          <w:rFonts w:eastAsia="Calibri" w:hint="cs"/>
          <w:rtl/>
        </w:rPr>
        <w:t>, ומת</w:t>
      </w:r>
      <w:r w:rsidRPr="00E303AD">
        <w:rPr>
          <w:rFonts w:ascii="David" w:eastAsia="Calibri" w:hAnsi="David" w:hint="cs"/>
          <w:rtl/>
        </w:rPr>
        <w:t>קיים</w:t>
      </w:r>
      <w:r w:rsidRPr="00E303AD">
        <w:rPr>
          <w:rFonts w:eastAsia="Calibri"/>
          <w:rtl/>
        </w:rPr>
        <w:t xml:space="preserve"> </w:t>
      </w:r>
      <w:r w:rsidRPr="00E303AD">
        <w:rPr>
          <w:rFonts w:ascii="David" w:eastAsia="Calibri" w:hAnsi="David" w:hint="cs"/>
          <w:rtl/>
        </w:rPr>
        <w:t>קשר</w:t>
      </w:r>
      <w:r w:rsidRPr="00E303AD">
        <w:rPr>
          <w:rFonts w:eastAsia="Calibri"/>
          <w:rtl/>
        </w:rPr>
        <w:t xml:space="preserve"> </w:t>
      </w:r>
      <w:r w:rsidRPr="00E303AD">
        <w:rPr>
          <w:rFonts w:ascii="David" w:eastAsia="Calibri" w:hAnsi="David" w:hint="cs"/>
          <w:rtl/>
        </w:rPr>
        <w:t>יום</w:t>
      </w:r>
      <w:r w:rsidRPr="00E303AD">
        <w:rPr>
          <w:rFonts w:eastAsia="Calibri" w:hint="cs"/>
          <w:rtl/>
        </w:rPr>
        <w:t>-</w:t>
      </w:r>
      <w:r w:rsidRPr="00E303AD">
        <w:rPr>
          <w:rFonts w:ascii="David" w:eastAsia="Calibri" w:hAnsi="David" w:hint="cs"/>
          <w:rtl/>
        </w:rPr>
        <w:t>יומי</w:t>
      </w:r>
      <w:r w:rsidRPr="00E303AD">
        <w:rPr>
          <w:rFonts w:eastAsia="Calibri"/>
          <w:rtl/>
        </w:rPr>
        <w:t xml:space="preserve"> </w:t>
      </w:r>
      <w:r w:rsidRPr="00E303AD">
        <w:rPr>
          <w:rFonts w:ascii="David" w:eastAsia="Calibri" w:hAnsi="David" w:hint="cs"/>
          <w:rtl/>
        </w:rPr>
        <w:t>בין</w:t>
      </w:r>
      <w:r w:rsidRPr="00E303AD">
        <w:rPr>
          <w:rFonts w:eastAsia="Calibri"/>
          <w:rtl/>
        </w:rPr>
        <w:t xml:space="preserve"> </w:t>
      </w:r>
      <w:r w:rsidRPr="00E303AD">
        <w:rPr>
          <w:rFonts w:ascii="David" w:eastAsia="Calibri" w:hAnsi="David" w:hint="cs"/>
          <w:rtl/>
        </w:rPr>
        <w:t>רא</w:t>
      </w:r>
      <w:r w:rsidRPr="00E303AD">
        <w:rPr>
          <w:rFonts w:eastAsia="Calibri" w:hint="cs"/>
          <w:rtl/>
        </w:rPr>
        <w:t>ש</w:t>
      </w:r>
      <w:r w:rsidRPr="00E303AD">
        <w:rPr>
          <w:rFonts w:eastAsia="Calibri"/>
          <w:rtl/>
        </w:rPr>
        <w:t xml:space="preserve"> </w:t>
      </w:r>
      <w:r w:rsidRPr="00E303AD">
        <w:rPr>
          <w:rFonts w:ascii="David" w:eastAsia="Calibri" w:hAnsi="David" w:hint="cs"/>
          <w:rtl/>
        </w:rPr>
        <w:t>חוליית</w:t>
      </w:r>
      <w:r w:rsidRPr="00E303AD">
        <w:rPr>
          <w:rFonts w:eastAsia="Calibri"/>
          <w:rtl/>
        </w:rPr>
        <w:t xml:space="preserve"> </w:t>
      </w:r>
      <w:r w:rsidRPr="00E303AD">
        <w:rPr>
          <w:rFonts w:ascii="David" w:eastAsia="Calibri" w:hAnsi="David" w:hint="cs"/>
          <w:rtl/>
        </w:rPr>
        <w:t>סחר</w:t>
      </w:r>
      <w:r w:rsidRPr="00E303AD">
        <w:rPr>
          <w:rFonts w:eastAsia="Calibri"/>
          <w:rtl/>
        </w:rPr>
        <w:t xml:space="preserve"> </w:t>
      </w:r>
      <w:r w:rsidRPr="00E303AD">
        <w:rPr>
          <w:rFonts w:ascii="David" w:eastAsia="Calibri" w:hAnsi="David" w:hint="cs"/>
          <w:rtl/>
        </w:rPr>
        <w:t>בבני</w:t>
      </w:r>
      <w:r w:rsidRPr="00E303AD">
        <w:rPr>
          <w:rFonts w:eastAsia="Calibri"/>
          <w:rtl/>
        </w:rPr>
        <w:t xml:space="preserve"> אד</w:t>
      </w:r>
      <w:r w:rsidRPr="00E303AD">
        <w:rPr>
          <w:rFonts w:eastAsia="Calibri" w:hint="cs"/>
          <w:rtl/>
        </w:rPr>
        <w:t>ם</w:t>
      </w:r>
      <w:r w:rsidRPr="00E303AD">
        <w:rPr>
          <w:rFonts w:eastAsia="Calibri"/>
          <w:rtl/>
        </w:rPr>
        <w:t xml:space="preserve"> </w:t>
      </w:r>
      <w:r w:rsidRPr="00E303AD">
        <w:rPr>
          <w:rFonts w:ascii="David" w:eastAsia="Calibri" w:hAnsi="David" w:hint="cs"/>
          <w:rtl/>
        </w:rPr>
        <w:t>ובין</w:t>
      </w:r>
      <w:r w:rsidRPr="00E303AD">
        <w:rPr>
          <w:rFonts w:eastAsia="Calibri"/>
          <w:rtl/>
        </w:rPr>
        <w:t xml:space="preserve"> </w:t>
      </w:r>
      <w:r w:rsidRPr="00E303AD">
        <w:rPr>
          <w:rFonts w:ascii="David" w:eastAsia="Calibri" w:hAnsi="David" w:hint="cs"/>
          <w:rtl/>
        </w:rPr>
        <w:t>נציגי</w:t>
      </w:r>
      <w:r w:rsidRPr="00E303AD">
        <w:rPr>
          <w:rFonts w:eastAsia="Calibri"/>
          <w:rtl/>
        </w:rPr>
        <w:t xml:space="preserve"> </w:t>
      </w:r>
      <w:r w:rsidRPr="00E303AD">
        <w:rPr>
          <w:rFonts w:ascii="David" w:eastAsia="Calibri" w:hAnsi="David" w:hint="cs"/>
          <w:rtl/>
        </w:rPr>
        <w:t>רשות</w:t>
      </w:r>
      <w:r w:rsidRPr="00E303AD">
        <w:rPr>
          <w:rFonts w:eastAsia="Calibri"/>
          <w:rtl/>
        </w:rPr>
        <w:t xml:space="preserve"> </w:t>
      </w:r>
      <w:r w:rsidRPr="00E303AD">
        <w:rPr>
          <w:rFonts w:ascii="David" w:eastAsia="Calibri" w:hAnsi="David" w:hint="cs"/>
          <w:rtl/>
        </w:rPr>
        <w:t>האוכלוסין</w:t>
      </w:r>
      <w:r w:rsidRPr="00E303AD">
        <w:rPr>
          <w:rFonts w:eastAsia="Calibri"/>
          <w:rtl/>
        </w:rPr>
        <w:t>.</w:t>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בתשובת משרד המשפטים נמסר כי </w:t>
      </w:r>
      <w:r w:rsidRPr="00E303AD">
        <w:rPr>
          <w:rFonts w:eastAsia="Calibri"/>
          <w:rtl/>
        </w:rPr>
        <w:t xml:space="preserve">יחידת התיאום יזמה </w:t>
      </w:r>
      <w:r w:rsidRPr="00E303AD">
        <w:rPr>
          <w:rFonts w:eastAsia="Calibri" w:hint="cs"/>
          <w:rtl/>
        </w:rPr>
        <w:t xml:space="preserve">שיתופי פעולה </w:t>
      </w:r>
      <w:r w:rsidRPr="00E303AD">
        <w:rPr>
          <w:rFonts w:eastAsia="Calibri"/>
          <w:rtl/>
        </w:rPr>
        <w:t xml:space="preserve">והעברת מידע </w:t>
      </w:r>
      <w:r w:rsidRPr="00E303AD">
        <w:rPr>
          <w:rFonts w:eastAsia="Calibri" w:hint="cs"/>
          <w:rtl/>
        </w:rPr>
        <w:t>בין גופים שונים, לרבות המשטרה ו</w:t>
      </w:r>
      <w:r w:rsidRPr="00E303AD">
        <w:rPr>
          <w:rFonts w:eastAsia="Calibri"/>
          <w:rtl/>
        </w:rPr>
        <w:t>מינהל אכיפה</w:t>
      </w:r>
      <w:r w:rsidRPr="00E303AD">
        <w:rPr>
          <w:rFonts w:eastAsia="Calibri" w:hint="cs"/>
          <w:rtl/>
        </w:rPr>
        <w:t>,</w:t>
      </w:r>
      <w:r w:rsidRPr="00E303AD">
        <w:rPr>
          <w:rFonts w:eastAsia="Calibri"/>
          <w:rtl/>
        </w:rPr>
        <w:t xml:space="preserve"> ו</w:t>
      </w:r>
      <w:r w:rsidRPr="00E303AD">
        <w:rPr>
          <w:rFonts w:eastAsia="Calibri" w:hint="cs"/>
          <w:rtl/>
        </w:rPr>
        <w:t xml:space="preserve">אם מתגלים חסמים ופערים היא </w:t>
      </w:r>
      <w:r w:rsidRPr="00E303AD">
        <w:rPr>
          <w:rFonts w:eastAsia="Calibri"/>
          <w:rtl/>
        </w:rPr>
        <w:t>דואגת להסיר</w:t>
      </w:r>
      <w:r w:rsidRPr="00E303AD">
        <w:rPr>
          <w:rFonts w:eastAsia="Calibri" w:hint="cs"/>
          <w:rtl/>
        </w:rPr>
        <w:t>ם</w:t>
      </w:r>
      <w:r w:rsidRPr="00E303AD">
        <w:rPr>
          <w:rFonts w:eastAsia="Calibri"/>
          <w:rtl/>
        </w:rPr>
        <w:t>.</w:t>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בתשובת רשות האוכלוסין נמסר כי כדי</w:t>
      </w:r>
      <w:r w:rsidRPr="00E303AD">
        <w:rPr>
          <w:rFonts w:eastAsia="Calibri"/>
          <w:rtl/>
        </w:rPr>
        <w:t xml:space="preserve"> לייעל ולקדם את הטיפול בתופע</w:t>
      </w:r>
      <w:r w:rsidRPr="00E303AD">
        <w:rPr>
          <w:rFonts w:eastAsia="Calibri" w:hint="cs"/>
          <w:rtl/>
        </w:rPr>
        <w:t>ת הסחר בבני אדם</w:t>
      </w:r>
      <w:r w:rsidRPr="00E303AD">
        <w:rPr>
          <w:rFonts w:eastAsia="Calibri"/>
          <w:rtl/>
        </w:rPr>
        <w:t xml:space="preserve"> הוקמה יחידה אשר תפקידה לתכלל את התחום ולחזק את שיתופי הפעולה בין יחידות הרשות </w:t>
      </w:r>
      <w:r w:rsidRPr="00E303AD">
        <w:rPr>
          <w:rFonts w:eastAsia="Calibri" w:hint="cs"/>
          <w:rtl/>
        </w:rPr>
        <w:t xml:space="preserve">לבין </w:t>
      </w:r>
      <w:r w:rsidRPr="00E303AD">
        <w:rPr>
          <w:rFonts w:eastAsia="Calibri"/>
          <w:rtl/>
        </w:rPr>
        <w:t>משרדי הממשלה וארגונים שונים</w:t>
      </w:r>
      <w:r w:rsidRPr="00E303AD">
        <w:rPr>
          <w:rFonts w:eastAsia="Calibri" w:hint="cs"/>
          <w:rtl/>
        </w:rPr>
        <w:t>.</w:t>
      </w:r>
      <w:r w:rsidRPr="00E303AD">
        <w:rPr>
          <w:rFonts w:eastAsia="Calibri"/>
          <w:rtl/>
        </w:rPr>
        <w:t xml:space="preserve"> </w:t>
      </w:r>
      <w:r w:rsidRPr="00E303AD">
        <w:rPr>
          <w:rFonts w:eastAsia="Calibri" w:hint="cs"/>
          <w:rtl/>
        </w:rPr>
        <w:t xml:space="preserve">עוד נמסר כי </w:t>
      </w:r>
      <w:r w:rsidRPr="00E303AD">
        <w:rPr>
          <w:rFonts w:eastAsia="Calibri"/>
          <w:rtl/>
        </w:rPr>
        <w:t xml:space="preserve">מאז ביצוע הביקורת חל </w:t>
      </w:r>
      <w:r w:rsidRPr="00E303AD">
        <w:rPr>
          <w:rFonts w:eastAsia="Calibri" w:hint="cs"/>
          <w:rtl/>
        </w:rPr>
        <w:t>שיפור</w:t>
      </w:r>
      <w:r w:rsidRPr="00E303AD">
        <w:rPr>
          <w:rFonts w:eastAsia="Calibri"/>
          <w:rtl/>
        </w:rPr>
        <w:t xml:space="preserve"> בשיתוף הפעולה בין מינהל אכיפה לבין </w:t>
      </w:r>
      <w:r w:rsidRPr="00E303AD">
        <w:rPr>
          <w:rFonts w:eastAsia="Calibri" w:hint="cs"/>
          <w:rtl/>
        </w:rPr>
        <w:t>ה</w:t>
      </w:r>
      <w:r w:rsidRPr="00E303AD">
        <w:rPr>
          <w:rFonts w:eastAsia="Calibri"/>
          <w:rtl/>
        </w:rPr>
        <w:t>משטר</w:t>
      </w:r>
      <w:r w:rsidRPr="00E303AD">
        <w:rPr>
          <w:rFonts w:eastAsia="Calibri" w:hint="cs"/>
          <w:rtl/>
        </w:rPr>
        <w:t xml:space="preserve">ה. </w:t>
      </w:r>
      <w:r w:rsidRPr="00E303AD">
        <w:rPr>
          <w:rFonts w:eastAsia="Calibri"/>
          <w:rtl/>
        </w:rPr>
        <w:t>הדבר בא לידי ביטוי</w:t>
      </w:r>
      <w:r w:rsidRPr="00E303AD">
        <w:rPr>
          <w:rFonts w:eastAsia="Calibri" w:hint="cs"/>
          <w:rtl/>
        </w:rPr>
        <w:t>, בין היתר,</w:t>
      </w:r>
      <w:r w:rsidRPr="00E303AD">
        <w:rPr>
          <w:rFonts w:eastAsia="Calibri"/>
          <w:rtl/>
        </w:rPr>
        <w:t xml:space="preserve"> </w:t>
      </w:r>
      <w:r w:rsidRPr="00E303AD">
        <w:rPr>
          <w:rFonts w:eastAsia="Calibri" w:hint="cs"/>
          <w:rtl/>
        </w:rPr>
        <w:t>בחיזוק הממשקים בתחומי ההדרכה ובחילופי מידע מקצועי ומודיעיני. עם זאת צוין כי</w:t>
      </w:r>
      <w:r w:rsidRPr="00E303AD">
        <w:rPr>
          <w:rFonts w:eastAsia="Calibri"/>
          <w:rtl/>
        </w:rPr>
        <w:t xml:space="preserve"> עדיין </w:t>
      </w:r>
      <w:r w:rsidRPr="00E303AD">
        <w:rPr>
          <w:rFonts w:eastAsia="Calibri" w:hint="cs"/>
          <w:rtl/>
        </w:rPr>
        <w:t>יש</w:t>
      </w:r>
      <w:r w:rsidRPr="00E303AD">
        <w:rPr>
          <w:rFonts w:eastAsia="Calibri"/>
          <w:rtl/>
        </w:rPr>
        <w:t xml:space="preserve"> מקום לשיפור בשיתוף הפעולה עם המשטרה בדגש על פעילויות השטח</w:t>
      </w:r>
      <w:r w:rsidRPr="00E303AD">
        <w:rPr>
          <w:rFonts w:eastAsia="Calibri" w:hint="cs"/>
          <w:rtl/>
        </w:rPr>
        <w:t>,</w:t>
      </w:r>
      <w:r w:rsidRPr="00E303AD">
        <w:rPr>
          <w:rFonts w:eastAsia="Calibri"/>
          <w:rtl/>
        </w:rPr>
        <w:t xml:space="preserve"> </w:t>
      </w:r>
      <w:r w:rsidRPr="00E303AD">
        <w:rPr>
          <w:rFonts w:eastAsia="Calibri" w:hint="cs"/>
          <w:rtl/>
        </w:rPr>
        <w:t>ובמסגרת תוכנית העבודה לשנת 2026 ייכתבו נהלים והנחיות המחדדים את הצרכים המקצועיים של כל אחד מהצדדים בפעילות המשותפת.</w:t>
      </w:r>
      <w:r w:rsidRPr="00E303AD">
        <w:rPr>
          <w:rFonts w:eastAsia="Calibri"/>
          <w:rtl/>
        </w:rPr>
        <w:t>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בתגובה שמסר משרד החוץ על ממצאי הביקורת באפריל 2026 צוין </w:t>
      </w:r>
      <w:r w:rsidRPr="00E303AD">
        <w:rPr>
          <w:rFonts w:eastAsia="Calibri"/>
          <w:rtl/>
        </w:rPr>
        <w:t>ש</w:t>
      </w:r>
      <w:r w:rsidRPr="00E303AD">
        <w:rPr>
          <w:rFonts w:eastAsia="Calibri" w:hint="cs"/>
          <w:rtl/>
        </w:rPr>
        <w:t xml:space="preserve">אם </w:t>
      </w:r>
      <w:r w:rsidRPr="00E303AD">
        <w:rPr>
          <w:rFonts w:eastAsia="Calibri"/>
          <w:rtl/>
        </w:rPr>
        <w:t>יקודם הנוהל המוצע</w:t>
      </w:r>
      <w:r w:rsidRPr="00E303AD">
        <w:rPr>
          <w:rFonts w:eastAsia="Calibri" w:hint="cs"/>
          <w:rtl/>
        </w:rPr>
        <w:t xml:space="preserve">, המשרד יעבוד </w:t>
      </w:r>
      <w:r w:rsidRPr="00E303AD">
        <w:rPr>
          <w:rFonts w:eastAsia="Calibri"/>
          <w:rtl/>
        </w:rPr>
        <w:t>בשיתוף פעולה עם המשרדים האחרים ו</w:t>
      </w:r>
      <w:r w:rsidRPr="00E303AD">
        <w:rPr>
          <w:rFonts w:eastAsia="Calibri" w:hint="cs"/>
          <w:rtl/>
        </w:rPr>
        <w:t>ייתן מענה מקצועי כנדרש.</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ascii="David" w:eastAsia="Calibri" w:hAnsi="David"/>
          <w:b/>
          <w:bCs/>
          <w:sz w:val="24"/>
          <w:rtl/>
        </w:rPr>
      </w:pPr>
      <w:r w:rsidRPr="00E303AD">
        <w:rPr>
          <w:rFonts w:ascii="David" w:eastAsia="Calibri" w:hAnsi="David"/>
          <w:b/>
          <w:bCs/>
          <w:sz w:val="24"/>
          <w:rtl/>
        </w:rPr>
        <w:t xml:space="preserve">על יחידת התיאום </w:t>
      </w:r>
      <w:r w:rsidRPr="00E303AD">
        <w:rPr>
          <w:rFonts w:ascii="David" w:eastAsia="Calibri" w:hAnsi="David" w:hint="cs"/>
          <w:b/>
          <w:bCs/>
          <w:sz w:val="24"/>
          <w:rtl/>
        </w:rPr>
        <w:t>להבטיח</w:t>
      </w:r>
      <w:r w:rsidRPr="00E303AD">
        <w:rPr>
          <w:rFonts w:ascii="David" w:eastAsia="Calibri" w:hAnsi="David"/>
          <w:b/>
          <w:bCs/>
          <w:sz w:val="24"/>
          <w:rtl/>
        </w:rPr>
        <w:t xml:space="preserve"> </w:t>
      </w:r>
      <w:r w:rsidRPr="00E303AD">
        <w:rPr>
          <w:rFonts w:ascii="David" w:eastAsia="Calibri" w:hAnsi="David" w:hint="cs"/>
          <w:b/>
          <w:bCs/>
          <w:sz w:val="24"/>
          <w:rtl/>
        </w:rPr>
        <w:t>שיתוף פעולה יעיל</w:t>
      </w:r>
      <w:r w:rsidRPr="00E303AD">
        <w:rPr>
          <w:rFonts w:ascii="David" w:eastAsia="Calibri" w:hAnsi="David"/>
          <w:b/>
          <w:bCs/>
          <w:sz w:val="24"/>
          <w:rtl/>
        </w:rPr>
        <w:t xml:space="preserve"> בין גופי האכיפה השונים</w:t>
      </w:r>
      <w:r w:rsidRPr="00E303AD">
        <w:rPr>
          <w:rFonts w:ascii="David" w:eastAsia="Calibri" w:hAnsi="David" w:hint="cs"/>
          <w:b/>
          <w:bCs/>
          <w:sz w:val="24"/>
          <w:rtl/>
        </w:rPr>
        <w:t xml:space="preserve"> שתחום פעילותם נוגע למאבק בסחר בבני אדם</w:t>
      </w:r>
      <w:r w:rsidRPr="00E303AD">
        <w:rPr>
          <w:rFonts w:ascii="David" w:eastAsia="Calibri" w:hAnsi="David"/>
          <w:b/>
          <w:bCs/>
          <w:sz w:val="24"/>
          <w:rtl/>
        </w:rPr>
        <w:t xml:space="preserve">. </w:t>
      </w:r>
      <w:bookmarkStart w:id="183" w:name="_Hlk222645409"/>
      <w:r w:rsidRPr="00E303AD">
        <w:rPr>
          <w:rFonts w:ascii="David" w:eastAsia="Calibri" w:hAnsi="David" w:hint="cs"/>
          <w:b/>
          <w:bCs/>
          <w:sz w:val="24"/>
          <w:rtl/>
        </w:rPr>
        <w:t xml:space="preserve">לעניין זה מוצע כי היחידה תפעל לגיבוש נוהל משותף </w:t>
      </w:r>
      <w:bookmarkEnd w:id="183"/>
      <w:r w:rsidRPr="00E303AD">
        <w:rPr>
          <w:rFonts w:ascii="David" w:eastAsia="Calibri" w:hAnsi="David" w:hint="cs"/>
          <w:b/>
          <w:bCs/>
          <w:sz w:val="24"/>
          <w:rtl/>
        </w:rPr>
        <w:t xml:space="preserve">של כלל הגורמים הרלוונטיים ובו יוגדרו ממשקי העבודה שיאפשרו פעילות מיטבית בתחום, ובכלל זאת יוסדרו </w:t>
      </w:r>
      <w:r w:rsidRPr="00E303AD">
        <w:rPr>
          <w:rFonts w:ascii="David" w:eastAsia="Calibri" w:hAnsi="David"/>
          <w:b/>
          <w:bCs/>
          <w:sz w:val="24"/>
          <w:rtl/>
        </w:rPr>
        <w:t>דרכי התקשורת ושיתוף המידע</w:t>
      </w:r>
      <w:r w:rsidRPr="00E303AD">
        <w:rPr>
          <w:rFonts w:ascii="David" w:eastAsia="Calibri" w:hAnsi="David" w:hint="cs"/>
          <w:b/>
          <w:bCs/>
          <w:sz w:val="24"/>
          <w:rtl/>
        </w:rPr>
        <w:t xml:space="preserve"> ביניהם וכיצד הם יבצעו תיאום שיטתי של</w:t>
      </w:r>
      <w:r w:rsidRPr="00E303AD">
        <w:rPr>
          <w:rFonts w:ascii="David" w:eastAsia="Calibri" w:hAnsi="David"/>
          <w:b/>
          <w:bCs/>
          <w:sz w:val="24"/>
          <w:rtl/>
        </w:rPr>
        <w:t xml:space="preserve"> משימות</w:t>
      </w:r>
      <w:r w:rsidRPr="00E303AD">
        <w:rPr>
          <w:rFonts w:ascii="David" w:eastAsia="Calibri" w:hAnsi="David" w:hint="cs"/>
          <w:b/>
          <w:bCs/>
          <w:sz w:val="24"/>
          <w:rtl/>
        </w:rPr>
        <w:t>. מוצע כי יישום הנוהל ילווה בהליכי הטמעה, הפקת לקחים ובקרה.</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bookmarkStart w:id="184" w:name="_Toc221474998"/>
      <w:bookmarkStart w:id="185" w:name="_Toc221475137"/>
      <w:r w:rsidRPr="00E303AD">
        <w:rPr>
          <w:rFonts w:eastAsia="Times New Roman" w:hint="eastAsia"/>
          <w:bCs/>
          <w:spacing w:val="40"/>
          <w:rtl/>
        </w:rPr>
        <w:t>מוקד</w:t>
      </w:r>
      <w:r w:rsidRPr="00E303AD">
        <w:rPr>
          <w:rFonts w:eastAsia="Times New Roman"/>
          <w:bCs/>
          <w:spacing w:val="40"/>
          <w:rtl/>
        </w:rPr>
        <w:t xml:space="preserve"> </w:t>
      </w:r>
      <w:r w:rsidRPr="00E303AD">
        <w:rPr>
          <w:rFonts w:eastAsia="Times New Roman" w:hint="eastAsia"/>
          <w:bCs/>
          <w:spacing w:val="40"/>
          <w:rtl/>
        </w:rPr>
        <w:t>פניות</w:t>
      </w:r>
      <w:r w:rsidRPr="00E303AD">
        <w:rPr>
          <w:rFonts w:eastAsia="Times New Roman"/>
          <w:bCs/>
          <w:spacing w:val="40"/>
          <w:rtl/>
        </w:rPr>
        <w:t xml:space="preserve"> </w:t>
      </w:r>
      <w:r w:rsidRPr="00E303AD">
        <w:rPr>
          <w:rFonts w:eastAsia="Times New Roman" w:hint="eastAsia"/>
          <w:bCs/>
          <w:spacing w:val="40"/>
          <w:rtl/>
        </w:rPr>
        <w:t>הציבור</w:t>
      </w:r>
      <w:r w:rsidRPr="00E303AD">
        <w:rPr>
          <w:rFonts w:eastAsia="Times New Roman"/>
          <w:bCs/>
          <w:spacing w:val="40"/>
          <w:rtl/>
        </w:rPr>
        <w:t xml:space="preserve"> </w:t>
      </w:r>
      <w:r w:rsidRPr="00E303AD">
        <w:rPr>
          <w:rFonts w:eastAsia="Times New Roman" w:hint="eastAsia"/>
          <w:bCs/>
          <w:spacing w:val="40"/>
          <w:rtl/>
        </w:rPr>
        <w:t>ביחידת</w:t>
      </w:r>
      <w:r w:rsidRPr="00E303AD">
        <w:rPr>
          <w:rFonts w:eastAsia="Times New Roman"/>
          <w:bCs/>
          <w:spacing w:val="40"/>
          <w:rtl/>
        </w:rPr>
        <w:t xml:space="preserve"> </w:t>
      </w:r>
      <w:r w:rsidRPr="00E303AD">
        <w:rPr>
          <w:rFonts w:eastAsia="Times New Roman" w:hint="eastAsia"/>
          <w:bCs/>
          <w:spacing w:val="40"/>
          <w:rtl/>
        </w:rPr>
        <w:t>התיאום</w:t>
      </w:r>
      <w:r w:rsidRPr="00E303AD">
        <w:rPr>
          <w:rFonts w:eastAsia="Times New Roman"/>
          <w:bCs/>
          <w:spacing w:val="40"/>
          <w:rtl/>
        </w:rPr>
        <w:t>:</w:t>
      </w:r>
      <w:bookmarkEnd w:id="184"/>
      <w:bookmarkEnd w:id="185"/>
      <w:r w:rsidRPr="00E303AD">
        <w:rPr>
          <w:rFonts w:eastAsia="Calibri" w:hint="cs"/>
          <w:rtl/>
        </w:rPr>
        <w:t xml:space="preserve"> יחידת התיאום מפעילה מוקד מקוון ייעודי המקבל פניות מכלל הציבור בנוגע לסחר בבני אדם ומטרתו להפנות את הפונים לגורמי טיפול ואכיפה בהתאם לצורך. </w:t>
      </w:r>
      <w:r w:rsidRPr="00E303AD">
        <w:rPr>
          <w:rFonts w:eastAsia="Calibri"/>
          <w:rtl/>
        </w:rPr>
        <w:t xml:space="preserve">לפי החלטת ממשלה 1862 </w:t>
      </w:r>
      <w:r w:rsidRPr="00E303AD">
        <w:rPr>
          <w:rFonts w:eastAsia="Calibri" w:hint="cs"/>
          <w:rtl/>
        </w:rPr>
        <w:t xml:space="preserve">משנת 2022, על </w:t>
      </w:r>
      <w:r w:rsidRPr="00E303AD">
        <w:rPr>
          <w:rFonts w:eastAsia="Calibri"/>
          <w:rtl/>
        </w:rPr>
        <w:t xml:space="preserve">יחידת התיאום </w:t>
      </w:r>
      <w:r w:rsidRPr="00E303AD">
        <w:rPr>
          <w:rFonts w:eastAsia="Calibri" w:hint="cs"/>
          <w:rtl/>
        </w:rPr>
        <w:t xml:space="preserve">להגדיל את </w:t>
      </w:r>
      <w:r w:rsidRPr="00E303AD">
        <w:rPr>
          <w:rFonts w:eastAsia="Calibri"/>
          <w:rtl/>
        </w:rPr>
        <w:t>שיעור הפניות למוקד</w:t>
      </w:r>
      <w:r>
        <w:rPr>
          <w:rFonts w:eastAsia="Calibri"/>
          <w:vertAlign w:val="superscript"/>
          <w:rtl/>
        </w:rPr>
        <w:footnoteReference w:id="162"/>
      </w:r>
      <w:r w:rsidRPr="00E303AD">
        <w:rPr>
          <w:rFonts w:eastAsia="Calibri" w:hint="cs"/>
          <w:rtl/>
        </w:rPr>
        <w:t xml:space="preserve">. זאת, בין היתר, באמצעות הקמת צוות עבודה בין-מגזרי </w:t>
      </w:r>
      <w:r w:rsidRPr="00E303AD">
        <w:rPr>
          <w:rFonts w:eastAsia="Calibri"/>
          <w:rtl/>
        </w:rPr>
        <w:t>שילווה את הפעלת מוקד הפניות ויתרום להרחבתו, וכן באמצעות השקת קמפיין ציבורי להעלאת המודעות למוקד בקרב האוכלוסייה הכללית ובמגזרים ייחודיים.</w:t>
      </w:r>
    </w:p>
    <w:p w:rsidR="00E303AD" w:rsidRPr="00E303AD" w:rsidP="00E303AD">
      <w:pPr>
        <w:spacing w:line="269" w:lineRule="auto"/>
        <w:ind w:left="-567"/>
        <w:rPr>
          <w:rFonts w:eastAsia="Calibri"/>
          <w:szCs w:val="20"/>
          <w:rtl/>
        </w:rPr>
      </w:pPr>
    </w:p>
    <w:p w:rsidR="00E303AD" w:rsidRPr="00E303AD" w:rsidP="00E303AD">
      <w:pPr>
        <w:spacing w:line="269" w:lineRule="auto"/>
        <w:jc w:val="center"/>
        <w:rPr>
          <w:rFonts w:eastAsia="Calibri"/>
          <w:b/>
          <w:bCs/>
          <w:rtl/>
        </w:rPr>
      </w:pPr>
      <w:bookmarkStart w:id="186" w:name="_Hlk209946154"/>
      <w:r w:rsidRPr="00E303AD">
        <w:rPr>
          <w:rFonts w:eastAsia="Calibri" w:hint="cs"/>
          <w:rtl/>
        </w:rPr>
        <w:t>תרשים 13:</w:t>
      </w:r>
      <w:r w:rsidRPr="00E303AD">
        <w:rPr>
          <w:rFonts w:eastAsia="Calibri" w:hint="cs"/>
          <w:b/>
          <w:bCs/>
          <w:rtl/>
        </w:rPr>
        <w:t xml:space="preserve"> מספר הפניות למוקד המקוון של יחידת התיאום, 2022 - 2024</w:t>
      </w:r>
    </w:p>
    <w:p w:rsidR="00E303AD" w:rsidRPr="00E303AD" w:rsidP="00367CD6">
      <w:pPr>
        <w:spacing w:line="269" w:lineRule="auto"/>
        <w:ind w:left="-2"/>
        <w:jc w:val="center"/>
        <w:rPr>
          <w:rFonts w:eastAsia="Calibri"/>
          <w:szCs w:val="20"/>
          <w:rtl/>
        </w:rPr>
      </w:pPr>
      <w:r w:rsidRPr="00E303AD">
        <w:rPr>
          <w:rFonts w:eastAsia="Calibri"/>
          <w:noProof/>
        </w:rPr>
        <w:drawing>
          <wp:inline distT="0" distB="0" distL="0" distR="0">
            <wp:extent cx="4532977" cy="2199493"/>
            <wp:effectExtent l="0" t="0" r="1270" b="0"/>
            <wp:docPr id="9" name="תמונה 9" descr="תרשים עמודות המציג את מספר הפניות למוקד המקוון של יחידת התיאום לאורך השנים 2022 עד 2024.&#10;&#10;שנת 2022: 14 פניות.&#10;&#10;שנת 2023: 15 פניות.&#10;&#10;שנת 2024: 18 פנ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37"/>
                    <a:srcRect t="19326"/>
                    <a:stretch>
                      <a:fillRect/>
                    </a:stretch>
                  </pic:blipFill>
                  <pic:spPr bwMode="auto">
                    <a:xfrm>
                      <a:off x="0" y="0"/>
                      <a:ext cx="4543849" cy="220476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303AD" w:rsidRPr="00E303AD" w:rsidP="00E303AD">
      <w:pPr>
        <w:spacing w:line="269" w:lineRule="auto"/>
        <w:rPr>
          <w:rFonts w:eastAsia="Calibri"/>
          <w:szCs w:val="20"/>
          <w:rtl/>
        </w:rPr>
      </w:pPr>
      <w:r w:rsidRPr="00E303AD">
        <w:rPr>
          <w:rFonts w:eastAsia="Calibri" w:hint="cs"/>
          <w:szCs w:val="20"/>
          <w:rtl/>
        </w:rPr>
        <w:t>על פי קובץ נתונים של יחידת התיאום, בעיבוד משרד מבקר המדינה.</w:t>
      </w:r>
    </w:p>
    <w:p w:rsidR="00E303AD" w:rsidRPr="00E303AD" w:rsidP="00E303AD">
      <w:pPr>
        <w:spacing w:line="269" w:lineRule="auto"/>
        <w:ind w:left="-567"/>
        <w:rPr>
          <w:rFonts w:eastAsia="Calibri"/>
          <w:b/>
          <w:bCs/>
          <w:szCs w:val="20"/>
          <w:rtl/>
        </w:rPr>
      </w:pPr>
      <w:r w:rsidRPr="00E303AD">
        <w:rPr>
          <w:rFonts w:eastAsia="Calibri" w:hint="cs"/>
          <w:szCs w:val="20"/>
          <w:rtl/>
        </w:rPr>
        <w:t xml:space="preserve"> </w:t>
      </w:r>
    </w:p>
    <w:bookmarkEnd w:id="186"/>
    <w:p w:rsidR="00E303AD" w:rsidRPr="00E303AD" w:rsidP="00E303AD">
      <w:pPr>
        <w:spacing w:line="269" w:lineRule="auto"/>
        <w:rPr>
          <w:rFonts w:eastAsia="Calibri"/>
          <w:rtl/>
        </w:rPr>
      </w:pPr>
      <w:r w:rsidRPr="00E303AD">
        <w:rPr>
          <w:rFonts w:eastAsia="Calibri" w:hint="eastAsia"/>
          <w:rtl/>
        </w:rPr>
        <w:t>מהנתונים</w:t>
      </w:r>
      <w:r w:rsidRPr="00E303AD">
        <w:rPr>
          <w:rFonts w:eastAsia="Calibri"/>
          <w:rtl/>
        </w:rPr>
        <w:t xml:space="preserve"> </w:t>
      </w:r>
      <w:r w:rsidRPr="00E303AD">
        <w:rPr>
          <w:rFonts w:eastAsia="Calibri" w:hint="eastAsia"/>
          <w:rtl/>
        </w:rPr>
        <w:t>לעיל</w:t>
      </w:r>
      <w:r w:rsidRPr="00E303AD">
        <w:rPr>
          <w:rFonts w:eastAsia="Calibri"/>
          <w:rtl/>
        </w:rPr>
        <w:t xml:space="preserve"> </w:t>
      </w:r>
      <w:r w:rsidRPr="00E303AD">
        <w:rPr>
          <w:rFonts w:eastAsia="Calibri" w:hint="eastAsia"/>
          <w:rtl/>
        </w:rPr>
        <w:t>עולה</w:t>
      </w:r>
      <w:r w:rsidRPr="00E303AD">
        <w:rPr>
          <w:rFonts w:eastAsia="Calibri"/>
          <w:rtl/>
        </w:rPr>
        <w:t xml:space="preserve"> </w:t>
      </w:r>
      <w:r w:rsidRPr="00E303AD">
        <w:rPr>
          <w:rFonts w:eastAsia="Calibri" w:hint="eastAsia"/>
          <w:rtl/>
        </w:rPr>
        <w:t>כי</w:t>
      </w:r>
      <w:r w:rsidRPr="00E303AD">
        <w:rPr>
          <w:rFonts w:eastAsia="Calibri"/>
          <w:rtl/>
        </w:rPr>
        <w:t xml:space="preserve"> </w:t>
      </w:r>
      <w:r w:rsidRPr="00E303AD">
        <w:rPr>
          <w:rFonts w:eastAsia="Calibri" w:hint="eastAsia"/>
          <w:rtl/>
        </w:rPr>
        <w:t>מספר</w:t>
      </w:r>
      <w:r w:rsidRPr="00E303AD">
        <w:rPr>
          <w:rFonts w:eastAsia="Calibri"/>
          <w:rtl/>
        </w:rPr>
        <w:t xml:space="preserve"> הפניות </w:t>
      </w:r>
      <w:r w:rsidRPr="00E303AD">
        <w:rPr>
          <w:rFonts w:eastAsia="Calibri" w:hint="eastAsia"/>
          <w:rtl/>
        </w:rPr>
        <w:t>למוקד</w:t>
      </w:r>
      <w:r w:rsidRPr="00E303AD">
        <w:rPr>
          <w:rFonts w:eastAsia="Calibri"/>
          <w:rtl/>
        </w:rPr>
        <w:t xml:space="preserve"> המקוון ביחידת התיאום במשרד המשפטים </w:t>
      </w:r>
      <w:bookmarkStart w:id="187" w:name="_Hlk222316644"/>
      <w:r w:rsidRPr="00E303AD">
        <w:rPr>
          <w:rFonts w:eastAsia="Calibri" w:hint="eastAsia"/>
          <w:rtl/>
        </w:rPr>
        <w:t>הסתכם</w:t>
      </w:r>
      <w:r w:rsidRPr="00E303AD">
        <w:rPr>
          <w:rFonts w:eastAsia="Calibri"/>
          <w:rtl/>
        </w:rPr>
        <w:t xml:space="preserve"> ב-47 </w:t>
      </w:r>
      <w:r w:rsidRPr="00E303AD">
        <w:rPr>
          <w:rFonts w:eastAsia="Calibri" w:hint="eastAsia"/>
          <w:rtl/>
        </w:rPr>
        <w:t>בלבד</w:t>
      </w:r>
      <w:r w:rsidRPr="00E303AD">
        <w:rPr>
          <w:rFonts w:eastAsia="Calibri"/>
          <w:rtl/>
        </w:rPr>
        <w:t xml:space="preserve"> </w:t>
      </w:r>
      <w:r w:rsidRPr="00E303AD">
        <w:rPr>
          <w:rFonts w:eastAsia="Calibri" w:hint="eastAsia"/>
          <w:rtl/>
        </w:rPr>
        <w:t>בשלוש</w:t>
      </w:r>
      <w:r w:rsidRPr="00E303AD">
        <w:rPr>
          <w:rFonts w:eastAsia="Calibri"/>
          <w:rtl/>
        </w:rPr>
        <w:t xml:space="preserve"> </w:t>
      </w:r>
      <w:r w:rsidRPr="00E303AD">
        <w:rPr>
          <w:rFonts w:eastAsia="Calibri" w:hint="eastAsia"/>
          <w:rtl/>
        </w:rPr>
        <w:t>שנים</w:t>
      </w:r>
      <w:r w:rsidRPr="00E303AD">
        <w:rPr>
          <w:rFonts w:eastAsia="Calibri"/>
          <w:rtl/>
        </w:rPr>
        <w:t xml:space="preserve"> (2022 - 2024) - ממוצע של 15.6 </w:t>
      </w:r>
      <w:r w:rsidRPr="00E303AD">
        <w:rPr>
          <w:rFonts w:eastAsia="Calibri" w:hint="eastAsia"/>
          <w:rtl/>
        </w:rPr>
        <w:t>פניות</w:t>
      </w:r>
      <w:r w:rsidRPr="00E303AD">
        <w:rPr>
          <w:rFonts w:eastAsia="Calibri"/>
          <w:rtl/>
        </w:rPr>
        <w:t xml:space="preserve"> </w:t>
      </w:r>
      <w:r w:rsidRPr="00E303AD">
        <w:rPr>
          <w:rFonts w:eastAsia="Calibri" w:hint="eastAsia"/>
          <w:rtl/>
        </w:rPr>
        <w:t>בשנה</w:t>
      </w:r>
      <w:bookmarkEnd w:id="187"/>
      <w:r w:rsidRPr="00E303AD">
        <w:rPr>
          <w:rFonts w:eastAsia="Calibri"/>
          <w:rtl/>
        </w:rPr>
        <w:t xml:space="preserve">. </w:t>
      </w:r>
      <w:r w:rsidRPr="00E303AD">
        <w:rPr>
          <w:rFonts w:eastAsia="Calibri" w:hint="cs"/>
          <w:rtl/>
        </w:rPr>
        <w:t>עוד עולה כי</w:t>
      </w:r>
      <w:r w:rsidRPr="00E303AD">
        <w:rPr>
          <w:rFonts w:eastAsia="Calibri"/>
          <w:szCs w:val="20"/>
          <w:rtl/>
        </w:rPr>
        <w:t xml:space="preserve"> </w:t>
      </w:r>
      <w:r w:rsidRPr="00E303AD">
        <w:rPr>
          <w:rFonts w:eastAsia="Calibri" w:hint="cs"/>
          <w:rtl/>
        </w:rPr>
        <w:t xml:space="preserve">בשנים אלו </w:t>
      </w:r>
      <w:r w:rsidRPr="00E303AD">
        <w:rPr>
          <w:rFonts w:eastAsia="Calibri" w:hint="eastAsia"/>
          <w:rtl/>
        </w:rPr>
        <w:t>לא</w:t>
      </w:r>
      <w:r w:rsidRPr="00E303AD">
        <w:rPr>
          <w:rFonts w:eastAsia="Calibri"/>
          <w:rtl/>
        </w:rPr>
        <w:t xml:space="preserve"> ניכר כי חל גידול של ממש בשיעור הפניות </w:t>
      </w:r>
      <w:r w:rsidRPr="00E303AD">
        <w:rPr>
          <w:rFonts w:eastAsia="Calibri" w:hint="eastAsia"/>
          <w:rtl/>
        </w:rPr>
        <w:t>למוקד</w:t>
      </w:r>
      <w:r w:rsidRPr="00E303AD">
        <w:rPr>
          <w:rFonts w:eastAsia="Calibri"/>
          <w:rtl/>
        </w:rPr>
        <w:t xml:space="preserve"> </w:t>
      </w:r>
      <w:r w:rsidRPr="00E303AD">
        <w:rPr>
          <w:rFonts w:eastAsia="Calibri" w:hint="eastAsia"/>
          <w:rtl/>
        </w:rPr>
        <w:t>ובהיקף</w:t>
      </w:r>
      <w:r w:rsidRPr="00E303AD">
        <w:rPr>
          <w:rFonts w:eastAsia="Calibri"/>
          <w:rtl/>
        </w:rPr>
        <w:t xml:space="preserve"> השימוש </w:t>
      </w:r>
      <w:r w:rsidRPr="00E303AD">
        <w:rPr>
          <w:rFonts w:eastAsia="Calibri" w:hint="eastAsia"/>
          <w:rtl/>
        </w:rPr>
        <w:t>בו</w:t>
      </w:r>
      <w:r w:rsidRPr="00E303AD">
        <w:rPr>
          <w:rFonts w:eastAsia="Calibri"/>
          <w:rtl/>
        </w:rPr>
        <w:t>, ובשנת 2024 הסתכמה פעילותו של המוקד</w:t>
      </w:r>
      <w:r w:rsidRPr="00E303AD">
        <w:rPr>
          <w:rFonts w:eastAsia="Calibri" w:hint="cs"/>
          <w:rtl/>
        </w:rPr>
        <w:t xml:space="preserve">, שנועד לשמש גורם מקשר בין הפונים לקבלת מענה בתחום הסחר בבני אדם ובין גורמי הטיפול והאכיפה הרלוונטיים, </w:t>
      </w:r>
      <w:r w:rsidRPr="00E303AD">
        <w:rPr>
          <w:rFonts w:eastAsia="Calibri" w:hint="eastAsia"/>
          <w:rtl/>
        </w:rPr>
        <w:t>ב</w:t>
      </w:r>
      <w:r w:rsidRPr="00E303AD">
        <w:rPr>
          <w:rFonts w:eastAsia="Calibri"/>
          <w:rtl/>
        </w:rPr>
        <w:t xml:space="preserve">-18 פניות בלבד. </w:t>
      </w:r>
      <w:r w:rsidRPr="00E303AD">
        <w:rPr>
          <w:rFonts w:eastAsia="Calibri" w:hint="cs"/>
          <w:rtl/>
        </w:rPr>
        <w:t xml:space="preserve">בביקורת עלה כי </w:t>
      </w:r>
      <w:r w:rsidRPr="00E303AD">
        <w:rPr>
          <w:rFonts w:eastAsia="Calibri" w:hint="eastAsia"/>
          <w:rtl/>
        </w:rPr>
        <w:t>יחידת</w:t>
      </w:r>
      <w:r w:rsidRPr="00E303AD">
        <w:rPr>
          <w:rFonts w:eastAsia="Calibri"/>
          <w:rtl/>
        </w:rPr>
        <w:t xml:space="preserve"> התיאום </w:t>
      </w:r>
      <w:r w:rsidRPr="00E303AD">
        <w:rPr>
          <w:rFonts w:eastAsia="Calibri" w:hint="cs"/>
          <w:rtl/>
        </w:rPr>
        <w:t>גם טרם</w:t>
      </w:r>
      <w:r w:rsidRPr="00E303AD">
        <w:rPr>
          <w:rFonts w:eastAsia="Calibri"/>
          <w:rtl/>
        </w:rPr>
        <w:t xml:space="preserve"> </w:t>
      </w:r>
      <w:r w:rsidRPr="00E303AD">
        <w:rPr>
          <w:rFonts w:eastAsia="Calibri" w:hint="eastAsia"/>
          <w:rtl/>
        </w:rPr>
        <w:t>הקימה</w:t>
      </w:r>
      <w:r w:rsidRPr="00E303AD">
        <w:rPr>
          <w:rFonts w:eastAsia="Calibri"/>
          <w:rtl/>
        </w:rPr>
        <w:t xml:space="preserve"> צוות עבודה בין-מגזרי לליווי </w:t>
      </w:r>
      <w:r w:rsidRPr="00E303AD">
        <w:rPr>
          <w:rFonts w:eastAsia="Calibri" w:hint="eastAsia"/>
          <w:rtl/>
        </w:rPr>
        <w:t>ולהרחבה</w:t>
      </w:r>
      <w:r w:rsidRPr="00E303AD">
        <w:rPr>
          <w:rFonts w:eastAsia="Calibri"/>
          <w:rtl/>
        </w:rPr>
        <w:t xml:space="preserve"> של </w:t>
      </w:r>
      <w:r w:rsidRPr="00E303AD">
        <w:rPr>
          <w:rFonts w:eastAsia="Calibri" w:hint="eastAsia"/>
          <w:rtl/>
        </w:rPr>
        <w:t>פעילות</w:t>
      </w:r>
      <w:r w:rsidRPr="00E303AD">
        <w:rPr>
          <w:rFonts w:eastAsia="Calibri"/>
          <w:rtl/>
        </w:rPr>
        <w:t xml:space="preserve"> </w:t>
      </w:r>
      <w:r w:rsidRPr="00E303AD">
        <w:rPr>
          <w:rFonts w:eastAsia="Calibri" w:hint="eastAsia"/>
          <w:rtl/>
        </w:rPr>
        <w:t>מוקד</w:t>
      </w:r>
      <w:r w:rsidRPr="00E303AD">
        <w:rPr>
          <w:rFonts w:eastAsia="Calibri"/>
          <w:rtl/>
        </w:rPr>
        <w:t xml:space="preserve"> </w:t>
      </w:r>
      <w:r w:rsidRPr="00E303AD">
        <w:rPr>
          <w:rFonts w:eastAsia="Calibri" w:hint="eastAsia"/>
          <w:rtl/>
        </w:rPr>
        <w:t>פניות</w:t>
      </w:r>
      <w:r w:rsidRPr="00E303AD">
        <w:rPr>
          <w:rFonts w:eastAsia="Calibri"/>
          <w:rtl/>
        </w:rPr>
        <w:t xml:space="preserve"> </w:t>
      </w:r>
      <w:r w:rsidRPr="00E303AD">
        <w:rPr>
          <w:rFonts w:eastAsia="Calibri" w:hint="eastAsia"/>
          <w:rtl/>
        </w:rPr>
        <w:t>הציבור</w:t>
      </w:r>
      <w:r w:rsidRPr="00E303AD">
        <w:rPr>
          <w:rFonts w:eastAsia="Calibri"/>
          <w:rtl/>
        </w:rPr>
        <w:t xml:space="preserve"> </w:t>
      </w:r>
      <w:r w:rsidRPr="00E303AD">
        <w:rPr>
          <w:rFonts w:eastAsia="Calibri" w:hint="eastAsia"/>
          <w:rtl/>
        </w:rPr>
        <w:t>ו</w:t>
      </w:r>
      <w:r w:rsidRPr="00E303AD">
        <w:rPr>
          <w:rFonts w:eastAsia="Calibri" w:hint="cs"/>
          <w:rtl/>
        </w:rPr>
        <w:t xml:space="preserve">עדיין </w:t>
      </w:r>
      <w:r w:rsidRPr="00E303AD">
        <w:rPr>
          <w:rFonts w:eastAsia="Calibri" w:hint="eastAsia"/>
          <w:rtl/>
        </w:rPr>
        <w:t>לא</w:t>
      </w:r>
      <w:r w:rsidRPr="00E303AD">
        <w:rPr>
          <w:rFonts w:eastAsia="Calibri"/>
          <w:rtl/>
        </w:rPr>
        <w:t xml:space="preserve"> </w:t>
      </w:r>
      <w:r w:rsidRPr="00E303AD">
        <w:rPr>
          <w:rFonts w:eastAsia="Calibri" w:hint="eastAsia"/>
          <w:rtl/>
        </w:rPr>
        <w:t>פרסמה</w:t>
      </w:r>
      <w:r w:rsidRPr="00E303AD">
        <w:rPr>
          <w:rFonts w:eastAsia="Calibri"/>
          <w:rtl/>
        </w:rPr>
        <w:t xml:space="preserve"> </w:t>
      </w:r>
      <w:r w:rsidRPr="00E303AD">
        <w:rPr>
          <w:rFonts w:eastAsia="Calibri" w:hint="eastAsia"/>
          <w:rtl/>
        </w:rPr>
        <w:t>קמפיין</w:t>
      </w:r>
      <w:r w:rsidRPr="00E303AD">
        <w:rPr>
          <w:rFonts w:eastAsia="Calibri"/>
          <w:rtl/>
        </w:rPr>
        <w:t xml:space="preserve"> </w:t>
      </w:r>
      <w:r w:rsidRPr="00E303AD">
        <w:rPr>
          <w:rFonts w:eastAsia="Calibri" w:hint="eastAsia"/>
          <w:rtl/>
        </w:rPr>
        <w:t>לקידום</w:t>
      </w:r>
      <w:r w:rsidRPr="00E303AD">
        <w:rPr>
          <w:rFonts w:eastAsia="Calibri"/>
          <w:rtl/>
        </w:rPr>
        <w:t xml:space="preserve"> </w:t>
      </w:r>
      <w:r w:rsidRPr="00E303AD">
        <w:rPr>
          <w:rFonts w:eastAsia="Calibri" w:hint="eastAsia"/>
          <w:rtl/>
        </w:rPr>
        <w:t>המודעות</w:t>
      </w:r>
      <w:r w:rsidRPr="00E303AD">
        <w:rPr>
          <w:rFonts w:eastAsia="Calibri"/>
          <w:rtl/>
        </w:rPr>
        <w:t xml:space="preserve"> הציבורית </w:t>
      </w:r>
      <w:r w:rsidRPr="00E303AD">
        <w:rPr>
          <w:rFonts w:eastAsia="Calibri" w:hint="eastAsia"/>
          <w:rtl/>
        </w:rPr>
        <w:t>לפעילותו</w:t>
      </w:r>
      <w:r w:rsidRPr="00E303AD">
        <w:rPr>
          <w:rFonts w:eastAsia="Calibri"/>
          <w:rtl/>
        </w:rPr>
        <w:t xml:space="preserve">, כנדרש על פי החלטת </w:t>
      </w:r>
      <w:r w:rsidRPr="00E303AD">
        <w:rPr>
          <w:rFonts w:eastAsia="Calibri" w:hint="eastAsia"/>
          <w:rtl/>
        </w:rPr>
        <w:t>הממשלה</w:t>
      </w:r>
      <w:r w:rsidRPr="00E303AD">
        <w:rPr>
          <w:rFonts w:eastAsia="Calibri"/>
          <w:rtl/>
        </w:rPr>
        <w:t xml:space="preserve"> 1862.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בתשובת משרד המשפטים נמסר כי </w:t>
      </w:r>
      <w:r w:rsidRPr="00E303AD">
        <w:rPr>
          <w:rFonts w:eastAsia="Calibri"/>
          <w:rtl/>
        </w:rPr>
        <w:t xml:space="preserve">מדובר במשימה לפי החלטת </w:t>
      </w:r>
      <w:r w:rsidRPr="00E303AD">
        <w:rPr>
          <w:rFonts w:eastAsia="Calibri" w:hint="cs"/>
          <w:rtl/>
        </w:rPr>
        <w:t>ה</w:t>
      </w:r>
      <w:r w:rsidRPr="00E303AD">
        <w:rPr>
          <w:rFonts w:eastAsia="Calibri"/>
          <w:rtl/>
        </w:rPr>
        <w:t>ממשלה 1862, שמוגדרת כת</w:t>
      </w:r>
      <w:r w:rsidRPr="00E303AD">
        <w:rPr>
          <w:rFonts w:eastAsia="Calibri" w:hint="cs"/>
          <w:rtl/>
        </w:rPr>
        <w:t>ו</w:t>
      </w:r>
      <w:r w:rsidRPr="00E303AD">
        <w:rPr>
          <w:rFonts w:eastAsia="Calibri"/>
          <w:rtl/>
        </w:rPr>
        <w:t xml:space="preserve">כנית חומש </w:t>
      </w:r>
      <w:r w:rsidRPr="00E303AD">
        <w:rPr>
          <w:rFonts w:eastAsia="Calibri" w:hint="cs"/>
          <w:rtl/>
        </w:rPr>
        <w:t xml:space="preserve">לביצוע </w:t>
      </w:r>
      <w:r w:rsidRPr="00E303AD">
        <w:rPr>
          <w:rFonts w:eastAsia="Calibri"/>
          <w:rtl/>
        </w:rPr>
        <w:t>עד סוף שנת 2026</w:t>
      </w:r>
      <w:r w:rsidRPr="00E303AD">
        <w:rPr>
          <w:rFonts w:eastAsia="Calibri" w:hint="cs"/>
          <w:rtl/>
        </w:rPr>
        <w:t>,</w:t>
      </w:r>
      <w:r w:rsidRPr="00E303AD">
        <w:rPr>
          <w:rFonts w:eastAsia="Calibri"/>
          <w:rtl/>
        </w:rPr>
        <w:t xml:space="preserve"> ו</w:t>
      </w:r>
      <w:r w:rsidRPr="00E303AD">
        <w:rPr>
          <w:rFonts w:eastAsia="Calibri" w:hint="cs"/>
          <w:rtl/>
        </w:rPr>
        <w:t xml:space="preserve">כי </w:t>
      </w:r>
      <w:r w:rsidRPr="00E303AD">
        <w:rPr>
          <w:rFonts w:eastAsia="Calibri"/>
          <w:rtl/>
        </w:rPr>
        <w:t xml:space="preserve">יש </w:t>
      </w:r>
      <w:r w:rsidRPr="00E303AD">
        <w:rPr>
          <w:rFonts w:eastAsia="Calibri" w:hint="cs"/>
          <w:rtl/>
        </w:rPr>
        <w:t>דירוג</w:t>
      </w:r>
      <w:r w:rsidRPr="00E303AD">
        <w:rPr>
          <w:rFonts w:eastAsia="Calibri"/>
          <w:rtl/>
        </w:rPr>
        <w:t xml:space="preserve"> הכרחי</w:t>
      </w:r>
      <w:r w:rsidRPr="00E303AD">
        <w:rPr>
          <w:rFonts w:eastAsia="Calibri" w:hint="cs"/>
          <w:rtl/>
        </w:rPr>
        <w:t xml:space="preserve"> ביישום המשימות</w:t>
      </w:r>
      <w:r w:rsidRPr="00E303AD">
        <w:rPr>
          <w:rFonts w:eastAsia="Calibri"/>
          <w:rtl/>
        </w:rPr>
        <w:t xml:space="preserve">. </w:t>
      </w:r>
      <w:r w:rsidRPr="00E303AD">
        <w:rPr>
          <w:rFonts w:eastAsia="Calibri" w:hint="cs"/>
          <w:rtl/>
        </w:rPr>
        <w:t>יחידת התיאום המשיכה לקדם צעדים שונים להעלאת מודעות הציבור לסחר בבני אדם וממשיכה לקיים חשיבה ופעולות שונות לקידום המשימה הנוגעת למוקד הפניות במסגרת תוכנית העבודה לשנת 2026.</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r w:rsidRPr="00E303AD">
        <w:rPr>
          <w:rFonts w:eastAsia="Calibri" w:hint="cs"/>
          <w:b/>
          <w:bCs/>
          <w:rtl/>
        </w:rPr>
        <w:t xml:space="preserve">על יחידת התיאום הממשלתית </w:t>
      </w:r>
      <w:r w:rsidRPr="00E303AD">
        <w:rPr>
          <w:rFonts w:eastAsia="Calibri"/>
          <w:b/>
          <w:bCs/>
          <w:rtl/>
        </w:rPr>
        <w:t xml:space="preserve">למאבק בסחר בבני אדם במשרד המשפטים </w:t>
      </w:r>
      <w:r w:rsidRPr="00E303AD">
        <w:rPr>
          <w:rFonts w:eastAsia="Calibri" w:hint="cs"/>
          <w:b/>
          <w:bCs/>
          <w:rtl/>
        </w:rPr>
        <w:t>לקדם את יישום החלטת הממשלה באמצעות הקמת צוות עבודה בין-מגזרי ייעודי, וכן עליה ליזום, לתכנן ולבצע קמפיין ציבורי להגברת המודעות למוקד בקרב כלל האוכלוסיות הרלוונטיות לא יאוחר מסוף שנת 2026, כנדרש בהחלטת הממשלה 1862. צעדים אלה עשויים להביא להגדלת היקף השימוש במוקד, לשיפור הנגישו</w:t>
      </w:r>
      <w:r w:rsidRPr="00E303AD">
        <w:rPr>
          <w:rFonts w:eastAsia="Calibri" w:hint="eastAsia"/>
          <w:b/>
          <w:bCs/>
          <w:rtl/>
        </w:rPr>
        <w:t>ת</w:t>
      </w:r>
      <w:r w:rsidRPr="00E303AD">
        <w:rPr>
          <w:rFonts w:eastAsia="Calibri" w:hint="cs"/>
          <w:b/>
          <w:bCs/>
          <w:rtl/>
        </w:rPr>
        <w:t xml:space="preserve"> של שירותיו ולמימוש ייעודו באופן המיטבי.</w:t>
      </w:r>
      <w:r w:rsidRPr="00E303AD">
        <w:rPr>
          <w:rFonts w:eastAsia="Calibri"/>
          <w:b/>
          <w:b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bookmarkStart w:id="188" w:name="_Toc221474999"/>
      <w:bookmarkStart w:id="189" w:name="_Toc221475138"/>
      <w:r w:rsidRPr="00E303AD">
        <w:rPr>
          <w:rFonts w:eastAsia="Times New Roman" w:hint="eastAsia"/>
          <w:bCs/>
          <w:spacing w:val="40"/>
          <w:rtl/>
        </w:rPr>
        <w:t>הסעות</w:t>
      </w:r>
      <w:r w:rsidRPr="00E303AD">
        <w:rPr>
          <w:rFonts w:eastAsia="Times New Roman"/>
          <w:bCs/>
          <w:spacing w:val="40"/>
          <w:rtl/>
        </w:rPr>
        <w:t xml:space="preserve"> </w:t>
      </w:r>
      <w:r w:rsidRPr="00E303AD">
        <w:rPr>
          <w:rFonts w:eastAsia="Times New Roman" w:hint="eastAsia"/>
          <w:bCs/>
          <w:spacing w:val="40"/>
          <w:rtl/>
        </w:rPr>
        <w:t>למקלטים</w:t>
      </w:r>
      <w:r w:rsidRPr="00E303AD">
        <w:rPr>
          <w:rFonts w:eastAsia="Times New Roman"/>
          <w:bCs/>
          <w:spacing w:val="40"/>
          <w:rtl/>
        </w:rPr>
        <w:t>:</w:t>
      </w:r>
      <w:bookmarkEnd w:id="188"/>
      <w:bookmarkEnd w:id="189"/>
      <w:r w:rsidRPr="00E303AD">
        <w:rPr>
          <w:rFonts w:eastAsia="Times New Roman" w:hint="cs"/>
          <w:bCs/>
          <w:spacing w:val="40"/>
          <w:rtl/>
        </w:rPr>
        <w:t xml:space="preserve"> </w:t>
      </w:r>
      <w:r w:rsidRPr="00E303AD">
        <w:rPr>
          <w:rFonts w:eastAsia="Calibri"/>
          <w:rtl/>
        </w:rPr>
        <w:t xml:space="preserve">קורבן הסחר בבני אדם </w:t>
      </w:r>
      <w:r w:rsidRPr="00E303AD">
        <w:rPr>
          <w:rFonts w:eastAsia="Calibri" w:hint="cs"/>
          <w:rtl/>
        </w:rPr>
        <w:t>נמצא</w:t>
      </w:r>
      <w:r w:rsidRPr="00E303AD">
        <w:rPr>
          <w:rFonts w:eastAsia="Calibri"/>
          <w:rtl/>
        </w:rPr>
        <w:t xml:space="preserve"> במצב פגיע ולעיתים נתון לאיומים ממשיים מצד הסוחרים והמעורבים בפרשה, </w:t>
      </w:r>
      <w:r w:rsidRPr="00E303AD">
        <w:rPr>
          <w:rFonts w:eastAsia="Calibri" w:hint="cs"/>
          <w:rtl/>
        </w:rPr>
        <w:t>ולאחר זיהויו ככזה חיוני כי תוסדר עבורו הסעה בטוחה ממקום הימצאו למקלט מוגן בליווי גורמי מקצוע תומכים.</w:t>
      </w:r>
      <w:r w:rsidRPr="00E303AD">
        <w:rPr>
          <w:rFonts w:eastAsia="Calibri"/>
          <w:rtl/>
        </w:rPr>
        <w:t xml:space="preserve"> </w:t>
      </w:r>
      <w:r w:rsidRPr="00E303AD">
        <w:rPr>
          <w:rFonts w:eastAsia="Calibri" w:hint="cs"/>
          <w:rtl/>
        </w:rPr>
        <w:t xml:space="preserve">בהתאם להחלטת הממשלה 1862, יחידת התיאום אחראית גם </w:t>
      </w:r>
      <w:r w:rsidRPr="00E303AD">
        <w:rPr>
          <w:rFonts w:eastAsia="Calibri"/>
          <w:rtl/>
        </w:rPr>
        <w:t>להסדרה</w:t>
      </w:r>
      <w:r w:rsidRPr="00E303AD">
        <w:rPr>
          <w:rFonts w:eastAsia="Calibri" w:hint="cs"/>
          <w:rtl/>
        </w:rPr>
        <w:t xml:space="preserve"> של</w:t>
      </w:r>
      <w:r w:rsidRPr="00E303AD">
        <w:rPr>
          <w:rFonts w:eastAsia="Calibri"/>
          <w:rtl/>
        </w:rPr>
        <w:t xml:space="preserve"> הסעת קורבנות </w:t>
      </w:r>
      <w:r w:rsidRPr="00E303AD">
        <w:rPr>
          <w:rFonts w:eastAsia="Calibri" w:hint="cs"/>
          <w:rtl/>
        </w:rPr>
        <w:t>ה</w:t>
      </w:r>
      <w:r w:rsidRPr="00E303AD">
        <w:rPr>
          <w:rFonts w:eastAsia="Calibri"/>
          <w:rtl/>
        </w:rPr>
        <w:t xml:space="preserve">סחר בבני אדם למקלטים ייעודיים, </w:t>
      </w:r>
      <w:r w:rsidRPr="00E303AD">
        <w:rPr>
          <w:rFonts w:eastAsia="Calibri" w:hint="cs"/>
          <w:rtl/>
        </w:rPr>
        <w:t xml:space="preserve">לתיאום ההסעות ולפיקוח עליהן, </w:t>
      </w:r>
      <w:r w:rsidRPr="00E303AD">
        <w:rPr>
          <w:rFonts w:eastAsia="Calibri"/>
          <w:rtl/>
        </w:rPr>
        <w:t>תוך שיתוף פעולה עם משרד הרווחה</w:t>
      </w:r>
      <w:r w:rsidRPr="00E303AD">
        <w:rPr>
          <w:rFonts w:eastAsia="Calibri" w:hint="cs"/>
          <w:rtl/>
        </w:rPr>
        <w:t xml:space="preserve"> והמשטרה</w:t>
      </w:r>
      <w:r>
        <w:rPr>
          <w:rFonts w:eastAsia="Calibri"/>
          <w:vertAlign w:val="superscript"/>
          <w:rtl/>
        </w:rPr>
        <w:footnoteReference w:id="163"/>
      </w:r>
      <w:r w:rsidRPr="00E303AD">
        <w:rPr>
          <w:rFonts w:eastAsia="Calibri"/>
          <w:rtl/>
        </w:rPr>
        <w:t xml:space="preserve">. </w:t>
      </w:r>
      <w:r w:rsidRPr="00E303AD">
        <w:rPr>
          <w:rFonts w:eastAsia="Calibri" w:hint="cs"/>
          <w:rtl/>
        </w:rPr>
        <w:t>מהלך זה נועד להבטיח טיפול מהיר ובטוח בקורבנות שנשקף להם סיכון כדי שיקבלו את המענה המיטבי על צורכיהם ואת ההגנה הנדרשת.</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 xml:space="preserve">לפי </w:t>
      </w:r>
      <w:r w:rsidRPr="00E303AD">
        <w:rPr>
          <w:rFonts w:eastAsia="Calibri" w:hint="cs"/>
          <w:rtl/>
        </w:rPr>
        <w:t>ה</w:t>
      </w:r>
      <w:r w:rsidRPr="00E303AD">
        <w:rPr>
          <w:rFonts w:eastAsia="Calibri"/>
          <w:rtl/>
        </w:rPr>
        <w:t>נוהל המשטרתי לטיפול בעבירות סחר בבני אדם</w:t>
      </w:r>
      <w:r>
        <w:rPr>
          <w:rFonts w:eastAsia="Calibri"/>
          <w:vertAlign w:val="superscript"/>
          <w:rtl/>
        </w:rPr>
        <w:footnoteReference w:id="164"/>
      </w:r>
      <w:r w:rsidRPr="00E303AD">
        <w:rPr>
          <w:rFonts w:eastAsia="Calibri" w:hint="cs"/>
          <w:rtl/>
        </w:rPr>
        <w:t>,</w:t>
      </w:r>
      <w:r w:rsidRPr="00E303AD">
        <w:rPr>
          <w:rFonts w:eastAsia="Calibri"/>
          <w:rtl/>
        </w:rPr>
        <w:t xml:space="preserve"> </w:t>
      </w:r>
      <w:r w:rsidRPr="00E303AD">
        <w:rPr>
          <w:rFonts w:eastAsia="Calibri" w:hint="cs"/>
          <w:rtl/>
        </w:rPr>
        <w:t xml:space="preserve">אם </w:t>
      </w:r>
      <w:r w:rsidRPr="00E303AD">
        <w:rPr>
          <w:rFonts w:eastAsia="Calibri"/>
          <w:rtl/>
        </w:rPr>
        <w:t>הוכר נפגע עבירה כקורבן סחר</w:t>
      </w:r>
      <w:r w:rsidRPr="00E303AD">
        <w:rPr>
          <w:rFonts w:eastAsia="Calibri" w:hint="cs"/>
          <w:rtl/>
        </w:rPr>
        <w:t xml:space="preserve"> בבני אדם</w:t>
      </w:r>
      <w:r w:rsidRPr="00E303AD">
        <w:rPr>
          <w:rFonts w:eastAsia="Calibri"/>
          <w:rtl/>
        </w:rPr>
        <w:t xml:space="preserve">, על היחידה החוקרת לתאם </w:t>
      </w:r>
      <w:r w:rsidRPr="00E303AD">
        <w:rPr>
          <w:rFonts w:eastAsia="Calibri" w:hint="cs"/>
          <w:rtl/>
        </w:rPr>
        <w:t>עם</w:t>
      </w:r>
      <w:r w:rsidRPr="00E303AD">
        <w:rPr>
          <w:rFonts w:eastAsia="Calibri"/>
          <w:rtl/>
        </w:rPr>
        <w:t xml:space="preserve"> מנהלת המקלט את הגעתו</w:t>
      </w:r>
      <w:r w:rsidRPr="00E303AD">
        <w:rPr>
          <w:rFonts w:eastAsia="Calibri" w:hint="cs"/>
          <w:rtl/>
        </w:rPr>
        <w:t xml:space="preserve"> ממקום הזיהוי אל המקלט.</w:t>
      </w:r>
      <w:r w:rsidRPr="00E303AD">
        <w:rPr>
          <w:rFonts w:eastAsia="Calibri"/>
          <w:rtl/>
        </w:rPr>
        <w:t xml:space="preserve"> כמו כן, עליה ללוותו בכל יציאה לחקירה נוספת</w:t>
      </w:r>
      <w:r w:rsidRPr="00E303AD">
        <w:rPr>
          <w:rFonts w:eastAsia="Calibri" w:hint="cs"/>
          <w:rtl/>
        </w:rPr>
        <w:t xml:space="preserve"> או למקומות הדרושים במסגרת ההליך הפלילי</w:t>
      </w:r>
      <w:r w:rsidRPr="00E303AD">
        <w:rPr>
          <w:rFonts w:eastAsia="Calibri"/>
          <w:rtl/>
        </w:rPr>
        <w:t>.</w:t>
      </w:r>
      <w:r w:rsidRPr="00E303AD">
        <w:rPr>
          <w:rFonts w:eastAsia="Calibri" w:hint="cs"/>
          <w:rtl/>
        </w:rPr>
        <w:t xml:space="preserve"> כך גם </w:t>
      </w:r>
      <w:r w:rsidRPr="00E303AD">
        <w:rPr>
          <w:rFonts w:eastAsia="Calibri"/>
          <w:rtl/>
        </w:rPr>
        <w:t xml:space="preserve">לפי </w:t>
      </w:r>
      <w:r w:rsidRPr="00E303AD">
        <w:rPr>
          <w:rFonts w:eastAsia="Calibri" w:hint="cs"/>
          <w:rtl/>
        </w:rPr>
        <w:t>ה</w:t>
      </w:r>
      <w:r w:rsidRPr="00E303AD">
        <w:rPr>
          <w:rFonts w:eastAsia="Calibri"/>
          <w:rtl/>
        </w:rPr>
        <w:t xml:space="preserve">נוהל </w:t>
      </w:r>
      <w:r w:rsidRPr="00E303AD">
        <w:rPr>
          <w:rFonts w:eastAsia="Calibri" w:hint="cs"/>
          <w:rtl/>
        </w:rPr>
        <w:t>של רשות האוכלוסין ל</w:t>
      </w:r>
      <w:r w:rsidRPr="00E303AD">
        <w:rPr>
          <w:rFonts w:eastAsia="Calibri"/>
          <w:rtl/>
        </w:rPr>
        <w:t xml:space="preserve">טיפול בקורבנות סחר בנשים המבקשות להעיד: "במקרה </w:t>
      </w:r>
      <w:r w:rsidRPr="00E303AD">
        <w:rPr>
          <w:rFonts w:eastAsia="Calibri"/>
          <w:rtl/>
        </w:rPr>
        <w:t>שהקורבן עצור</w:t>
      </w:r>
      <w:r w:rsidRPr="00E303AD">
        <w:rPr>
          <w:rFonts w:eastAsia="Calibri" w:hint="cs"/>
          <w:rtl/>
        </w:rPr>
        <w:t>[</w:t>
      </w:r>
      <w:r w:rsidRPr="00E303AD">
        <w:rPr>
          <w:rFonts w:eastAsia="Calibri"/>
          <w:rtl/>
        </w:rPr>
        <w:t>ה</w:t>
      </w:r>
      <w:r w:rsidRPr="00E303AD">
        <w:rPr>
          <w:rFonts w:eastAsia="Calibri" w:hint="cs"/>
          <w:rtl/>
        </w:rPr>
        <w:t>]</w:t>
      </w:r>
      <w:r w:rsidRPr="00E303AD">
        <w:rPr>
          <w:rFonts w:eastAsia="Calibri"/>
          <w:rtl/>
        </w:rPr>
        <w:t xml:space="preserve"> במתקן משמורת והתקבל אישור ההכרה, רשות האוכלוסין וההגירה תהיה אחראית על העברתה למקלט ואיסוף חפציה האישיים, וזאת ללא דיחוי. מקום בו הקורבן אותרה באמצ</w:t>
      </w:r>
      <w:r w:rsidRPr="00E303AD">
        <w:rPr>
          <w:rFonts w:eastAsia="Calibri" w:hint="cs"/>
          <w:rtl/>
        </w:rPr>
        <w:t>ע</w:t>
      </w:r>
      <w:r w:rsidRPr="00E303AD">
        <w:rPr>
          <w:rFonts w:eastAsia="Calibri"/>
          <w:rtl/>
        </w:rPr>
        <w:t>ות המשטרה, היחידה החוקרת אחראית להעברתה למקלט"</w:t>
      </w:r>
      <w:r>
        <w:rPr>
          <w:rFonts w:eastAsia="Calibri"/>
          <w:vertAlign w:val="superscript"/>
          <w:rtl/>
        </w:rPr>
        <w:footnoteReference w:id="165"/>
      </w:r>
      <w:r w:rsidRPr="00E303AD">
        <w:rPr>
          <w:rFonts w:eastAsia="Calibri" w:hint="cs"/>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עם זאת, בסיכום פעילות המשטרה לשנת 2024 שהועבר למחלקת המדינה האמריקאית בינואר 2025 נכתב כי "טרם תוקצבו היבטים הנוגעים למימון עדות בהליכי חקירה ומשפט. הדבר נכון להסעה ראשונית למקלט או למסגרת אחרת - מי הגורם האחראי ומי מממן".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באוגוסט 2025 מסר משרד הרווחה כי "במהלך השנה האחרונה המשרד מימן הסעות באמצעות מוניות, במקביל להסדרת ההסעות למקלט באופן שוטף באמצעות מכרז היסעים משרדי".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bookmarkStart w:id="190" w:name="_Hlk222645287"/>
      <w:r w:rsidRPr="00E303AD">
        <w:rPr>
          <w:rFonts w:eastAsia="Calibri" w:hint="cs"/>
          <w:rtl/>
        </w:rPr>
        <w:t>נכון למאי 2026</w:t>
      </w:r>
      <w:r w:rsidRPr="00E303AD">
        <w:rPr>
          <w:rFonts w:eastAsia="Calibri"/>
          <w:rtl/>
        </w:rPr>
        <w:t xml:space="preserve"> </w:t>
      </w:r>
      <w:r w:rsidRPr="00E303AD">
        <w:rPr>
          <w:rFonts w:eastAsia="Calibri" w:hint="eastAsia"/>
          <w:rtl/>
        </w:rPr>
        <w:t>יחיד</w:t>
      </w:r>
      <w:r w:rsidRPr="00E303AD">
        <w:rPr>
          <w:rFonts w:eastAsia="Calibri" w:hint="cs"/>
          <w:rtl/>
        </w:rPr>
        <w:t>ת התיאום</w:t>
      </w:r>
      <w:r w:rsidRPr="00E303AD">
        <w:rPr>
          <w:rFonts w:eastAsia="Calibri"/>
          <w:rtl/>
        </w:rPr>
        <w:t xml:space="preserve"> טרם השלימה את </w:t>
      </w:r>
      <w:r w:rsidRPr="00E303AD">
        <w:rPr>
          <w:rFonts w:eastAsia="Calibri" w:hint="eastAsia"/>
          <w:rtl/>
        </w:rPr>
        <w:t>ההסדרה</w:t>
      </w:r>
      <w:r w:rsidRPr="00E303AD">
        <w:rPr>
          <w:rFonts w:eastAsia="Calibri"/>
          <w:rtl/>
        </w:rPr>
        <w:t xml:space="preserve"> בכל הנוגע למימון הסעת קורבנות סחר בבני אדם למקלטים הייעודיים. </w:t>
      </w:r>
      <w:bookmarkEnd w:id="190"/>
      <w:r w:rsidRPr="00E303AD">
        <w:rPr>
          <w:rFonts w:eastAsia="Calibri" w:hint="eastAsia"/>
          <w:rtl/>
        </w:rPr>
        <w:t>בפועל</w:t>
      </w:r>
      <w:r w:rsidRPr="00E303AD">
        <w:rPr>
          <w:rFonts w:eastAsia="Calibri"/>
          <w:rtl/>
        </w:rPr>
        <w:t xml:space="preserve">, בשנת 2025 מימן משרד הרווחה את ההסעות למקלטים, אך </w:t>
      </w:r>
      <w:r w:rsidRPr="00E303AD">
        <w:rPr>
          <w:rFonts w:eastAsia="Calibri" w:hint="eastAsia"/>
          <w:rtl/>
        </w:rPr>
        <w:t>נותרו</w:t>
      </w:r>
      <w:r w:rsidRPr="00E303AD">
        <w:rPr>
          <w:rFonts w:eastAsia="Calibri"/>
          <w:rtl/>
        </w:rPr>
        <w:t xml:space="preserve"> מחלוקות </w:t>
      </w:r>
      <w:r w:rsidRPr="00E303AD">
        <w:rPr>
          <w:rFonts w:eastAsia="Calibri" w:hint="eastAsia"/>
          <w:rtl/>
        </w:rPr>
        <w:t>שטרם</w:t>
      </w:r>
      <w:r w:rsidRPr="00E303AD">
        <w:rPr>
          <w:rFonts w:eastAsia="Calibri"/>
          <w:rtl/>
        </w:rPr>
        <w:t xml:space="preserve"> יושבו </w:t>
      </w:r>
      <w:r w:rsidRPr="00E303AD">
        <w:rPr>
          <w:rFonts w:eastAsia="Calibri" w:hint="eastAsia"/>
          <w:rtl/>
        </w:rPr>
        <w:t>בין</w:t>
      </w:r>
      <w:r w:rsidRPr="00E303AD">
        <w:rPr>
          <w:rFonts w:eastAsia="Calibri"/>
          <w:rtl/>
        </w:rPr>
        <w:t xml:space="preserve"> </w:t>
      </w:r>
      <w:r w:rsidRPr="00E303AD">
        <w:rPr>
          <w:rFonts w:eastAsia="Calibri" w:hint="eastAsia"/>
          <w:rtl/>
        </w:rPr>
        <w:t>הגופים</w:t>
      </w:r>
      <w:r w:rsidRPr="00E303AD">
        <w:rPr>
          <w:rFonts w:eastAsia="Calibri"/>
          <w:rtl/>
        </w:rPr>
        <w:t xml:space="preserve"> </w:t>
      </w:r>
      <w:r w:rsidRPr="00E303AD">
        <w:rPr>
          <w:rFonts w:eastAsia="Calibri" w:hint="eastAsia"/>
          <w:rtl/>
        </w:rPr>
        <w:t>בנוגע</w:t>
      </w:r>
      <w:r w:rsidRPr="00E303AD">
        <w:rPr>
          <w:rFonts w:eastAsia="Calibri"/>
          <w:rtl/>
        </w:rPr>
        <w:t xml:space="preserve"> לגורם האחראי </w:t>
      </w:r>
      <w:r w:rsidRPr="00E303AD">
        <w:rPr>
          <w:rFonts w:eastAsia="Calibri" w:hint="eastAsia"/>
          <w:rtl/>
        </w:rPr>
        <w:t>להסעות</w:t>
      </w:r>
      <w:r w:rsidRPr="00E303AD">
        <w:rPr>
          <w:rFonts w:eastAsia="Calibri"/>
          <w:rtl/>
        </w:rPr>
        <w:t xml:space="preserve"> </w:t>
      </w:r>
      <w:r w:rsidRPr="00E303AD">
        <w:rPr>
          <w:rFonts w:eastAsia="Calibri" w:hint="eastAsia"/>
          <w:rtl/>
        </w:rPr>
        <w:t>והמממן</w:t>
      </w:r>
      <w:r w:rsidRPr="00E303AD">
        <w:rPr>
          <w:rFonts w:eastAsia="Calibri"/>
          <w:rtl/>
        </w:rPr>
        <w:t xml:space="preserve"> </w:t>
      </w:r>
      <w:r w:rsidRPr="00E303AD">
        <w:rPr>
          <w:rFonts w:eastAsia="Calibri" w:hint="eastAsia"/>
          <w:rtl/>
        </w:rPr>
        <w:t>אותן</w:t>
      </w:r>
      <w:r w:rsidRPr="00E303AD">
        <w:rPr>
          <w:rFonts w:eastAsia="Calibri"/>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r w:rsidRPr="00E303AD">
        <w:rPr>
          <w:rFonts w:eastAsia="Calibri" w:hint="cs"/>
          <w:b/>
          <w:bCs/>
          <w:rtl/>
        </w:rPr>
        <w:t>ראוי ש</w:t>
      </w:r>
      <w:r w:rsidRPr="00E303AD">
        <w:rPr>
          <w:rFonts w:eastAsia="Calibri"/>
          <w:b/>
          <w:bCs/>
          <w:rtl/>
        </w:rPr>
        <w:t xml:space="preserve">הטיפול </w:t>
      </w:r>
      <w:r w:rsidRPr="00E303AD">
        <w:rPr>
          <w:rFonts w:eastAsia="Calibri" w:hint="cs"/>
          <w:b/>
          <w:bCs/>
          <w:rtl/>
        </w:rPr>
        <w:t>בנושא הסעות לקורבנות סחר בבני אדם למקלטים ייעודיים, או ל</w:t>
      </w:r>
      <w:r w:rsidRPr="00E303AD">
        <w:rPr>
          <w:rFonts w:eastAsia="Calibri"/>
          <w:b/>
          <w:bCs/>
          <w:rtl/>
        </w:rPr>
        <w:t>מקומות</w:t>
      </w:r>
      <w:r w:rsidRPr="00E303AD">
        <w:rPr>
          <w:rFonts w:eastAsia="Calibri" w:hint="cs"/>
          <w:b/>
          <w:bCs/>
          <w:rtl/>
        </w:rPr>
        <w:t xml:space="preserve"> אחרים</w:t>
      </w:r>
      <w:r w:rsidRPr="00E303AD">
        <w:rPr>
          <w:rFonts w:eastAsia="Calibri"/>
          <w:b/>
          <w:bCs/>
          <w:rtl/>
        </w:rPr>
        <w:t xml:space="preserve"> </w:t>
      </w:r>
      <w:r w:rsidRPr="00E303AD">
        <w:rPr>
          <w:rFonts w:eastAsia="Calibri" w:hint="cs"/>
          <w:b/>
          <w:bCs/>
          <w:rtl/>
        </w:rPr>
        <w:t>הדרושות</w:t>
      </w:r>
      <w:r w:rsidRPr="00E303AD">
        <w:rPr>
          <w:rFonts w:eastAsia="Calibri"/>
          <w:b/>
          <w:bCs/>
          <w:rtl/>
        </w:rPr>
        <w:t xml:space="preserve"> במסגרת ההליך הפלילי </w:t>
      </w:r>
      <w:r w:rsidRPr="00E303AD">
        <w:rPr>
          <w:rFonts w:eastAsia="Calibri" w:hint="cs"/>
          <w:b/>
          <w:bCs/>
          <w:rtl/>
        </w:rPr>
        <w:t xml:space="preserve">ומתן העדות, יתבסס על </w:t>
      </w:r>
      <w:r w:rsidRPr="00E303AD">
        <w:rPr>
          <w:rFonts w:eastAsia="Calibri"/>
          <w:b/>
          <w:bCs/>
          <w:rtl/>
        </w:rPr>
        <w:t xml:space="preserve">נוהל ברור שיגדיר </w:t>
      </w:r>
      <w:r w:rsidRPr="00E303AD">
        <w:rPr>
          <w:rFonts w:eastAsia="Calibri" w:hint="cs"/>
          <w:b/>
          <w:bCs/>
          <w:rtl/>
        </w:rPr>
        <w:t>מיהו</w:t>
      </w:r>
      <w:r w:rsidRPr="00E303AD">
        <w:rPr>
          <w:rFonts w:eastAsia="Calibri"/>
          <w:b/>
          <w:bCs/>
          <w:rtl/>
        </w:rPr>
        <w:t xml:space="preserve"> הגורם האחראי </w:t>
      </w:r>
      <w:r w:rsidRPr="00E303AD">
        <w:rPr>
          <w:rFonts w:eastAsia="Calibri" w:hint="cs"/>
          <w:b/>
          <w:bCs/>
          <w:rtl/>
        </w:rPr>
        <w:t>לטיפול בהסעות של הקורבן למקומות האמורים ולתקצובן של ההסעות</w:t>
      </w:r>
      <w:r w:rsidRPr="00E303AD">
        <w:rPr>
          <w:rFonts w:eastAsia="Calibri"/>
          <w:b/>
          <w:bCs/>
          <w:rtl/>
        </w:rPr>
        <w:t>.</w:t>
      </w:r>
      <w:r w:rsidRPr="00E303AD">
        <w:rPr>
          <w:rFonts w:eastAsia="Calibri" w:hint="cs"/>
          <w:b/>
          <w:bCs/>
          <w:rtl/>
        </w:rPr>
        <w:t xml:space="preserve"> </w:t>
      </w:r>
      <w:r w:rsidRPr="00E303AD">
        <w:rPr>
          <w:rFonts w:eastAsia="Calibri"/>
          <w:b/>
          <w:bCs/>
          <w:rtl/>
        </w:rPr>
        <w:t>על יחידת התיאום</w:t>
      </w:r>
      <w:r w:rsidRPr="00E303AD">
        <w:rPr>
          <w:rFonts w:eastAsia="Calibri" w:hint="cs"/>
          <w:b/>
          <w:bCs/>
          <w:rtl/>
        </w:rPr>
        <w:t xml:space="preserve"> הממשלתית </w:t>
      </w:r>
      <w:r w:rsidRPr="00E303AD">
        <w:rPr>
          <w:rFonts w:eastAsia="Calibri"/>
          <w:b/>
          <w:bCs/>
          <w:rtl/>
        </w:rPr>
        <w:t xml:space="preserve">למאבק בסחר בבני אדם במשרד המשפטים </w:t>
      </w:r>
      <w:r w:rsidRPr="00E303AD">
        <w:rPr>
          <w:rFonts w:eastAsia="Calibri" w:hint="cs"/>
          <w:b/>
          <w:bCs/>
          <w:rtl/>
        </w:rPr>
        <w:t xml:space="preserve">לפעול להסדרת </w:t>
      </w:r>
      <w:r w:rsidRPr="00E303AD">
        <w:rPr>
          <w:rFonts w:eastAsia="Calibri"/>
          <w:b/>
          <w:bCs/>
          <w:rtl/>
        </w:rPr>
        <w:t>ה</w:t>
      </w:r>
      <w:r w:rsidRPr="00E303AD">
        <w:rPr>
          <w:rFonts w:eastAsia="Calibri" w:hint="cs"/>
          <w:b/>
          <w:bCs/>
          <w:rtl/>
        </w:rPr>
        <w:t>ה</w:t>
      </w:r>
      <w:r w:rsidRPr="00E303AD">
        <w:rPr>
          <w:rFonts w:eastAsia="Calibri"/>
          <w:b/>
          <w:bCs/>
          <w:rtl/>
        </w:rPr>
        <w:t xml:space="preserve">סעות </w:t>
      </w:r>
      <w:r w:rsidRPr="00E303AD">
        <w:rPr>
          <w:rFonts w:eastAsia="Calibri" w:hint="cs"/>
          <w:b/>
          <w:bCs/>
          <w:rtl/>
        </w:rPr>
        <w:t>ל</w:t>
      </w:r>
      <w:r w:rsidRPr="00E303AD">
        <w:rPr>
          <w:rFonts w:eastAsia="Calibri"/>
          <w:b/>
          <w:bCs/>
          <w:rtl/>
        </w:rPr>
        <w:t xml:space="preserve">קורבנות </w:t>
      </w:r>
      <w:r w:rsidRPr="00E303AD">
        <w:rPr>
          <w:rFonts w:eastAsia="Calibri" w:hint="cs"/>
          <w:b/>
          <w:bCs/>
          <w:rtl/>
        </w:rPr>
        <w:t>ה</w:t>
      </w:r>
      <w:r w:rsidRPr="00E303AD">
        <w:rPr>
          <w:rFonts w:eastAsia="Calibri"/>
          <w:b/>
          <w:bCs/>
          <w:rtl/>
        </w:rPr>
        <w:t xml:space="preserve">סחר בבני אדם למקלטים הייעודיים, </w:t>
      </w:r>
      <w:r w:rsidRPr="00E303AD">
        <w:rPr>
          <w:rFonts w:eastAsia="Calibri" w:hint="cs"/>
          <w:b/>
          <w:bCs/>
          <w:rtl/>
        </w:rPr>
        <w:t>לתאם אותן ולפקח עליהן, כפי שנקבע בהחלטת הממשלה 1862, כדי</w:t>
      </w:r>
      <w:r w:rsidRPr="00E303AD">
        <w:rPr>
          <w:rFonts w:eastAsia="Calibri"/>
          <w:b/>
          <w:bCs/>
          <w:rtl/>
        </w:rPr>
        <w:t xml:space="preserve"> להבטיח מענה מהיר </w:t>
      </w:r>
      <w:r w:rsidRPr="00E303AD">
        <w:rPr>
          <w:rFonts w:eastAsia="Calibri" w:hint="cs"/>
          <w:b/>
          <w:bCs/>
          <w:rtl/>
        </w:rPr>
        <w:t>ו</w:t>
      </w:r>
      <w:r w:rsidRPr="00E303AD">
        <w:rPr>
          <w:rFonts w:eastAsia="Calibri"/>
          <w:b/>
          <w:bCs/>
          <w:rtl/>
        </w:rPr>
        <w:t xml:space="preserve">בטוח </w:t>
      </w:r>
      <w:r w:rsidRPr="00E303AD">
        <w:rPr>
          <w:rFonts w:eastAsia="Calibri" w:hint="cs"/>
          <w:b/>
          <w:bCs/>
          <w:rtl/>
        </w:rPr>
        <w:t>על צורכי הקורבן</w:t>
      </w:r>
      <w:r w:rsidRPr="00E303AD">
        <w:rPr>
          <w:rFonts w:eastAsia="Calibri"/>
          <w:b/>
          <w:bCs/>
          <w:rtl/>
        </w:rPr>
        <w:t>, תוך שיתוף פעולה עם משרד הרווחה</w:t>
      </w:r>
      <w:r w:rsidRPr="00E303AD">
        <w:rPr>
          <w:rFonts w:eastAsia="Calibri" w:hint="cs"/>
          <w:b/>
          <w:bCs/>
          <w:rtl/>
        </w:rPr>
        <w:t>, רשות האוכלוסין</w:t>
      </w:r>
      <w:r w:rsidRPr="00E303AD">
        <w:rPr>
          <w:rFonts w:eastAsia="Calibri"/>
          <w:b/>
          <w:bCs/>
          <w:rtl/>
        </w:rPr>
        <w:t xml:space="preserve"> </w:t>
      </w:r>
      <w:r w:rsidRPr="00E303AD">
        <w:rPr>
          <w:rFonts w:eastAsia="Calibri" w:hint="cs"/>
          <w:b/>
          <w:bCs/>
          <w:rtl/>
        </w:rPr>
        <w:t xml:space="preserve">וההגירה במשרד הפנים </w:t>
      </w:r>
      <w:r w:rsidRPr="00E303AD">
        <w:rPr>
          <w:rFonts w:eastAsia="Calibri"/>
          <w:b/>
          <w:bCs/>
          <w:rtl/>
        </w:rPr>
        <w:t>והמשטרה</w:t>
      </w:r>
      <w:r w:rsidRPr="00E303AD">
        <w:rPr>
          <w:rFonts w:eastAsia="Calibri"/>
          <w:b/>
          <w:bCs/>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בתשובת משרד הרווחה צוין כי יש</w:t>
      </w:r>
      <w:r w:rsidRPr="00E303AD">
        <w:rPr>
          <w:rFonts w:eastAsia="Calibri"/>
          <w:rtl/>
        </w:rPr>
        <w:t xml:space="preserve"> צורך</w:t>
      </w:r>
      <w:r w:rsidRPr="00E303AD">
        <w:rPr>
          <w:rFonts w:eastAsia="Calibri" w:hint="cs"/>
          <w:rtl/>
        </w:rPr>
        <w:t xml:space="preserve"> </w:t>
      </w:r>
      <w:r w:rsidRPr="00E303AD">
        <w:rPr>
          <w:rFonts w:eastAsia="Calibri"/>
          <w:rtl/>
        </w:rPr>
        <w:t>בדיוק ו</w:t>
      </w:r>
      <w:r w:rsidRPr="00E303AD">
        <w:rPr>
          <w:rFonts w:eastAsia="Calibri" w:hint="cs"/>
          <w:rtl/>
        </w:rPr>
        <w:t>ב</w:t>
      </w:r>
      <w:r w:rsidRPr="00E303AD">
        <w:rPr>
          <w:rFonts w:eastAsia="Calibri"/>
          <w:rtl/>
        </w:rPr>
        <w:t xml:space="preserve">שיפור </w:t>
      </w:r>
      <w:r w:rsidRPr="00E303AD">
        <w:rPr>
          <w:rFonts w:eastAsia="Calibri" w:hint="cs"/>
          <w:rtl/>
        </w:rPr>
        <w:t xml:space="preserve">של </w:t>
      </w:r>
      <w:r w:rsidRPr="00E303AD">
        <w:rPr>
          <w:rFonts w:eastAsia="Calibri"/>
          <w:rtl/>
        </w:rPr>
        <w:t>שיתוף הפעולה בין הגופים השונים בנושא ההסעות למקלטים וכתיבת נוהל ברור</w:t>
      </w:r>
      <w:r w:rsidRPr="00E303AD">
        <w:rPr>
          <w:rFonts w:eastAsia="Calibri" w:hint="cs"/>
          <w:rtl/>
        </w:rPr>
        <w:t xml:space="preserve"> </w:t>
      </w:r>
      <w:r w:rsidRPr="00E303AD">
        <w:rPr>
          <w:rFonts w:eastAsia="Calibri"/>
          <w:rtl/>
        </w:rPr>
        <w:t xml:space="preserve">המסדיר את </w:t>
      </w:r>
      <w:r w:rsidRPr="00E303AD">
        <w:rPr>
          <w:rFonts w:eastAsia="Calibri" w:hint="cs"/>
          <w:rtl/>
        </w:rPr>
        <w:t>ה</w:t>
      </w:r>
      <w:r w:rsidRPr="00E303AD">
        <w:rPr>
          <w:rFonts w:eastAsia="Calibri"/>
          <w:rtl/>
        </w:rPr>
        <w:t>סוגי</w:t>
      </w:r>
      <w:r w:rsidRPr="00E303AD">
        <w:rPr>
          <w:rFonts w:eastAsia="Calibri" w:hint="cs"/>
          <w:rtl/>
        </w:rPr>
        <w:t>ה,</w:t>
      </w:r>
      <w:r w:rsidRPr="00E303AD">
        <w:rPr>
          <w:rFonts w:eastAsia="Calibri"/>
          <w:rtl/>
        </w:rPr>
        <w:t xml:space="preserve"> </w:t>
      </w:r>
      <w:r w:rsidRPr="00E303AD">
        <w:rPr>
          <w:rFonts w:eastAsia="Calibri" w:hint="cs"/>
          <w:rtl/>
        </w:rPr>
        <w:t>וכי משרד הרווחה</w:t>
      </w:r>
      <w:r w:rsidRPr="00E303AD">
        <w:rPr>
          <w:rFonts w:eastAsia="Calibri"/>
          <w:rtl/>
        </w:rPr>
        <w:t xml:space="preserve"> מקד</w:t>
      </w:r>
      <w:r w:rsidRPr="00E303AD">
        <w:rPr>
          <w:rFonts w:eastAsia="Calibri" w:hint="cs"/>
          <w:rtl/>
        </w:rPr>
        <w:t>ם</w:t>
      </w:r>
      <w:r w:rsidRPr="00E303AD">
        <w:rPr>
          <w:rFonts w:eastAsia="Calibri"/>
          <w:rtl/>
        </w:rPr>
        <w:t xml:space="preserve"> כתיבת נוהל </w:t>
      </w:r>
      <w:r w:rsidRPr="00E303AD">
        <w:rPr>
          <w:rFonts w:eastAsia="Calibri" w:hint="cs"/>
          <w:rtl/>
        </w:rPr>
        <w:t>כאמור</w:t>
      </w:r>
      <w:r w:rsidRPr="00E303AD">
        <w:rPr>
          <w:rFonts w:eastAsia="Calibri"/>
          <w:rtl/>
        </w:rPr>
        <w:t xml:space="preserve"> מול</w:t>
      </w:r>
      <w:r w:rsidRPr="00E303AD">
        <w:rPr>
          <w:rFonts w:eastAsia="Calibri" w:hint="cs"/>
          <w:rtl/>
        </w:rPr>
        <w:t xml:space="preserve"> </w:t>
      </w:r>
      <w:r w:rsidRPr="00E303AD">
        <w:rPr>
          <w:rFonts w:eastAsia="Calibri"/>
          <w:rtl/>
        </w:rPr>
        <w:t>משרד המתאמת</w:t>
      </w:r>
      <w:r w:rsidRPr="00E303AD">
        <w:rPr>
          <w:rFonts w:eastAsia="Calibri" w:hint="cs"/>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bookmarkStart w:id="191" w:name="_Hlk232081518"/>
      <w:r w:rsidRPr="00E303AD">
        <w:rPr>
          <w:rFonts w:eastAsia="Calibri" w:hint="cs"/>
          <w:rtl/>
        </w:rPr>
        <w:t xml:space="preserve">בתשובת משרד המשפטים צוין כי </w:t>
      </w:r>
      <w:r w:rsidRPr="00E303AD">
        <w:rPr>
          <w:rFonts w:eastAsia="Calibri"/>
          <w:rtl/>
        </w:rPr>
        <w:t>נעשו פעולות רבות לקידום משימה זו</w:t>
      </w:r>
      <w:r w:rsidRPr="00E303AD">
        <w:rPr>
          <w:rFonts w:eastAsia="Calibri" w:hint="cs"/>
          <w:rtl/>
        </w:rPr>
        <w:t>,</w:t>
      </w:r>
      <w:r w:rsidRPr="00E303AD">
        <w:rPr>
          <w:rFonts w:eastAsia="Calibri"/>
          <w:rtl/>
        </w:rPr>
        <w:t xml:space="preserve"> ו</w:t>
      </w:r>
      <w:r w:rsidRPr="00E303AD">
        <w:rPr>
          <w:rFonts w:eastAsia="Calibri" w:hint="cs"/>
          <w:rtl/>
        </w:rPr>
        <w:t xml:space="preserve">כי </w:t>
      </w:r>
      <w:r w:rsidRPr="00E303AD">
        <w:rPr>
          <w:rFonts w:eastAsia="Calibri"/>
          <w:rtl/>
        </w:rPr>
        <w:t>משרד הרווחה</w:t>
      </w:r>
      <w:r w:rsidRPr="00E303AD">
        <w:rPr>
          <w:rFonts w:eastAsia="Calibri" w:hint="cs"/>
          <w:rtl/>
        </w:rPr>
        <w:t xml:space="preserve"> ביצע התקשרות חוזית מתאימה עם נהגי הסעות,</w:t>
      </w:r>
      <w:r w:rsidRPr="00E303AD">
        <w:rPr>
          <w:rFonts w:eastAsia="Calibri"/>
          <w:rtl/>
        </w:rPr>
        <w:t xml:space="preserve"> </w:t>
      </w:r>
      <w:r w:rsidRPr="00E303AD">
        <w:rPr>
          <w:rFonts w:eastAsia="Calibri" w:hint="cs"/>
          <w:rtl/>
        </w:rPr>
        <w:t>וה</w:t>
      </w:r>
      <w:r w:rsidRPr="00E303AD">
        <w:rPr>
          <w:rFonts w:eastAsia="Calibri"/>
          <w:rtl/>
        </w:rPr>
        <w:t xml:space="preserve">ם עוברים הכשרה מיוחדת </w:t>
      </w:r>
      <w:r w:rsidRPr="00E303AD">
        <w:rPr>
          <w:rFonts w:eastAsia="Calibri" w:hint="cs"/>
          <w:rtl/>
        </w:rPr>
        <w:t xml:space="preserve">כדי </w:t>
      </w:r>
      <w:r w:rsidRPr="00E303AD">
        <w:rPr>
          <w:rFonts w:eastAsia="Calibri"/>
          <w:rtl/>
        </w:rPr>
        <w:t xml:space="preserve">לוודא </w:t>
      </w:r>
      <w:r w:rsidRPr="00E303AD">
        <w:rPr>
          <w:rFonts w:eastAsia="Calibri" w:hint="cs"/>
          <w:rtl/>
        </w:rPr>
        <w:t xml:space="preserve">את </w:t>
      </w:r>
      <w:r w:rsidRPr="00E303AD">
        <w:rPr>
          <w:rFonts w:eastAsia="Calibri"/>
          <w:rtl/>
        </w:rPr>
        <w:t>התאמתם</w:t>
      </w:r>
      <w:r w:rsidRPr="00E303AD">
        <w:rPr>
          <w:rFonts w:eastAsia="Calibri" w:hint="cs"/>
          <w:rtl/>
        </w:rPr>
        <w:t xml:space="preserve"> לתפקיד.</w:t>
      </w:r>
      <w:r w:rsidRPr="00E303AD">
        <w:rPr>
          <w:rFonts w:eastAsia="Calibri"/>
          <w:rtl/>
        </w:rPr>
        <w:t xml:space="preserve"> </w:t>
      </w:r>
      <w:bookmarkEnd w:id="191"/>
      <w:r w:rsidRPr="00E303AD">
        <w:rPr>
          <w:rFonts w:eastAsia="Calibri" w:hint="cs"/>
          <w:rtl/>
        </w:rPr>
        <w:t xml:space="preserve">היחידה ממשיכה לעסוק בתיאום הבין-משרדי הנדרש לשם גיבושו של נוהל בנושא. מאחר שמדובר בסוגיה בעלת השפעות על התקציב, התגלעו חילוקי דעות בנושא ונדרש זמן נוסף לשם סיום המשימה. עוד צוין בתשובה כי בימים אלה מגובשת טיוטה, והיא נמצאת בשלבי אישור אחרונים. </w:t>
      </w:r>
      <w:r w:rsidRPr="00E303AD">
        <w:rPr>
          <w:rFonts w:eastAsia="Calibri"/>
          <w:rtl/>
        </w:rPr>
        <w:t>משימה זו תוש</w:t>
      </w:r>
      <w:r w:rsidRPr="00E303AD">
        <w:rPr>
          <w:rFonts w:eastAsia="Calibri" w:hint="cs"/>
          <w:rtl/>
        </w:rPr>
        <w:t xml:space="preserve">לם </w:t>
      </w:r>
      <w:r w:rsidRPr="00E303AD">
        <w:rPr>
          <w:rFonts w:eastAsia="Calibri"/>
          <w:rtl/>
        </w:rPr>
        <w:t>בהמשך שנת העבודה 2026</w:t>
      </w:r>
      <w:r w:rsidRPr="00E303AD">
        <w:rPr>
          <w:rFonts w:eastAsia="Calibri" w:hint="cs"/>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bookmarkStart w:id="192" w:name="_Toc221475000"/>
      <w:bookmarkStart w:id="193" w:name="_Toc221475139"/>
      <w:r w:rsidRPr="00E303AD">
        <w:rPr>
          <w:rFonts w:eastAsia="Times New Roman" w:hint="eastAsia"/>
          <w:bCs/>
          <w:spacing w:val="40"/>
          <w:rtl/>
        </w:rPr>
        <w:t>נוהל</w:t>
      </w:r>
      <w:r w:rsidRPr="00E303AD">
        <w:rPr>
          <w:rFonts w:eastAsia="Times New Roman"/>
          <w:bCs/>
          <w:spacing w:val="40"/>
          <w:rtl/>
        </w:rPr>
        <w:t xml:space="preserve"> </w:t>
      </w:r>
      <w:r w:rsidRPr="00E303AD">
        <w:rPr>
          <w:rFonts w:eastAsia="Times New Roman" w:hint="eastAsia"/>
          <w:bCs/>
          <w:spacing w:val="40"/>
          <w:rtl/>
        </w:rPr>
        <w:t>הערכת</w:t>
      </w:r>
      <w:r w:rsidRPr="00E303AD">
        <w:rPr>
          <w:rFonts w:eastAsia="Times New Roman"/>
          <w:bCs/>
          <w:spacing w:val="40"/>
          <w:rtl/>
        </w:rPr>
        <w:t xml:space="preserve"> </w:t>
      </w:r>
      <w:r w:rsidRPr="00E303AD">
        <w:rPr>
          <w:rFonts w:eastAsia="Times New Roman" w:hint="eastAsia"/>
          <w:bCs/>
          <w:spacing w:val="40"/>
          <w:rtl/>
        </w:rPr>
        <w:t>מאוימות</w:t>
      </w:r>
      <w:r w:rsidRPr="00E303AD">
        <w:rPr>
          <w:rFonts w:eastAsia="Times New Roman"/>
          <w:bCs/>
          <w:spacing w:val="40"/>
          <w:rtl/>
        </w:rPr>
        <w:t xml:space="preserve"> </w:t>
      </w:r>
      <w:r w:rsidRPr="00E303AD">
        <w:rPr>
          <w:rFonts w:eastAsia="Times New Roman" w:hint="eastAsia"/>
          <w:bCs/>
          <w:spacing w:val="40"/>
          <w:rtl/>
        </w:rPr>
        <w:t>ומסוכנות</w:t>
      </w:r>
      <w:r w:rsidRPr="00E303AD">
        <w:rPr>
          <w:rFonts w:eastAsia="Times New Roman"/>
          <w:bCs/>
          <w:spacing w:val="40"/>
          <w:rtl/>
        </w:rPr>
        <w:t xml:space="preserve"> </w:t>
      </w:r>
      <w:r w:rsidRPr="00E303AD">
        <w:rPr>
          <w:rFonts w:eastAsia="Times New Roman" w:hint="eastAsia"/>
          <w:bCs/>
          <w:spacing w:val="40"/>
          <w:rtl/>
        </w:rPr>
        <w:t>במדינת</w:t>
      </w:r>
      <w:r w:rsidRPr="00E303AD">
        <w:rPr>
          <w:rFonts w:eastAsia="Times New Roman"/>
          <w:bCs/>
          <w:spacing w:val="40"/>
          <w:rtl/>
        </w:rPr>
        <w:t xml:space="preserve"> </w:t>
      </w:r>
      <w:r w:rsidRPr="00E303AD">
        <w:rPr>
          <w:rFonts w:eastAsia="Times New Roman" w:hint="eastAsia"/>
          <w:bCs/>
          <w:spacing w:val="40"/>
          <w:rtl/>
        </w:rPr>
        <w:t>המוצא</w:t>
      </w:r>
      <w:r w:rsidRPr="00E303AD">
        <w:rPr>
          <w:rFonts w:eastAsia="Times New Roman"/>
          <w:bCs/>
          <w:spacing w:val="40"/>
          <w:rtl/>
        </w:rPr>
        <w:t>:</w:t>
      </w:r>
      <w:bookmarkEnd w:id="192"/>
      <w:bookmarkEnd w:id="193"/>
      <w:r w:rsidRPr="00E303AD">
        <w:rPr>
          <w:rFonts w:eastAsia="Times New Roman" w:hint="cs"/>
          <w:bCs/>
          <w:spacing w:val="40"/>
          <w:rtl/>
        </w:rPr>
        <w:t xml:space="preserve"> </w:t>
      </w:r>
      <w:r w:rsidRPr="00E303AD">
        <w:rPr>
          <w:rFonts w:eastAsia="Calibri" w:hint="cs"/>
          <w:rtl/>
        </w:rPr>
        <w:t>לקראת המועד שבו קורבן הסחר בבני אדם עוזב את ישראל לארץ מוצאו, יש לוודא שבמדינת המוצא לא נשקפת סכנה לשלומו</w:t>
      </w:r>
      <w:r>
        <w:rPr>
          <w:rFonts w:eastAsia="Calibri"/>
          <w:vertAlign w:val="superscript"/>
          <w:rtl/>
        </w:rPr>
        <w:footnoteReference w:id="166"/>
      </w:r>
      <w:r w:rsidRPr="00E303AD">
        <w:rPr>
          <w:rFonts w:eastAsia="Calibri" w:hint="cs"/>
          <w:rtl/>
        </w:rPr>
        <w:t xml:space="preserve"> ("חזרה בטוחה"). בהתאם להחלטת הממשלה 1862 המשטרה, יחידת התיאום ומשרד הרווחה אחראים ל</w:t>
      </w:r>
      <w:r w:rsidRPr="00E303AD">
        <w:rPr>
          <w:rFonts w:eastAsia="Calibri"/>
          <w:rtl/>
        </w:rPr>
        <w:t>גיבוש ו</w:t>
      </w:r>
      <w:r w:rsidRPr="00E303AD">
        <w:rPr>
          <w:rFonts w:eastAsia="Calibri" w:hint="cs"/>
          <w:rtl/>
        </w:rPr>
        <w:t>ל</w:t>
      </w:r>
      <w:r w:rsidRPr="00E303AD">
        <w:rPr>
          <w:rFonts w:eastAsia="Calibri"/>
          <w:rtl/>
        </w:rPr>
        <w:t>הטמעה של נוהל רוחבי להערכת דרגת האיום והמסוכנות הנשקפים לקורבנות סחר בבני אדם</w:t>
      </w:r>
      <w:r w:rsidRPr="00E303AD">
        <w:rPr>
          <w:rFonts w:eastAsia="Calibri" w:hint="cs"/>
          <w:rtl/>
        </w:rPr>
        <w:t xml:space="preserve"> במדינת המוצא עובר למועד שובם אליה</w:t>
      </w:r>
      <w:r w:rsidRPr="00E303AD">
        <w:rPr>
          <w:rFonts w:eastAsia="Calibri"/>
          <w:rtl/>
        </w:rPr>
        <w:t>.</w:t>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eastAsia"/>
          <w:rtl/>
        </w:rPr>
        <w:t>נכון</w:t>
      </w:r>
      <w:r w:rsidRPr="00E303AD">
        <w:rPr>
          <w:rFonts w:eastAsia="Calibri"/>
          <w:rtl/>
        </w:rPr>
        <w:t xml:space="preserve"> </w:t>
      </w:r>
      <w:r w:rsidRPr="00E303AD">
        <w:rPr>
          <w:rFonts w:eastAsia="Calibri" w:hint="eastAsia"/>
          <w:rtl/>
        </w:rPr>
        <w:t>ליולי</w:t>
      </w:r>
      <w:r w:rsidRPr="00E303AD">
        <w:rPr>
          <w:rFonts w:eastAsia="Calibri"/>
          <w:rtl/>
        </w:rPr>
        <w:t xml:space="preserve"> 2025, </w:t>
      </w:r>
      <w:r w:rsidRPr="00E303AD">
        <w:rPr>
          <w:rFonts w:eastAsia="Calibri" w:hint="eastAsia"/>
          <w:rtl/>
        </w:rPr>
        <w:t>מועד</w:t>
      </w:r>
      <w:r w:rsidRPr="00E303AD">
        <w:rPr>
          <w:rFonts w:eastAsia="Calibri"/>
          <w:rtl/>
        </w:rPr>
        <w:t xml:space="preserve"> סיום הביקורת, </w:t>
      </w:r>
      <w:r w:rsidRPr="00E303AD">
        <w:rPr>
          <w:rFonts w:eastAsia="Calibri" w:hint="eastAsia"/>
          <w:rtl/>
        </w:rPr>
        <w:t>המשטרה</w:t>
      </w:r>
      <w:r w:rsidRPr="00E303AD">
        <w:rPr>
          <w:rFonts w:eastAsia="Calibri"/>
          <w:rtl/>
        </w:rPr>
        <w:t xml:space="preserve"> </w:t>
      </w:r>
      <w:r w:rsidRPr="00E303AD">
        <w:rPr>
          <w:rFonts w:eastAsia="Calibri" w:hint="eastAsia"/>
          <w:rtl/>
        </w:rPr>
        <w:t>עדיין</w:t>
      </w:r>
      <w:r w:rsidRPr="00E303AD">
        <w:rPr>
          <w:rFonts w:eastAsia="Calibri"/>
          <w:rtl/>
        </w:rPr>
        <w:t xml:space="preserve"> </w:t>
      </w:r>
      <w:r w:rsidRPr="00E303AD">
        <w:rPr>
          <w:rFonts w:eastAsia="Calibri" w:hint="eastAsia"/>
          <w:rtl/>
        </w:rPr>
        <w:t>לא</w:t>
      </w:r>
      <w:r w:rsidRPr="00E303AD">
        <w:rPr>
          <w:rFonts w:eastAsia="Calibri"/>
          <w:rtl/>
        </w:rPr>
        <w:t xml:space="preserve"> </w:t>
      </w:r>
      <w:r w:rsidRPr="00E303AD">
        <w:rPr>
          <w:rFonts w:eastAsia="Calibri" w:hint="eastAsia"/>
          <w:rtl/>
        </w:rPr>
        <w:t>גיבשה</w:t>
      </w:r>
      <w:r w:rsidRPr="00E303AD">
        <w:rPr>
          <w:rFonts w:eastAsia="Calibri"/>
          <w:rtl/>
        </w:rPr>
        <w:t xml:space="preserve"> ולא הטמיע</w:t>
      </w:r>
      <w:r w:rsidRPr="00E303AD">
        <w:rPr>
          <w:rFonts w:eastAsia="Calibri" w:hint="eastAsia"/>
          <w:rtl/>
        </w:rPr>
        <w:t>ה</w:t>
      </w:r>
      <w:r w:rsidRPr="00E303AD">
        <w:rPr>
          <w:rFonts w:eastAsia="Calibri"/>
          <w:rtl/>
        </w:rPr>
        <w:t xml:space="preserve">, בשיתוף עם יחידת התיאום ומשרד הרווחה, </w:t>
      </w:r>
      <w:r w:rsidRPr="00E303AD">
        <w:rPr>
          <w:rFonts w:eastAsia="Calibri" w:hint="eastAsia"/>
          <w:rtl/>
        </w:rPr>
        <w:t>נוהל</w:t>
      </w:r>
      <w:r w:rsidRPr="00E303AD">
        <w:rPr>
          <w:rFonts w:eastAsia="Calibri"/>
          <w:rtl/>
        </w:rPr>
        <w:t xml:space="preserve"> </w:t>
      </w:r>
      <w:r w:rsidRPr="00E303AD">
        <w:rPr>
          <w:rFonts w:eastAsia="Calibri" w:hint="eastAsia"/>
          <w:rtl/>
        </w:rPr>
        <w:t>רוחבי</w:t>
      </w:r>
      <w:r w:rsidRPr="00E303AD">
        <w:rPr>
          <w:rFonts w:eastAsia="Calibri"/>
          <w:rtl/>
        </w:rPr>
        <w:t xml:space="preserve"> </w:t>
      </w:r>
      <w:r w:rsidRPr="00E303AD">
        <w:rPr>
          <w:rFonts w:eastAsia="Calibri" w:hint="eastAsia"/>
          <w:rtl/>
        </w:rPr>
        <w:t>להערכת</w:t>
      </w:r>
      <w:r w:rsidRPr="00E303AD">
        <w:rPr>
          <w:rFonts w:eastAsia="Calibri"/>
          <w:rtl/>
        </w:rPr>
        <w:t xml:space="preserve"> </w:t>
      </w:r>
      <w:r w:rsidRPr="00E303AD">
        <w:rPr>
          <w:rFonts w:eastAsia="Calibri" w:hint="eastAsia"/>
          <w:rtl/>
        </w:rPr>
        <w:t>דרגת</w:t>
      </w:r>
      <w:r w:rsidRPr="00E303AD">
        <w:rPr>
          <w:rFonts w:eastAsia="Calibri"/>
          <w:rtl/>
        </w:rPr>
        <w:t xml:space="preserve"> </w:t>
      </w:r>
      <w:r w:rsidRPr="00E303AD">
        <w:rPr>
          <w:rFonts w:eastAsia="Calibri" w:hint="eastAsia"/>
          <w:rtl/>
        </w:rPr>
        <w:t>האיום</w:t>
      </w:r>
      <w:r w:rsidRPr="00E303AD">
        <w:rPr>
          <w:rFonts w:eastAsia="Calibri"/>
          <w:rtl/>
        </w:rPr>
        <w:t xml:space="preserve"> </w:t>
      </w:r>
      <w:r w:rsidRPr="00E303AD">
        <w:rPr>
          <w:rFonts w:eastAsia="Calibri" w:hint="eastAsia"/>
          <w:rtl/>
        </w:rPr>
        <w:t>והמסוכנות</w:t>
      </w:r>
      <w:r w:rsidRPr="00E303AD">
        <w:rPr>
          <w:rFonts w:eastAsia="Calibri"/>
          <w:rtl/>
        </w:rPr>
        <w:t xml:space="preserve"> </w:t>
      </w:r>
      <w:r w:rsidRPr="00E303AD">
        <w:rPr>
          <w:rFonts w:eastAsia="Calibri" w:hint="eastAsia"/>
          <w:rtl/>
        </w:rPr>
        <w:t>הנשקפים</w:t>
      </w:r>
      <w:r w:rsidRPr="00E303AD">
        <w:rPr>
          <w:rFonts w:eastAsia="Calibri"/>
          <w:rtl/>
        </w:rPr>
        <w:t xml:space="preserve"> </w:t>
      </w:r>
      <w:r w:rsidRPr="00E303AD">
        <w:rPr>
          <w:rFonts w:eastAsia="Calibri" w:hint="eastAsia"/>
          <w:rtl/>
        </w:rPr>
        <w:t>לקורבנות</w:t>
      </w:r>
      <w:r w:rsidRPr="00E303AD">
        <w:rPr>
          <w:rFonts w:eastAsia="Calibri"/>
          <w:rtl/>
        </w:rPr>
        <w:t xml:space="preserve"> </w:t>
      </w:r>
      <w:r w:rsidRPr="00E303AD">
        <w:rPr>
          <w:rFonts w:eastAsia="Calibri" w:hint="eastAsia"/>
          <w:rtl/>
        </w:rPr>
        <w:t>סחר</w:t>
      </w:r>
      <w:r w:rsidRPr="00E303AD">
        <w:rPr>
          <w:rFonts w:eastAsia="Calibri"/>
          <w:rtl/>
        </w:rPr>
        <w:t xml:space="preserve"> </w:t>
      </w:r>
      <w:r w:rsidRPr="00E303AD">
        <w:rPr>
          <w:rFonts w:eastAsia="Calibri" w:hint="eastAsia"/>
          <w:rtl/>
        </w:rPr>
        <w:t>בבני</w:t>
      </w:r>
      <w:r w:rsidRPr="00E303AD">
        <w:rPr>
          <w:rFonts w:eastAsia="Calibri"/>
          <w:rtl/>
        </w:rPr>
        <w:t xml:space="preserve"> </w:t>
      </w:r>
      <w:r w:rsidRPr="00E303AD">
        <w:rPr>
          <w:rFonts w:eastAsia="Calibri" w:hint="eastAsia"/>
          <w:rtl/>
        </w:rPr>
        <w:t>אדם</w:t>
      </w:r>
      <w:r w:rsidRPr="00E303AD">
        <w:rPr>
          <w:rFonts w:eastAsia="Calibri"/>
          <w:rtl/>
        </w:rPr>
        <w:t xml:space="preserve"> </w:t>
      </w:r>
      <w:r w:rsidRPr="00E303AD">
        <w:rPr>
          <w:rFonts w:eastAsia="Calibri" w:hint="eastAsia"/>
          <w:rtl/>
        </w:rPr>
        <w:t>במדינת</w:t>
      </w:r>
      <w:r w:rsidRPr="00E303AD">
        <w:rPr>
          <w:rFonts w:eastAsia="Calibri"/>
          <w:rtl/>
        </w:rPr>
        <w:t xml:space="preserve"> </w:t>
      </w:r>
      <w:r w:rsidRPr="00E303AD">
        <w:rPr>
          <w:rFonts w:eastAsia="Calibri" w:hint="eastAsia"/>
          <w:rtl/>
        </w:rPr>
        <w:t>המוצא</w:t>
      </w:r>
      <w:r w:rsidRPr="00E303AD">
        <w:rPr>
          <w:rFonts w:eastAsia="Calibri"/>
          <w:rtl/>
        </w:rPr>
        <w:t xml:space="preserve"> </w:t>
      </w:r>
      <w:r w:rsidRPr="00E303AD">
        <w:rPr>
          <w:rFonts w:eastAsia="Calibri" w:hint="eastAsia"/>
          <w:rtl/>
        </w:rPr>
        <w:t>עובר</w:t>
      </w:r>
      <w:r w:rsidRPr="00E303AD">
        <w:rPr>
          <w:rFonts w:eastAsia="Calibri"/>
          <w:rtl/>
        </w:rPr>
        <w:t xml:space="preserve"> </w:t>
      </w:r>
      <w:r w:rsidRPr="00E303AD">
        <w:rPr>
          <w:rFonts w:eastAsia="Calibri" w:hint="eastAsia"/>
          <w:rtl/>
        </w:rPr>
        <w:t>לשובם</w:t>
      </w:r>
      <w:r w:rsidRPr="00E303AD">
        <w:rPr>
          <w:rFonts w:eastAsia="Calibri"/>
          <w:rtl/>
        </w:rPr>
        <w:t xml:space="preserve">. </w:t>
      </w:r>
      <w:bookmarkStart w:id="194" w:name="_Hlk223021174"/>
      <w:r w:rsidRPr="00E303AD">
        <w:rPr>
          <w:rFonts w:eastAsia="Calibri" w:hint="eastAsia"/>
          <w:rtl/>
        </w:rPr>
        <w:t>בהיעדר</w:t>
      </w:r>
      <w:r w:rsidRPr="00E303AD">
        <w:rPr>
          <w:rFonts w:eastAsia="Calibri"/>
          <w:rtl/>
        </w:rPr>
        <w:t xml:space="preserve"> נוהל סדור שגובש על סמך עבודת מטה מקצועית, </w:t>
      </w:r>
      <w:r w:rsidRPr="00E303AD">
        <w:rPr>
          <w:rFonts w:eastAsia="Calibri" w:hint="eastAsia"/>
          <w:rtl/>
        </w:rPr>
        <w:t>עלולה</w:t>
      </w:r>
      <w:r w:rsidRPr="00E303AD">
        <w:rPr>
          <w:rFonts w:eastAsia="Calibri"/>
          <w:rtl/>
        </w:rPr>
        <w:t xml:space="preserve"> </w:t>
      </w:r>
      <w:r w:rsidRPr="00E303AD">
        <w:rPr>
          <w:rFonts w:eastAsia="Calibri" w:hint="eastAsia"/>
          <w:rtl/>
        </w:rPr>
        <w:t>להתבצע</w:t>
      </w:r>
      <w:r w:rsidRPr="00E303AD">
        <w:rPr>
          <w:rFonts w:eastAsia="Calibri"/>
          <w:rtl/>
        </w:rPr>
        <w:t xml:space="preserve"> </w:t>
      </w:r>
      <w:r w:rsidRPr="00E303AD">
        <w:rPr>
          <w:rFonts w:eastAsia="Calibri" w:hint="eastAsia"/>
          <w:rtl/>
        </w:rPr>
        <w:t>הערכה</w:t>
      </w:r>
      <w:r w:rsidRPr="00E303AD">
        <w:rPr>
          <w:rFonts w:eastAsia="Calibri"/>
          <w:rtl/>
        </w:rPr>
        <w:t xml:space="preserve"> </w:t>
      </w:r>
      <w:r w:rsidRPr="00E303AD">
        <w:rPr>
          <w:rFonts w:eastAsia="Calibri" w:hint="eastAsia"/>
          <w:rtl/>
        </w:rPr>
        <w:t>שגויה</w:t>
      </w:r>
      <w:r w:rsidRPr="00E303AD">
        <w:rPr>
          <w:rFonts w:eastAsia="Calibri"/>
          <w:rtl/>
        </w:rPr>
        <w:t xml:space="preserve"> ש</w:t>
      </w:r>
      <w:r w:rsidRPr="00E303AD">
        <w:rPr>
          <w:rFonts w:eastAsia="Calibri" w:hint="eastAsia"/>
          <w:rtl/>
        </w:rPr>
        <w:t>ל</w:t>
      </w:r>
      <w:r w:rsidRPr="00E303AD">
        <w:rPr>
          <w:rFonts w:eastAsia="Calibri"/>
          <w:rtl/>
        </w:rPr>
        <w:t xml:space="preserve"> ה</w:t>
      </w:r>
      <w:r w:rsidRPr="00E303AD">
        <w:rPr>
          <w:rFonts w:eastAsia="Calibri" w:hint="eastAsia"/>
          <w:rtl/>
        </w:rPr>
        <w:t>סיכונים</w:t>
      </w:r>
      <w:r w:rsidRPr="00E303AD">
        <w:rPr>
          <w:rFonts w:eastAsia="Calibri"/>
          <w:rtl/>
        </w:rPr>
        <w:t xml:space="preserve"> </w:t>
      </w:r>
      <w:r w:rsidRPr="00E303AD">
        <w:rPr>
          <w:rFonts w:eastAsia="Calibri" w:hint="eastAsia"/>
          <w:rtl/>
        </w:rPr>
        <w:t>ודרגת</w:t>
      </w:r>
      <w:r w:rsidRPr="00E303AD">
        <w:rPr>
          <w:rFonts w:eastAsia="Calibri"/>
          <w:rtl/>
        </w:rPr>
        <w:t xml:space="preserve"> </w:t>
      </w:r>
      <w:r w:rsidRPr="00E303AD">
        <w:rPr>
          <w:rFonts w:eastAsia="Calibri" w:hint="eastAsia"/>
          <w:rtl/>
        </w:rPr>
        <w:t>האיום</w:t>
      </w:r>
      <w:r w:rsidRPr="00E303AD">
        <w:rPr>
          <w:rFonts w:eastAsia="Calibri"/>
          <w:rtl/>
        </w:rPr>
        <w:t xml:space="preserve"> </w:t>
      </w:r>
      <w:r w:rsidRPr="00E303AD">
        <w:rPr>
          <w:rFonts w:eastAsia="Calibri" w:hint="eastAsia"/>
          <w:rtl/>
        </w:rPr>
        <w:t>הנשקפים</w:t>
      </w:r>
      <w:r w:rsidRPr="00E303AD">
        <w:rPr>
          <w:rFonts w:eastAsia="Calibri"/>
          <w:rtl/>
        </w:rPr>
        <w:t xml:space="preserve"> </w:t>
      </w:r>
      <w:r w:rsidRPr="00E303AD">
        <w:rPr>
          <w:rFonts w:eastAsia="Calibri" w:hint="eastAsia"/>
          <w:rtl/>
        </w:rPr>
        <w:t>לקורבנות</w:t>
      </w:r>
      <w:r w:rsidRPr="00E303AD">
        <w:rPr>
          <w:rFonts w:eastAsia="Calibri"/>
          <w:rtl/>
        </w:rPr>
        <w:t xml:space="preserve">, </w:t>
      </w:r>
      <w:r w:rsidRPr="00E303AD">
        <w:rPr>
          <w:rFonts w:eastAsia="Calibri" w:hint="eastAsia"/>
          <w:rtl/>
        </w:rPr>
        <w:t>ועקב</w:t>
      </w:r>
      <w:r w:rsidRPr="00E303AD">
        <w:rPr>
          <w:rFonts w:eastAsia="Calibri"/>
          <w:rtl/>
        </w:rPr>
        <w:t xml:space="preserve"> </w:t>
      </w:r>
      <w:r w:rsidRPr="00E303AD">
        <w:rPr>
          <w:rFonts w:eastAsia="Calibri" w:hint="eastAsia"/>
          <w:rtl/>
        </w:rPr>
        <w:t>כך</w:t>
      </w:r>
      <w:r w:rsidRPr="00E303AD">
        <w:rPr>
          <w:rFonts w:eastAsia="Calibri"/>
          <w:rtl/>
        </w:rPr>
        <w:t xml:space="preserve"> </w:t>
      </w:r>
      <w:r w:rsidRPr="00E303AD">
        <w:rPr>
          <w:rFonts w:eastAsia="Calibri" w:hint="eastAsia"/>
          <w:rtl/>
        </w:rPr>
        <w:t>ייתכן</w:t>
      </w:r>
      <w:r w:rsidRPr="00E303AD">
        <w:rPr>
          <w:rFonts w:eastAsia="Calibri"/>
          <w:rtl/>
        </w:rPr>
        <w:t xml:space="preserve"> </w:t>
      </w:r>
      <w:r w:rsidRPr="00E303AD">
        <w:rPr>
          <w:rFonts w:eastAsia="Calibri"/>
          <w:rtl/>
        </w:rPr>
        <w:t>שיינקטו בעניינם אמצעי הגנה</w:t>
      </w:r>
      <w:r>
        <w:rPr>
          <w:rFonts w:eastAsia="Calibri"/>
          <w:vertAlign w:val="superscript"/>
          <w:rtl/>
        </w:rPr>
        <w:footnoteReference w:id="167"/>
      </w:r>
      <w:r w:rsidRPr="00E303AD">
        <w:rPr>
          <w:rFonts w:eastAsia="Calibri"/>
          <w:rtl/>
        </w:rPr>
        <w:t xml:space="preserve"> </w:t>
      </w:r>
      <w:r w:rsidRPr="00E303AD">
        <w:rPr>
          <w:rFonts w:eastAsia="Calibri" w:hint="eastAsia"/>
          <w:rtl/>
        </w:rPr>
        <w:t>שאינם</w:t>
      </w:r>
      <w:r w:rsidRPr="00E303AD">
        <w:rPr>
          <w:rFonts w:eastAsia="Calibri"/>
          <w:rtl/>
        </w:rPr>
        <w:t xml:space="preserve"> מותאמים </w:t>
      </w:r>
      <w:r w:rsidRPr="00E303AD">
        <w:rPr>
          <w:rFonts w:eastAsia="Calibri" w:hint="eastAsia"/>
          <w:rtl/>
        </w:rPr>
        <w:t>לצורכיהם</w:t>
      </w:r>
      <w:r w:rsidRPr="00E303AD">
        <w:rPr>
          <w:rFonts w:eastAsia="Calibri"/>
          <w:rtl/>
        </w:rPr>
        <w:t xml:space="preserve"> </w:t>
      </w:r>
      <w:r w:rsidRPr="00E303AD">
        <w:rPr>
          <w:rFonts w:eastAsia="Calibri" w:hint="eastAsia"/>
          <w:rtl/>
        </w:rPr>
        <w:t>או</w:t>
      </w:r>
      <w:r w:rsidRPr="00E303AD">
        <w:rPr>
          <w:rFonts w:eastAsia="Calibri"/>
          <w:rtl/>
        </w:rPr>
        <w:t xml:space="preserve"> </w:t>
      </w:r>
      <w:r w:rsidRPr="00E303AD">
        <w:rPr>
          <w:rFonts w:eastAsia="Calibri" w:hint="eastAsia"/>
          <w:rtl/>
        </w:rPr>
        <w:t>שאמצעי</w:t>
      </w:r>
      <w:r w:rsidRPr="00E303AD">
        <w:rPr>
          <w:rFonts w:eastAsia="Calibri"/>
          <w:rtl/>
        </w:rPr>
        <w:t xml:space="preserve"> </w:t>
      </w:r>
      <w:r w:rsidRPr="00E303AD">
        <w:rPr>
          <w:rFonts w:eastAsia="Calibri" w:hint="eastAsia"/>
          <w:rtl/>
        </w:rPr>
        <w:t>ההגנה</w:t>
      </w:r>
      <w:r w:rsidRPr="00E303AD">
        <w:rPr>
          <w:rFonts w:eastAsia="Calibri"/>
          <w:rtl/>
        </w:rPr>
        <w:t xml:space="preserve"> </w:t>
      </w:r>
      <w:r w:rsidRPr="00E303AD">
        <w:rPr>
          <w:rFonts w:eastAsia="Calibri" w:hint="eastAsia"/>
          <w:rtl/>
        </w:rPr>
        <w:t>לא</w:t>
      </w:r>
      <w:r w:rsidRPr="00E303AD">
        <w:rPr>
          <w:rFonts w:eastAsia="Calibri"/>
          <w:rtl/>
        </w:rPr>
        <w:t xml:space="preserve"> </w:t>
      </w:r>
      <w:r w:rsidRPr="00E303AD">
        <w:rPr>
          <w:rFonts w:eastAsia="Calibri" w:hint="eastAsia"/>
          <w:rtl/>
        </w:rPr>
        <w:t>יופעלו</w:t>
      </w:r>
      <w:r w:rsidRPr="00E303AD">
        <w:rPr>
          <w:rFonts w:eastAsia="Calibri"/>
          <w:rtl/>
        </w:rPr>
        <w:t xml:space="preserve"> </w:t>
      </w:r>
      <w:r w:rsidRPr="00E303AD">
        <w:rPr>
          <w:rFonts w:eastAsia="Calibri" w:hint="eastAsia"/>
          <w:rtl/>
        </w:rPr>
        <w:t>בשעת</w:t>
      </w:r>
      <w:r w:rsidRPr="00E303AD">
        <w:rPr>
          <w:rFonts w:eastAsia="Calibri"/>
          <w:rtl/>
        </w:rPr>
        <w:t xml:space="preserve"> </w:t>
      </w:r>
      <w:r w:rsidRPr="00E303AD">
        <w:rPr>
          <w:rFonts w:eastAsia="Calibri" w:hint="eastAsia"/>
          <w:rtl/>
        </w:rPr>
        <w:t>הצורך</w:t>
      </w:r>
      <w:r w:rsidRPr="00E303AD">
        <w:rPr>
          <w:rFonts w:eastAsia="Calibri"/>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בתשובת המשטרה צוין כי </w:t>
      </w:r>
      <w:r w:rsidRPr="00E303AD">
        <w:rPr>
          <w:rFonts w:eastAsia="Calibri"/>
          <w:rtl/>
        </w:rPr>
        <w:t xml:space="preserve">מדובר בנוהל עבודה בשיתוף יחידת התיאום ומשרד הרווחה </w:t>
      </w:r>
      <w:r w:rsidRPr="00E303AD">
        <w:rPr>
          <w:rFonts w:eastAsia="Calibri" w:hint="cs"/>
          <w:rtl/>
        </w:rPr>
        <w:t xml:space="preserve">המצוי </w:t>
      </w:r>
      <w:r w:rsidRPr="00E303AD">
        <w:rPr>
          <w:rFonts w:eastAsia="Calibri"/>
          <w:rtl/>
        </w:rPr>
        <w:t xml:space="preserve">באחריות משרד המשפטים </w:t>
      </w:r>
      <w:r w:rsidRPr="00E303AD">
        <w:rPr>
          <w:rFonts w:eastAsia="Calibri" w:hint="cs"/>
          <w:rtl/>
        </w:rPr>
        <w:t>ו</w:t>
      </w:r>
      <w:r w:rsidRPr="00E303AD">
        <w:rPr>
          <w:rFonts w:eastAsia="Calibri"/>
          <w:rtl/>
        </w:rPr>
        <w:t>נמצא בשלבי סיום.</w:t>
      </w:r>
      <w:r w:rsidRPr="00E303AD">
        <w:rPr>
          <w:rFonts w:eastAsia="Calibri" w:hint="cs"/>
          <w:rtl/>
        </w:rPr>
        <w:t xml:space="preserve"> עוד צוין כי </w:t>
      </w:r>
      <w:r w:rsidRPr="00E303AD">
        <w:rPr>
          <w:rFonts w:eastAsia="Calibri"/>
          <w:rtl/>
        </w:rPr>
        <w:t xml:space="preserve">הנוהל ברובו מתייחס לפעולות הרווחה ורק </w:t>
      </w:r>
      <w:r w:rsidRPr="00E303AD">
        <w:rPr>
          <w:rFonts w:eastAsia="Calibri" w:hint="cs"/>
          <w:rtl/>
        </w:rPr>
        <w:t>אם מתעורר</w:t>
      </w:r>
      <w:r w:rsidRPr="00E303AD">
        <w:rPr>
          <w:rFonts w:eastAsia="Calibri"/>
          <w:rtl/>
        </w:rPr>
        <w:t xml:space="preserve"> </w:t>
      </w:r>
      <w:r w:rsidRPr="00E303AD">
        <w:rPr>
          <w:rFonts w:ascii="David" w:eastAsia="Calibri" w:hAnsi="David" w:hint="cs"/>
          <w:rtl/>
        </w:rPr>
        <w:t>חשש</w:t>
      </w:r>
      <w:r w:rsidRPr="00E303AD">
        <w:rPr>
          <w:rFonts w:eastAsia="Calibri"/>
          <w:rtl/>
        </w:rPr>
        <w:t xml:space="preserve"> </w:t>
      </w:r>
      <w:r w:rsidRPr="00E303AD">
        <w:rPr>
          <w:rFonts w:ascii="David" w:eastAsia="Calibri" w:hAnsi="David" w:hint="cs"/>
          <w:rtl/>
        </w:rPr>
        <w:t>לשלום</w:t>
      </w:r>
      <w:r w:rsidRPr="00E303AD">
        <w:rPr>
          <w:rFonts w:eastAsia="Calibri"/>
          <w:rtl/>
        </w:rPr>
        <w:t xml:space="preserve"> </w:t>
      </w:r>
      <w:r w:rsidRPr="00E303AD">
        <w:rPr>
          <w:rFonts w:ascii="David" w:eastAsia="Calibri" w:hAnsi="David" w:hint="cs"/>
          <w:rtl/>
        </w:rPr>
        <w:t>הקורבן</w:t>
      </w:r>
      <w:r w:rsidRPr="00E303AD">
        <w:rPr>
          <w:rFonts w:eastAsia="Calibri"/>
          <w:rtl/>
        </w:rPr>
        <w:t xml:space="preserve"> </w:t>
      </w:r>
      <w:r w:rsidRPr="00E303AD">
        <w:rPr>
          <w:rFonts w:ascii="David" w:eastAsia="Calibri" w:hAnsi="David" w:hint="cs"/>
          <w:rtl/>
        </w:rPr>
        <w:t>מתבצעת פנייה</w:t>
      </w:r>
      <w:r w:rsidRPr="00E303AD">
        <w:rPr>
          <w:rFonts w:eastAsia="Calibri"/>
          <w:rtl/>
        </w:rPr>
        <w:t xml:space="preserve"> </w:t>
      </w:r>
      <w:r w:rsidRPr="00E303AD">
        <w:rPr>
          <w:rFonts w:ascii="David" w:eastAsia="Calibri" w:hAnsi="David" w:hint="cs"/>
          <w:rtl/>
        </w:rPr>
        <w:t>לחוליית</w:t>
      </w:r>
      <w:r w:rsidRPr="00E303AD">
        <w:rPr>
          <w:rFonts w:eastAsia="Calibri"/>
          <w:rtl/>
        </w:rPr>
        <w:t xml:space="preserve"> סחר</w:t>
      </w:r>
      <w:r w:rsidRPr="00E303AD">
        <w:rPr>
          <w:rFonts w:ascii="David" w:eastAsia="Calibri" w:hAnsi="David" w:hint="cs"/>
          <w:rtl/>
        </w:rPr>
        <w:t xml:space="preserve"> בבני אדם לשם הערכת</w:t>
      </w:r>
      <w:r w:rsidRPr="00E303AD">
        <w:rPr>
          <w:rFonts w:eastAsia="Calibri"/>
          <w:rtl/>
        </w:rPr>
        <w:t xml:space="preserve"> </w:t>
      </w:r>
      <w:r w:rsidRPr="00E303AD">
        <w:rPr>
          <w:rFonts w:ascii="David" w:eastAsia="Calibri" w:hAnsi="David" w:hint="cs"/>
          <w:rtl/>
        </w:rPr>
        <w:t>המאוימות</w:t>
      </w:r>
      <w:r w:rsidRPr="00E303AD">
        <w:rPr>
          <w:rFonts w:eastAsia="Calibri"/>
          <w:rtl/>
        </w:rPr>
        <w:t xml:space="preserve"> </w:t>
      </w:r>
      <w:r w:rsidRPr="00E303AD">
        <w:rPr>
          <w:rFonts w:ascii="David" w:eastAsia="Calibri" w:hAnsi="David" w:hint="cs"/>
          <w:rtl/>
        </w:rPr>
        <w:t>והמסוכנות</w:t>
      </w:r>
      <w:r w:rsidRPr="00E303AD">
        <w:rPr>
          <w:rFonts w:eastAsia="Calibri"/>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בתשובת משרד המשפטים נמסר כי מדובר</w:t>
      </w:r>
      <w:r w:rsidRPr="00E303AD">
        <w:rPr>
          <w:rFonts w:eastAsia="Calibri"/>
          <w:rtl/>
        </w:rPr>
        <w:t xml:space="preserve"> </w:t>
      </w:r>
      <w:r w:rsidRPr="00E303AD">
        <w:rPr>
          <w:rFonts w:eastAsia="Calibri" w:hint="cs"/>
          <w:rtl/>
        </w:rPr>
        <w:t>ב</w:t>
      </w:r>
      <w:r w:rsidRPr="00E303AD">
        <w:rPr>
          <w:rFonts w:eastAsia="Calibri"/>
          <w:rtl/>
        </w:rPr>
        <w:t>משימה המוטלת על משטרת ישראל</w:t>
      </w:r>
      <w:r w:rsidRPr="00E303AD">
        <w:rPr>
          <w:rFonts w:eastAsia="Calibri" w:hint="cs"/>
          <w:rtl/>
        </w:rPr>
        <w:t>,</w:t>
      </w:r>
      <w:r w:rsidRPr="00E303AD">
        <w:rPr>
          <w:rFonts w:eastAsia="Calibri"/>
          <w:rtl/>
        </w:rPr>
        <w:t xml:space="preserve"> </w:t>
      </w:r>
      <w:r w:rsidRPr="00E303AD">
        <w:rPr>
          <w:rFonts w:eastAsia="Calibri" w:hint="cs"/>
          <w:rtl/>
        </w:rPr>
        <w:t>ה</w:t>
      </w:r>
      <w:r w:rsidRPr="00E303AD">
        <w:rPr>
          <w:rFonts w:eastAsia="Calibri"/>
          <w:rtl/>
        </w:rPr>
        <w:t>פועלת לקדמה בתיאום עם יחידת התיאום ומשרד הרווחה בתוך תקופת ת</w:t>
      </w:r>
      <w:r w:rsidRPr="00E303AD">
        <w:rPr>
          <w:rFonts w:eastAsia="Calibri" w:hint="cs"/>
          <w:rtl/>
        </w:rPr>
        <w:t>ו</w:t>
      </w:r>
      <w:r w:rsidRPr="00E303AD">
        <w:rPr>
          <w:rFonts w:eastAsia="Calibri"/>
          <w:rtl/>
        </w:rPr>
        <w:t>כנית</w:t>
      </w:r>
      <w:r w:rsidRPr="00E303AD">
        <w:rPr>
          <w:rFonts w:eastAsia="Calibri" w:hint="cs"/>
          <w:rtl/>
        </w:rPr>
        <w:t xml:space="preserve"> החומש.</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בתשובת משרד הרווחה צוין כי הוא</w:t>
      </w:r>
      <w:r w:rsidRPr="00E303AD">
        <w:rPr>
          <w:rFonts w:eastAsia="Calibri"/>
          <w:rtl/>
        </w:rPr>
        <w:t xml:space="preserve"> השלים </w:t>
      </w:r>
      <w:r w:rsidRPr="00E303AD">
        <w:rPr>
          <w:rFonts w:eastAsia="Calibri" w:hint="cs"/>
          <w:rtl/>
        </w:rPr>
        <w:t xml:space="preserve">את </w:t>
      </w:r>
      <w:r w:rsidRPr="00E303AD">
        <w:rPr>
          <w:rFonts w:eastAsia="Calibri"/>
          <w:rtl/>
        </w:rPr>
        <w:t>כתיבת</w:t>
      </w:r>
      <w:r w:rsidRPr="00E303AD">
        <w:rPr>
          <w:rFonts w:eastAsia="Calibri" w:hint="cs"/>
          <w:rtl/>
        </w:rPr>
        <w:t>ו של</w:t>
      </w:r>
      <w:r w:rsidRPr="00E303AD">
        <w:rPr>
          <w:rFonts w:eastAsia="Calibri"/>
          <w:rtl/>
        </w:rPr>
        <w:t xml:space="preserve"> נוהל "חזרה בטוחה" פנימי, המסדיר את</w:t>
      </w:r>
      <w:r w:rsidRPr="00E303AD">
        <w:rPr>
          <w:rFonts w:eastAsia="Calibri" w:hint="cs"/>
          <w:rtl/>
        </w:rPr>
        <w:t xml:space="preserve"> </w:t>
      </w:r>
      <w:r w:rsidRPr="00E303AD">
        <w:rPr>
          <w:rFonts w:eastAsia="Calibri"/>
          <w:rtl/>
        </w:rPr>
        <w:t>הפעולות הנדרשות לצורך הבטחת קבלת כלל המידע הנדרש ויצירת קשר עם גורמים רלוונטיים</w:t>
      </w:r>
      <w:r w:rsidRPr="00E303AD">
        <w:rPr>
          <w:rFonts w:eastAsia="Calibri" w:hint="cs"/>
          <w:rtl/>
        </w:rPr>
        <w:t xml:space="preserve"> </w:t>
      </w:r>
      <w:r w:rsidRPr="00E303AD">
        <w:rPr>
          <w:rFonts w:eastAsia="Calibri"/>
          <w:rtl/>
        </w:rPr>
        <w:t>להבטחת הגעת ק</w:t>
      </w:r>
      <w:r w:rsidRPr="00E303AD">
        <w:rPr>
          <w:rFonts w:eastAsia="Calibri" w:hint="cs"/>
          <w:rtl/>
        </w:rPr>
        <w:t>ו</w:t>
      </w:r>
      <w:r w:rsidRPr="00E303AD">
        <w:rPr>
          <w:rFonts w:eastAsia="Calibri"/>
          <w:rtl/>
        </w:rPr>
        <w:t xml:space="preserve">רבן הסחר בבטחה למדינת מוצאו או למדינה שלישית </w:t>
      </w:r>
      <w:r w:rsidRPr="00E303AD">
        <w:rPr>
          <w:rFonts w:eastAsia="Calibri" w:hint="cs"/>
          <w:rtl/>
        </w:rPr>
        <w:t>ש</w:t>
      </w:r>
      <w:r w:rsidRPr="00E303AD">
        <w:rPr>
          <w:rFonts w:eastAsia="Calibri"/>
          <w:rtl/>
        </w:rPr>
        <w:t xml:space="preserve">אליה </w:t>
      </w:r>
      <w:r w:rsidRPr="00E303AD">
        <w:rPr>
          <w:rFonts w:eastAsia="Calibri" w:hint="cs"/>
          <w:rtl/>
        </w:rPr>
        <w:t xml:space="preserve">הוא </w:t>
      </w:r>
      <w:r w:rsidRPr="00E303AD">
        <w:rPr>
          <w:rFonts w:eastAsia="Calibri"/>
          <w:rtl/>
        </w:rPr>
        <w:t>עתיד לצאת.</w:t>
      </w:r>
      <w:r w:rsidRPr="00E303AD">
        <w:rPr>
          <w:rFonts w:eastAsia="Calibri" w:hint="cs"/>
          <w:rtl/>
        </w:rPr>
        <w:t xml:space="preserve"> </w:t>
      </w:r>
      <w:r w:rsidRPr="00E303AD">
        <w:rPr>
          <w:rFonts w:eastAsia="Calibri"/>
          <w:rtl/>
        </w:rPr>
        <w:t>הנוהל</w:t>
      </w:r>
      <w:r w:rsidRPr="00E303AD">
        <w:rPr>
          <w:rFonts w:eastAsia="Calibri" w:hint="cs"/>
          <w:rtl/>
        </w:rPr>
        <w:t xml:space="preserve"> </w:t>
      </w:r>
      <w:r w:rsidRPr="00E303AD">
        <w:rPr>
          <w:rFonts w:eastAsia="Calibri"/>
          <w:rtl/>
        </w:rPr>
        <w:t xml:space="preserve">נכתב בשיתוף </w:t>
      </w:r>
      <w:r w:rsidRPr="00E303AD">
        <w:rPr>
          <w:rFonts w:eastAsia="Calibri" w:hint="cs"/>
          <w:rtl/>
        </w:rPr>
        <w:t>ה</w:t>
      </w:r>
      <w:r w:rsidRPr="00E303AD">
        <w:rPr>
          <w:rFonts w:eastAsia="Calibri"/>
          <w:rtl/>
        </w:rPr>
        <w:t>משטר</w:t>
      </w:r>
      <w:r w:rsidRPr="00E303AD">
        <w:rPr>
          <w:rFonts w:eastAsia="Calibri" w:hint="cs"/>
          <w:rtl/>
        </w:rPr>
        <w:t>ה</w:t>
      </w:r>
      <w:r w:rsidRPr="00E303AD">
        <w:rPr>
          <w:rFonts w:eastAsia="Calibri"/>
          <w:rtl/>
        </w:rPr>
        <w:t xml:space="preserve"> והמתאמת. כתיבת נוהל רוחבי המתכלל את משימות</w:t>
      </w:r>
      <w:r w:rsidRPr="00E303AD">
        <w:rPr>
          <w:rFonts w:eastAsia="Calibri" w:hint="cs"/>
          <w:rtl/>
        </w:rPr>
        <w:t xml:space="preserve"> ה</w:t>
      </w:r>
      <w:r w:rsidRPr="00E303AD">
        <w:rPr>
          <w:rFonts w:eastAsia="Calibri"/>
          <w:rtl/>
        </w:rPr>
        <w:t>משטר</w:t>
      </w:r>
      <w:r w:rsidRPr="00E303AD">
        <w:rPr>
          <w:rFonts w:eastAsia="Calibri" w:hint="cs"/>
          <w:rtl/>
        </w:rPr>
        <w:t>ה</w:t>
      </w:r>
      <w:r w:rsidRPr="00E303AD">
        <w:rPr>
          <w:rFonts w:eastAsia="Calibri"/>
          <w:rtl/>
        </w:rPr>
        <w:t xml:space="preserve"> להבטחת מעבר בטוח של ק</w:t>
      </w:r>
      <w:r w:rsidRPr="00E303AD">
        <w:rPr>
          <w:rFonts w:eastAsia="Calibri" w:hint="cs"/>
          <w:rtl/>
        </w:rPr>
        <w:t>ו</w:t>
      </w:r>
      <w:r w:rsidRPr="00E303AD">
        <w:rPr>
          <w:rFonts w:eastAsia="Calibri"/>
          <w:rtl/>
        </w:rPr>
        <w:t>רבנות סחר למדינת המוצא או מדינה שלישית</w:t>
      </w:r>
      <w:r w:rsidRPr="00E303AD">
        <w:rPr>
          <w:rFonts w:eastAsia="Calibri" w:hint="cs"/>
          <w:rtl/>
        </w:rPr>
        <w:t xml:space="preserve"> מצוי</w:t>
      </w:r>
      <w:r w:rsidRPr="00E303AD">
        <w:rPr>
          <w:rFonts w:eastAsia="Calibri"/>
          <w:rtl/>
        </w:rPr>
        <w:t xml:space="preserve"> באחריות</w:t>
      </w:r>
      <w:r w:rsidRPr="00E303AD">
        <w:rPr>
          <w:rFonts w:eastAsia="Calibri" w:hint="cs"/>
          <w:rtl/>
        </w:rPr>
        <w:t xml:space="preserve"> </w:t>
      </w:r>
      <w:r w:rsidRPr="00E303AD">
        <w:rPr>
          <w:rFonts w:eastAsia="Calibri"/>
          <w:rtl/>
        </w:rPr>
        <w:t>המתאמת.</w:t>
      </w:r>
    </w:p>
    <w:bookmarkEnd w:id="194"/>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b/>
          <w:bCs/>
          <w:rtl/>
        </w:rPr>
        <w:t xml:space="preserve">על המשטרה בשיתוף עם יחידת התיאום </w:t>
      </w:r>
      <w:r w:rsidRPr="00E303AD">
        <w:rPr>
          <w:rFonts w:eastAsia="Calibri"/>
          <w:b/>
          <w:bCs/>
          <w:rtl/>
        </w:rPr>
        <w:t xml:space="preserve">הממשלתית למאבק בסחר בבני אדם במשרד המשפטים </w:t>
      </w:r>
      <w:r w:rsidRPr="00E303AD">
        <w:rPr>
          <w:rFonts w:eastAsia="Calibri" w:hint="cs"/>
          <w:b/>
          <w:bCs/>
          <w:rtl/>
        </w:rPr>
        <w:t>ומשרד הרווחה להשלים עד לסוף 2026 את גיבוש הנוהל הרוחבי להערכת דרגת האיום והמסוכנות הנשקפים לקורבנות הסחר בבני אדם במדינות המוצא, כנדרש בהחלטת הממשלה 1862. מומלץ כי הנוהל יכלול מנגנונים ל</w:t>
      </w:r>
      <w:r w:rsidRPr="00E303AD">
        <w:rPr>
          <w:rFonts w:eastAsia="Calibri"/>
          <w:b/>
          <w:bCs/>
          <w:rtl/>
        </w:rPr>
        <w:t xml:space="preserve">איסוף </w:t>
      </w:r>
      <w:r w:rsidRPr="00E303AD">
        <w:rPr>
          <w:rFonts w:eastAsia="Calibri" w:hint="cs"/>
          <w:b/>
          <w:bCs/>
          <w:rtl/>
        </w:rPr>
        <w:t>ה</w:t>
      </w:r>
      <w:r w:rsidRPr="00E303AD">
        <w:rPr>
          <w:rFonts w:eastAsia="Calibri"/>
          <w:b/>
          <w:bCs/>
          <w:rtl/>
        </w:rPr>
        <w:t xml:space="preserve">מידע </w:t>
      </w:r>
      <w:r w:rsidRPr="00E303AD">
        <w:rPr>
          <w:rFonts w:eastAsia="Calibri" w:hint="cs"/>
          <w:b/>
          <w:bCs/>
          <w:rtl/>
        </w:rPr>
        <w:t>ה</w:t>
      </w:r>
      <w:r w:rsidRPr="00E303AD">
        <w:rPr>
          <w:rFonts w:eastAsia="Calibri"/>
          <w:b/>
          <w:bCs/>
          <w:rtl/>
        </w:rPr>
        <w:t xml:space="preserve">רלוונטי ממקורות </w:t>
      </w:r>
      <w:r w:rsidRPr="00E303AD">
        <w:rPr>
          <w:rFonts w:eastAsia="Calibri" w:hint="cs"/>
          <w:b/>
          <w:bCs/>
          <w:rtl/>
        </w:rPr>
        <w:t xml:space="preserve">משטרתיים </w:t>
      </w:r>
      <w:r w:rsidRPr="00E303AD">
        <w:rPr>
          <w:rFonts w:eastAsia="Calibri"/>
          <w:b/>
          <w:bCs/>
          <w:rtl/>
        </w:rPr>
        <w:t>ובי</w:t>
      </w:r>
      <w:r w:rsidRPr="00E303AD">
        <w:rPr>
          <w:rFonts w:eastAsia="Calibri" w:hint="eastAsia"/>
          <w:b/>
          <w:bCs/>
          <w:rtl/>
        </w:rPr>
        <w:t>ן</w:t>
      </w:r>
      <w:r w:rsidRPr="00E303AD">
        <w:rPr>
          <w:rFonts w:eastAsia="Calibri"/>
          <w:b/>
          <w:bCs/>
          <w:rtl/>
        </w:rPr>
        <w:t xml:space="preserve">-לאומיים, </w:t>
      </w:r>
      <w:r w:rsidRPr="00E303AD">
        <w:rPr>
          <w:rFonts w:eastAsia="Calibri" w:hint="cs"/>
          <w:b/>
          <w:bCs/>
          <w:rtl/>
        </w:rPr>
        <w:t>ל</w:t>
      </w:r>
      <w:r w:rsidRPr="00E303AD">
        <w:rPr>
          <w:rFonts w:eastAsia="Calibri"/>
          <w:b/>
          <w:bCs/>
          <w:rtl/>
        </w:rPr>
        <w:t xml:space="preserve">בחינת נסיבותיו האישיות של </w:t>
      </w:r>
      <w:r w:rsidRPr="00E303AD">
        <w:rPr>
          <w:rFonts w:eastAsia="Calibri" w:hint="cs"/>
          <w:b/>
          <w:bCs/>
          <w:rtl/>
        </w:rPr>
        <w:t>קורבן הסחר</w:t>
      </w:r>
      <w:r w:rsidRPr="00E303AD">
        <w:rPr>
          <w:rFonts w:eastAsia="Calibri"/>
          <w:b/>
          <w:bCs/>
          <w:rtl/>
        </w:rPr>
        <w:t xml:space="preserve"> </w:t>
      </w:r>
      <w:r w:rsidRPr="00E303AD">
        <w:rPr>
          <w:rFonts w:eastAsia="Calibri" w:hint="cs"/>
          <w:b/>
          <w:bCs/>
          <w:rtl/>
        </w:rPr>
        <w:t xml:space="preserve">בבני אדם </w:t>
      </w:r>
      <w:r w:rsidRPr="00E303AD">
        <w:rPr>
          <w:rFonts w:eastAsia="Calibri"/>
          <w:b/>
          <w:bCs/>
          <w:rtl/>
        </w:rPr>
        <w:t>ו</w:t>
      </w:r>
      <w:r w:rsidRPr="00E303AD">
        <w:rPr>
          <w:rFonts w:eastAsia="Calibri" w:hint="cs"/>
          <w:b/>
          <w:bCs/>
          <w:rtl/>
        </w:rPr>
        <w:t>ל</w:t>
      </w:r>
      <w:r w:rsidRPr="00E303AD">
        <w:rPr>
          <w:rFonts w:eastAsia="Calibri"/>
          <w:b/>
          <w:bCs/>
          <w:rtl/>
        </w:rPr>
        <w:t xml:space="preserve">הצלבת נתונים עם גורמי </w:t>
      </w:r>
      <w:r w:rsidRPr="00E303AD">
        <w:rPr>
          <w:rFonts w:eastAsia="Calibri" w:hint="cs"/>
          <w:b/>
          <w:bCs/>
          <w:rtl/>
        </w:rPr>
        <w:t>ה</w:t>
      </w:r>
      <w:r w:rsidRPr="00E303AD">
        <w:rPr>
          <w:rFonts w:eastAsia="Calibri"/>
          <w:b/>
          <w:bCs/>
          <w:rtl/>
        </w:rPr>
        <w:t>רווחה, רשות האוכלוסין ומשרד החוץ</w:t>
      </w:r>
      <w:r w:rsidRPr="00E303AD">
        <w:rPr>
          <w:rFonts w:eastAsia="Calibri" w:hint="cs"/>
          <w:b/>
          <w:bCs/>
          <w:rtl/>
        </w:rPr>
        <w:t xml:space="preserve"> בארץ ובחו"ל</w:t>
      </w:r>
      <w:r w:rsidRPr="00E303AD">
        <w:rPr>
          <w:rFonts w:eastAsia="Calibri"/>
          <w:b/>
          <w:bCs/>
          <w:rtl/>
        </w:rPr>
        <w:t xml:space="preserve">. </w:t>
      </w:r>
      <w:r w:rsidRPr="00E303AD">
        <w:rPr>
          <w:rFonts w:eastAsia="Calibri" w:hint="cs"/>
          <w:b/>
          <w:bCs/>
          <w:rtl/>
        </w:rPr>
        <w:t>הדבר נועד להבטיח</w:t>
      </w:r>
      <w:r w:rsidRPr="00E303AD">
        <w:rPr>
          <w:rFonts w:eastAsia="Calibri"/>
          <w:b/>
          <w:bCs/>
          <w:rtl/>
        </w:rPr>
        <w:t xml:space="preserve"> כי </w:t>
      </w:r>
      <w:r w:rsidRPr="00E303AD">
        <w:rPr>
          <w:rFonts w:eastAsia="Calibri" w:hint="cs"/>
          <w:b/>
          <w:bCs/>
          <w:rtl/>
        </w:rPr>
        <w:t>קורבן הסחר בבני אדם</w:t>
      </w:r>
      <w:r w:rsidRPr="00E303AD">
        <w:rPr>
          <w:rFonts w:eastAsia="Calibri"/>
          <w:b/>
          <w:bCs/>
          <w:rtl/>
        </w:rPr>
        <w:t xml:space="preserve"> לא יחז</w:t>
      </w:r>
      <w:r w:rsidRPr="00E303AD">
        <w:rPr>
          <w:rFonts w:eastAsia="Calibri" w:hint="cs"/>
          <w:b/>
          <w:bCs/>
          <w:rtl/>
        </w:rPr>
        <w:t>ו</w:t>
      </w:r>
      <w:r w:rsidRPr="00E303AD">
        <w:rPr>
          <w:rFonts w:eastAsia="Calibri"/>
          <w:b/>
          <w:bCs/>
          <w:rtl/>
        </w:rPr>
        <w:t xml:space="preserve">ר לסביבה שבה נשקפת סכנה ממשית לחייו או לחירותו, </w:t>
      </w:r>
      <w:r w:rsidRPr="00E303AD">
        <w:rPr>
          <w:rFonts w:eastAsia="Calibri" w:hint="cs"/>
          <w:b/>
          <w:bCs/>
          <w:rtl/>
        </w:rPr>
        <w:t>וכי חזרתו למדינת המוצא תתבצע</w:t>
      </w:r>
      <w:r w:rsidRPr="00E303AD">
        <w:rPr>
          <w:rFonts w:eastAsia="Calibri"/>
          <w:b/>
          <w:bCs/>
          <w:rtl/>
        </w:rPr>
        <w:t xml:space="preserve"> באופן בטוח</w:t>
      </w:r>
      <w:r w:rsidRPr="00E303AD">
        <w:rPr>
          <w:rFonts w:eastAsia="Calibri" w:hint="cs"/>
          <w:b/>
          <w:bCs/>
          <w:rtl/>
        </w:rPr>
        <w:t xml:space="preserve"> ותוך תיאום בין הגורמים הרלוונטיים</w:t>
      </w:r>
      <w:r>
        <w:rPr>
          <w:rFonts w:eastAsia="Calibri"/>
          <w:b/>
          <w:bCs/>
          <w:vertAlign w:val="superscript"/>
          <w:rtl/>
        </w:rPr>
        <w:footnoteReference w:id="168"/>
      </w:r>
      <w:r w:rsidRPr="00E303AD">
        <w:rPr>
          <w:rFonts w:eastAsia="Calibri" w:hint="cs"/>
          <w:b/>
          <w:bCs/>
          <w:rtl/>
        </w:rPr>
        <w:t>.</w:t>
      </w:r>
    </w:p>
    <w:p w:rsidR="00E303AD" w:rsidRPr="00E303AD" w:rsidP="00E303AD">
      <w:pPr>
        <w:spacing w:line="269" w:lineRule="auto"/>
        <w:ind w:left="-567"/>
        <w:rPr>
          <w:rFonts w:eastAsia="Calibri"/>
          <w:szCs w:val="20"/>
          <w:rtl/>
        </w:rPr>
      </w:pPr>
      <w:bookmarkStart w:id="195" w:name="_Hlk224821818"/>
      <w:r w:rsidRPr="00E303AD">
        <w:rPr>
          <w:rFonts w:eastAsia="Calibri" w:hint="cs"/>
          <w:szCs w:val="20"/>
          <w:rtl/>
        </w:rPr>
        <w:t xml:space="preserve"> </w:t>
      </w:r>
    </w:p>
    <w:p w:rsidR="00E303AD" w:rsidRPr="00E303AD" w:rsidP="00E303AD">
      <w:pPr>
        <w:spacing w:line="269" w:lineRule="auto"/>
        <w:rPr>
          <w:rFonts w:eastAsia="Calibri"/>
          <w:rtl/>
        </w:rPr>
      </w:pPr>
      <w:bookmarkStart w:id="196" w:name="_Toc221475001"/>
      <w:bookmarkStart w:id="197" w:name="_Toc221475140"/>
      <w:r w:rsidRPr="00E303AD">
        <w:rPr>
          <w:rFonts w:eastAsia="Times New Roman" w:hint="eastAsia"/>
          <w:bCs/>
          <w:spacing w:val="40"/>
          <w:rtl/>
        </w:rPr>
        <w:t>פיתוח</w:t>
      </w:r>
      <w:r w:rsidRPr="00E303AD">
        <w:rPr>
          <w:rFonts w:eastAsia="Times New Roman"/>
          <w:bCs/>
          <w:spacing w:val="40"/>
          <w:rtl/>
        </w:rPr>
        <w:t xml:space="preserve"> </w:t>
      </w:r>
      <w:r w:rsidRPr="00E303AD">
        <w:rPr>
          <w:rFonts w:eastAsia="Times New Roman" w:hint="eastAsia"/>
          <w:bCs/>
          <w:spacing w:val="40"/>
          <w:rtl/>
        </w:rPr>
        <w:t>תוכנית</w:t>
      </w:r>
      <w:r w:rsidRPr="00E303AD">
        <w:rPr>
          <w:rFonts w:eastAsia="Times New Roman"/>
          <w:bCs/>
          <w:spacing w:val="40"/>
          <w:rtl/>
        </w:rPr>
        <w:t xml:space="preserve"> הכשרה בין-משרדית שנתית:</w:t>
      </w:r>
      <w:bookmarkEnd w:id="195"/>
      <w:bookmarkEnd w:id="196"/>
      <w:bookmarkEnd w:id="197"/>
      <w:r w:rsidRPr="00E303AD">
        <w:rPr>
          <w:rFonts w:eastAsia="Calibri" w:hint="cs"/>
          <w:rtl/>
        </w:rPr>
        <w:t xml:space="preserve"> </w:t>
      </w:r>
      <w:r w:rsidRPr="00E303AD">
        <w:rPr>
          <w:rFonts w:eastAsia="Calibri"/>
          <w:rtl/>
        </w:rPr>
        <w:t xml:space="preserve">יחידת התיאום מופקדת </w:t>
      </w:r>
      <w:r w:rsidRPr="00E303AD">
        <w:rPr>
          <w:rFonts w:eastAsia="Calibri" w:hint="cs"/>
          <w:rtl/>
        </w:rPr>
        <w:t xml:space="preserve">גם </w:t>
      </w:r>
      <w:r w:rsidRPr="00E303AD">
        <w:rPr>
          <w:rFonts w:eastAsia="Calibri"/>
          <w:rtl/>
        </w:rPr>
        <w:t xml:space="preserve">על פיתוח ויישום </w:t>
      </w:r>
      <w:r w:rsidRPr="00E303AD">
        <w:rPr>
          <w:rFonts w:eastAsia="Calibri" w:hint="cs"/>
          <w:rtl/>
        </w:rPr>
        <w:t xml:space="preserve">של </w:t>
      </w:r>
      <w:r w:rsidRPr="00E303AD">
        <w:rPr>
          <w:rFonts w:eastAsia="Calibri"/>
          <w:rtl/>
        </w:rPr>
        <w:t>ת</w:t>
      </w:r>
      <w:r w:rsidRPr="00E303AD">
        <w:rPr>
          <w:rFonts w:eastAsia="Calibri" w:hint="cs"/>
          <w:rtl/>
        </w:rPr>
        <w:t>ו</w:t>
      </w:r>
      <w:r w:rsidRPr="00E303AD">
        <w:rPr>
          <w:rFonts w:eastAsia="Calibri"/>
          <w:rtl/>
        </w:rPr>
        <w:t>כנית הכשרה שנתית רחבת</w:t>
      </w:r>
      <w:r w:rsidRPr="00E303AD">
        <w:rPr>
          <w:rFonts w:eastAsia="Calibri" w:hint="cs"/>
          <w:rtl/>
        </w:rPr>
        <w:t xml:space="preserve"> </w:t>
      </w:r>
      <w:r w:rsidRPr="00E303AD">
        <w:rPr>
          <w:rFonts w:eastAsia="Calibri"/>
          <w:rtl/>
        </w:rPr>
        <w:t>היקף המיועדת לכלל משרדי הממשלה והגופים השותפים במאבק בסחר בבני אדם ובזנות</w:t>
      </w:r>
      <w:r>
        <w:rPr>
          <w:rFonts w:eastAsia="Calibri"/>
          <w:vertAlign w:val="superscript"/>
          <w:rtl/>
        </w:rPr>
        <w:footnoteReference w:id="169"/>
      </w:r>
      <w:r w:rsidRPr="00E303AD">
        <w:rPr>
          <w:rFonts w:eastAsia="Calibri" w:hint="cs"/>
          <w:rtl/>
        </w:rPr>
        <w:t>. תוכנית</w:t>
      </w:r>
      <w:r w:rsidRPr="00E303AD">
        <w:rPr>
          <w:rFonts w:eastAsia="Calibri"/>
          <w:rtl/>
        </w:rPr>
        <w:t xml:space="preserve"> זו </w:t>
      </w:r>
      <w:r w:rsidRPr="00E303AD">
        <w:rPr>
          <w:rFonts w:eastAsia="Calibri" w:hint="cs"/>
          <w:rtl/>
        </w:rPr>
        <w:t xml:space="preserve">אמורה להיות </w:t>
      </w:r>
      <w:r w:rsidRPr="00E303AD">
        <w:rPr>
          <w:rFonts w:eastAsia="Calibri"/>
          <w:rtl/>
        </w:rPr>
        <w:t xml:space="preserve">מגובשת תוך בחינה של המאפיינים המשתנים של תופעות הסחר </w:t>
      </w:r>
      <w:r w:rsidRPr="00E303AD">
        <w:rPr>
          <w:rFonts w:eastAsia="Calibri" w:hint="cs"/>
          <w:rtl/>
        </w:rPr>
        <w:t xml:space="preserve">בבני אדם </w:t>
      </w:r>
      <w:r w:rsidRPr="00E303AD">
        <w:rPr>
          <w:rFonts w:eastAsia="Calibri"/>
          <w:rtl/>
        </w:rPr>
        <w:t>והזנות בישראל ובעולם, ו</w:t>
      </w:r>
      <w:r w:rsidRPr="00E303AD">
        <w:rPr>
          <w:rFonts w:eastAsia="Calibri" w:hint="cs"/>
          <w:rtl/>
        </w:rPr>
        <w:t xml:space="preserve">כמו כן היא אמורה להיות </w:t>
      </w:r>
      <w:r w:rsidRPr="00E303AD">
        <w:rPr>
          <w:rFonts w:eastAsia="Calibri"/>
          <w:rtl/>
        </w:rPr>
        <w:t xml:space="preserve">מותאמת לאתגרים ולמגמות העדכניות ביותר. במהלכה מושם דגש על רכישת ידע עדכני, פיתוח כלים פרקטיים לזיהוי </w:t>
      </w:r>
      <w:r w:rsidRPr="00E303AD">
        <w:rPr>
          <w:rFonts w:eastAsia="Calibri" w:hint="cs"/>
          <w:rtl/>
        </w:rPr>
        <w:t>ול</w:t>
      </w:r>
      <w:r w:rsidRPr="00E303AD">
        <w:rPr>
          <w:rFonts w:eastAsia="Calibri"/>
          <w:rtl/>
        </w:rPr>
        <w:t>איתור</w:t>
      </w:r>
      <w:r w:rsidRPr="00E303AD">
        <w:rPr>
          <w:rFonts w:eastAsia="Calibri" w:hint="cs"/>
          <w:rtl/>
        </w:rPr>
        <w:t xml:space="preserve"> של</w:t>
      </w:r>
      <w:r w:rsidRPr="00E303AD">
        <w:rPr>
          <w:rFonts w:eastAsia="Calibri"/>
          <w:rtl/>
        </w:rPr>
        <w:t xml:space="preserve"> קורבנות,</w:t>
      </w:r>
      <w:r w:rsidRPr="00E303AD">
        <w:rPr>
          <w:rFonts w:eastAsia="Calibri" w:hint="cs"/>
          <w:rtl/>
        </w:rPr>
        <w:t xml:space="preserve"> לטיפול המיטבי בהם</w:t>
      </w:r>
      <w:r w:rsidRPr="00E303AD">
        <w:rPr>
          <w:rFonts w:eastAsia="Calibri"/>
          <w:rtl/>
        </w:rPr>
        <w:t xml:space="preserve"> </w:t>
      </w:r>
      <w:r w:rsidRPr="00E303AD">
        <w:rPr>
          <w:rFonts w:eastAsia="Calibri" w:hint="cs"/>
          <w:rtl/>
        </w:rPr>
        <w:t>ולהגברת</w:t>
      </w:r>
      <w:r w:rsidRPr="00E303AD">
        <w:rPr>
          <w:rFonts w:eastAsia="Calibri"/>
          <w:rtl/>
        </w:rPr>
        <w:t xml:space="preserve"> שיתופי הפעולה הבין-מערכתיים בין </w:t>
      </w:r>
      <w:r w:rsidRPr="00E303AD">
        <w:rPr>
          <w:rFonts w:eastAsia="Calibri" w:hint="cs"/>
          <w:rtl/>
        </w:rPr>
        <w:t>גורמי</w:t>
      </w:r>
      <w:r w:rsidRPr="00E303AD">
        <w:rPr>
          <w:rFonts w:eastAsia="Calibri"/>
          <w:rtl/>
        </w:rPr>
        <w:t xml:space="preserve"> האכיפה, הבריאות, הרווחה והמשפט.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התוכנית נועדה לשפר את הכישורים המקצועיים של כלל </w:t>
      </w:r>
      <w:r w:rsidRPr="00E303AD">
        <w:rPr>
          <w:rFonts w:eastAsia="Calibri"/>
          <w:rtl/>
        </w:rPr>
        <w:t xml:space="preserve">הגורמים הפועלים בתחום </w:t>
      </w:r>
      <w:r w:rsidRPr="00E303AD">
        <w:rPr>
          <w:rFonts w:eastAsia="Calibri" w:hint="cs"/>
          <w:rtl/>
        </w:rPr>
        <w:t>ולגבש</w:t>
      </w:r>
      <w:r w:rsidRPr="00E303AD">
        <w:rPr>
          <w:rFonts w:eastAsia="Calibri"/>
          <w:rtl/>
        </w:rPr>
        <w:t xml:space="preserve"> מענה אחיד </w:t>
      </w:r>
      <w:r w:rsidRPr="00E303AD">
        <w:rPr>
          <w:rFonts w:eastAsia="Calibri" w:hint="cs"/>
          <w:rtl/>
        </w:rPr>
        <w:t>ה</w:t>
      </w:r>
      <w:r w:rsidRPr="00E303AD">
        <w:rPr>
          <w:rFonts w:eastAsia="Calibri"/>
          <w:rtl/>
        </w:rPr>
        <w:t xml:space="preserve">מותאם </w:t>
      </w:r>
      <w:r w:rsidRPr="00E303AD">
        <w:rPr>
          <w:rFonts w:eastAsia="Calibri" w:hint="cs"/>
          <w:rtl/>
        </w:rPr>
        <w:t>להם</w:t>
      </w:r>
      <w:r w:rsidRPr="00E303AD">
        <w:rPr>
          <w:rFonts w:eastAsia="Calibri"/>
          <w:rtl/>
        </w:rPr>
        <w:t xml:space="preserve">, תוך שיפור מתמיד של היכולת המערכתית להתמודד עם </w:t>
      </w:r>
      <w:r w:rsidRPr="00E303AD">
        <w:rPr>
          <w:rFonts w:eastAsia="Calibri" w:hint="cs"/>
          <w:rtl/>
        </w:rPr>
        <w:t>אתגרים</w:t>
      </w:r>
      <w:r w:rsidRPr="00E303AD">
        <w:rPr>
          <w:rFonts w:eastAsia="Calibri"/>
          <w:rtl/>
        </w:rPr>
        <w:t xml:space="preserve"> </w:t>
      </w:r>
      <w:r w:rsidRPr="00E303AD">
        <w:rPr>
          <w:rFonts w:eastAsia="Calibri" w:hint="cs"/>
          <w:rtl/>
        </w:rPr>
        <w:t xml:space="preserve">בנושא </w:t>
      </w:r>
      <w:r w:rsidRPr="00E303AD">
        <w:rPr>
          <w:rFonts w:eastAsia="Calibri"/>
          <w:rtl/>
        </w:rPr>
        <w:t>הסחר</w:t>
      </w:r>
      <w:r w:rsidRPr="00E303AD">
        <w:rPr>
          <w:rFonts w:eastAsia="Calibri" w:hint="cs"/>
          <w:rtl/>
        </w:rPr>
        <w:t xml:space="preserve"> בבני אדם</w:t>
      </w:r>
      <w:r w:rsidRPr="00E303AD">
        <w:rPr>
          <w:rFonts w:eastAsia="Calibri"/>
          <w:rtl/>
        </w:rPr>
        <w:t xml:space="preserve"> ו</w:t>
      </w:r>
      <w:r w:rsidRPr="00E303AD">
        <w:rPr>
          <w:rFonts w:eastAsia="Calibri" w:hint="cs"/>
          <w:rtl/>
        </w:rPr>
        <w:t xml:space="preserve">תופעת </w:t>
      </w:r>
      <w:r w:rsidRPr="00E303AD">
        <w:rPr>
          <w:rFonts w:eastAsia="Calibri"/>
          <w:rtl/>
        </w:rPr>
        <w:t>הזנות</w:t>
      </w:r>
      <w:r w:rsidRPr="00E303AD">
        <w:rPr>
          <w:rFonts w:eastAsia="Calibri"/>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יצוין כי </w:t>
      </w:r>
      <w:r w:rsidRPr="00E303AD">
        <w:rPr>
          <w:rFonts w:eastAsia="Calibri"/>
          <w:rtl/>
        </w:rPr>
        <w:t>הכשרות מקצועיות לגורמי</w:t>
      </w:r>
      <w:r w:rsidRPr="00E303AD">
        <w:rPr>
          <w:rFonts w:eastAsia="Calibri" w:hint="cs"/>
          <w:rtl/>
        </w:rPr>
        <w:t xml:space="preserve"> מקצוע</w:t>
      </w:r>
      <w:r w:rsidRPr="00E303AD">
        <w:rPr>
          <w:rFonts w:eastAsia="Calibri"/>
          <w:rtl/>
        </w:rPr>
        <w:t xml:space="preserve"> כ</w:t>
      </w:r>
      <w:r w:rsidRPr="00E303AD">
        <w:rPr>
          <w:rFonts w:eastAsia="Calibri" w:hint="cs"/>
          <w:rtl/>
        </w:rPr>
        <w:t xml:space="preserve">דוגמת </w:t>
      </w:r>
      <w:r w:rsidRPr="00E303AD">
        <w:rPr>
          <w:rFonts w:eastAsia="Calibri"/>
          <w:rtl/>
        </w:rPr>
        <w:t xml:space="preserve">שוטרים, שופטים, </w:t>
      </w:r>
      <w:r w:rsidRPr="00E303AD">
        <w:rPr>
          <w:rFonts w:eastAsia="Calibri" w:hint="cs"/>
          <w:rtl/>
        </w:rPr>
        <w:t>גורמי</w:t>
      </w:r>
      <w:r w:rsidRPr="00E303AD">
        <w:rPr>
          <w:rFonts w:eastAsia="Calibri"/>
          <w:rtl/>
        </w:rPr>
        <w:t xml:space="preserve"> טיפול ורפואה, </w:t>
      </w:r>
      <w:r w:rsidRPr="00E303AD">
        <w:rPr>
          <w:rFonts w:eastAsia="Calibri" w:hint="cs"/>
          <w:rtl/>
        </w:rPr>
        <w:t>הן</w:t>
      </w:r>
      <w:r w:rsidRPr="00E303AD">
        <w:rPr>
          <w:rFonts w:eastAsia="Calibri"/>
          <w:rtl/>
        </w:rPr>
        <w:t xml:space="preserve"> כלי אפקטיבי ובעל פוטנציאל משמעותי לשינוי עמדות ותפיסות פטריארכליות כלפי </w:t>
      </w:r>
      <w:r w:rsidRPr="00E303AD">
        <w:rPr>
          <w:rFonts w:eastAsia="Calibri" w:hint="cs"/>
          <w:rtl/>
        </w:rPr>
        <w:t>אנשים</w:t>
      </w:r>
      <w:r w:rsidRPr="00E303AD">
        <w:rPr>
          <w:rFonts w:eastAsia="Calibri"/>
          <w:rtl/>
        </w:rPr>
        <w:t xml:space="preserve"> על רצף הזנות. מאחר </w:t>
      </w:r>
      <w:r w:rsidRPr="00E303AD">
        <w:rPr>
          <w:rFonts w:eastAsia="Calibri" w:hint="cs"/>
          <w:rtl/>
        </w:rPr>
        <w:t>ש</w:t>
      </w:r>
      <w:r w:rsidRPr="00E303AD">
        <w:rPr>
          <w:rFonts w:eastAsia="Calibri"/>
          <w:rtl/>
        </w:rPr>
        <w:t xml:space="preserve">הוכח שהכשרות מסוג זה </w:t>
      </w:r>
      <w:r w:rsidRPr="00E303AD">
        <w:rPr>
          <w:rFonts w:eastAsia="Calibri" w:hint="cs"/>
          <w:rtl/>
        </w:rPr>
        <w:t>הן כלי</w:t>
      </w:r>
      <w:r w:rsidRPr="00E303AD">
        <w:rPr>
          <w:rFonts w:eastAsia="Calibri"/>
          <w:rtl/>
        </w:rPr>
        <w:t xml:space="preserve"> ל</w:t>
      </w:r>
      <w:r w:rsidRPr="00E303AD">
        <w:rPr>
          <w:rFonts w:eastAsia="Calibri" w:hint="cs"/>
          <w:rtl/>
        </w:rPr>
        <w:t xml:space="preserve">קידום </w:t>
      </w:r>
      <w:r w:rsidRPr="00E303AD">
        <w:rPr>
          <w:rFonts w:eastAsia="Calibri"/>
          <w:rtl/>
        </w:rPr>
        <w:t>שינוי חיובי בתפיסות השוטרים</w:t>
      </w:r>
      <w:r w:rsidRPr="00E303AD">
        <w:rPr>
          <w:rFonts w:eastAsia="Calibri" w:hint="cs"/>
          <w:rtl/>
        </w:rPr>
        <w:t xml:space="preserve"> לגבי תופעת הזנות,</w:t>
      </w:r>
      <w:r w:rsidRPr="00E303AD">
        <w:rPr>
          <w:rFonts w:eastAsia="Calibri"/>
          <w:rtl/>
        </w:rPr>
        <w:t xml:space="preserve"> </w:t>
      </w:r>
      <w:r w:rsidRPr="00E303AD">
        <w:rPr>
          <w:rFonts w:eastAsia="Calibri" w:hint="cs"/>
          <w:rtl/>
        </w:rPr>
        <w:t xml:space="preserve">להעמקת </w:t>
      </w:r>
      <w:r w:rsidRPr="00E303AD">
        <w:rPr>
          <w:rFonts w:eastAsia="Calibri"/>
          <w:rtl/>
        </w:rPr>
        <w:t xml:space="preserve">הבנתם </w:t>
      </w:r>
      <w:r w:rsidRPr="00E303AD">
        <w:rPr>
          <w:rFonts w:eastAsia="Calibri" w:hint="cs"/>
          <w:rtl/>
        </w:rPr>
        <w:t>בנושא ולטיפוח היחס הרגיש הנדרש כלפי אנשים על רצף הזנות</w:t>
      </w:r>
      <w:r w:rsidRPr="00E303AD">
        <w:rPr>
          <w:rFonts w:eastAsia="Calibri"/>
          <w:rtl/>
        </w:rPr>
        <w:t xml:space="preserve">, ניתן לשער </w:t>
      </w:r>
      <w:r w:rsidRPr="00E303AD">
        <w:rPr>
          <w:rFonts w:eastAsia="Calibri" w:hint="cs"/>
          <w:rtl/>
        </w:rPr>
        <w:t>שתהיה להן השפעה ניכרת גם במסגרת ההתמודדות של השוטרים עם</w:t>
      </w:r>
      <w:r w:rsidRPr="00E303AD">
        <w:rPr>
          <w:rFonts w:eastAsia="Calibri"/>
          <w:rtl/>
        </w:rPr>
        <w:t xml:space="preserve"> עבירות</w:t>
      </w:r>
      <w:r w:rsidRPr="00E303AD">
        <w:rPr>
          <w:rFonts w:eastAsia="Calibri" w:hint="cs"/>
          <w:rtl/>
        </w:rPr>
        <w:t xml:space="preserve"> חמורות יותר שעניינן</w:t>
      </w:r>
      <w:r w:rsidRPr="00E303AD">
        <w:rPr>
          <w:rFonts w:eastAsia="Calibri"/>
          <w:rtl/>
        </w:rPr>
        <w:t xml:space="preserve"> סחר בבני אדם</w:t>
      </w:r>
      <w:r w:rsidRPr="00E303AD">
        <w:rPr>
          <w:rFonts w:eastAsia="Calibri" w:hint="cs"/>
          <w:rtl/>
        </w:rPr>
        <w:t xml:space="preserve"> למטרת זנות</w:t>
      </w:r>
      <w:r>
        <w:rPr>
          <w:rFonts w:eastAsia="Calibri"/>
          <w:vertAlign w:val="superscript"/>
          <w:rtl/>
        </w:rPr>
        <w:footnoteReference w:id="170"/>
      </w:r>
      <w:r w:rsidRPr="00E303AD">
        <w:rPr>
          <w:rFonts w:eastAsia="Calibri"/>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יחידת התיאום מארגנת</w:t>
      </w:r>
      <w:r w:rsidRPr="00E303AD">
        <w:rPr>
          <w:rFonts w:eastAsia="Calibri"/>
          <w:rtl/>
        </w:rPr>
        <w:t xml:space="preserve"> </w:t>
      </w:r>
      <w:r w:rsidRPr="00E303AD">
        <w:rPr>
          <w:rFonts w:eastAsia="Calibri" w:hint="cs"/>
          <w:rtl/>
        </w:rPr>
        <w:t xml:space="preserve">מפעם לפעם </w:t>
      </w:r>
      <w:r w:rsidRPr="00E303AD">
        <w:rPr>
          <w:rFonts w:eastAsia="Calibri"/>
          <w:rtl/>
        </w:rPr>
        <w:t xml:space="preserve">הכשרות מקצועיות </w:t>
      </w:r>
      <w:r w:rsidRPr="00E303AD">
        <w:rPr>
          <w:rFonts w:eastAsia="Calibri" w:hint="cs"/>
          <w:rtl/>
        </w:rPr>
        <w:t xml:space="preserve">עבור </w:t>
      </w:r>
      <w:r w:rsidRPr="00E303AD">
        <w:rPr>
          <w:rFonts w:eastAsia="Calibri"/>
          <w:rtl/>
        </w:rPr>
        <w:t xml:space="preserve">מגוון גופים ממשלתיים וציבוריים המעורבים </w:t>
      </w:r>
      <w:r w:rsidRPr="00E303AD">
        <w:rPr>
          <w:rFonts w:eastAsia="Calibri" w:hint="cs"/>
          <w:rtl/>
        </w:rPr>
        <w:t>בזיהוי קורבנות סחר בבני אדם, בטיפול בהם ובמניעת תופעת הסחר בבני אדם</w:t>
      </w:r>
      <w:r w:rsidRPr="00E303AD">
        <w:rPr>
          <w:rFonts w:eastAsia="Calibri"/>
          <w:rtl/>
        </w:rPr>
        <w:t>.</w:t>
      </w:r>
      <w:r w:rsidRPr="00E303AD">
        <w:rPr>
          <w:rFonts w:eastAsia="Calibri" w:hint="cs"/>
          <w:rtl/>
        </w:rPr>
        <w:t xml:space="preserve"> למשל, בשנים 2024 ו-2025 קיימה יחידת התיאום 21 ו-33 הכשרות (בהתאמה).במסגרת </w:t>
      </w:r>
      <w:r w:rsidRPr="00E303AD">
        <w:rPr>
          <w:rFonts w:eastAsia="Calibri"/>
          <w:rtl/>
        </w:rPr>
        <w:t xml:space="preserve">ההכשרות </w:t>
      </w:r>
      <w:r w:rsidRPr="00E303AD">
        <w:rPr>
          <w:rFonts w:eastAsia="Calibri" w:hint="cs"/>
          <w:rtl/>
        </w:rPr>
        <w:t>נלמדות</w:t>
      </w:r>
      <w:r w:rsidRPr="00E303AD">
        <w:rPr>
          <w:rFonts w:eastAsia="Calibri"/>
          <w:rtl/>
        </w:rPr>
        <w:t xml:space="preserve"> דרכי זיהוי קורבנות</w:t>
      </w:r>
      <w:r w:rsidRPr="00E303AD">
        <w:rPr>
          <w:rFonts w:eastAsia="Calibri" w:hint="cs"/>
          <w:rtl/>
        </w:rPr>
        <w:t xml:space="preserve"> סחר בבני אדם</w:t>
      </w:r>
      <w:r w:rsidRPr="00E303AD">
        <w:rPr>
          <w:rFonts w:eastAsia="Calibri"/>
          <w:rtl/>
        </w:rPr>
        <w:t xml:space="preserve"> </w:t>
      </w:r>
      <w:r w:rsidRPr="00E303AD">
        <w:rPr>
          <w:rFonts w:eastAsia="Calibri" w:hint="cs"/>
          <w:rtl/>
        </w:rPr>
        <w:t>ונ</w:t>
      </w:r>
      <w:r w:rsidRPr="00E303AD">
        <w:rPr>
          <w:rFonts w:eastAsia="Calibri"/>
          <w:rtl/>
        </w:rPr>
        <w:t>סקר</w:t>
      </w:r>
      <w:r w:rsidRPr="00E303AD">
        <w:rPr>
          <w:rFonts w:eastAsia="Calibri" w:hint="cs"/>
          <w:rtl/>
        </w:rPr>
        <w:t>ים</w:t>
      </w:r>
      <w:r w:rsidRPr="00E303AD">
        <w:rPr>
          <w:rFonts w:eastAsia="Calibri"/>
          <w:rtl/>
        </w:rPr>
        <w:t xml:space="preserve"> </w:t>
      </w:r>
      <w:r w:rsidRPr="00E303AD">
        <w:rPr>
          <w:rFonts w:eastAsia="Calibri" w:hint="cs"/>
          <w:rtl/>
        </w:rPr>
        <w:t>ה</w:t>
      </w:r>
      <w:r w:rsidRPr="00E303AD">
        <w:rPr>
          <w:rFonts w:eastAsia="Calibri"/>
          <w:rtl/>
        </w:rPr>
        <w:t xml:space="preserve">חקיקה </w:t>
      </w:r>
      <w:r w:rsidRPr="00E303AD">
        <w:rPr>
          <w:rFonts w:eastAsia="Calibri" w:hint="cs"/>
          <w:rtl/>
        </w:rPr>
        <w:t xml:space="preserve">בנושא </w:t>
      </w:r>
      <w:r w:rsidRPr="00E303AD">
        <w:rPr>
          <w:rFonts w:eastAsia="Calibri"/>
          <w:rtl/>
        </w:rPr>
        <w:t>ונ</w:t>
      </w:r>
      <w:r w:rsidRPr="00E303AD">
        <w:rPr>
          <w:rFonts w:eastAsia="Calibri" w:hint="cs"/>
          <w:rtl/>
        </w:rPr>
        <w:t>ו</w:t>
      </w:r>
      <w:r w:rsidRPr="00E303AD">
        <w:rPr>
          <w:rFonts w:eastAsia="Calibri"/>
          <w:rtl/>
        </w:rPr>
        <w:t xml:space="preserve">הלי </w:t>
      </w:r>
      <w:r w:rsidRPr="00E303AD">
        <w:rPr>
          <w:rFonts w:eastAsia="Calibri" w:hint="cs"/>
          <w:rtl/>
        </w:rPr>
        <w:t>ה</w:t>
      </w:r>
      <w:r w:rsidRPr="00E303AD">
        <w:rPr>
          <w:rFonts w:eastAsia="Calibri"/>
          <w:rtl/>
        </w:rPr>
        <w:t>טי</w:t>
      </w:r>
      <w:r w:rsidRPr="00E303AD">
        <w:rPr>
          <w:rFonts w:eastAsia="Calibri" w:hint="cs"/>
          <w:rtl/>
        </w:rPr>
        <w:t>פול בקורבנות</w:t>
      </w:r>
      <w:r w:rsidRPr="00E303AD">
        <w:rPr>
          <w:rFonts w:eastAsia="Calibri"/>
          <w:rtl/>
        </w:rPr>
        <w:t>.</w:t>
      </w:r>
    </w:p>
    <w:p w:rsidR="00E303AD" w:rsidRPr="00E303AD" w:rsidP="00E303AD">
      <w:pPr>
        <w:spacing w:line="269" w:lineRule="auto"/>
        <w:ind w:left="-567"/>
        <w:rPr>
          <w:rFonts w:eastAsia="Calibri"/>
          <w:szCs w:val="20"/>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במרץ 2024, במסגרת דיון של ועדת המנכ"לים הקבועה למאבק בסחר בבני אדם, האחראית לתיאום המאבק בסחר בבני אדם במישורי האכיפה, ההגנה על נפגעי סחר והכנת תוכניות מניעה, צוין כי אחד היעדים שתינתן קדימות להשגתם יהיה "טיוב מערך ההכשרות". יחידת התיאום קבעה בתוכנית העבודה לשנת 2025 משימה בנושא "</w:t>
      </w:r>
      <w:r w:rsidRPr="00E303AD">
        <w:rPr>
          <w:rFonts w:eastAsia="Calibri"/>
          <w:rtl/>
        </w:rPr>
        <w:t>פיתוח תכנית הכשרות לפי החלטת הממשלה על מנת להגביר מודעות ולהעלות את היקפי הזיהוי של קורבנות</w:t>
      </w:r>
      <w:r w:rsidRPr="00E303AD">
        <w:rPr>
          <w:rFonts w:eastAsia="Calibri" w:hint="cs"/>
          <w:rtl/>
        </w:rPr>
        <w:t>". יצוין כי נושא ההכשרות עלה פעמים רבות במשך השנים, הן בצוותים שהוקמו במשרד לביטחון לאומי לשם יישום החלטת הממשלה 1862 והן במסגרת דרישות הדיווח השנתיות למחלקת המדינה האמריקאית</w:t>
      </w:r>
      <w:r>
        <w:rPr>
          <w:rFonts w:eastAsia="Calibri"/>
          <w:vertAlign w:val="superscript"/>
          <w:rtl/>
        </w:rPr>
        <w:footnoteReference w:id="171"/>
      </w:r>
      <w:r w:rsidRPr="00E303AD">
        <w:rPr>
          <w:rFonts w:eastAsia="Calibri" w:hint="cs"/>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r w:rsidRPr="00E303AD">
        <w:rPr>
          <w:rFonts w:eastAsia="Calibri" w:hint="eastAsia"/>
          <w:b/>
          <w:bCs/>
          <w:rtl/>
        </w:rPr>
        <w:t>הביקורת</w:t>
      </w:r>
      <w:r w:rsidRPr="00E303AD">
        <w:rPr>
          <w:rFonts w:eastAsia="Calibri"/>
          <w:b/>
          <w:bCs/>
          <w:rtl/>
        </w:rPr>
        <w:t xml:space="preserve"> העלתה כי </w:t>
      </w:r>
      <w:r w:rsidRPr="00E303AD">
        <w:rPr>
          <w:rFonts w:eastAsia="Calibri" w:hint="cs"/>
          <w:b/>
          <w:bCs/>
          <w:rtl/>
        </w:rPr>
        <w:t>נכון למאי 2026, כחצי שנה לפני תום התקופה שהוגדרה להשלמת המשימות הקבועות בהחלטת ממשלה 1862</w:t>
      </w:r>
      <w:r w:rsidRPr="00E303AD">
        <w:rPr>
          <w:rFonts w:eastAsia="Calibri"/>
          <w:b/>
          <w:bCs/>
          <w:rtl/>
        </w:rPr>
        <w:t>, יחידת התיאום</w:t>
      </w:r>
      <w:r w:rsidRPr="00E303AD">
        <w:rPr>
          <w:rFonts w:eastAsia="Calibri" w:hint="cs"/>
          <w:b/>
          <w:bCs/>
          <w:rtl/>
        </w:rPr>
        <w:t xml:space="preserve"> </w:t>
      </w:r>
      <w:r w:rsidRPr="00E303AD">
        <w:rPr>
          <w:rFonts w:eastAsia="Calibri"/>
          <w:b/>
          <w:bCs/>
          <w:rtl/>
        </w:rPr>
        <w:t xml:space="preserve">הממשלתית למאבק בסחר בבני אדם במשרד המשפטים </w:t>
      </w:r>
      <w:r w:rsidRPr="00E303AD">
        <w:rPr>
          <w:rFonts w:eastAsia="Calibri" w:hint="cs"/>
          <w:b/>
          <w:bCs/>
          <w:rtl/>
        </w:rPr>
        <w:t xml:space="preserve">עדיין </w:t>
      </w:r>
      <w:r w:rsidRPr="00E303AD">
        <w:rPr>
          <w:rFonts w:eastAsia="Calibri"/>
          <w:b/>
          <w:bCs/>
          <w:rtl/>
        </w:rPr>
        <w:t>לא גיבשה ת</w:t>
      </w:r>
      <w:r w:rsidRPr="00E303AD">
        <w:rPr>
          <w:rFonts w:eastAsia="Calibri" w:hint="eastAsia"/>
          <w:b/>
          <w:bCs/>
          <w:rtl/>
        </w:rPr>
        <w:t>ו</w:t>
      </w:r>
      <w:r w:rsidRPr="00E303AD">
        <w:rPr>
          <w:rFonts w:eastAsia="Calibri"/>
          <w:b/>
          <w:bCs/>
          <w:rtl/>
        </w:rPr>
        <w:t xml:space="preserve">כנית הכשרה </w:t>
      </w:r>
      <w:r w:rsidRPr="00E303AD">
        <w:rPr>
          <w:rFonts w:eastAsia="Calibri" w:hint="eastAsia"/>
          <w:b/>
          <w:bCs/>
          <w:rtl/>
        </w:rPr>
        <w:t>שנתית</w:t>
      </w:r>
      <w:r w:rsidRPr="00E303AD">
        <w:rPr>
          <w:rFonts w:eastAsia="Calibri"/>
          <w:b/>
          <w:bCs/>
          <w:rtl/>
        </w:rPr>
        <w:t xml:space="preserve"> מקצועית, סדורה ובין-משרדית עבור המשרדים והגופים </w:t>
      </w:r>
      <w:r w:rsidRPr="00E303AD">
        <w:rPr>
          <w:rFonts w:eastAsia="Calibri" w:hint="eastAsia"/>
          <w:b/>
          <w:bCs/>
          <w:rtl/>
        </w:rPr>
        <w:t>הציבוריים</w:t>
      </w:r>
      <w:r w:rsidRPr="00E303AD">
        <w:rPr>
          <w:rFonts w:eastAsia="Calibri"/>
          <w:b/>
          <w:bCs/>
          <w:rtl/>
        </w:rPr>
        <w:t xml:space="preserve"> השותפים במאבק ב</w:t>
      </w:r>
      <w:r w:rsidRPr="00E303AD">
        <w:rPr>
          <w:rFonts w:eastAsia="Calibri" w:hint="eastAsia"/>
          <w:b/>
          <w:bCs/>
          <w:rtl/>
        </w:rPr>
        <w:t>זנות</w:t>
      </w:r>
      <w:r w:rsidRPr="00E303AD">
        <w:rPr>
          <w:rFonts w:eastAsia="Calibri"/>
          <w:b/>
          <w:bCs/>
          <w:rtl/>
        </w:rPr>
        <w:t xml:space="preserve"> </w:t>
      </w:r>
      <w:r w:rsidRPr="00E303AD">
        <w:rPr>
          <w:rFonts w:eastAsia="Calibri" w:hint="eastAsia"/>
          <w:b/>
          <w:bCs/>
          <w:rtl/>
        </w:rPr>
        <w:t>ובסחר</w:t>
      </w:r>
      <w:r w:rsidRPr="00E303AD">
        <w:rPr>
          <w:rFonts w:eastAsia="Calibri"/>
          <w:b/>
          <w:bCs/>
          <w:rtl/>
        </w:rPr>
        <w:t xml:space="preserve"> </w:t>
      </w:r>
      <w:bookmarkStart w:id="198" w:name="_Hlk224821930"/>
      <w:r w:rsidRPr="00E303AD">
        <w:rPr>
          <w:rFonts w:eastAsia="Calibri" w:hint="eastAsia"/>
          <w:b/>
          <w:bCs/>
          <w:rtl/>
        </w:rPr>
        <w:t>בבני</w:t>
      </w:r>
      <w:r w:rsidRPr="00E303AD">
        <w:rPr>
          <w:rFonts w:eastAsia="Calibri"/>
          <w:b/>
          <w:bCs/>
          <w:rtl/>
        </w:rPr>
        <w:t xml:space="preserve"> </w:t>
      </w:r>
      <w:r w:rsidRPr="00E303AD">
        <w:rPr>
          <w:rFonts w:eastAsia="Calibri" w:hint="eastAsia"/>
          <w:b/>
          <w:bCs/>
          <w:rtl/>
        </w:rPr>
        <w:t>אדם</w:t>
      </w:r>
      <w:bookmarkStart w:id="199" w:name="_Hlk224821879"/>
      <w:r>
        <w:rPr>
          <w:rFonts w:eastAsia="Calibri"/>
          <w:b/>
          <w:bCs/>
          <w:vertAlign w:val="superscript"/>
          <w:rtl/>
        </w:rPr>
        <w:footnoteReference w:id="172"/>
      </w:r>
      <w:bookmarkEnd w:id="199"/>
      <w:r w:rsidRPr="00E303AD">
        <w:rPr>
          <w:rFonts w:eastAsia="Calibri"/>
          <w:b/>
          <w:bCs/>
          <w:rtl/>
        </w:rPr>
        <w:t>.</w:t>
      </w:r>
      <w:r w:rsidRPr="00E303AD">
        <w:rPr>
          <w:rFonts w:eastAsia="Calibri" w:hint="cs"/>
          <w:b/>
          <w:bCs/>
          <w:rtl/>
        </w:rPr>
        <w:t xml:space="preserve"> זאת, שלא בהלימה להחלטת ועדת המנכ"לים שביקשה לתת קדימות לטיוב מערך ההכשרות ואף שיחידת התיאום הגדירה משימה זו בתוכנית העבודה שלה לשנת 2025.</w:t>
      </w:r>
      <w:r w:rsidRPr="00E303AD">
        <w:rPr>
          <w:rFonts w:eastAsia="Calibri"/>
          <w:b/>
          <w:bCs/>
          <w:rtl/>
        </w:rPr>
        <w:t xml:space="preserve"> </w:t>
      </w:r>
      <w:bookmarkEnd w:id="198"/>
      <w:r w:rsidRPr="00E303AD">
        <w:rPr>
          <w:rFonts w:eastAsia="Calibri"/>
          <w:b/>
          <w:bCs/>
          <w:rtl/>
        </w:rPr>
        <w:t xml:space="preserve">גיבוש </w:t>
      </w:r>
      <w:r w:rsidRPr="00E303AD">
        <w:rPr>
          <w:rFonts w:eastAsia="Calibri" w:hint="eastAsia"/>
          <w:b/>
          <w:bCs/>
          <w:rtl/>
        </w:rPr>
        <w:t>תוכנית</w:t>
      </w:r>
      <w:r w:rsidRPr="00E303AD">
        <w:rPr>
          <w:rFonts w:eastAsia="Calibri"/>
          <w:b/>
          <w:bCs/>
          <w:rtl/>
        </w:rPr>
        <w:t xml:space="preserve"> סדורה כאמור נדרש כדי לשפר את רמת הידע והמיומנויות של כל הגורמים המעורבים במאבק בתופעה ולה</w:t>
      </w:r>
      <w:r w:rsidRPr="00E303AD">
        <w:rPr>
          <w:rFonts w:eastAsia="Calibri" w:hint="eastAsia"/>
          <w:b/>
          <w:bCs/>
          <w:rtl/>
        </w:rPr>
        <w:t>עלות</w:t>
      </w:r>
      <w:r w:rsidRPr="00E303AD">
        <w:rPr>
          <w:rFonts w:eastAsia="Calibri"/>
          <w:b/>
          <w:bCs/>
          <w:rtl/>
        </w:rPr>
        <w:t xml:space="preserve"> את המודעות להשפעותיה השליליות, להבטיח אחידות בפעילות בין המשרדים, לפתח שפה מקצועית משותפת, לשנות דעות קדומות </w:t>
      </w:r>
      <w:r w:rsidRPr="00E303AD">
        <w:rPr>
          <w:rFonts w:eastAsia="Calibri" w:hint="eastAsia"/>
          <w:b/>
          <w:bCs/>
          <w:rtl/>
        </w:rPr>
        <w:t>בנוגע</w:t>
      </w:r>
      <w:r w:rsidRPr="00E303AD">
        <w:rPr>
          <w:rFonts w:eastAsia="Calibri"/>
          <w:b/>
          <w:bCs/>
          <w:rtl/>
        </w:rPr>
        <w:t xml:space="preserve"> לק</w:t>
      </w:r>
      <w:r w:rsidRPr="00E303AD">
        <w:rPr>
          <w:rFonts w:eastAsia="Calibri" w:hint="eastAsia"/>
          <w:b/>
          <w:bCs/>
          <w:rtl/>
        </w:rPr>
        <w:t>ורבנות</w:t>
      </w:r>
      <w:r w:rsidRPr="00E303AD">
        <w:rPr>
          <w:rFonts w:eastAsia="Calibri"/>
          <w:b/>
          <w:bCs/>
          <w:rtl/>
        </w:rPr>
        <w:t xml:space="preserve"> </w:t>
      </w:r>
      <w:r w:rsidRPr="00E303AD">
        <w:rPr>
          <w:rFonts w:eastAsia="Calibri" w:hint="eastAsia"/>
          <w:b/>
          <w:bCs/>
          <w:rtl/>
        </w:rPr>
        <w:t>התופעה</w:t>
      </w:r>
      <w:r w:rsidRPr="00E303AD">
        <w:rPr>
          <w:rFonts w:eastAsia="Calibri"/>
          <w:b/>
          <w:bCs/>
          <w:rtl/>
        </w:rPr>
        <w:t xml:space="preserve"> ולהעמיק את היכולת לאתר </w:t>
      </w:r>
      <w:r w:rsidRPr="00E303AD">
        <w:rPr>
          <w:rFonts w:eastAsia="Calibri" w:hint="eastAsia"/>
          <w:b/>
          <w:bCs/>
          <w:rtl/>
        </w:rPr>
        <w:t>את</w:t>
      </w:r>
      <w:r w:rsidRPr="00E303AD">
        <w:rPr>
          <w:rFonts w:eastAsia="Calibri"/>
          <w:b/>
          <w:bCs/>
          <w:rtl/>
        </w:rPr>
        <w:t xml:space="preserve"> קורבנות </w:t>
      </w:r>
      <w:r w:rsidRPr="00E303AD">
        <w:rPr>
          <w:rFonts w:eastAsia="Calibri" w:hint="eastAsia"/>
          <w:b/>
          <w:bCs/>
          <w:rtl/>
        </w:rPr>
        <w:t>הסחר</w:t>
      </w:r>
      <w:r w:rsidRPr="00E303AD">
        <w:rPr>
          <w:rFonts w:eastAsia="Calibri"/>
          <w:b/>
          <w:bCs/>
          <w:rtl/>
        </w:rPr>
        <w:t xml:space="preserve"> </w:t>
      </w:r>
      <w:r w:rsidRPr="00E303AD">
        <w:rPr>
          <w:rFonts w:eastAsia="Calibri" w:hint="eastAsia"/>
          <w:b/>
          <w:bCs/>
          <w:rtl/>
        </w:rPr>
        <w:t>בבני</w:t>
      </w:r>
      <w:r w:rsidRPr="00E303AD">
        <w:rPr>
          <w:rFonts w:eastAsia="Calibri"/>
          <w:b/>
          <w:bCs/>
          <w:rtl/>
        </w:rPr>
        <w:t xml:space="preserve"> </w:t>
      </w:r>
      <w:r w:rsidRPr="00E303AD">
        <w:rPr>
          <w:rFonts w:eastAsia="Calibri" w:hint="eastAsia"/>
          <w:b/>
          <w:bCs/>
          <w:rtl/>
        </w:rPr>
        <w:t>אדם</w:t>
      </w:r>
      <w:r w:rsidRPr="00E303AD">
        <w:rPr>
          <w:rFonts w:eastAsia="Calibri"/>
          <w:b/>
          <w:bCs/>
          <w:rtl/>
        </w:rPr>
        <w:t xml:space="preserve"> ולטפל בהם באופן שי</w:t>
      </w:r>
      <w:r w:rsidRPr="00E303AD">
        <w:rPr>
          <w:rFonts w:eastAsia="Calibri" w:hint="eastAsia"/>
          <w:b/>
          <w:bCs/>
          <w:rtl/>
        </w:rPr>
        <w:t>קדם</w:t>
      </w:r>
      <w:r w:rsidRPr="00E303AD">
        <w:rPr>
          <w:rFonts w:eastAsia="Calibri"/>
          <w:b/>
          <w:bCs/>
          <w:rtl/>
        </w:rPr>
        <w:t xml:space="preserve"> את המאבק </w:t>
      </w:r>
      <w:r w:rsidRPr="00E303AD">
        <w:rPr>
          <w:rFonts w:eastAsia="Calibri" w:hint="eastAsia"/>
          <w:b/>
          <w:bCs/>
          <w:rtl/>
        </w:rPr>
        <w:t>בתופעה</w:t>
      </w:r>
      <w:r w:rsidRPr="00E303AD">
        <w:rPr>
          <w:rFonts w:eastAsia="Calibri"/>
          <w:b/>
          <w:b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בתשובת משרד המשפטים צוין כי </w:t>
      </w:r>
      <w:r w:rsidRPr="00E303AD">
        <w:rPr>
          <w:rFonts w:eastAsia="Calibri"/>
          <w:rtl/>
        </w:rPr>
        <w:t>מדובר במשימה לפי החלטת ממשלה 1862, שמוגדרת כת</w:t>
      </w:r>
      <w:r w:rsidRPr="00E303AD">
        <w:rPr>
          <w:rFonts w:eastAsia="Calibri" w:hint="cs"/>
          <w:rtl/>
        </w:rPr>
        <w:t>ו</w:t>
      </w:r>
      <w:r w:rsidRPr="00E303AD">
        <w:rPr>
          <w:rFonts w:eastAsia="Calibri"/>
          <w:rtl/>
        </w:rPr>
        <w:t xml:space="preserve">כנית חומש </w:t>
      </w:r>
      <w:r w:rsidRPr="00E303AD">
        <w:rPr>
          <w:rFonts w:eastAsia="Calibri" w:hint="cs"/>
          <w:rtl/>
        </w:rPr>
        <w:t xml:space="preserve">לביצוע </w:t>
      </w:r>
      <w:r w:rsidRPr="00E303AD">
        <w:rPr>
          <w:rFonts w:eastAsia="Calibri"/>
          <w:rtl/>
        </w:rPr>
        <w:t>עד סוף שנת 2026</w:t>
      </w:r>
      <w:r w:rsidRPr="00E303AD">
        <w:rPr>
          <w:rFonts w:eastAsia="Calibri" w:hint="cs"/>
          <w:rtl/>
        </w:rPr>
        <w:t>,</w:t>
      </w:r>
      <w:r w:rsidRPr="00E303AD">
        <w:rPr>
          <w:rFonts w:eastAsia="Calibri"/>
          <w:rtl/>
        </w:rPr>
        <w:t xml:space="preserve"> ויש הדרגה הכרחית</w:t>
      </w:r>
      <w:r w:rsidRPr="00E303AD">
        <w:rPr>
          <w:rFonts w:eastAsia="Calibri" w:hint="cs"/>
          <w:rtl/>
        </w:rPr>
        <w:t xml:space="preserve"> ביישום המשימות</w:t>
      </w:r>
      <w:r w:rsidRPr="00E303AD">
        <w:rPr>
          <w:rFonts w:eastAsia="Calibri"/>
          <w:rtl/>
        </w:rPr>
        <w:t xml:space="preserve">. </w:t>
      </w:r>
      <w:r w:rsidRPr="00E303AD">
        <w:rPr>
          <w:rFonts w:eastAsia="Calibri" w:hint="cs"/>
          <w:rtl/>
        </w:rPr>
        <w:t>כמו כן יחידת התיאום משתתפת באופן קבוע וסדור בשגרת ההכשרות של כלל הגופים. לצד הכשרות אלה, היחידה גם מגיבה על הצרכים שעולים מהשטח ועל דפוסים חדשים שנוצרים. תוכנית העבודה של היחידה לשנת 2026 כוללת פיתוח כלי לתיעוד ההכשרות המתקיימות ולמעקב אחריהן.</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r w:rsidRPr="00E303AD">
        <w:rPr>
          <w:rFonts w:eastAsia="Calibri" w:hint="cs"/>
          <w:b/>
          <w:bCs/>
          <w:rtl/>
        </w:rPr>
        <w:t xml:space="preserve">על יחידת התיאום </w:t>
      </w:r>
      <w:r w:rsidRPr="00E303AD">
        <w:rPr>
          <w:rFonts w:eastAsia="Calibri"/>
          <w:b/>
          <w:bCs/>
          <w:rtl/>
        </w:rPr>
        <w:t>לפתח ולהטמיע ת</w:t>
      </w:r>
      <w:r w:rsidRPr="00E303AD">
        <w:rPr>
          <w:rFonts w:eastAsia="Calibri" w:hint="cs"/>
          <w:b/>
          <w:bCs/>
          <w:rtl/>
        </w:rPr>
        <w:t>ו</w:t>
      </w:r>
      <w:r w:rsidRPr="00E303AD">
        <w:rPr>
          <w:rFonts w:eastAsia="Calibri"/>
          <w:b/>
          <w:bCs/>
          <w:rtl/>
        </w:rPr>
        <w:t>כנית הכשרות מקצועית ו</w:t>
      </w:r>
      <w:r w:rsidRPr="00E303AD">
        <w:rPr>
          <w:rFonts w:eastAsia="Calibri" w:hint="cs"/>
          <w:b/>
          <w:bCs/>
          <w:rtl/>
        </w:rPr>
        <w:t>בין</w:t>
      </w:r>
      <w:r w:rsidRPr="00E303AD">
        <w:rPr>
          <w:rFonts w:eastAsia="Calibri"/>
          <w:b/>
          <w:bCs/>
          <w:rtl/>
        </w:rPr>
        <w:t xml:space="preserve">-משרדית </w:t>
      </w:r>
      <w:r w:rsidRPr="00E303AD">
        <w:rPr>
          <w:rFonts w:eastAsia="Calibri" w:hint="cs"/>
          <w:b/>
          <w:bCs/>
          <w:rtl/>
        </w:rPr>
        <w:t>סדורה אשר תכלול</w:t>
      </w:r>
      <w:r w:rsidRPr="00E303AD">
        <w:rPr>
          <w:rFonts w:eastAsia="Calibri"/>
          <w:b/>
          <w:bCs/>
          <w:rtl/>
        </w:rPr>
        <w:t xml:space="preserve"> </w:t>
      </w:r>
      <w:r w:rsidRPr="00E303AD">
        <w:rPr>
          <w:rFonts w:eastAsia="Calibri" w:hint="cs"/>
          <w:b/>
          <w:bCs/>
          <w:rtl/>
        </w:rPr>
        <w:t>יעדים ברורים ומדידים.</w:t>
      </w:r>
      <w:r w:rsidRPr="00E303AD">
        <w:rPr>
          <w:rFonts w:eastAsia="Calibri"/>
          <w:b/>
          <w:bCs/>
          <w:rtl/>
        </w:rPr>
        <w:t xml:space="preserve"> </w:t>
      </w:r>
      <w:r w:rsidRPr="00E303AD">
        <w:rPr>
          <w:rFonts w:eastAsia="Calibri" w:hint="cs"/>
          <w:b/>
          <w:bCs/>
          <w:rtl/>
        </w:rPr>
        <w:t>כמו כן</w:t>
      </w:r>
      <w:r w:rsidRPr="00E303AD">
        <w:rPr>
          <w:rFonts w:eastAsia="Calibri"/>
          <w:b/>
          <w:bCs/>
          <w:rtl/>
        </w:rPr>
        <w:t xml:space="preserve">, מומלץ להקים מנגנון מעקב שוטף אחר יישום ההכשרות, לבחון את מידת היעילות וההשפעה שלהן, לבצע </w:t>
      </w:r>
      <w:r w:rsidRPr="00E303AD">
        <w:rPr>
          <w:rFonts w:eastAsia="Calibri" w:hint="cs"/>
          <w:b/>
          <w:bCs/>
          <w:rtl/>
        </w:rPr>
        <w:t xml:space="preserve">בהכשרות התאמות </w:t>
      </w:r>
      <w:r w:rsidRPr="00E303AD">
        <w:rPr>
          <w:rFonts w:eastAsia="Calibri"/>
          <w:b/>
          <w:bCs/>
          <w:rtl/>
        </w:rPr>
        <w:t xml:space="preserve">לצרכים </w:t>
      </w:r>
      <w:r w:rsidRPr="00E303AD">
        <w:rPr>
          <w:rFonts w:eastAsia="Calibri" w:hint="cs"/>
          <w:b/>
          <w:bCs/>
          <w:rtl/>
        </w:rPr>
        <w:t>ה</w:t>
      </w:r>
      <w:r w:rsidRPr="00E303AD">
        <w:rPr>
          <w:rFonts w:eastAsia="Calibri"/>
          <w:b/>
          <w:bCs/>
          <w:rtl/>
        </w:rPr>
        <w:t xml:space="preserve">מקצועיים </w:t>
      </w:r>
      <w:r w:rsidRPr="00E303AD">
        <w:rPr>
          <w:rFonts w:eastAsia="Calibri" w:hint="cs"/>
          <w:b/>
          <w:bCs/>
          <w:rtl/>
        </w:rPr>
        <w:t xml:space="preserve">המשתנים באופן שוטף ולדאוג </w:t>
      </w:r>
      <w:r w:rsidRPr="00E303AD">
        <w:rPr>
          <w:rFonts w:eastAsia="Calibri"/>
          <w:b/>
          <w:bCs/>
          <w:rtl/>
        </w:rPr>
        <w:t>ל</w:t>
      </w:r>
      <w:r w:rsidRPr="00E303AD">
        <w:rPr>
          <w:rFonts w:eastAsia="Calibri" w:hint="cs"/>
          <w:b/>
          <w:bCs/>
          <w:rtl/>
        </w:rPr>
        <w:t>כך ש</w:t>
      </w:r>
      <w:r w:rsidRPr="00E303AD">
        <w:rPr>
          <w:rFonts w:eastAsia="Calibri"/>
          <w:b/>
          <w:bCs/>
          <w:rtl/>
        </w:rPr>
        <w:t>ההכשרות</w:t>
      </w:r>
      <w:r w:rsidRPr="00E303AD">
        <w:rPr>
          <w:rFonts w:eastAsia="Calibri" w:hint="cs"/>
          <w:b/>
          <w:bCs/>
          <w:rtl/>
        </w:rPr>
        <w:t xml:space="preserve"> יתקיימו</w:t>
      </w:r>
      <w:r w:rsidRPr="00E303AD">
        <w:rPr>
          <w:rFonts w:eastAsia="Calibri"/>
          <w:b/>
          <w:bCs/>
          <w:rtl/>
        </w:rPr>
        <w:t xml:space="preserve"> ב</w:t>
      </w:r>
      <w:r w:rsidRPr="00E303AD">
        <w:rPr>
          <w:rFonts w:eastAsia="Calibri" w:hint="cs"/>
          <w:b/>
          <w:bCs/>
          <w:rtl/>
        </w:rPr>
        <w:t>אופן</w:t>
      </w:r>
      <w:r w:rsidRPr="00E303AD">
        <w:rPr>
          <w:rFonts w:eastAsia="Calibri"/>
          <w:b/>
          <w:bCs/>
          <w:rtl/>
        </w:rPr>
        <w:t xml:space="preserve"> שיטתי ומתמש</w:t>
      </w:r>
      <w:r w:rsidRPr="00E303AD">
        <w:rPr>
          <w:rFonts w:eastAsia="Calibri" w:hint="cs"/>
          <w:b/>
          <w:bCs/>
          <w:rtl/>
        </w:rPr>
        <w:t xml:space="preserve">ך. </w:t>
      </w:r>
      <w:bookmarkStart w:id="200" w:name="_Hlk209950242"/>
      <w:r w:rsidRPr="00E303AD">
        <w:rPr>
          <w:rFonts w:eastAsia="Calibri" w:hint="cs"/>
          <w:b/>
          <w:bCs/>
          <w:rtl/>
        </w:rPr>
        <w:t xml:space="preserve">יישום האמור </w:t>
      </w:r>
      <w:r w:rsidRPr="00E303AD">
        <w:rPr>
          <w:rFonts w:eastAsia="Calibri"/>
          <w:b/>
          <w:bCs/>
          <w:rtl/>
        </w:rPr>
        <w:t xml:space="preserve">צפוי להקטין </w:t>
      </w:r>
      <w:r w:rsidRPr="00E303AD">
        <w:rPr>
          <w:rFonts w:eastAsia="Calibri" w:hint="cs"/>
          <w:b/>
          <w:bCs/>
          <w:rtl/>
        </w:rPr>
        <w:t>את ה</w:t>
      </w:r>
      <w:r w:rsidRPr="00E303AD">
        <w:rPr>
          <w:rFonts w:eastAsia="Calibri"/>
          <w:b/>
          <w:bCs/>
          <w:rtl/>
        </w:rPr>
        <w:t xml:space="preserve">פערים </w:t>
      </w:r>
      <w:r w:rsidRPr="00E303AD">
        <w:rPr>
          <w:rFonts w:eastAsia="Calibri" w:hint="cs"/>
          <w:b/>
          <w:bCs/>
          <w:rtl/>
        </w:rPr>
        <w:t>ה</w:t>
      </w:r>
      <w:r w:rsidRPr="00E303AD">
        <w:rPr>
          <w:rFonts w:eastAsia="Calibri"/>
          <w:b/>
          <w:bCs/>
          <w:rtl/>
        </w:rPr>
        <w:t>מקצועיים בין הגורמים, ל</w:t>
      </w:r>
      <w:r w:rsidRPr="00E303AD">
        <w:rPr>
          <w:rFonts w:eastAsia="Calibri" w:hint="cs"/>
          <w:b/>
          <w:bCs/>
          <w:rtl/>
        </w:rPr>
        <w:t>שפר את</w:t>
      </w:r>
      <w:r w:rsidRPr="00E303AD">
        <w:rPr>
          <w:rFonts w:eastAsia="Calibri"/>
          <w:b/>
          <w:bCs/>
          <w:rtl/>
        </w:rPr>
        <w:t xml:space="preserve"> </w:t>
      </w:r>
      <w:r w:rsidRPr="00E303AD">
        <w:rPr>
          <w:rFonts w:eastAsia="Calibri" w:hint="cs"/>
          <w:b/>
          <w:bCs/>
          <w:rtl/>
        </w:rPr>
        <w:t>ה</w:t>
      </w:r>
      <w:r w:rsidRPr="00E303AD">
        <w:rPr>
          <w:rFonts w:eastAsia="Calibri"/>
          <w:b/>
          <w:bCs/>
          <w:rtl/>
        </w:rPr>
        <w:t xml:space="preserve">תיאום </w:t>
      </w:r>
      <w:r w:rsidRPr="00E303AD">
        <w:rPr>
          <w:rFonts w:eastAsia="Calibri" w:hint="cs"/>
          <w:b/>
          <w:bCs/>
          <w:rtl/>
        </w:rPr>
        <w:t>ה</w:t>
      </w:r>
      <w:r w:rsidRPr="00E303AD">
        <w:rPr>
          <w:rFonts w:eastAsia="Calibri"/>
          <w:b/>
          <w:bCs/>
          <w:rtl/>
        </w:rPr>
        <w:t>בין-משרדי ולהגביר את ה</w:t>
      </w:r>
      <w:r w:rsidRPr="00E303AD">
        <w:rPr>
          <w:rFonts w:eastAsia="Calibri" w:hint="cs"/>
          <w:b/>
          <w:bCs/>
          <w:rtl/>
        </w:rPr>
        <w:t>יעילות</w:t>
      </w:r>
      <w:r w:rsidRPr="00E303AD">
        <w:rPr>
          <w:rFonts w:eastAsia="Calibri"/>
          <w:b/>
          <w:bCs/>
          <w:rtl/>
        </w:rPr>
        <w:t xml:space="preserve"> הכוללת </w:t>
      </w:r>
      <w:r w:rsidRPr="00E303AD">
        <w:rPr>
          <w:rFonts w:eastAsia="Calibri" w:hint="cs"/>
          <w:b/>
          <w:bCs/>
          <w:rtl/>
        </w:rPr>
        <w:t>של ה</w:t>
      </w:r>
      <w:r w:rsidRPr="00E303AD">
        <w:rPr>
          <w:rFonts w:eastAsia="Calibri"/>
          <w:b/>
          <w:bCs/>
          <w:rtl/>
        </w:rPr>
        <w:t xml:space="preserve">מאבק בתופעת </w:t>
      </w:r>
      <w:r w:rsidRPr="00E303AD">
        <w:rPr>
          <w:rFonts w:eastAsia="Calibri" w:hint="cs"/>
          <w:b/>
          <w:bCs/>
          <w:rtl/>
        </w:rPr>
        <w:t>ה</w:t>
      </w:r>
      <w:r w:rsidRPr="00E303AD">
        <w:rPr>
          <w:rFonts w:eastAsia="Calibri"/>
          <w:b/>
          <w:bCs/>
          <w:rtl/>
        </w:rPr>
        <w:t>סחר בבני אדם בישראל</w:t>
      </w:r>
      <w:r w:rsidRPr="00E303AD">
        <w:rPr>
          <w:rFonts w:eastAsia="Calibri"/>
          <w:b/>
          <w:bCs/>
        </w:rPr>
        <w:t>.</w:t>
      </w:r>
      <w:bookmarkEnd w:id="200"/>
    </w:p>
    <w:p w:rsidR="00E303AD" w:rsidRPr="00E303AD" w:rsidP="00E303AD">
      <w:pPr>
        <w:spacing w:line="269" w:lineRule="auto"/>
        <w:rPr>
          <w:rFonts w:eastAsia="Calibri"/>
          <w:b/>
          <w:bCs/>
          <w:rtl/>
        </w:rPr>
      </w:pPr>
    </w:p>
    <w:p w:rsidR="00E303AD" w:rsidRPr="00E303AD" w:rsidP="00E303AD">
      <w:pPr>
        <w:spacing w:line="269" w:lineRule="auto"/>
        <w:ind w:left="-567"/>
        <w:rPr>
          <w:rFonts w:eastAsia="Calibri"/>
          <w:szCs w:val="20"/>
          <w:rtl/>
        </w:rPr>
      </w:pPr>
      <w:r w:rsidRPr="00E303AD">
        <w:rPr>
          <w:rFonts w:eastAsia="Calibri"/>
          <w:noProof/>
          <w:szCs w:val="20"/>
          <w:rtl/>
          <w:lang w:val="he-IL"/>
        </w:rPr>
        <mc:AlternateContent>
          <mc:Choice Requires="wpg">
            <w:drawing>
              <wp:anchor distT="0" distB="0" distL="114300" distR="114300" simplePos="0" relativeHeight="251676672" behindDoc="0" locked="0" layoutInCell="1" allowOverlap="1">
                <wp:simplePos x="0" y="0"/>
                <wp:positionH relativeFrom="column">
                  <wp:posOffset>-93980</wp:posOffset>
                </wp:positionH>
                <wp:positionV relativeFrom="paragraph">
                  <wp:posOffset>106680</wp:posOffset>
                </wp:positionV>
                <wp:extent cx="5310505" cy="849464"/>
                <wp:effectExtent l="0" t="0" r="4445" b="8255"/>
                <wp:wrapNone/>
                <wp:docPr id="59" name="קבוצה 59"/>
                <wp:cNvGraphicFramePr/>
                <a:graphic xmlns:a="http://schemas.openxmlformats.org/drawingml/2006/main">
                  <a:graphicData uri="http://schemas.microsoft.com/office/word/2010/wordprocessingGroup">
                    <wpg:wgp xmlns:wpg="http://schemas.microsoft.com/office/word/2010/wordprocessingGroup">
                      <wpg:cNvGrpSpPr/>
                      <wpg:grpSpPr>
                        <a:xfrm>
                          <a:off x="0" y="0"/>
                          <a:ext cx="5310505" cy="849464"/>
                          <a:chOff x="0" y="0"/>
                          <a:chExt cx="5310505" cy="849464"/>
                        </a:xfrm>
                      </wpg:grpSpPr>
                      <pic:pic xmlns:pic="http://schemas.openxmlformats.org/drawingml/2006/picture">
                        <pic:nvPicPr>
                          <pic:cNvPr id="60" name="table"/>
                          <pic:cNvPicPr>
                            <a:picLocks noChangeAspect="1"/>
                          </pic:cNvPicPr>
                        </pic:nvPicPr>
                        <pic:blipFill>
                          <a:blip xmlns:r="http://schemas.openxmlformats.org/officeDocument/2006/relationships" r:embed="rId38"/>
                          <a:srcRect b="12660"/>
                          <a:stretch>
                            <a:fillRect/>
                          </a:stretch>
                        </pic:blipFill>
                        <pic:spPr bwMode="auto">
                          <a:xfrm>
                            <a:off x="0" y="87464"/>
                            <a:ext cx="5310505" cy="762000"/>
                          </a:xfrm>
                          <a:prstGeom prst="rect">
                            <a:avLst/>
                          </a:prstGeom>
                          <a:ln>
                            <a:noFill/>
                          </a:ln>
                          <a:extLst>
                            <a:ext xmlns:a="http://schemas.openxmlformats.org/drawingml/2006/main" uri="{53640926-AAD7-44D8-BBD7-CCE9431645EC}">
                              <a14:shadowObscured xmlns:a14="http://schemas.microsoft.com/office/drawing/2010/main"/>
                            </a:ext>
                          </a:extLst>
                        </pic:spPr>
                      </pic:pic>
                      <wpg:grpSp>
                        <wpg:cNvPr id="61" name="קבוצה 22"/>
                        <wpg:cNvGrpSpPr/>
                        <wpg:grpSpPr>
                          <a:xfrm>
                            <a:off x="2568271" y="0"/>
                            <a:ext cx="271145" cy="266700"/>
                            <a:chOff x="0" y="0"/>
                            <a:chExt cx="1781175" cy="1781175"/>
                          </a:xfrm>
                        </wpg:grpSpPr>
                        <pic:pic xmlns:pic="http://schemas.openxmlformats.org/drawingml/2006/picture">
                          <pic:nvPicPr>
                            <pic:cNvPr id="62" name="תמונה 62"/>
                            <pic:cNvPicPr>
                              <a:picLocks noChangeAspect="1"/>
                            </pic:cNvPicPr>
                          </pic:nvPicPr>
                          <pic:blipFill>
                            <a:blip xmlns:r="http://schemas.openxmlformats.org/officeDocument/2006/relationships" r:embed="rId9">
                              <a:clrChange>
                                <a:clrFrom>
                                  <a:srgbClr val="FFFFFF"/>
                                </a:clrFrom>
                                <a:clrTo>
                                  <a:srgbClr val="FFFFFF">
                                    <a:alpha val="0"/>
                                  </a:srgbClr>
                                </a:clrTo>
                              </a:clrChange>
                            </a:blip>
                            <a:stretch>
                              <a:fillRect/>
                            </a:stretch>
                          </pic:blipFill>
                          <pic:spPr>
                            <a:xfrm>
                              <a:off x="0" y="0"/>
                              <a:ext cx="1781175" cy="1781175"/>
                            </a:xfrm>
                            <a:prstGeom prst="rect">
                              <a:avLst/>
                            </a:prstGeom>
                          </pic:spPr>
                        </pic:pic>
                        <pic:pic xmlns:pic="http://schemas.openxmlformats.org/drawingml/2006/picture">
                          <pic:nvPicPr>
                            <pic:cNvPr id="63" name="תמונה 63"/>
                            <pic:cNvPicPr>
                              <a:picLocks noChangeAspect="1"/>
                            </pic:cNvPicPr>
                          </pic:nvPicPr>
                          <pic:blipFill>
                            <a:blip xmlns:r="http://schemas.openxmlformats.org/officeDocument/2006/relationships" r:embed="rId10"/>
                            <a:srcRect l="16969" t="20795" r="16969" b="20795"/>
                            <a:stretch>
                              <a:fillRect/>
                            </a:stretch>
                          </pic:blipFill>
                          <pic:spPr>
                            <a:xfrm>
                              <a:off x="302249" y="371444"/>
                              <a:ext cx="1176676" cy="1040392"/>
                            </a:xfrm>
                            <a:prstGeom prst="rect">
                              <a:avLst/>
                            </a:prstGeom>
                          </pic:spPr>
                        </pic:pic>
                      </wpg:grpSp>
                    </wpg:wgp>
                  </a:graphicData>
                </a:graphic>
              </wp:anchor>
            </w:drawing>
          </mc:Choice>
          <mc:Fallback>
            <w:pict>
              <v:group id="קבוצה 59" o:spid="_x0000_s1068" style="width:418.15pt;height:66.9pt;margin-top:8.4pt;margin-left:-7.4pt;position:absolute;z-index:251677696" coordsize="53105,8494">
                <v:shape id="table" o:spid="_x0000_s1069" type="#_x0000_t75" style="width:53105;height:7620;mso-wrap-style:square;position:absolute;top:874;visibility:visible">
                  <v:imagedata r:id="rId38" o:title="" cropbottom="8297f"/>
                </v:shape>
                <v:group id="קבוצה 22" o:spid="_x0000_s1070" style="width:2712;height:2667;left:25682;position:absolute" coordsize="17811,17811">
                  <v:shape id="תמונה 62" o:spid="_x0000_s1071" type="#_x0000_t75" style="width:17811;height:17811;mso-wrap-style:square;position:absolute;visibility:visible">
                    <v:imagedata r:id="rId9" o:title="" chromakey="white"/>
                  </v:shape>
                  <v:shape id="תמונה 63" o:spid="_x0000_s1072" type="#_x0000_t75" style="width:11767;height:10404;left:3022;mso-wrap-style:square;position:absolute;top:3714;visibility:visible">
                    <v:imagedata r:id="rId10" o:title="" croptop="13628f" cropbottom="13628f" cropleft="11121f" cropright="11121f"/>
                  </v:shape>
                </v:group>
              </v:group>
            </w:pict>
          </mc:Fallback>
        </mc:AlternateContent>
      </w:r>
    </w:p>
    <w:p w:rsidR="00E303AD" w:rsidRPr="00E303AD" w:rsidP="00E303AD">
      <w:pPr>
        <w:spacing w:line="269" w:lineRule="auto"/>
        <w:rPr>
          <w:rFonts w:eastAsia="Calibri"/>
          <w:rtl/>
        </w:rPr>
      </w:pPr>
    </w:p>
    <w:p w:rsidR="00E303AD" w:rsidRPr="00E303AD" w:rsidP="00E303AD">
      <w:pPr>
        <w:spacing w:line="269" w:lineRule="auto"/>
        <w:rPr>
          <w:rFonts w:eastAsia="Calibri"/>
          <w:b/>
          <w:bCs/>
          <w:sz w:val="2"/>
          <w:szCs w:val="2"/>
          <w:rtl/>
        </w:rPr>
      </w:pPr>
    </w:p>
    <w:p w:rsidR="00E303AD" w:rsidRPr="00E303AD" w:rsidP="00E303AD">
      <w:pPr>
        <w:spacing w:line="269" w:lineRule="auto"/>
        <w:rPr>
          <w:rFonts w:eastAsia="Calibri"/>
          <w:b/>
          <w:bCs/>
        </w:rPr>
      </w:pPr>
    </w:p>
    <w:p w:rsidR="00E303AD" w:rsidRPr="00E303AD" w:rsidP="00E303AD">
      <w:pPr>
        <w:spacing w:line="269" w:lineRule="auto"/>
        <w:rPr>
          <w:rFonts w:eastAsia="Calibri"/>
          <w:b/>
          <w:bCs/>
        </w:rPr>
      </w:pPr>
    </w:p>
    <w:p w:rsidR="00367CD6">
      <w:pPr>
        <w:bidi w:val="0"/>
        <w:spacing w:after="200" w:line="276" w:lineRule="auto"/>
        <w:rPr>
          <w:rFonts w:eastAsia="Times New Roman"/>
          <w:bCs/>
          <w:szCs w:val="28"/>
          <w:u w:val="single"/>
          <w:rtl/>
        </w:rPr>
      </w:pPr>
      <w:bookmarkStart w:id="201" w:name="_Toc221475002"/>
      <w:bookmarkStart w:id="202" w:name="_Toc224808298"/>
      <w:bookmarkStart w:id="203" w:name="_Toc232696571"/>
      <w:r>
        <w:rPr>
          <w:rFonts w:eastAsia="Times New Roman"/>
          <w:bCs/>
          <w:szCs w:val="28"/>
          <w:u w:val="single"/>
          <w:rtl/>
        </w:rPr>
        <w:br w:type="page"/>
      </w:r>
    </w:p>
    <w:p w:rsidR="00E303AD" w:rsidRPr="00E303AD" w:rsidP="00E303AD">
      <w:pPr>
        <w:keepNext/>
        <w:keepLines/>
        <w:spacing w:line="269" w:lineRule="auto"/>
        <w:outlineLvl w:val="2"/>
        <w:rPr>
          <w:rFonts w:eastAsia="Times New Roman"/>
          <w:bCs/>
          <w:szCs w:val="28"/>
          <w:u w:val="single"/>
          <w:rtl/>
        </w:rPr>
      </w:pPr>
      <w:r w:rsidRPr="00E303AD">
        <w:rPr>
          <w:rFonts w:eastAsia="Times New Roman" w:hint="cs"/>
          <w:bCs/>
          <w:szCs w:val="28"/>
          <w:u w:val="single"/>
          <w:rtl/>
        </w:rPr>
        <w:t>קרן החילוט</w:t>
      </w:r>
      <w:bookmarkEnd w:id="201"/>
      <w:bookmarkEnd w:id="202"/>
      <w:bookmarkEnd w:id="203"/>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בשנת 2006 תוקן חוק העונשין כדי לתת מענה רחב יותר למאבק בתופעת הסחר בבני אדם</w:t>
      </w:r>
      <w:r>
        <w:rPr>
          <w:rFonts w:eastAsia="Calibri"/>
          <w:vertAlign w:val="superscript"/>
          <w:rtl/>
        </w:rPr>
        <w:footnoteReference w:id="173"/>
      </w:r>
      <w:r w:rsidRPr="00E303AD">
        <w:rPr>
          <w:rFonts w:eastAsia="Calibri" w:hint="cs"/>
          <w:rtl/>
        </w:rPr>
        <w:t>. במסגרת התיקון לחוק הוקמה קרן חילוט ייעודית לתמיכה במאבק בסחר בבני אדם ובהחזקה בתנאי עבדות (להלן - הקרן). הקרן</w:t>
      </w:r>
      <w:r w:rsidRPr="00E303AD">
        <w:rPr>
          <w:rFonts w:eastAsia="Calibri"/>
          <w:rtl/>
        </w:rPr>
        <w:t xml:space="preserve"> פועלת במסגרת היחידה לתיאום</w:t>
      </w:r>
      <w:r w:rsidRPr="00E303AD">
        <w:rPr>
          <w:rFonts w:eastAsia="Calibri" w:hint="cs"/>
          <w:rtl/>
        </w:rPr>
        <w:t xml:space="preserve"> ו</w:t>
      </w:r>
      <w:r w:rsidRPr="00E303AD">
        <w:rPr>
          <w:rFonts w:eastAsia="Calibri"/>
          <w:rtl/>
        </w:rPr>
        <w:t>מרכזת כספים שמקורם בחילוט נכסים ובקנסות שהוטלו על עבריינים בתיקי סחר בבני אדם ועבודות כפייה</w:t>
      </w:r>
      <w:r w:rsidRPr="00E303AD">
        <w:rPr>
          <w:rFonts w:eastAsia="Calibri" w:hint="cs"/>
          <w:rtl/>
        </w:rPr>
        <w:t xml:space="preserve">. </w:t>
      </w:r>
      <w:r w:rsidRPr="00E303AD">
        <w:rPr>
          <w:rFonts w:eastAsia="Calibri"/>
          <w:rtl/>
        </w:rPr>
        <w:t>הכספים משמשים בעיקר לשיקום קורבנות העבירות הללו</w:t>
      </w:r>
      <w:r w:rsidRPr="00E303AD">
        <w:rPr>
          <w:rFonts w:eastAsia="Calibri" w:hint="cs"/>
          <w:rtl/>
        </w:rPr>
        <w:t>, לטיפול בהם ולהגנה עליהם</w:t>
      </w:r>
      <w:r w:rsidRPr="00E303AD">
        <w:rPr>
          <w:rFonts w:eastAsia="Calibri"/>
          <w:rtl/>
        </w:rPr>
        <w:t xml:space="preserve">. </w:t>
      </w:r>
      <w:r w:rsidRPr="00E303AD">
        <w:rPr>
          <w:rFonts w:eastAsia="Calibri" w:hint="cs"/>
          <w:rtl/>
        </w:rPr>
        <w:t>כמו כן</w:t>
      </w:r>
      <w:r w:rsidRPr="00E303AD">
        <w:rPr>
          <w:rFonts w:eastAsia="Calibri"/>
          <w:rtl/>
        </w:rPr>
        <w:t>, הקרן תומכת בפעולות מניעה ומממנת משרדי ממשלה, גופים ציבוריים וארגוני זכויות אדם העוסקים במאבק בסחר בבני אדם ובעבד</w:t>
      </w:r>
      <w:r w:rsidRPr="00E303AD">
        <w:rPr>
          <w:rFonts w:eastAsia="Calibri" w:hint="cs"/>
          <w:rtl/>
        </w:rPr>
        <w:t>ות</w:t>
      </w:r>
      <w:r w:rsidRPr="00E303AD">
        <w:rPr>
          <w:rFonts w:eastAsia="Calibri"/>
          <w:rtl/>
        </w:rPr>
        <w:t xml:space="preserve"> הפועלים </w:t>
      </w:r>
      <w:r w:rsidRPr="00E303AD">
        <w:rPr>
          <w:rFonts w:eastAsia="Calibri" w:hint="cs"/>
          <w:rtl/>
        </w:rPr>
        <w:t>ל</w:t>
      </w:r>
      <w:r w:rsidRPr="00E303AD">
        <w:rPr>
          <w:rFonts w:eastAsia="Calibri"/>
          <w:rtl/>
        </w:rPr>
        <w:t>מאבק בתופעה</w:t>
      </w:r>
      <w:r w:rsidRPr="00E303AD">
        <w:rPr>
          <w:rFonts w:eastAsia="Calibri"/>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ב</w:t>
      </w:r>
      <w:r w:rsidRPr="00E303AD">
        <w:rPr>
          <w:rFonts w:eastAsia="Calibri"/>
          <w:rtl/>
        </w:rPr>
        <w:t xml:space="preserve">חוק </w:t>
      </w:r>
      <w:r w:rsidRPr="00E303AD">
        <w:rPr>
          <w:rFonts w:eastAsia="Calibri" w:hint="cs"/>
          <w:rtl/>
        </w:rPr>
        <w:t>איסור סחר בבני אדם נ</w:t>
      </w:r>
      <w:r w:rsidRPr="00E303AD">
        <w:rPr>
          <w:rFonts w:eastAsia="Calibri"/>
          <w:rtl/>
        </w:rPr>
        <w:t xml:space="preserve">קבע כי לפחות מחצית מהנכסים המצטברים בקרן יוקצו </w:t>
      </w:r>
      <w:r w:rsidRPr="00E303AD">
        <w:rPr>
          <w:rFonts w:eastAsia="Calibri" w:hint="cs"/>
          <w:rtl/>
        </w:rPr>
        <w:t>לטיפול בנפגעים ולשיקומם בכל שנה</w:t>
      </w:r>
      <w:r w:rsidRPr="00E303AD">
        <w:rPr>
          <w:rFonts w:eastAsia="Calibri"/>
          <w:rtl/>
        </w:rPr>
        <w:t>, ו</w:t>
      </w:r>
      <w:r w:rsidRPr="00E303AD">
        <w:rPr>
          <w:rFonts w:eastAsia="Calibri" w:hint="cs"/>
          <w:rtl/>
        </w:rPr>
        <w:t>כי אם</w:t>
      </w:r>
      <w:r w:rsidRPr="00E303AD">
        <w:rPr>
          <w:rFonts w:eastAsia="Calibri"/>
          <w:rtl/>
        </w:rPr>
        <w:t xml:space="preserve"> </w:t>
      </w:r>
      <w:r w:rsidRPr="00E303AD">
        <w:rPr>
          <w:rFonts w:eastAsia="Calibri" w:hint="cs"/>
          <w:rtl/>
        </w:rPr>
        <w:t xml:space="preserve">קבע בית המשפט כי יינתן </w:t>
      </w:r>
      <w:r w:rsidRPr="00E303AD">
        <w:rPr>
          <w:rFonts w:eastAsia="Calibri"/>
          <w:rtl/>
        </w:rPr>
        <w:t xml:space="preserve">פיצוי </w:t>
      </w:r>
      <w:r w:rsidRPr="00E303AD">
        <w:rPr>
          <w:rFonts w:eastAsia="Calibri" w:hint="cs"/>
          <w:rtl/>
        </w:rPr>
        <w:t>ל</w:t>
      </w:r>
      <w:r w:rsidRPr="00E303AD">
        <w:rPr>
          <w:rFonts w:eastAsia="Calibri"/>
          <w:rtl/>
        </w:rPr>
        <w:t>קורבן</w:t>
      </w:r>
      <w:r w:rsidRPr="00E303AD">
        <w:rPr>
          <w:rFonts w:eastAsia="Calibri" w:hint="cs"/>
          <w:rtl/>
        </w:rPr>
        <w:t xml:space="preserve"> סחר בבני אדם, </w:t>
      </w:r>
      <w:r w:rsidRPr="00E303AD">
        <w:rPr>
          <w:rFonts w:eastAsia="Calibri"/>
          <w:rtl/>
        </w:rPr>
        <w:t xml:space="preserve">והוא אינו מצליח לגבות אותו מהעבריין, הקרן </w:t>
      </w:r>
      <w:r w:rsidRPr="00E303AD">
        <w:rPr>
          <w:rFonts w:eastAsia="Calibri" w:hint="cs"/>
          <w:rtl/>
        </w:rPr>
        <w:t>תשלם</w:t>
      </w:r>
      <w:r w:rsidRPr="00E303AD">
        <w:rPr>
          <w:rFonts w:eastAsia="Calibri"/>
          <w:rtl/>
        </w:rPr>
        <w:t xml:space="preserve"> את הפיצוי במקומו</w:t>
      </w:r>
      <w:r>
        <w:rPr>
          <w:rFonts w:eastAsia="Calibri"/>
          <w:vertAlign w:val="superscript"/>
          <w:rtl/>
        </w:rPr>
        <w:footnoteReference w:id="174"/>
      </w:r>
      <w:r w:rsidRPr="00E303AD">
        <w:rPr>
          <w:rFonts w:eastAsia="Calibri"/>
        </w:rPr>
        <w:t>.</w:t>
      </w:r>
    </w:p>
    <w:p w:rsidR="00E303AD" w:rsidRPr="00E303AD" w:rsidP="00E303AD">
      <w:pPr>
        <w:spacing w:line="269" w:lineRule="auto"/>
        <w:ind w:left="-567"/>
        <w:rPr>
          <w:rFonts w:eastAsia="Calibri"/>
          <w:szCs w:val="20"/>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 xml:space="preserve">הקרן מנוהלת בהתאם לתקנות ייעודיות שנקבעו בשנת 2009, והפיקוח עליה מתקיים באמצעות ועדה מקצועית </w:t>
      </w:r>
      <w:r w:rsidRPr="00E303AD">
        <w:rPr>
          <w:rFonts w:eastAsia="Calibri" w:hint="cs"/>
          <w:rtl/>
        </w:rPr>
        <w:t>המונה</w:t>
      </w:r>
      <w:r w:rsidRPr="00E303AD">
        <w:rPr>
          <w:rFonts w:eastAsia="Calibri"/>
          <w:rtl/>
        </w:rPr>
        <w:t xml:space="preserve"> תשעה חברים</w:t>
      </w:r>
      <w:r w:rsidRPr="00E303AD">
        <w:rPr>
          <w:rFonts w:eastAsia="Calibri" w:hint="cs"/>
          <w:rtl/>
        </w:rPr>
        <w:t xml:space="preserve"> -</w:t>
      </w:r>
      <w:r w:rsidRPr="00E303AD">
        <w:rPr>
          <w:rFonts w:eastAsia="Calibri"/>
          <w:rtl/>
        </w:rPr>
        <w:t xml:space="preserve"> נציגים ממשרדי ממשלה מרכזיים</w:t>
      </w:r>
      <w:r w:rsidRPr="00E303AD">
        <w:rPr>
          <w:rFonts w:eastAsia="Calibri" w:hint="cs"/>
          <w:rtl/>
        </w:rPr>
        <w:t xml:space="preserve"> </w:t>
      </w:r>
      <w:r w:rsidRPr="00E303AD">
        <w:rPr>
          <w:rFonts w:eastAsia="Calibri"/>
          <w:rtl/>
        </w:rPr>
        <w:t>לצד נציגי ציבור בעלי מומחיות בזכויות אדם ובמאבק בסחר בבני אדם</w:t>
      </w:r>
      <w:r>
        <w:rPr>
          <w:rFonts w:eastAsia="Calibri"/>
          <w:vertAlign w:val="superscript"/>
          <w:rtl/>
        </w:rPr>
        <w:footnoteReference w:id="175"/>
      </w:r>
      <w:r w:rsidRPr="00E303AD">
        <w:rPr>
          <w:rFonts w:eastAsia="Calibri"/>
          <w:rtl/>
        </w:rPr>
        <w:t xml:space="preserve">. הוועדה </w:t>
      </w:r>
      <w:r w:rsidRPr="00E303AD">
        <w:rPr>
          <w:rFonts w:eastAsia="Calibri" w:hint="cs"/>
          <w:rtl/>
        </w:rPr>
        <w:t>נותנת</w:t>
      </w:r>
      <w:r w:rsidRPr="00E303AD">
        <w:rPr>
          <w:rFonts w:eastAsia="Calibri"/>
          <w:rtl/>
        </w:rPr>
        <w:t xml:space="preserve"> לאפוטרופוס הכללי </w:t>
      </w:r>
      <w:r w:rsidRPr="00E303AD">
        <w:rPr>
          <w:rFonts w:eastAsia="Calibri" w:hint="cs"/>
          <w:rtl/>
        </w:rPr>
        <w:t>המלצות לגבי</w:t>
      </w:r>
      <w:r w:rsidRPr="00E303AD">
        <w:rPr>
          <w:rFonts w:eastAsia="Calibri"/>
          <w:rtl/>
        </w:rPr>
        <w:t xml:space="preserve"> אפיקי ההקצאה של כספי הקרן ופועלת בהתאם למטרות שהוגדרו בחוק</w:t>
      </w:r>
      <w:r>
        <w:rPr>
          <w:rFonts w:eastAsia="Calibri"/>
          <w:vertAlign w:val="superscript"/>
          <w:rtl/>
        </w:rPr>
        <w:footnoteReference w:id="176"/>
      </w:r>
      <w:r w:rsidRPr="00E303AD">
        <w:rPr>
          <w:rFonts w:eastAsia="Calibri"/>
        </w:rPr>
        <w:t>.</w:t>
      </w:r>
      <w:r w:rsidRPr="00E303AD">
        <w:rPr>
          <w:rFonts w:eastAsia="Calibri" w:hint="cs"/>
          <w:rtl/>
        </w:rPr>
        <w:t xml:space="preserve"> בהתאם לנוהל העבודה של הוועדה, בכל שנה קובעת הוועדה את הסכום שהיא מקצה לחלוקה לנפגעות או לתמיכה בגופים הפועלים בתחום, בהתאם להיקף הכספים הזמינים בקרן ותוך שקילת מכלול הנסיבות הנוגעות לרציפות פעילותה של הקרן. </w:t>
      </w:r>
    </w:p>
    <w:p w:rsidR="00E303AD" w:rsidRPr="00E303AD" w:rsidP="00E303AD">
      <w:pPr>
        <w:spacing w:line="269" w:lineRule="auto"/>
        <w:ind w:left="-567"/>
        <w:rPr>
          <w:rFonts w:eastAsia="Calibri"/>
          <w:szCs w:val="20"/>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rtl/>
        </w:rPr>
        <w:t xml:space="preserve">הפעילות המעשית </w:t>
      </w:r>
      <w:r w:rsidRPr="00E303AD">
        <w:rPr>
          <w:rFonts w:eastAsia="Calibri" w:hint="cs"/>
          <w:rtl/>
        </w:rPr>
        <w:t xml:space="preserve">הממשית </w:t>
      </w:r>
      <w:r w:rsidRPr="00E303AD">
        <w:rPr>
          <w:rFonts w:eastAsia="Calibri"/>
          <w:rtl/>
        </w:rPr>
        <w:t xml:space="preserve">של הקרן החלה לאחר שנת 2014, בעקבות </w:t>
      </w:r>
      <w:r w:rsidRPr="00E303AD">
        <w:rPr>
          <w:rFonts w:eastAsia="Calibri" w:hint="cs"/>
          <w:rtl/>
        </w:rPr>
        <w:t xml:space="preserve">הוצאת </w:t>
      </w:r>
      <w:r w:rsidRPr="00E303AD">
        <w:rPr>
          <w:rFonts w:eastAsia="Calibri"/>
          <w:rtl/>
        </w:rPr>
        <w:t>פסק דין שבו הוטלו קנסות משמעותיים</w:t>
      </w:r>
      <w:r w:rsidRPr="00E303AD">
        <w:rPr>
          <w:rFonts w:eastAsia="Calibri" w:hint="cs"/>
          <w:rtl/>
        </w:rPr>
        <w:t xml:space="preserve">, </w:t>
      </w:r>
      <w:r w:rsidRPr="00E303AD">
        <w:rPr>
          <w:rFonts w:eastAsia="Calibri"/>
          <w:rtl/>
        </w:rPr>
        <w:t>ובכלל זה 300,000 ש״ח</w:t>
      </w:r>
      <w:r w:rsidRPr="00E303AD">
        <w:rPr>
          <w:rFonts w:eastAsia="Calibri" w:hint="cs"/>
          <w:rtl/>
        </w:rPr>
        <w:t xml:space="preserve"> </w:t>
      </w:r>
      <w:r w:rsidRPr="00E303AD">
        <w:rPr>
          <w:rFonts w:eastAsia="Calibri"/>
          <w:rtl/>
        </w:rPr>
        <w:t>שיועדו במפורש לקרן</w:t>
      </w:r>
      <w:r w:rsidRPr="00E303AD">
        <w:rPr>
          <w:rFonts w:eastAsia="Calibri" w:hint="cs"/>
          <w:rtl/>
        </w:rPr>
        <w:t xml:space="preserve">. כספי הקנסות </w:t>
      </w:r>
      <w:r w:rsidRPr="00E303AD">
        <w:rPr>
          <w:rFonts w:eastAsia="Calibri"/>
          <w:rtl/>
        </w:rPr>
        <w:t>סיפקו ל</w:t>
      </w:r>
      <w:r w:rsidRPr="00E303AD">
        <w:rPr>
          <w:rFonts w:eastAsia="Calibri" w:hint="cs"/>
          <w:rtl/>
        </w:rPr>
        <w:t xml:space="preserve">קרן תשתית כספית ממשית לפעולה - </w:t>
      </w:r>
      <w:r w:rsidRPr="00E303AD">
        <w:rPr>
          <w:rFonts w:eastAsia="Calibri"/>
          <w:rtl/>
        </w:rPr>
        <w:t xml:space="preserve">בניגוד לשנים </w:t>
      </w:r>
      <w:r w:rsidRPr="00E303AD">
        <w:rPr>
          <w:rFonts w:eastAsia="Calibri" w:hint="cs"/>
          <w:rtl/>
        </w:rPr>
        <w:t>שקדמו לכך</w:t>
      </w:r>
      <w:r w:rsidRPr="00E303AD">
        <w:rPr>
          <w:rFonts w:eastAsia="Calibri"/>
          <w:rtl/>
        </w:rPr>
        <w:t>, שבהן התקבלו סכומים מצומצמים שלא א</w:t>
      </w:r>
      <w:r w:rsidRPr="00E303AD">
        <w:rPr>
          <w:rFonts w:eastAsia="Calibri" w:hint="cs"/>
          <w:rtl/>
        </w:rPr>
        <w:t>י</w:t>
      </w:r>
      <w:r w:rsidRPr="00E303AD">
        <w:rPr>
          <w:rFonts w:eastAsia="Calibri"/>
          <w:rtl/>
        </w:rPr>
        <w:t xml:space="preserve">פשרו מימוש </w:t>
      </w:r>
      <w:r w:rsidRPr="00E303AD">
        <w:rPr>
          <w:rFonts w:eastAsia="Calibri" w:hint="cs"/>
          <w:rtl/>
        </w:rPr>
        <w:t xml:space="preserve">מלא </w:t>
      </w:r>
      <w:r w:rsidRPr="00E303AD">
        <w:rPr>
          <w:rFonts w:eastAsia="Calibri"/>
          <w:rtl/>
        </w:rPr>
        <w:t>של מטרות הקרן</w:t>
      </w:r>
      <w:r>
        <w:rPr>
          <w:rFonts w:eastAsia="Calibri"/>
          <w:vertAlign w:val="superscript"/>
          <w:rtl/>
        </w:rPr>
        <w:footnoteReference w:id="177"/>
      </w:r>
      <w:r w:rsidRPr="00E303AD">
        <w:rPr>
          <w:rFonts w:eastAsia="Calibri"/>
          <w:rtl/>
        </w:rPr>
        <w:t xml:space="preserve">. מאז </w:t>
      </w:r>
      <w:r w:rsidRPr="00E303AD">
        <w:rPr>
          <w:rFonts w:eastAsia="Calibri" w:hint="cs"/>
          <w:rtl/>
        </w:rPr>
        <w:t>היו כמה</w:t>
      </w:r>
      <w:r w:rsidRPr="00E303AD">
        <w:rPr>
          <w:rFonts w:eastAsia="Calibri"/>
          <w:rtl/>
        </w:rPr>
        <w:t xml:space="preserve"> סבבים של חלוקת כספים.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בשנים האחרונות הוגבלה </w:t>
      </w:r>
      <w:r w:rsidRPr="00E303AD">
        <w:rPr>
          <w:rFonts w:eastAsia="Calibri"/>
          <w:rtl/>
        </w:rPr>
        <w:t xml:space="preserve">יכולת הסיוע של הקרן בשל </w:t>
      </w:r>
      <w:r w:rsidRPr="00E303AD">
        <w:rPr>
          <w:rFonts w:eastAsia="Calibri" w:hint="cs"/>
          <w:rtl/>
        </w:rPr>
        <w:t>ה</w:t>
      </w:r>
      <w:r w:rsidRPr="00E303AD">
        <w:rPr>
          <w:rFonts w:eastAsia="Calibri"/>
          <w:rtl/>
        </w:rPr>
        <w:t xml:space="preserve">שינוי בדפוסי </w:t>
      </w:r>
      <w:r w:rsidRPr="00E303AD">
        <w:rPr>
          <w:rFonts w:eastAsia="Calibri" w:hint="cs"/>
          <w:rtl/>
        </w:rPr>
        <w:t xml:space="preserve">תופעת </w:t>
      </w:r>
      <w:r w:rsidRPr="00E303AD">
        <w:rPr>
          <w:rFonts w:eastAsia="Calibri"/>
          <w:rtl/>
        </w:rPr>
        <w:t>הסחר</w:t>
      </w:r>
      <w:r w:rsidRPr="00E303AD">
        <w:rPr>
          <w:rFonts w:eastAsia="Calibri" w:hint="cs"/>
          <w:rtl/>
        </w:rPr>
        <w:t xml:space="preserve"> בבני אדם וההליכים המשפטיים בגינם - ה</w:t>
      </w:r>
      <w:r w:rsidRPr="00E303AD">
        <w:rPr>
          <w:rFonts w:eastAsia="Calibri"/>
          <w:rtl/>
        </w:rPr>
        <w:t xml:space="preserve">שימוש </w:t>
      </w:r>
      <w:r w:rsidRPr="00E303AD">
        <w:rPr>
          <w:rFonts w:eastAsia="Calibri" w:hint="cs"/>
          <w:rtl/>
        </w:rPr>
        <w:t xml:space="preserve">המופחת </w:t>
      </w:r>
      <w:r w:rsidRPr="00E303AD">
        <w:rPr>
          <w:rFonts w:eastAsia="Calibri"/>
          <w:rtl/>
        </w:rPr>
        <w:t>בנכסים לביצוע העבירות, ריבוי הסדרי טיעון המ</w:t>
      </w:r>
      <w:r w:rsidRPr="00E303AD">
        <w:rPr>
          <w:rFonts w:eastAsia="Calibri" w:hint="cs"/>
          <w:rtl/>
        </w:rPr>
        <w:t>צמצמים</w:t>
      </w:r>
      <w:r w:rsidRPr="00E303AD">
        <w:rPr>
          <w:rFonts w:eastAsia="Calibri"/>
          <w:rtl/>
        </w:rPr>
        <w:t xml:space="preserve"> את מספר ההרשעות בעביר</w:t>
      </w:r>
      <w:r w:rsidRPr="00E303AD">
        <w:rPr>
          <w:rFonts w:eastAsia="Calibri" w:hint="cs"/>
          <w:rtl/>
        </w:rPr>
        <w:t>ו</w:t>
      </w:r>
      <w:r w:rsidRPr="00E303AD">
        <w:rPr>
          <w:rFonts w:eastAsia="Calibri"/>
          <w:rtl/>
        </w:rPr>
        <w:t xml:space="preserve">ת </w:t>
      </w:r>
      <w:r w:rsidRPr="00E303AD">
        <w:rPr>
          <w:rFonts w:eastAsia="Calibri" w:hint="cs"/>
          <w:rtl/>
        </w:rPr>
        <w:t xml:space="preserve">אלה </w:t>
      </w:r>
      <w:r w:rsidRPr="00E303AD">
        <w:rPr>
          <w:rFonts w:eastAsia="Calibri"/>
          <w:rtl/>
        </w:rPr>
        <w:t>ו</w:t>
      </w:r>
      <w:r w:rsidRPr="00E303AD">
        <w:rPr>
          <w:rFonts w:eastAsia="Calibri" w:hint="cs"/>
          <w:rtl/>
        </w:rPr>
        <w:t>ה</w:t>
      </w:r>
      <w:r w:rsidRPr="00E303AD">
        <w:rPr>
          <w:rFonts w:eastAsia="Calibri"/>
          <w:rtl/>
        </w:rPr>
        <w:t xml:space="preserve">הפחתה </w:t>
      </w:r>
      <w:r w:rsidRPr="00E303AD">
        <w:rPr>
          <w:rFonts w:eastAsia="Calibri" w:hint="cs"/>
          <w:rtl/>
        </w:rPr>
        <w:t>הניכרת</w:t>
      </w:r>
      <w:r w:rsidRPr="00E303AD">
        <w:rPr>
          <w:rFonts w:eastAsia="Calibri"/>
          <w:rtl/>
        </w:rPr>
        <w:t xml:space="preserve"> בהיקף הנכסים המועברים לקרן. </w:t>
      </w:r>
      <w:r w:rsidRPr="00E303AD">
        <w:rPr>
          <w:rFonts w:eastAsia="Calibri" w:hint="cs"/>
          <w:rtl/>
        </w:rPr>
        <w:t>עקב כך בשנים 2024 - 2025 הוקפאה</w:t>
      </w:r>
      <w:r w:rsidRPr="00E303AD">
        <w:rPr>
          <w:rFonts w:eastAsia="Calibri"/>
          <w:rtl/>
        </w:rPr>
        <w:t xml:space="preserve"> </w:t>
      </w:r>
      <w:r w:rsidRPr="00E303AD">
        <w:rPr>
          <w:rFonts w:eastAsia="Calibri" w:hint="cs"/>
          <w:rtl/>
        </w:rPr>
        <w:t xml:space="preserve">האפשרות </w:t>
      </w:r>
      <w:r w:rsidRPr="00E303AD">
        <w:rPr>
          <w:rFonts w:eastAsia="Calibri"/>
          <w:rtl/>
        </w:rPr>
        <w:t xml:space="preserve">להגשת בקשות חדשות להקצאת כספים מהקרן עד </w:t>
      </w:r>
      <w:r w:rsidRPr="00E303AD">
        <w:rPr>
          <w:rFonts w:eastAsia="Calibri" w:hint="cs"/>
          <w:rtl/>
        </w:rPr>
        <w:t>שיועברו אליה</w:t>
      </w:r>
      <w:r w:rsidRPr="00E303AD">
        <w:rPr>
          <w:rFonts w:eastAsia="Calibri"/>
          <w:rtl/>
        </w:rPr>
        <w:t xml:space="preserve"> </w:t>
      </w:r>
      <w:r w:rsidRPr="00E303AD">
        <w:rPr>
          <w:rFonts w:eastAsia="Calibri" w:hint="cs"/>
          <w:rtl/>
        </w:rPr>
        <w:t>כספים נוספים</w:t>
      </w:r>
      <w:r>
        <w:rPr>
          <w:rFonts w:eastAsia="Calibri"/>
          <w:vertAlign w:val="superscript"/>
          <w:rtl/>
        </w:rPr>
        <w:footnoteReference w:id="178"/>
      </w:r>
      <w:r w:rsidRPr="00E303AD">
        <w:rPr>
          <w:rFonts w:eastAsia="Calibri"/>
        </w:rPr>
        <w:t>.</w:t>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 xml:space="preserve">בשנת 2021 אושרו 98 מתוך 104 הבקשות להקצאת כספים מהקרן; בשנת 2022 - 104 מתוך 109 הבקשות; בשנת 2023 - אושרו כל 48 הבקשות; ובשנים 2024 ו-2025 לא היה אפשר להגיש בקשות לקרן מאחר שלא חולקו כספים. </w:t>
      </w:r>
    </w:p>
    <w:p w:rsidR="00E303AD" w:rsidRPr="00E303AD" w:rsidP="00E303AD">
      <w:pPr>
        <w:spacing w:line="269" w:lineRule="auto"/>
        <w:ind w:left="-567"/>
        <w:rPr>
          <w:rFonts w:eastAsia="Calibri"/>
          <w:szCs w:val="20"/>
          <w:rtl/>
        </w:rPr>
      </w:pPr>
    </w:p>
    <w:p w:rsidR="00E303AD" w:rsidRPr="00E303AD" w:rsidP="00367CD6">
      <w:pPr>
        <w:keepNext/>
        <w:keepLines/>
        <w:tabs>
          <w:tab w:val="left" w:pos="2071"/>
        </w:tabs>
        <w:spacing w:line="269" w:lineRule="auto"/>
        <w:jc w:val="center"/>
        <w:rPr>
          <w:rFonts w:eastAsia="Calibri"/>
          <w:rtl/>
        </w:rPr>
      </w:pPr>
      <w:bookmarkStart w:id="204" w:name="_Hlk209946172"/>
      <w:r w:rsidRPr="00E303AD">
        <w:rPr>
          <w:rFonts w:eastAsia="Calibri" w:hint="cs"/>
          <w:rtl/>
        </w:rPr>
        <w:t>תרשים 14:</w:t>
      </w:r>
      <w:r w:rsidRPr="00E303AD">
        <w:rPr>
          <w:rFonts w:eastAsia="Calibri" w:hint="cs"/>
          <w:b/>
          <w:bCs/>
          <w:rtl/>
        </w:rPr>
        <w:t xml:space="preserve"> הכספים (בש"ח) שחולקו במסגרת קרן החילוט, </w:t>
      </w:r>
      <w:r w:rsidRPr="00E303AD">
        <w:rPr>
          <w:rFonts w:eastAsia="Calibri"/>
          <w:b/>
          <w:bCs/>
          <w:rtl/>
        </w:rPr>
        <w:t>2019 - 202</w:t>
      </w:r>
      <w:r w:rsidRPr="00E303AD">
        <w:rPr>
          <w:rFonts w:eastAsia="Calibri" w:hint="cs"/>
          <w:b/>
          <w:bCs/>
          <w:rtl/>
        </w:rPr>
        <w:t>5</w:t>
      </w:r>
    </w:p>
    <w:p w:rsidR="00E303AD" w:rsidRPr="00E303AD" w:rsidP="00E303AD">
      <w:pPr>
        <w:spacing w:line="269" w:lineRule="auto"/>
        <w:ind w:left="-1"/>
        <w:jc w:val="center"/>
        <w:rPr>
          <w:rFonts w:eastAsia="Calibri"/>
          <w:sz w:val="16"/>
          <w:szCs w:val="20"/>
          <w:rtl/>
        </w:rPr>
      </w:pPr>
      <w:r w:rsidRPr="00E303AD">
        <w:rPr>
          <w:rFonts w:eastAsia="Calibri"/>
          <w:noProof/>
        </w:rPr>
        <w:drawing>
          <wp:inline distT="0" distB="0" distL="0" distR="0">
            <wp:extent cx="5220335" cy="2990215"/>
            <wp:effectExtent l="0" t="0" r="0" b="635"/>
            <wp:docPr id="84" name="תמונה 84" descr="תרשים עמודות המפרט את סכום הכספים (בש&quot;ח) שחולקו במסגרת קרן החילוט לאורך השנים 2019 עד 2025:&#10;&#10;שנת 2019: חולקו 420,512 ש&quot;ח.&#10;&#10;שנת 2020: חולקו 0 ש&quot;ח.&#10;&#10;שנת 2021: חולקו 1,076,525 ש&quot;ח.&#10;&#10;שנת 2022: חולקו 807,463 ש&quot;ח.&#10;&#10;שנת 2023: חולקו 357,013 ש&quot;ח.&#10;&#10;שנת 2024: חולקו 0 ש&quot;ח.&#10;&#10;שנת 2025: חולקו 0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
                    <pic:cNvPicPr/>
                  </pic:nvPicPr>
                  <pic:blipFill>
                    <a:blip xmlns:r="http://schemas.openxmlformats.org/officeDocument/2006/relationships" r:embed="rId39"/>
                    <a:stretch>
                      <a:fillRect/>
                    </a:stretch>
                  </pic:blipFill>
                  <pic:spPr>
                    <a:xfrm>
                      <a:off x="0" y="0"/>
                      <a:ext cx="5220335" cy="2990215"/>
                    </a:xfrm>
                    <a:prstGeom prst="rect">
                      <a:avLst/>
                    </a:prstGeom>
                  </pic:spPr>
                </pic:pic>
              </a:graphicData>
            </a:graphic>
          </wp:inline>
        </w:drawing>
      </w:r>
    </w:p>
    <w:p w:rsidR="00E303AD" w:rsidRPr="00E303AD" w:rsidP="00E303AD">
      <w:pPr>
        <w:spacing w:line="269" w:lineRule="auto"/>
        <w:rPr>
          <w:rFonts w:eastAsia="Calibri"/>
          <w:sz w:val="16"/>
          <w:szCs w:val="20"/>
          <w:rtl/>
        </w:rPr>
      </w:pPr>
      <w:r w:rsidRPr="00E303AD">
        <w:rPr>
          <w:rFonts w:eastAsia="Calibri" w:hint="cs"/>
          <w:sz w:val="16"/>
          <w:szCs w:val="20"/>
          <w:rtl/>
        </w:rPr>
        <w:t>על פי דוח היחידה לתיאום המאבק בסחר בבני אדם והאתר לקרן, בעיבוד משרד מבקר המדינה</w:t>
      </w:r>
      <w:r>
        <w:rPr>
          <w:rFonts w:eastAsia="Calibri"/>
          <w:sz w:val="16"/>
          <w:vertAlign w:val="superscript"/>
          <w:rtl/>
        </w:rPr>
        <w:footnoteReference w:id="179"/>
      </w:r>
      <w:r w:rsidRPr="00E303AD">
        <w:rPr>
          <w:rFonts w:eastAsia="Calibri" w:hint="cs"/>
          <w:sz w:val="16"/>
          <w:szCs w:val="20"/>
          <w:rtl/>
        </w:rPr>
        <w:t>.</w:t>
      </w:r>
    </w:p>
    <w:bookmarkEnd w:id="204"/>
    <w:p w:rsidR="00E303AD" w:rsidRPr="00E303AD" w:rsidP="00E303AD">
      <w:pPr>
        <w:spacing w:line="269" w:lineRule="auto"/>
        <w:ind w:left="-567"/>
        <w:rPr>
          <w:rFonts w:eastAsia="Calibri"/>
          <w:szCs w:val="20"/>
          <w:rtl/>
        </w:rPr>
      </w:pPr>
    </w:p>
    <w:p w:rsidR="00E303AD" w:rsidRPr="00E303AD" w:rsidP="00E303AD">
      <w:pPr>
        <w:spacing w:line="269" w:lineRule="auto"/>
        <w:rPr>
          <w:rFonts w:eastAsia="Calibri"/>
          <w:b/>
          <w:bCs/>
          <w:rtl/>
        </w:rPr>
      </w:pPr>
      <w:bookmarkStart w:id="205" w:name="_Hlk222920575"/>
      <w:bookmarkStart w:id="206" w:name="_Hlk222644881"/>
      <w:r w:rsidRPr="00E303AD">
        <w:rPr>
          <w:rFonts w:eastAsia="Calibri" w:hint="eastAsia"/>
          <w:b/>
          <w:bCs/>
          <w:rtl/>
        </w:rPr>
        <w:t>מהתרשים</w:t>
      </w:r>
      <w:r w:rsidRPr="00E303AD">
        <w:rPr>
          <w:rFonts w:eastAsia="Calibri"/>
          <w:b/>
          <w:bCs/>
          <w:rtl/>
        </w:rPr>
        <w:t xml:space="preserve"> עולה כי </w:t>
      </w:r>
      <w:r w:rsidRPr="00E303AD">
        <w:rPr>
          <w:rFonts w:eastAsia="Calibri" w:hint="eastAsia"/>
          <w:b/>
          <w:bCs/>
          <w:rtl/>
        </w:rPr>
        <w:t>משנת</w:t>
      </w:r>
      <w:r w:rsidRPr="00E303AD">
        <w:rPr>
          <w:rFonts w:eastAsia="Calibri"/>
          <w:b/>
          <w:bCs/>
          <w:rtl/>
        </w:rPr>
        <w:t xml:space="preserve"> 2021 </w:t>
      </w:r>
      <w:r w:rsidRPr="00E303AD">
        <w:rPr>
          <w:rFonts w:eastAsia="Calibri" w:hint="eastAsia"/>
          <w:b/>
          <w:bCs/>
          <w:rtl/>
        </w:rPr>
        <w:t>מסתמנת</w:t>
      </w:r>
      <w:r w:rsidRPr="00E303AD">
        <w:rPr>
          <w:rFonts w:eastAsia="Calibri"/>
          <w:b/>
          <w:bCs/>
          <w:rtl/>
        </w:rPr>
        <w:t xml:space="preserve"> </w:t>
      </w:r>
      <w:r w:rsidRPr="00E303AD">
        <w:rPr>
          <w:rFonts w:eastAsia="Calibri" w:hint="eastAsia"/>
          <w:b/>
          <w:bCs/>
          <w:rtl/>
        </w:rPr>
        <w:t>מגמת</w:t>
      </w:r>
      <w:r w:rsidRPr="00E303AD">
        <w:rPr>
          <w:rFonts w:eastAsia="Calibri"/>
          <w:b/>
          <w:bCs/>
          <w:rtl/>
        </w:rPr>
        <w:t xml:space="preserve"> </w:t>
      </w:r>
      <w:r w:rsidRPr="00E303AD">
        <w:rPr>
          <w:rFonts w:eastAsia="Calibri" w:hint="eastAsia"/>
          <w:b/>
          <w:bCs/>
          <w:rtl/>
        </w:rPr>
        <w:t>הפחתה</w:t>
      </w:r>
      <w:r w:rsidRPr="00E303AD">
        <w:rPr>
          <w:rFonts w:eastAsia="Calibri"/>
          <w:b/>
          <w:bCs/>
          <w:rtl/>
        </w:rPr>
        <w:t xml:space="preserve"> </w:t>
      </w:r>
      <w:r w:rsidRPr="00E303AD">
        <w:rPr>
          <w:rFonts w:eastAsia="Calibri" w:hint="eastAsia"/>
          <w:b/>
          <w:bCs/>
          <w:rtl/>
        </w:rPr>
        <w:t>ב</w:t>
      </w:r>
      <w:r w:rsidRPr="00E303AD">
        <w:rPr>
          <w:rFonts w:eastAsia="Calibri"/>
          <w:b/>
          <w:bCs/>
          <w:rtl/>
        </w:rPr>
        <w:t xml:space="preserve">כספים המחולקים </w:t>
      </w:r>
      <w:r w:rsidRPr="00E303AD">
        <w:rPr>
          <w:rFonts w:eastAsia="Calibri" w:hint="eastAsia"/>
          <w:b/>
          <w:bCs/>
          <w:rtl/>
        </w:rPr>
        <w:t>והניתנים</w:t>
      </w:r>
      <w:r w:rsidRPr="00E303AD">
        <w:rPr>
          <w:rFonts w:eastAsia="Calibri"/>
          <w:b/>
          <w:bCs/>
          <w:rtl/>
        </w:rPr>
        <w:t xml:space="preserve"> לשימוש בפועל לצורך מימוש מטרות הקרן</w:t>
      </w:r>
      <w:r w:rsidRPr="00E303AD">
        <w:rPr>
          <w:rFonts w:eastAsia="Calibri" w:hint="cs"/>
          <w:b/>
          <w:bCs/>
          <w:rtl/>
        </w:rPr>
        <w:t xml:space="preserve"> - הפחתה של 25% משנת 2021 לשנת 2022 (807,463 ש"ח בשנת 2022 לעומת 1,076,525 בשנת 2021), הפחתה נוספת של 56% משנת 2022 לשנת 2023 (שבמהלכה חולקו 357,013 ש"ח בלבד), </w:t>
      </w:r>
      <w:r w:rsidRPr="00E303AD">
        <w:rPr>
          <w:rFonts w:eastAsia="Calibri" w:hint="eastAsia"/>
          <w:b/>
          <w:bCs/>
          <w:rtl/>
        </w:rPr>
        <w:t>עד</w:t>
      </w:r>
      <w:r w:rsidRPr="00E303AD">
        <w:rPr>
          <w:rFonts w:eastAsia="Calibri"/>
          <w:b/>
          <w:bCs/>
          <w:rtl/>
        </w:rPr>
        <w:t xml:space="preserve"> כדי כך ש</w:t>
      </w:r>
      <w:r w:rsidRPr="00E303AD">
        <w:rPr>
          <w:rFonts w:eastAsia="Calibri" w:hint="cs"/>
          <w:b/>
          <w:bCs/>
          <w:rtl/>
        </w:rPr>
        <w:t xml:space="preserve">בשנים 2024 ו-2025 </w:t>
      </w:r>
      <w:r w:rsidRPr="00E303AD">
        <w:rPr>
          <w:rFonts w:eastAsia="Calibri"/>
          <w:b/>
          <w:bCs/>
          <w:rtl/>
        </w:rPr>
        <w:t>כספי הקרן</w:t>
      </w:r>
      <w:r w:rsidRPr="00E303AD">
        <w:rPr>
          <w:rFonts w:eastAsia="Calibri" w:hint="cs"/>
          <w:b/>
          <w:bCs/>
          <w:rtl/>
        </w:rPr>
        <w:t xml:space="preserve"> לא חולקו כלל. </w:t>
      </w:r>
      <w:bookmarkEnd w:id="205"/>
      <w:bookmarkEnd w:id="206"/>
      <w:r w:rsidRPr="00E303AD">
        <w:rPr>
          <w:rFonts w:eastAsia="Calibri" w:hint="eastAsia"/>
          <w:b/>
          <w:bCs/>
          <w:rtl/>
        </w:rPr>
        <w:t>זאת</w:t>
      </w:r>
      <w:r w:rsidRPr="00E303AD">
        <w:rPr>
          <w:rFonts w:eastAsia="Calibri"/>
          <w:b/>
          <w:bCs/>
          <w:rtl/>
        </w:rPr>
        <w:t xml:space="preserve"> לנוכח </w:t>
      </w:r>
      <w:r w:rsidRPr="00E303AD">
        <w:rPr>
          <w:rFonts w:eastAsia="Calibri" w:hint="cs"/>
          <w:b/>
          <w:bCs/>
          <w:rtl/>
        </w:rPr>
        <w:t xml:space="preserve">הפחתת </w:t>
      </w:r>
      <w:r w:rsidRPr="00E303AD">
        <w:rPr>
          <w:rFonts w:eastAsia="Calibri"/>
          <w:b/>
          <w:bCs/>
          <w:rtl/>
        </w:rPr>
        <w:t xml:space="preserve">היקף הרכוש והקנסות המועברים אליה </w:t>
      </w:r>
      <w:r w:rsidRPr="00E303AD">
        <w:rPr>
          <w:rFonts w:eastAsia="Calibri" w:hint="cs"/>
          <w:b/>
          <w:bCs/>
          <w:rtl/>
        </w:rPr>
        <w:t>במסגרת הליכים</w:t>
      </w:r>
      <w:r w:rsidRPr="00E303AD">
        <w:rPr>
          <w:rFonts w:eastAsia="Calibri"/>
          <w:b/>
          <w:bCs/>
          <w:rtl/>
        </w:rPr>
        <w:t xml:space="preserve"> פליליים.</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rtl/>
        </w:rPr>
      </w:pPr>
      <w:r w:rsidRPr="00E303AD">
        <w:rPr>
          <w:rFonts w:eastAsia="Calibri" w:hint="cs"/>
          <w:rtl/>
        </w:rPr>
        <w:t>התועלת שבחלוקת הכספים מקרן החילוט ככלי המסייע למאבק בסחר בבני אדם עמדה גם ביסוד החלטת הממשלה 1862 שבה הוטל על משרד המשפטים לקדם את הרחבת טווח העבירות שבגינן יהיה אפשר לחלט כספים למען הקרן</w:t>
      </w:r>
      <w:r>
        <w:rPr>
          <w:rFonts w:eastAsia="Calibri"/>
          <w:vertAlign w:val="superscript"/>
          <w:rtl/>
        </w:rPr>
        <w:footnoteReference w:id="180"/>
      </w:r>
      <w:r w:rsidRPr="00E303AD">
        <w:rPr>
          <w:rFonts w:eastAsia="Calibri" w:hint="cs"/>
          <w:rtl/>
        </w:rPr>
        <w:t xml:space="preserve">.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r w:rsidRPr="00E303AD">
        <w:rPr>
          <w:rFonts w:eastAsia="Calibri" w:hint="cs"/>
          <w:b/>
          <w:bCs/>
          <w:rtl/>
        </w:rPr>
        <w:t xml:space="preserve">בביקורת עלה כי אף שכבר בהחלטת הממשלה 1862 משנת 2022 נקבע כי מוטל על משרד המשפטים לקדם את הרחבת טווח העבירות שבגינן יהיה אפשר לחלט כספים למען הקרן שהוקמה לצורך תמיכה במאבק בסחר בבני אדם ובהחזקה בתנאי עבדות, הרחבת טווח העבירות טרם הושלמה. </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RPr="00E303AD" w:rsidP="00E303AD">
      <w:pPr>
        <w:spacing w:line="269" w:lineRule="auto"/>
        <w:rPr>
          <w:rFonts w:eastAsia="Calibri"/>
          <w:b/>
          <w:bCs/>
          <w:rtl/>
        </w:rPr>
      </w:pPr>
      <w:bookmarkStart w:id="207" w:name="_Hlk222643914"/>
      <w:r w:rsidRPr="00E303AD">
        <w:rPr>
          <w:rFonts w:eastAsia="Calibri" w:hint="cs"/>
          <w:b/>
          <w:bCs/>
          <w:rtl/>
        </w:rPr>
        <w:t>משרד מבקר המדינה ממליץ כי במסגרת ההרחבה של</w:t>
      </w:r>
      <w:r w:rsidRPr="00E303AD">
        <w:rPr>
          <w:rFonts w:eastAsia="Calibri"/>
          <w:b/>
          <w:bCs/>
          <w:rtl/>
        </w:rPr>
        <w:t xml:space="preserve"> טווח העבירות שבגינן יהיה אפשר לחלט כספים למען הקרן</w:t>
      </w:r>
      <w:r w:rsidRPr="00E303AD">
        <w:rPr>
          <w:rFonts w:eastAsia="Calibri" w:hint="cs"/>
          <w:b/>
          <w:bCs/>
          <w:rtl/>
        </w:rPr>
        <w:t xml:space="preserve">, ישקול משרד המשפטים את </w:t>
      </w:r>
      <w:bookmarkEnd w:id="207"/>
      <w:r w:rsidRPr="00E303AD">
        <w:rPr>
          <w:rFonts w:eastAsia="Calibri" w:hint="cs"/>
          <w:b/>
          <w:bCs/>
          <w:rtl/>
        </w:rPr>
        <w:t xml:space="preserve">הרחבת מקורות הקרן בזיקה לעבירה על פי חוק איסור צריכת זנות ועבירות נלוות לתופעת הזנות, כפי שנקבע בסימן י' לחוק העונשין, באופן שכספיה ישמשו גם </w:t>
      </w:r>
      <w:r w:rsidRPr="00E303AD">
        <w:rPr>
          <w:rFonts w:eastAsia="Calibri"/>
          <w:b/>
          <w:bCs/>
          <w:rtl/>
        </w:rPr>
        <w:t>שורדות זנות</w:t>
      </w:r>
      <w:r w:rsidRPr="00E303AD">
        <w:rPr>
          <w:rFonts w:eastAsia="Calibri" w:hint="cs"/>
          <w:b/>
          <w:bCs/>
          <w:rtl/>
        </w:rPr>
        <w:t>. הרחבת מקורותיה של הקרן בד בבד עם הרחבת מטרותיה לסיוע לשורדות זנות נוסף על הסיוע לקורבנות סחר בבני אדם יאפשרו לה לנצל את משאביה למתן סיוע</w:t>
      </w:r>
      <w:r w:rsidRPr="00E303AD">
        <w:rPr>
          <w:rFonts w:eastAsia="Calibri"/>
          <w:b/>
          <w:bCs/>
          <w:rtl/>
        </w:rPr>
        <w:t xml:space="preserve"> </w:t>
      </w:r>
      <w:r w:rsidRPr="00E303AD">
        <w:rPr>
          <w:rFonts w:eastAsia="Calibri" w:hint="cs"/>
          <w:b/>
          <w:bCs/>
          <w:rtl/>
        </w:rPr>
        <w:t xml:space="preserve">לנפגעות, לשיקומן ולתמיכה בהן, </w:t>
      </w:r>
      <w:r w:rsidRPr="00E303AD">
        <w:rPr>
          <w:rFonts w:eastAsia="Calibri"/>
          <w:b/>
          <w:bCs/>
          <w:rtl/>
        </w:rPr>
        <w:t xml:space="preserve">תוך יצירת מחויבות מוסרית וחברתית </w:t>
      </w:r>
      <w:r w:rsidRPr="00E303AD">
        <w:rPr>
          <w:rFonts w:eastAsia="Calibri" w:hint="cs"/>
          <w:b/>
          <w:bCs/>
          <w:rtl/>
        </w:rPr>
        <w:t>כלפי אוכלוסיות אלו</w:t>
      </w:r>
      <w:r w:rsidRPr="00E303AD">
        <w:rPr>
          <w:rFonts w:eastAsia="Calibri"/>
          <w:b/>
          <w:bCs/>
          <w:rtl/>
        </w:rPr>
        <w:t>. מהלך כזה צפוי לשפר את ההגנה על שורדות זנות</w:t>
      </w:r>
      <w:r w:rsidRPr="00E303AD">
        <w:rPr>
          <w:rFonts w:eastAsia="Calibri" w:hint="cs"/>
          <w:b/>
          <w:bCs/>
          <w:rtl/>
        </w:rPr>
        <w:t xml:space="preserve"> וקורבנות סחר בבני אדם</w:t>
      </w:r>
      <w:r w:rsidRPr="00E303AD">
        <w:rPr>
          <w:rFonts w:eastAsia="Calibri"/>
          <w:b/>
          <w:bCs/>
          <w:rtl/>
        </w:rPr>
        <w:t xml:space="preserve">, </w:t>
      </w:r>
      <w:r w:rsidRPr="00E303AD">
        <w:rPr>
          <w:rFonts w:eastAsia="Calibri"/>
          <w:b/>
          <w:bCs/>
          <w:rtl/>
        </w:rPr>
        <w:t>להגביר את יכולת ההתמודדות עם הש</w:t>
      </w:r>
      <w:r w:rsidRPr="00E303AD">
        <w:rPr>
          <w:rFonts w:eastAsia="Calibri" w:hint="cs"/>
          <w:b/>
          <w:bCs/>
          <w:rtl/>
        </w:rPr>
        <w:t>פעות</w:t>
      </w:r>
      <w:r w:rsidRPr="00E303AD">
        <w:rPr>
          <w:rFonts w:eastAsia="Calibri"/>
          <w:b/>
          <w:bCs/>
          <w:rtl/>
        </w:rPr>
        <w:t xml:space="preserve"> הפגיעה</w:t>
      </w:r>
      <w:r w:rsidRPr="00E303AD">
        <w:rPr>
          <w:rFonts w:eastAsia="Calibri" w:hint="cs"/>
          <w:b/>
          <w:bCs/>
          <w:rtl/>
        </w:rPr>
        <w:t xml:space="preserve"> בנשים אלה</w:t>
      </w:r>
      <w:r w:rsidRPr="00E303AD">
        <w:rPr>
          <w:rFonts w:eastAsia="Calibri"/>
          <w:b/>
          <w:bCs/>
          <w:rtl/>
        </w:rPr>
        <w:t xml:space="preserve"> ול</w:t>
      </w:r>
      <w:r w:rsidRPr="00E303AD">
        <w:rPr>
          <w:rFonts w:eastAsia="Calibri" w:hint="cs"/>
          <w:b/>
          <w:bCs/>
          <w:rtl/>
        </w:rPr>
        <w:t>שפר</w:t>
      </w:r>
      <w:r w:rsidRPr="00E303AD">
        <w:rPr>
          <w:rFonts w:eastAsia="Calibri"/>
          <w:b/>
          <w:bCs/>
          <w:rtl/>
        </w:rPr>
        <w:t xml:space="preserve"> את המענה </w:t>
      </w:r>
      <w:r w:rsidRPr="00E303AD">
        <w:rPr>
          <w:rFonts w:eastAsia="Calibri" w:hint="cs"/>
          <w:b/>
          <w:bCs/>
          <w:rtl/>
        </w:rPr>
        <w:t>הכלכלי-</w:t>
      </w:r>
      <w:r w:rsidRPr="00E303AD">
        <w:rPr>
          <w:rFonts w:eastAsia="Calibri"/>
          <w:b/>
          <w:bCs/>
          <w:rtl/>
        </w:rPr>
        <w:t>חברתי ב</w:t>
      </w:r>
      <w:r w:rsidRPr="00E303AD">
        <w:rPr>
          <w:rFonts w:eastAsia="Calibri" w:hint="cs"/>
          <w:b/>
          <w:bCs/>
          <w:rtl/>
        </w:rPr>
        <w:t>מסגרת ה</w:t>
      </w:r>
      <w:r w:rsidRPr="00E303AD">
        <w:rPr>
          <w:rFonts w:eastAsia="Calibri"/>
          <w:b/>
          <w:bCs/>
          <w:rtl/>
        </w:rPr>
        <w:t>מאבק בתופעה</w:t>
      </w:r>
      <w:r>
        <w:rPr>
          <w:rFonts w:eastAsia="Calibri"/>
          <w:b/>
          <w:bCs/>
          <w:vertAlign w:val="superscript"/>
          <w:rtl/>
        </w:rPr>
        <w:footnoteReference w:id="181"/>
      </w:r>
      <w:r w:rsidRPr="00E303AD">
        <w:rPr>
          <w:rFonts w:eastAsia="Calibri" w:hint="cs"/>
          <w:b/>
          <w:bCs/>
          <w:rtl/>
        </w:rPr>
        <w:t>.</w:t>
      </w:r>
    </w:p>
    <w:p w:rsidR="00E303AD" w:rsidRPr="00E303AD" w:rsidP="00E303AD">
      <w:pPr>
        <w:spacing w:line="269" w:lineRule="auto"/>
        <w:ind w:left="-567"/>
        <w:rPr>
          <w:rFonts w:eastAsia="Calibri"/>
          <w:szCs w:val="20"/>
          <w:rtl/>
        </w:rPr>
      </w:pPr>
      <w:r w:rsidRPr="00E303AD">
        <w:rPr>
          <w:rFonts w:eastAsia="Calibri" w:hint="cs"/>
          <w:szCs w:val="20"/>
          <w:rtl/>
        </w:rPr>
        <w:t xml:space="preserve"> </w:t>
      </w:r>
    </w:p>
    <w:p w:rsidR="00E303AD" w:rsidP="00E303AD">
      <w:pPr>
        <w:spacing w:line="269" w:lineRule="auto"/>
        <w:rPr>
          <w:rFonts w:eastAsia="Calibri"/>
          <w:rtl/>
        </w:rPr>
      </w:pPr>
      <w:r w:rsidRPr="00E303AD">
        <w:rPr>
          <w:rFonts w:eastAsia="Calibri" w:hint="cs"/>
          <w:rtl/>
        </w:rPr>
        <w:t xml:space="preserve">בתשובת משרד המשפטים צוין כי </w:t>
      </w:r>
      <w:r w:rsidRPr="00E303AD">
        <w:rPr>
          <w:rFonts w:eastAsia="Calibri"/>
          <w:rtl/>
        </w:rPr>
        <w:t>לשם קידום יעיל של תיקון</w:t>
      </w:r>
      <w:r w:rsidRPr="00E303AD">
        <w:rPr>
          <w:rFonts w:eastAsia="Calibri" w:hint="cs"/>
          <w:rtl/>
        </w:rPr>
        <w:t xml:space="preserve"> החוק </w:t>
      </w:r>
      <w:r w:rsidRPr="00E303AD">
        <w:rPr>
          <w:rFonts w:eastAsia="Calibri"/>
          <w:rtl/>
        </w:rPr>
        <w:t xml:space="preserve">הוחלט לשלבו במסגרת הצעת חוק סדר הדין הפלילי (חילוט תקבולי עבירה). קידומה של הצעת החוק התעכב </w:t>
      </w:r>
      <w:r w:rsidRPr="00E303AD">
        <w:rPr>
          <w:rFonts w:eastAsia="Calibri" w:hint="cs"/>
          <w:rtl/>
        </w:rPr>
        <w:t>תקופה ממושכת</w:t>
      </w:r>
      <w:r w:rsidRPr="00E303AD">
        <w:rPr>
          <w:rFonts w:eastAsia="Calibri"/>
          <w:rtl/>
        </w:rPr>
        <w:t xml:space="preserve"> מטעמ</w:t>
      </w:r>
      <w:r w:rsidRPr="00E303AD">
        <w:rPr>
          <w:rFonts w:eastAsia="Calibri" w:hint="cs"/>
          <w:rtl/>
        </w:rPr>
        <w:t>י</w:t>
      </w:r>
      <w:r w:rsidRPr="00E303AD">
        <w:rPr>
          <w:rFonts w:eastAsia="Calibri"/>
          <w:rtl/>
        </w:rPr>
        <w:t xml:space="preserve">ם שאינם תלויים בדרג המקצועי, </w:t>
      </w:r>
      <w:r w:rsidRPr="00E303AD">
        <w:rPr>
          <w:rFonts w:eastAsia="Calibri" w:hint="cs"/>
          <w:rtl/>
        </w:rPr>
        <w:t>אך בפברואר 2026</w:t>
      </w:r>
      <w:r w:rsidRPr="00E303AD">
        <w:rPr>
          <w:rFonts w:eastAsia="Calibri"/>
          <w:rtl/>
        </w:rPr>
        <w:t xml:space="preserve"> </w:t>
      </w:r>
      <w:r w:rsidRPr="00E303AD">
        <w:rPr>
          <w:rFonts w:eastAsia="Calibri" w:hint="cs"/>
          <w:rtl/>
        </w:rPr>
        <w:t xml:space="preserve">היא </w:t>
      </w:r>
      <w:r w:rsidRPr="00E303AD">
        <w:rPr>
          <w:rFonts w:eastAsia="Calibri"/>
          <w:rtl/>
        </w:rPr>
        <w:t>אושרה</w:t>
      </w:r>
      <w:r w:rsidRPr="00E303AD">
        <w:rPr>
          <w:rFonts w:eastAsia="Calibri" w:hint="cs"/>
          <w:rtl/>
        </w:rPr>
        <w:t xml:space="preserve"> </w:t>
      </w:r>
      <w:r w:rsidRPr="00E303AD">
        <w:rPr>
          <w:rFonts w:eastAsia="Calibri"/>
          <w:rtl/>
        </w:rPr>
        <w:t>בוועדת שרים לענייני חקיקה</w:t>
      </w:r>
      <w:r w:rsidRPr="00E303AD">
        <w:rPr>
          <w:rFonts w:eastAsia="Calibri" w:hint="cs"/>
          <w:rtl/>
        </w:rPr>
        <w:t xml:space="preserve"> והוגשה לכנסת</w:t>
      </w:r>
      <w:r w:rsidRPr="00E303AD">
        <w:rPr>
          <w:rFonts w:eastAsia="Calibri"/>
          <w:rtl/>
        </w:rPr>
        <w:t xml:space="preserve">. אשר להמלצת מבקר המדינה בדבר הרחבת מקורות הקרן ובחינת </w:t>
      </w:r>
      <w:r w:rsidRPr="00E303AD">
        <w:rPr>
          <w:rFonts w:eastAsia="Calibri" w:hint="cs"/>
          <w:rtl/>
        </w:rPr>
        <w:t>ה</w:t>
      </w:r>
      <w:r w:rsidRPr="00E303AD">
        <w:rPr>
          <w:rFonts w:eastAsia="Calibri"/>
          <w:rtl/>
        </w:rPr>
        <w:t>הוספ</w:t>
      </w:r>
      <w:r w:rsidRPr="00E303AD">
        <w:rPr>
          <w:rFonts w:eastAsia="Calibri" w:hint="cs"/>
          <w:rtl/>
        </w:rPr>
        <w:t>ה של</w:t>
      </w:r>
      <w:r w:rsidRPr="00E303AD">
        <w:rPr>
          <w:rFonts w:eastAsia="Calibri"/>
          <w:rtl/>
        </w:rPr>
        <w:t xml:space="preserve"> עבירות - </w:t>
      </w:r>
      <w:r w:rsidRPr="00E303AD">
        <w:rPr>
          <w:rFonts w:eastAsia="Calibri" w:hint="cs"/>
          <w:rtl/>
        </w:rPr>
        <w:t>סוגיה זו טעונה בחינה נפרדת ל</w:t>
      </w:r>
      <w:r w:rsidRPr="00E303AD">
        <w:rPr>
          <w:rFonts w:eastAsia="Calibri"/>
          <w:rtl/>
        </w:rPr>
        <w:t>אח</w:t>
      </w:r>
      <w:r w:rsidRPr="00E303AD">
        <w:rPr>
          <w:rFonts w:eastAsia="Calibri" w:hint="cs"/>
          <w:rtl/>
        </w:rPr>
        <w:t>ר</w:t>
      </w:r>
      <w:r w:rsidRPr="00E303AD">
        <w:rPr>
          <w:rFonts w:eastAsia="Calibri"/>
          <w:rtl/>
        </w:rPr>
        <w:t xml:space="preserve"> </w:t>
      </w:r>
      <w:r w:rsidRPr="00E303AD">
        <w:rPr>
          <w:rFonts w:eastAsia="Calibri" w:hint="cs"/>
          <w:rtl/>
        </w:rPr>
        <w:t>קבלת עמדות גורמי המקצוע הרלוונטיים.</w:t>
      </w:r>
      <w:r w:rsidRPr="00E303AD">
        <w:rPr>
          <w:rFonts w:eastAsia="Calibri"/>
          <w:rtl/>
        </w:rPr>
        <w:t xml:space="preserve"> </w:t>
      </w:r>
      <w:r w:rsidRPr="00E303AD">
        <w:rPr>
          <w:rFonts w:eastAsia="Calibri" w:hint="cs"/>
          <w:rtl/>
        </w:rPr>
        <w:t xml:space="preserve">מדובר בשאלה </w:t>
      </w:r>
      <w:r w:rsidRPr="00E303AD">
        <w:rPr>
          <w:rFonts w:eastAsia="Calibri"/>
          <w:rtl/>
        </w:rPr>
        <w:t>שעיקרה מדיניות כלכלית, שכן משמעותה היא הקצאת מקורות כספיים ייעודיים לקרן על חשבון הכנסות המדינה.</w:t>
      </w:r>
    </w:p>
    <w:p w:rsidR="00E303AD" w:rsidRPr="00E303AD" w:rsidP="00E303AD">
      <w:pPr>
        <w:spacing w:line="269" w:lineRule="auto"/>
        <w:rPr>
          <w:rFonts w:eastAsia="Calibri"/>
          <w:rtl/>
        </w:rPr>
      </w:pPr>
      <w:r w:rsidRPr="00E303AD">
        <w:rPr>
          <w:rFonts w:eastAsia="Calibri" w:hint="cs"/>
          <w:noProof/>
          <w:rtl/>
          <w:lang w:val="he-IL"/>
        </w:rPr>
        <mc:AlternateContent>
          <mc:Choice Requires="wpg">
            <w:drawing>
              <wp:anchor distT="0" distB="0" distL="114300" distR="114300" simplePos="0" relativeHeight="251674624" behindDoc="0" locked="0" layoutInCell="1" allowOverlap="1">
                <wp:simplePos x="0" y="0"/>
                <wp:positionH relativeFrom="margin">
                  <wp:posOffset>-46990</wp:posOffset>
                </wp:positionH>
                <wp:positionV relativeFrom="paragraph">
                  <wp:posOffset>113665</wp:posOffset>
                </wp:positionV>
                <wp:extent cx="5310505" cy="820005"/>
                <wp:effectExtent l="0" t="0" r="4445" b="0"/>
                <wp:wrapNone/>
                <wp:docPr id="64" name="קבוצה 64"/>
                <wp:cNvGraphicFramePr/>
                <a:graphic xmlns:a="http://schemas.openxmlformats.org/drawingml/2006/main">
                  <a:graphicData uri="http://schemas.microsoft.com/office/word/2010/wordprocessingGroup">
                    <wpg:wgp xmlns:wpg="http://schemas.microsoft.com/office/word/2010/wordprocessingGroup">
                      <wpg:cNvGrpSpPr/>
                      <wpg:grpSpPr>
                        <a:xfrm>
                          <a:off x="0" y="0"/>
                          <a:ext cx="5310505" cy="820005"/>
                          <a:chOff x="0" y="0"/>
                          <a:chExt cx="5310505" cy="820005"/>
                        </a:xfrm>
                      </wpg:grpSpPr>
                      <pic:pic xmlns:pic="http://schemas.openxmlformats.org/drawingml/2006/picture">
                        <pic:nvPicPr>
                          <pic:cNvPr id="65" name="table"/>
                          <pic:cNvPicPr>
                            <a:picLocks noChangeAspect="1"/>
                          </pic:cNvPicPr>
                        </pic:nvPicPr>
                        <pic:blipFill>
                          <a:blip xmlns:r="http://schemas.openxmlformats.org/officeDocument/2006/relationships" r:embed="rId40"/>
                          <a:stretch>
                            <a:fillRect/>
                          </a:stretch>
                        </pic:blipFill>
                        <pic:spPr>
                          <a:xfrm>
                            <a:off x="0" y="127220"/>
                            <a:ext cx="5310505" cy="692785"/>
                          </a:xfrm>
                          <a:prstGeom prst="rect">
                            <a:avLst/>
                          </a:prstGeom>
                        </pic:spPr>
                      </pic:pic>
                      <wpg:grpSp>
                        <wpg:cNvPr id="66" name="קבוצה 22"/>
                        <wpg:cNvGrpSpPr/>
                        <wpg:grpSpPr>
                          <a:xfrm>
                            <a:off x="2520563" y="0"/>
                            <a:ext cx="271145" cy="266700"/>
                            <a:chOff x="0" y="0"/>
                            <a:chExt cx="1781175" cy="1781175"/>
                          </a:xfrm>
                        </wpg:grpSpPr>
                        <pic:pic xmlns:pic="http://schemas.openxmlformats.org/drawingml/2006/picture">
                          <pic:nvPicPr>
                            <pic:cNvPr id="67" name="תמונה 67"/>
                            <pic:cNvPicPr>
                              <a:picLocks noChangeAspect="1"/>
                            </pic:cNvPicPr>
                          </pic:nvPicPr>
                          <pic:blipFill>
                            <a:blip xmlns:r="http://schemas.openxmlformats.org/officeDocument/2006/relationships" r:embed="rId9">
                              <a:clrChange>
                                <a:clrFrom>
                                  <a:srgbClr val="FFFFFF"/>
                                </a:clrFrom>
                                <a:clrTo>
                                  <a:srgbClr val="FFFFFF">
                                    <a:alpha val="0"/>
                                  </a:srgbClr>
                                </a:clrTo>
                              </a:clrChange>
                            </a:blip>
                            <a:stretch>
                              <a:fillRect/>
                            </a:stretch>
                          </pic:blipFill>
                          <pic:spPr>
                            <a:xfrm>
                              <a:off x="0" y="0"/>
                              <a:ext cx="1781175" cy="1781175"/>
                            </a:xfrm>
                            <a:prstGeom prst="rect">
                              <a:avLst/>
                            </a:prstGeom>
                          </pic:spPr>
                        </pic:pic>
                        <pic:pic xmlns:pic="http://schemas.openxmlformats.org/drawingml/2006/picture">
                          <pic:nvPicPr>
                            <pic:cNvPr id="68" name="תמונה 68"/>
                            <pic:cNvPicPr>
                              <a:picLocks noChangeAspect="1"/>
                            </pic:cNvPicPr>
                          </pic:nvPicPr>
                          <pic:blipFill>
                            <a:blip xmlns:r="http://schemas.openxmlformats.org/officeDocument/2006/relationships" r:embed="rId10"/>
                            <a:srcRect l="16969" t="20795" r="16969" b="20795"/>
                            <a:stretch>
                              <a:fillRect/>
                            </a:stretch>
                          </pic:blipFill>
                          <pic:spPr>
                            <a:xfrm>
                              <a:off x="302249" y="371444"/>
                              <a:ext cx="1176676" cy="1040392"/>
                            </a:xfrm>
                            <a:prstGeom prst="rect">
                              <a:avLst/>
                            </a:prstGeom>
                          </pic:spPr>
                        </pic:pic>
                      </wpg:grpSp>
                    </wpg:wgp>
                  </a:graphicData>
                </a:graphic>
                <wp14:sizeRelV relativeFrom="margin">
                  <wp14:pctHeight>0</wp14:pctHeight>
                </wp14:sizeRelV>
              </wp:anchor>
            </w:drawing>
          </mc:Choice>
          <mc:Fallback>
            <w:pict>
              <v:group id="קבוצה 64" o:spid="_x0000_s1073" style="width:418.15pt;height:64.55pt;margin-top:8.95pt;margin-left:-3.7pt;mso-height-relative:margin;mso-position-horizontal-relative:margin;position:absolute;z-index:251675648" coordsize="53105,8200">
                <v:shape id="table" o:spid="_x0000_s1074" type="#_x0000_t75" style="width:53105;height:6928;mso-wrap-style:square;position:absolute;top:1272;visibility:visible">
                  <v:imagedata r:id="rId40" o:title=""/>
                </v:shape>
                <v:group id="קבוצה 22" o:spid="_x0000_s1075" style="width:2712;height:2667;left:25205;position:absolute" coordsize="17811,17811">
                  <v:shape id="תמונה 67" o:spid="_x0000_s1076" type="#_x0000_t75" style="width:17811;height:17811;mso-wrap-style:square;position:absolute;visibility:visible">
                    <v:imagedata r:id="rId9" o:title="" chromakey="white"/>
                  </v:shape>
                  <v:shape id="תמונה 68" o:spid="_x0000_s1077" type="#_x0000_t75" style="width:11767;height:10404;left:3022;mso-wrap-style:square;position:absolute;top:3714;visibility:visible">
                    <v:imagedata r:id="rId10" o:title="" croptop="13628f" cropbottom="13628f" cropleft="11121f" cropright="11121f"/>
                  </v:shape>
                </v:group>
                <w10:wrap anchorx="margin"/>
              </v:group>
            </w:pict>
          </mc:Fallback>
        </mc:AlternateContent>
      </w:r>
    </w:p>
    <w:p w:rsidR="00E303AD" w:rsidRPr="00E303AD" w:rsidP="00E303AD">
      <w:pPr>
        <w:spacing w:line="269" w:lineRule="auto"/>
        <w:rPr>
          <w:rFonts w:ascii="Almoni Tzar ML v5 AAA" w:eastAsia="Calibri" w:hAnsi="Almoni Tzar ML v5 AAA" w:cs="Almoni Tzar ML v5 AAA"/>
          <w:sz w:val="18"/>
          <w:szCs w:val="18"/>
          <w:rtl/>
        </w:rPr>
      </w:pPr>
    </w:p>
    <w:p w:rsidR="00E303AD" w:rsidRPr="00E303AD" w:rsidP="00E303AD">
      <w:pPr>
        <w:spacing w:line="269" w:lineRule="auto"/>
        <w:ind w:right="426"/>
        <w:rPr>
          <w:rFonts w:ascii="Almoni Tzar ML v5 AAA" w:eastAsia="Calibri" w:hAnsi="Almoni Tzar ML v5 AAA" w:cs="Almoni Tzar ML v5 AAA"/>
          <w:sz w:val="28"/>
          <w:szCs w:val="28"/>
          <w:rtl/>
        </w:rPr>
      </w:pPr>
    </w:p>
    <w:p w:rsidR="00E303AD" w:rsidRPr="00801B1E" w:rsidP="00801B1E">
      <w:pPr>
        <w:spacing w:line="269" w:lineRule="auto"/>
        <w:rPr>
          <w:rFonts w:eastAsia="Calibri"/>
          <w:rtl/>
        </w:rPr>
      </w:pPr>
    </w:p>
    <w:p w:rsidR="00367CD6" w:rsidRPr="00801B1E" w:rsidP="00801B1E">
      <w:pPr>
        <w:spacing w:line="269" w:lineRule="auto"/>
        <w:rPr>
          <w:rFonts w:eastAsia="Calibri"/>
          <w:rtl/>
        </w:rPr>
      </w:pPr>
      <w:bookmarkStart w:id="208" w:name="tempMark"/>
      <w:bookmarkEnd w:id="208"/>
    </w:p>
    <w:p w:rsidR="00367CD6" w:rsidRPr="00801B1E" w:rsidP="00801B1E">
      <w:pPr>
        <w:spacing w:line="269" w:lineRule="auto"/>
        <w:rPr>
          <w:rFonts w:eastAsia="Calibri"/>
          <w:rtl/>
        </w:rPr>
      </w:pPr>
    </w:p>
    <w:p w:rsidR="00E303AD" w:rsidRPr="00E303AD" w:rsidP="00E303AD">
      <w:pPr>
        <w:keepNext/>
        <w:keepLines/>
        <w:spacing w:line="269" w:lineRule="auto"/>
        <w:outlineLvl w:val="2"/>
        <w:rPr>
          <w:rFonts w:eastAsia="Times New Roman"/>
          <w:bCs/>
          <w:szCs w:val="28"/>
          <w:u w:val="single"/>
          <w:rtl/>
        </w:rPr>
      </w:pPr>
      <w:r w:rsidRPr="00E303AD">
        <w:rPr>
          <w:rFonts w:eastAsia="Times New Roman" w:hint="cs"/>
          <w:bCs/>
          <w:szCs w:val="28"/>
          <w:u w:val="single"/>
          <w:rtl/>
        </w:rPr>
        <w:t>סיכום</w:t>
      </w:r>
    </w:p>
    <w:p w:rsidR="00E303AD" w:rsidRPr="00E303AD" w:rsidP="00E303AD">
      <w:pPr>
        <w:spacing w:line="269" w:lineRule="auto"/>
        <w:ind w:left="-567"/>
        <w:rPr>
          <w:rFonts w:eastAsia="Calibri"/>
          <w:b/>
          <w:bCs/>
          <w:szCs w:val="20"/>
          <w:rtl/>
        </w:rPr>
      </w:pPr>
      <w:r w:rsidRPr="00E303AD">
        <w:rPr>
          <w:rFonts w:eastAsia="Calibri" w:hint="cs"/>
          <w:b/>
          <w:bCs/>
          <w:szCs w:val="20"/>
          <w:rtl/>
        </w:rPr>
        <w:t xml:space="preserve"> </w:t>
      </w:r>
    </w:p>
    <w:p w:rsidR="00E303AD" w:rsidRPr="00E303AD" w:rsidP="00E303AD">
      <w:pPr>
        <w:spacing w:line="269" w:lineRule="auto"/>
        <w:rPr>
          <w:rFonts w:eastAsia="Calibri"/>
          <w:b/>
          <w:bCs/>
          <w:rtl/>
        </w:rPr>
      </w:pPr>
      <w:bookmarkStart w:id="209" w:name="_Hlk232342354"/>
      <w:r w:rsidRPr="00E303AD">
        <w:rPr>
          <w:rFonts w:eastAsia="Calibri"/>
          <w:b/>
          <w:bCs/>
          <w:rtl/>
        </w:rPr>
        <w:t xml:space="preserve">החובה </w:t>
      </w:r>
      <w:r w:rsidRPr="00E303AD">
        <w:rPr>
          <w:rFonts w:eastAsia="Calibri" w:hint="cs"/>
          <w:b/>
          <w:bCs/>
          <w:rtl/>
        </w:rPr>
        <w:t xml:space="preserve">החוקתית </w:t>
      </w:r>
      <w:r w:rsidRPr="00E303AD">
        <w:rPr>
          <w:rFonts w:eastAsia="Calibri"/>
          <w:b/>
          <w:bCs/>
          <w:rtl/>
        </w:rPr>
        <w:t>להגן על כבוד האדם, חירותו ושלמות גופו מצוי</w:t>
      </w:r>
      <w:r w:rsidRPr="00E303AD">
        <w:rPr>
          <w:rFonts w:eastAsia="Calibri" w:hint="cs"/>
          <w:b/>
          <w:bCs/>
          <w:rtl/>
        </w:rPr>
        <w:t>ה</w:t>
      </w:r>
      <w:r w:rsidRPr="00E303AD">
        <w:rPr>
          <w:rFonts w:eastAsia="Calibri"/>
          <w:b/>
          <w:bCs/>
          <w:rtl/>
        </w:rPr>
        <w:t xml:space="preserve"> בליבת חובותיה של המדינה</w:t>
      </w:r>
      <w:r w:rsidRPr="00E303AD">
        <w:rPr>
          <w:rFonts w:eastAsia="Calibri" w:hint="cs"/>
          <w:b/>
          <w:bCs/>
          <w:rtl/>
        </w:rPr>
        <w:t xml:space="preserve">. </w:t>
      </w:r>
      <w:r w:rsidRPr="00E303AD">
        <w:rPr>
          <w:rFonts w:eastAsia="Calibri"/>
          <w:b/>
          <w:bCs/>
          <w:rtl/>
        </w:rPr>
        <w:t>תופע</w:t>
      </w:r>
      <w:r w:rsidRPr="00E303AD">
        <w:rPr>
          <w:rFonts w:eastAsia="Calibri" w:hint="cs"/>
          <w:b/>
          <w:bCs/>
          <w:rtl/>
        </w:rPr>
        <w:t>ו</w:t>
      </w:r>
      <w:r w:rsidRPr="00E303AD">
        <w:rPr>
          <w:rFonts w:eastAsia="Calibri"/>
          <w:b/>
          <w:bCs/>
          <w:rtl/>
        </w:rPr>
        <w:t>ת הזנות ו</w:t>
      </w:r>
      <w:r w:rsidRPr="00E303AD">
        <w:rPr>
          <w:rFonts w:eastAsia="Calibri" w:hint="cs"/>
          <w:b/>
          <w:bCs/>
          <w:rtl/>
        </w:rPr>
        <w:t>ה</w:t>
      </w:r>
      <w:r w:rsidRPr="00E303AD">
        <w:rPr>
          <w:rFonts w:eastAsia="Calibri"/>
          <w:b/>
          <w:bCs/>
          <w:rtl/>
        </w:rPr>
        <w:t>סחר בבני אדם</w:t>
      </w:r>
      <w:r w:rsidRPr="00E303AD">
        <w:rPr>
          <w:rFonts w:eastAsia="Calibri" w:hint="cs"/>
          <w:b/>
          <w:bCs/>
          <w:rtl/>
        </w:rPr>
        <w:t xml:space="preserve"> למטרות זנות גורמות ל</w:t>
      </w:r>
      <w:r w:rsidRPr="00E303AD">
        <w:rPr>
          <w:rFonts w:eastAsia="Calibri"/>
          <w:b/>
          <w:bCs/>
          <w:rtl/>
        </w:rPr>
        <w:t xml:space="preserve">פגיעות חמורות בזכויות אדם בסיסיות </w:t>
      </w:r>
      <w:r w:rsidRPr="00E303AD">
        <w:rPr>
          <w:rFonts w:eastAsia="Calibri" w:hint="cs"/>
          <w:b/>
          <w:bCs/>
          <w:rtl/>
        </w:rPr>
        <w:t xml:space="preserve">ומשקפות </w:t>
      </w:r>
      <w:r w:rsidRPr="00E303AD">
        <w:rPr>
          <w:rFonts w:eastAsia="Calibri"/>
          <w:b/>
          <w:bCs/>
          <w:rtl/>
        </w:rPr>
        <w:t>פגיעוּת חברתית עמוקה</w:t>
      </w:r>
      <w:r w:rsidRPr="00E303AD">
        <w:rPr>
          <w:rFonts w:eastAsia="Calibri" w:hint="cs"/>
          <w:b/>
          <w:bCs/>
          <w:rtl/>
        </w:rPr>
        <w:t>, אי-שוויון כלכלי, ולרוב גם מגדרי,</w:t>
      </w:r>
      <w:r w:rsidRPr="00E303AD">
        <w:rPr>
          <w:rFonts w:eastAsia="Calibri"/>
          <w:b/>
          <w:bCs/>
          <w:rtl/>
        </w:rPr>
        <w:t xml:space="preserve"> </w:t>
      </w:r>
      <w:r w:rsidRPr="00E303AD">
        <w:rPr>
          <w:rFonts w:eastAsia="Calibri" w:hint="cs"/>
          <w:b/>
          <w:bCs/>
          <w:rtl/>
        </w:rPr>
        <w:t xml:space="preserve">וכן </w:t>
      </w:r>
      <w:r w:rsidRPr="00E303AD">
        <w:rPr>
          <w:rFonts w:eastAsia="Calibri"/>
          <w:b/>
          <w:bCs/>
          <w:rtl/>
        </w:rPr>
        <w:t>פעילות עבריינית</w:t>
      </w:r>
      <w:r w:rsidRPr="00E303AD">
        <w:rPr>
          <w:rFonts w:eastAsia="Calibri" w:hint="cs"/>
          <w:b/>
          <w:bCs/>
          <w:rtl/>
        </w:rPr>
        <w:t>,</w:t>
      </w:r>
      <w:r w:rsidRPr="00E303AD">
        <w:rPr>
          <w:rFonts w:eastAsia="Calibri"/>
          <w:b/>
          <w:bCs/>
          <w:rtl/>
        </w:rPr>
        <w:t xml:space="preserve"> </w:t>
      </w:r>
      <w:r w:rsidRPr="00E303AD">
        <w:rPr>
          <w:rFonts w:eastAsia="Calibri" w:hint="cs"/>
          <w:b/>
          <w:bCs/>
          <w:rtl/>
        </w:rPr>
        <w:t xml:space="preserve">לעיתים </w:t>
      </w:r>
      <w:r w:rsidRPr="00E303AD">
        <w:rPr>
          <w:rFonts w:eastAsia="Calibri"/>
          <w:b/>
          <w:bCs/>
          <w:rtl/>
        </w:rPr>
        <w:t xml:space="preserve">מאורגנת </w:t>
      </w:r>
      <w:r w:rsidRPr="00E303AD">
        <w:rPr>
          <w:rFonts w:eastAsia="Calibri" w:hint="cs"/>
          <w:b/>
          <w:bCs/>
          <w:rtl/>
        </w:rPr>
        <w:t>ו</w:t>
      </w:r>
      <w:r w:rsidRPr="00E303AD">
        <w:rPr>
          <w:rFonts w:eastAsia="Calibri"/>
          <w:b/>
          <w:bCs/>
          <w:rtl/>
        </w:rPr>
        <w:t>חוצת גבולות. לפיכך, אופן התמודדותן של רשויות המדינה עם תופע</w:t>
      </w:r>
      <w:r w:rsidRPr="00E303AD">
        <w:rPr>
          <w:rFonts w:eastAsia="Calibri" w:hint="cs"/>
          <w:b/>
          <w:bCs/>
          <w:rtl/>
        </w:rPr>
        <w:t>ות אלו</w:t>
      </w:r>
      <w:r w:rsidRPr="00E303AD">
        <w:rPr>
          <w:rFonts w:eastAsia="Calibri"/>
          <w:b/>
          <w:bCs/>
          <w:rtl/>
        </w:rPr>
        <w:t xml:space="preserve"> </w:t>
      </w:r>
      <w:r w:rsidRPr="00E303AD">
        <w:rPr>
          <w:rFonts w:eastAsia="Calibri" w:hint="cs"/>
          <w:b/>
          <w:bCs/>
          <w:rtl/>
        </w:rPr>
        <w:t>הוא</w:t>
      </w:r>
      <w:r w:rsidRPr="00E303AD">
        <w:rPr>
          <w:rFonts w:eastAsia="Calibri"/>
          <w:b/>
          <w:bCs/>
          <w:rtl/>
        </w:rPr>
        <w:t xml:space="preserve"> מדד מרכזי למחויבותה של המדינה לערכיה המוצהרים, לשלטון החוק וליישום אפקטיבי של חקיקה שנועדה להגן על אוכלוסיות מוחלשות. </w:t>
      </w:r>
      <w:r w:rsidRPr="00E303AD">
        <w:rPr>
          <w:rFonts w:eastAsia="Calibri" w:hint="cs"/>
          <w:b/>
          <w:bCs/>
          <w:rtl/>
        </w:rPr>
        <w:t xml:space="preserve">לפעולות האכיפה בתחום זה יש </w:t>
      </w:r>
      <w:r w:rsidRPr="00E303AD">
        <w:rPr>
          <w:rFonts w:eastAsia="Calibri"/>
          <w:b/>
          <w:bCs/>
          <w:rtl/>
        </w:rPr>
        <w:t xml:space="preserve">ערך מוסרי וחברתי ראשון במעלה, </w:t>
      </w:r>
      <w:r w:rsidRPr="00E303AD">
        <w:rPr>
          <w:rFonts w:eastAsia="Calibri" w:hint="cs"/>
          <w:b/>
          <w:bCs/>
          <w:rtl/>
        </w:rPr>
        <w:t>ו</w:t>
      </w:r>
      <w:r w:rsidRPr="00E303AD">
        <w:rPr>
          <w:rFonts w:eastAsia="Calibri"/>
          <w:b/>
          <w:bCs/>
          <w:rtl/>
        </w:rPr>
        <w:t xml:space="preserve">הדבר אף </w:t>
      </w:r>
      <w:r w:rsidRPr="00E303AD">
        <w:rPr>
          <w:rFonts w:eastAsia="Calibri" w:hint="cs"/>
          <w:b/>
          <w:bCs/>
          <w:rtl/>
        </w:rPr>
        <w:t>עולה</w:t>
      </w:r>
      <w:r w:rsidRPr="00E303AD">
        <w:rPr>
          <w:rFonts w:eastAsia="Calibri"/>
          <w:b/>
          <w:bCs/>
          <w:rtl/>
        </w:rPr>
        <w:t xml:space="preserve"> מחובותיה של המדינה בהיבטי אכיפה, הגנה ומניעה </w:t>
      </w:r>
      <w:r w:rsidRPr="00E303AD">
        <w:rPr>
          <w:rFonts w:eastAsia="Calibri" w:hint="cs"/>
          <w:b/>
          <w:bCs/>
          <w:rtl/>
        </w:rPr>
        <w:t>בכל הנוגע ל</w:t>
      </w:r>
      <w:r w:rsidRPr="00E303AD">
        <w:rPr>
          <w:rFonts w:eastAsia="Calibri"/>
          <w:b/>
          <w:bCs/>
          <w:rtl/>
        </w:rPr>
        <w:t>סחר בבני אדם מכוח אמנות בין-לאומיות שהיא צד להן.</w:t>
      </w:r>
    </w:p>
    <w:p w:rsidR="00E303AD" w:rsidRPr="00E303AD" w:rsidP="00E303AD">
      <w:pPr>
        <w:spacing w:line="269" w:lineRule="auto"/>
        <w:ind w:left="-567"/>
        <w:rPr>
          <w:rFonts w:eastAsia="Calibri"/>
          <w:b/>
          <w:bCs/>
          <w:szCs w:val="20"/>
          <w:rtl/>
        </w:rPr>
      </w:pPr>
      <w:r w:rsidRPr="00E303AD">
        <w:rPr>
          <w:rFonts w:eastAsia="Calibri" w:hint="cs"/>
          <w:b/>
          <w:bCs/>
          <w:szCs w:val="20"/>
          <w:rtl/>
        </w:rPr>
        <w:t xml:space="preserve"> </w:t>
      </w:r>
    </w:p>
    <w:p w:rsidR="00E303AD" w:rsidRPr="00E303AD" w:rsidP="00E303AD">
      <w:pPr>
        <w:spacing w:line="269" w:lineRule="auto"/>
        <w:rPr>
          <w:rFonts w:eastAsia="Calibri"/>
          <w:b/>
          <w:bCs/>
          <w:rtl/>
        </w:rPr>
      </w:pPr>
      <w:r w:rsidRPr="00E303AD">
        <w:rPr>
          <w:rFonts w:eastAsia="Calibri"/>
          <w:b/>
          <w:bCs/>
          <w:rtl/>
        </w:rPr>
        <w:t xml:space="preserve">נכון לשנת 2014 </w:t>
      </w:r>
      <w:r w:rsidRPr="00E303AD">
        <w:rPr>
          <w:rFonts w:eastAsia="Calibri" w:hint="cs"/>
          <w:b/>
          <w:bCs/>
          <w:rtl/>
        </w:rPr>
        <w:t xml:space="preserve">היו </w:t>
      </w:r>
      <w:r w:rsidRPr="00E303AD">
        <w:rPr>
          <w:rFonts w:eastAsia="Calibri" w:hint="eastAsia"/>
          <w:b/>
          <w:bCs/>
          <w:rtl/>
        </w:rPr>
        <w:t>כ</w:t>
      </w:r>
      <w:r w:rsidRPr="00E303AD">
        <w:rPr>
          <w:rFonts w:eastAsia="Calibri"/>
          <w:b/>
          <w:bCs/>
          <w:rtl/>
        </w:rPr>
        <w:t xml:space="preserve">-12,000 </w:t>
      </w:r>
      <w:r w:rsidRPr="00E303AD">
        <w:rPr>
          <w:rFonts w:eastAsia="Calibri" w:hint="eastAsia"/>
          <w:b/>
          <w:bCs/>
          <w:rtl/>
        </w:rPr>
        <w:t>נשים</w:t>
      </w:r>
      <w:r w:rsidRPr="00E303AD">
        <w:rPr>
          <w:rFonts w:eastAsia="Calibri"/>
          <w:b/>
          <w:bCs/>
          <w:rtl/>
        </w:rPr>
        <w:t xml:space="preserve"> </w:t>
      </w:r>
      <w:r w:rsidRPr="00E303AD">
        <w:rPr>
          <w:rFonts w:eastAsia="Calibri" w:hint="eastAsia"/>
          <w:b/>
          <w:bCs/>
          <w:rtl/>
        </w:rPr>
        <w:t>וגברים</w:t>
      </w:r>
      <w:r w:rsidRPr="00E303AD">
        <w:rPr>
          <w:rFonts w:eastAsia="Calibri"/>
          <w:b/>
          <w:bCs/>
          <w:rtl/>
        </w:rPr>
        <w:t xml:space="preserve"> במעגל הזנות (95% </w:t>
      </w:r>
      <w:r w:rsidRPr="00E303AD">
        <w:rPr>
          <w:rFonts w:eastAsia="Calibri" w:hint="eastAsia"/>
          <w:b/>
          <w:bCs/>
          <w:rtl/>
        </w:rPr>
        <w:t>מהם</w:t>
      </w:r>
      <w:r w:rsidRPr="00E303AD">
        <w:rPr>
          <w:rFonts w:eastAsia="Calibri"/>
          <w:b/>
          <w:bCs/>
          <w:rtl/>
        </w:rPr>
        <w:t xml:space="preserve"> </w:t>
      </w:r>
      <w:r w:rsidRPr="00E303AD">
        <w:rPr>
          <w:rFonts w:eastAsia="Calibri" w:hint="eastAsia"/>
          <w:b/>
          <w:bCs/>
          <w:rtl/>
        </w:rPr>
        <w:t>נשים</w:t>
      </w:r>
      <w:r w:rsidRPr="00E303AD">
        <w:rPr>
          <w:rFonts w:eastAsia="Calibri"/>
          <w:b/>
          <w:bCs/>
          <w:rtl/>
        </w:rPr>
        <w:t>)</w:t>
      </w:r>
      <w:r w:rsidRPr="00E303AD">
        <w:rPr>
          <w:rFonts w:eastAsia="Calibri" w:hint="cs"/>
          <w:b/>
          <w:bCs/>
          <w:rtl/>
        </w:rPr>
        <w:t xml:space="preserve">, מתוכם </w:t>
      </w:r>
      <w:r w:rsidRPr="00E303AD">
        <w:rPr>
          <w:rFonts w:eastAsia="Calibri"/>
          <w:b/>
          <w:bCs/>
          <w:rtl/>
        </w:rPr>
        <w:t>כ-1,300 קטינ</w:t>
      </w:r>
      <w:r w:rsidRPr="00E303AD">
        <w:rPr>
          <w:rFonts w:eastAsia="Calibri" w:hint="cs"/>
          <w:b/>
          <w:bCs/>
          <w:rtl/>
        </w:rPr>
        <w:t>ות</w:t>
      </w:r>
      <w:r w:rsidRPr="00E303AD">
        <w:rPr>
          <w:rFonts w:eastAsia="Calibri"/>
          <w:b/>
          <w:bCs/>
          <w:rtl/>
        </w:rPr>
        <w:t xml:space="preserve"> וקטינ</w:t>
      </w:r>
      <w:r w:rsidRPr="00E303AD">
        <w:rPr>
          <w:rFonts w:eastAsia="Calibri" w:hint="cs"/>
          <w:b/>
          <w:bCs/>
          <w:rtl/>
        </w:rPr>
        <w:t>ים,</w:t>
      </w:r>
      <w:r w:rsidRPr="00E303AD">
        <w:rPr>
          <w:rFonts w:eastAsia="Calibri"/>
          <w:b/>
          <w:bCs/>
          <w:rtl/>
        </w:rPr>
        <w:t xml:space="preserve"> גיל הכניסה הממוצע </w:t>
      </w:r>
      <w:r w:rsidRPr="00E303AD">
        <w:rPr>
          <w:rFonts w:eastAsia="Calibri" w:hint="cs"/>
          <w:b/>
          <w:bCs/>
          <w:rtl/>
        </w:rPr>
        <w:t>למעגל זה היה 13 - 14,</w:t>
      </w:r>
      <w:r w:rsidRPr="00E303AD">
        <w:rPr>
          <w:rFonts w:eastAsia="Calibri"/>
          <w:b/>
          <w:bCs/>
          <w:rtl/>
        </w:rPr>
        <w:t xml:space="preserve"> והאומדן המצטבר של התשלומים עבור צריכת זנות היה כ-1.3 מיליארד </w:t>
      </w:r>
      <w:r w:rsidRPr="00E303AD">
        <w:rPr>
          <w:rFonts w:eastAsia="Calibri" w:hint="cs"/>
          <w:b/>
          <w:bCs/>
          <w:rtl/>
        </w:rPr>
        <w:t xml:space="preserve">ש"ח. ההנחה של גורמים העוסקים בתחום היא כי מספרם של הקטינים שבמעגל הזנות נכון לשנת 2025 היה 3,000 - 5,000. </w:t>
      </w:r>
    </w:p>
    <w:p w:rsidR="00E303AD" w:rsidRPr="00E303AD" w:rsidP="00E303AD">
      <w:pPr>
        <w:spacing w:line="269" w:lineRule="auto"/>
        <w:ind w:left="-567"/>
        <w:rPr>
          <w:rFonts w:eastAsia="Calibri"/>
          <w:b/>
          <w:bCs/>
          <w:szCs w:val="20"/>
          <w:rtl/>
        </w:rPr>
      </w:pPr>
      <w:r w:rsidRPr="00E303AD">
        <w:rPr>
          <w:rFonts w:eastAsia="Calibri" w:hint="cs"/>
          <w:b/>
          <w:bCs/>
          <w:szCs w:val="20"/>
          <w:rtl/>
        </w:rPr>
        <w:t xml:space="preserve"> </w:t>
      </w:r>
    </w:p>
    <w:p w:rsidR="00E303AD" w:rsidRPr="00E303AD" w:rsidP="00E303AD">
      <w:pPr>
        <w:spacing w:line="269" w:lineRule="auto"/>
        <w:rPr>
          <w:rFonts w:eastAsia="Calibri"/>
          <w:b/>
          <w:bCs/>
          <w:rtl/>
        </w:rPr>
      </w:pPr>
      <w:r w:rsidRPr="00E303AD">
        <w:rPr>
          <w:rFonts w:eastAsia="Calibri"/>
          <w:b/>
          <w:bCs/>
          <w:rtl/>
        </w:rPr>
        <w:t>חוק איסור צריכת זנות</w:t>
      </w:r>
      <w:r w:rsidRPr="00E303AD">
        <w:rPr>
          <w:rFonts w:eastAsia="Calibri" w:hint="cs"/>
          <w:b/>
          <w:bCs/>
          <w:rtl/>
        </w:rPr>
        <w:t xml:space="preserve"> נועד לשמש </w:t>
      </w:r>
      <w:r w:rsidRPr="00E303AD">
        <w:rPr>
          <w:rFonts w:eastAsia="Calibri"/>
          <w:b/>
          <w:bCs/>
          <w:rtl/>
        </w:rPr>
        <w:t>כלי מרכזי לשינוי נורמות חברתיות ולהפחתת הביקוש לזנות. יישום החוק ח</w:t>
      </w:r>
      <w:r w:rsidRPr="00E303AD">
        <w:rPr>
          <w:rFonts w:eastAsia="Calibri" w:hint="cs"/>
          <w:b/>
          <w:bCs/>
          <w:rtl/>
        </w:rPr>
        <w:t>ִ</w:t>
      </w:r>
      <w:r w:rsidRPr="00E303AD">
        <w:rPr>
          <w:rFonts w:eastAsia="Calibri"/>
          <w:b/>
          <w:bCs/>
          <w:rtl/>
        </w:rPr>
        <w:t xml:space="preserve">ייב פעולה משולבת, עקבית ומתמשכת של </w:t>
      </w:r>
      <w:r w:rsidRPr="00E303AD">
        <w:rPr>
          <w:rFonts w:eastAsia="Calibri" w:hint="cs"/>
          <w:b/>
          <w:bCs/>
          <w:rtl/>
        </w:rPr>
        <w:t>המשטרה</w:t>
      </w:r>
      <w:r w:rsidRPr="00E303AD">
        <w:rPr>
          <w:rFonts w:eastAsia="Calibri"/>
          <w:b/>
          <w:bCs/>
          <w:rtl/>
        </w:rPr>
        <w:t xml:space="preserve">, לצד פיתוח מנגנוני אכיפה מותאמים, הכשרה מקצועית והקצאת משאבים ייעודיים. </w:t>
      </w:r>
      <w:r w:rsidRPr="00E303AD">
        <w:rPr>
          <w:rFonts w:eastAsia="Calibri" w:hint="cs"/>
          <w:b/>
          <w:bCs/>
          <w:rtl/>
        </w:rPr>
        <w:t>בד בבד</w:t>
      </w:r>
      <w:r w:rsidRPr="00E303AD">
        <w:rPr>
          <w:rFonts w:eastAsia="Calibri"/>
          <w:b/>
          <w:bCs/>
          <w:rtl/>
        </w:rPr>
        <w:t xml:space="preserve">, </w:t>
      </w:r>
      <w:r w:rsidRPr="00E303AD">
        <w:rPr>
          <w:rFonts w:eastAsia="Calibri" w:hint="cs"/>
          <w:b/>
          <w:bCs/>
          <w:rtl/>
        </w:rPr>
        <w:t>אכיפת החוק בעניין</w:t>
      </w:r>
      <w:r w:rsidRPr="00E303AD">
        <w:rPr>
          <w:rFonts w:eastAsia="Calibri"/>
          <w:b/>
          <w:bCs/>
          <w:rtl/>
        </w:rPr>
        <w:t xml:space="preserve"> עבירות סחר בבני אדם</w:t>
      </w:r>
      <w:r w:rsidRPr="00E303AD">
        <w:rPr>
          <w:rFonts w:eastAsia="Calibri" w:hint="cs"/>
          <w:b/>
          <w:bCs/>
          <w:rtl/>
        </w:rPr>
        <w:t xml:space="preserve"> מחייבת הוספת עוד נדבך -</w:t>
      </w:r>
      <w:r w:rsidRPr="00E303AD">
        <w:rPr>
          <w:rFonts w:eastAsia="Calibri"/>
          <w:b/>
          <w:bCs/>
          <w:rtl/>
        </w:rPr>
        <w:t xml:space="preserve"> זיהוי הקורבנות וה</w:t>
      </w:r>
      <w:r w:rsidRPr="00E303AD">
        <w:rPr>
          <w:rFonts w:eastAsia="Calibri" w:hint="cs"/>
          <w:b/>
          <w:bCs/>
          <w:rtl/>
        </w:rPr>
        <w:t>טיפול בהם על ידי מתן</w:t>
      </w:r>
      <w:r w:rsidRPr="00E303AD">
        <w:rPr>
          <w:rFonts w:eastAsia="Calibri"/>
          <w:b/>
          <w:bCs/>
          <w:rtl/>
        </w:rPr>
        <w:t xml:space="preserve"> אשרות </w:t>
      </w:r>
      <w:r w:rsidRPr="00E303AD">
        <w:rPr>
          <w:rFonts w:eastAsia="Calibri" w:hint="cs"/>
          <w:b/>
          <w:bCs/>
          <w:rtl/>
        </w:rPr>
        <w:t xml:space="preserve">שהייה </w:t>
      </w:r>
      <w:r w:rsidRPr="00E303AD">
        <w:rPr>
          <w:rFonts w:eastAsia="Calibri"/>
          <w:b/>
          <w:bCs/>
          <w:rtl/>
        </w:rPr>
        <w:t>והגנות נלוות</w:t>
      </w:r>
      <w:r w:rsidRPr="00E303AD">
        <w:rPr>
          <w:rFonts w:eastAsia="Calibri" w:hint="cs"/>
          <w:b/>
          <w:bCs/>
          <w:rtl/>
        </w:rPr>
        <w:t xml:space="preserve">. הוספת נדבך זה היא </w:t>
      </w:r>
      <w:r w:rsidRPr="00E303AD">
        <w:rPr>
          <w:rFonts w:eastAsia="Calibri"/>
          <w:b/>
          <w:bCs/>
          <w:rtl/>
        </w:rPr>
        <w:t xml:space="preserve">תנאי יסוד </w:t>
      </w:r>
      <w:r w:rsidRPr="00E303AD">
        <w:rPr>
          <w:rFonts w:eastAsia="Calibri" w:hint="cs"/>
          <w:b/>
          <w:bCs/>
          <w:rtl/>
        </w:rPr>
        <w:t>להבטחת</w:t>
      </w:r>
      <w:r w:rsidRPr="00E303AD">
        <w:rPr>
          <w:rFonts w:eastAsia="Calibri"/>
          <w:b/>
          <w:bCs/>
          <w:rtl/>
        </w:rPr>
        <w:t xml:space="preserve"> אמון הקורבנות במוסדות המדינה ול</w:t>
      </w:r>
      <w:r w:rsidRPr="00E303AD">
        <w:rPr>
          <w:rFonts w:eastAsia="Calibri" w:hint="cs"/>
          <w:b/>
          <w:bCs/>
          <w:rtl/>
        </w:rPr>
        <w:t>יכולתה ל</w:t>
      </w:r>
      <w:r w:rsidRPr="00E303AD">
        <w:rPr>
          <w:rFonts w:eastAsia="Calibri"/>
          <w:b/>
          <w:bCs/>
          <w:rtl/>
        </w:rPr>
        <w:t>נהל הליכים פליליים אפקטיביים נגד מבצעי העבירות.</w:t>
      </w:r>
      <w:r w:rsidRPr="00E303AD">
        <w:rPr>
          <w:rFonts w:eastAsia="Calibri" w:hint="cs"/>
          <w:b/>
          <w:bCs/>
          <w:rtl/>
        </w:rPr>
        <w:t xml:space="preserve"> </w:t>
      </w:r>
    </w:p>
    <w:p w:rsidR="00E303AD" w:rsidRPr="00E303AD" w:rsidP="00E303AD">
      <w:pPr>
        <w:spacing w:line="269" w:lineRule="auto"/>
        <w:ind w:left="-567"/>
        <w:rPr>
          <w:rFonts w:eastAsia="Calibri"/>
          <w:b/>
          <w:bCs/>
          <w:szCs w:val="20"/>
          <w:rtl/>
        </w:rPr>
      </w:pPr>
      <w:r w:rsidRPr="00E303AD">
        <w:rPr>
          <w:rFonts w:eastAsia="Calibri" w:hint="cs"/>
          <w:b/>
          <w:bCs/>
          <w:szCs w:val="20"/>
          <w:rtl/>
        </w:rPr>
        <w:t xml:space="preserve"> </w:t>
      </w:r>
    </w:p>
    <w:p w:rsidR="00E303AD" w:rsidRPr="00E303AD" w:rsidP="00E303AD">
      <w:pPr>
        <w:spacing w:line="269" w:lineRule="auto"/>
        <w:rPr>
          <w:rFonts w:eastAsia="Calibri"/>
          <w:b/>
          <w:bCs/>
          <w:rtl/>
        </w:rPr>
      </w:pPr>
      <w:r w:rsidRPr="00E303AD">
        <w:rPr>
          <w:rFonts w:eastAsia="Calibri" w:hint="cs"/>
          <w:b/>
          <w:bCs/>
          <w:rtl/>
        </w:rPr>
        <w:t>הביקורת העלתה כמה ליקויים בפעולת הגופים המרכזיים האמונים על ה</w:t>
      </w:r>
      <w:r w:rsidRPr="00E303AD">
        <w:rPr>
          <w:rFonts w:eastAsia="Calibri"/>
          <w:b/>
          <w:bCs/>
          <w:rtl/>
        </w:rPr>
        <w:t>טיפול בתופע</w:t>
      </w:r>
      <w:r w:rsidRPr="00E303AD">
        <w:rPr>
          <w:rFonts w:eastAsia="Calibri" w:hint="cs"/>
          <w:b/>
          <w:bCs/>
          <w:rtl/>
        </w:rPr>
        <w:t>ו</w:t>
      </w:r>
      <w:r w:rsidRPr="00E303AD">
        <w:rPr>
          <w:rFonts w:eastAsia="Calibri"/>
          <w:b/>
          <w:bCs/>
          <w:rtl/>
        </w:rPr>
        <w:t>ת הזנות ו</w:t>
      </w:r>
      <w:r w:rsidRPr="00E303AD">
        <w:rPr>
          <w:rFonts w:eastAsia="Calibri" w:hint="cs"/>
          <w:b/>
          <w:bCs/>
          <w:rtl/>
        </w:rPr>
        <w:t>ה</w:t>
      </w:r>
      <w:r w:rsidRPr="00E303AD">
        <w:rPr>
          <w:rFonts w:eastAsia="Calibri"/>
          <w:b/>
          <w:bCs/>
          <w:rtl/>
        </w:rPr>
        <w:t>סחר בבני אדם</w:t>
      </w:r>
      <w:r w:rsidRPr="00E303AD">
        <w:rPr>
          <w:rFonts w:eastAsia="Calibri" w:hint="cs"/>
          <w:b/>
          <w:bCs/>
          <w:rtl/>
        </w:rPr>
        <w:t xml:space="preserve"> למטרות זנות. המסקנה העולה מממצאי הדוח היא כי בחלוף</w:t>
      </w:r>
      <w:r w:rsidRPr="00E303AD">
        <w:rPr>
          <w:rFonts w:eastAsia="Calibri"/>
          <w:b/>
          <w:bCs/>
          <w:rtl/>
        </w:rPr>
        <w:t xml:space="preserve"> </w:t>
      </w:r>
      <w:r w:rsidRPr="00E303AD">
        <w:rPr>
          <w:rFonts w:eastAsia="Calibri" w:hint="cs"/>
          <w:b/>
          <w:bCs/>
          <w:rtl/>
        </w:rPr>
        <w:t>שש</w:t>
      </w:r>
      <w:r w:rsidRPr="00E303AD">
        <w:rPr>
          <w:rFonts w:eastAsia="Calibri"/>
          <w:b/>
          <w:bCs/>
          <w:rtl/>
        </w:rPr>
        <w:t xml:space="preserve"> שנים </w:t>
      </w:r>
      <w:r w:rsidRPr="00E303AD">
        <w:rPr>
          <w:rFonts w:eastAsia="Calibri" w:hint="cs"/>
          <w:b/>
          <w:bCs/>
          <w:rtl/>
        </w:rPr>
        <w:t xml:space="preserve">ממועד כניסתו לתוקף של החוק לאיסור צריכת זנות בשנת 2020, </w:t>
      </w:r>
      <w:r w:rsidRPr="00E303AD">
        <w:rPr>
          <w:rFonts w:eastAsia="Calibri"/>
          <w:b/>
          <w:bCs/>
          <w:rtl/>
        </w:rPr>
        <w:t xml:space="preserve">אין </w:t>
      </w:r>
      <w:r w:rsidRPr="00E303AD">
        <w:rPr>
          <w:rFonts w:eastAsia="Calibri" w:hint="cs"/>
          <w:b/>
          <w:bCs/>
          <w:rtl/>
        </w:rPr>
        <w:t xml:space="preserve">די </w:t>
      </w:r>
      <w:r w:rsidRPr="00E303AD">
        <w:rPr>
          <w:rFonts w:eastAsia="Calibri"/>
          <w:b/>
          <w:bCs/>
          <w:rtl/>
        </w:rPr>
        <w:t xml:space="preserve">בפעולות האכיפה שנעשו כדי </w:t>
      </w:r>
      <w:r w:rsidRPr="00E303AD">
        <w:rPr>
          <w:rFonts w:eastAsia="Calibri" w:hint="cs"/>
          <w:b/>
          <w:bCs/>
          <w:rtl/>
        </w:rPr>
        <w:t>להפחית במידה ניכרת את היקף</w:t>
      </w:r>
      <w:r w:rsidRPr="00E303AD">
        <w:rPr>
          <w:rFonts w:eastAsia="Calibri"/>
          <w:b/>
          <w:bCs/>
          <w:rtl/>
        </w:rPr>
        <w:t xml:space="preserve"> התופעה</w:t>
      </w:r>
      <w:r w:rsidRPr="00E303AD">
        <w:rPr>
          <w:rFonts w:eastAsia="Calibri" w:hint="cs"/>
          <w:b/>
          <w:bCs/>
          <w:rtl/>
        </w:rPr>
        <w:t>. גם</w:t>
      </w:r>
      <w:r w:rsidRPr="00E303AD">
        <w:rPr>
          <w:rFonts w:eastAsia="Calibri"/>
          <w:b/>
          <w:bCs/>
          <w:rtl/>
        </w:rPr>
        <w:t xml:space="preserve"> יישום הפעולות ל</w:t>
      </w:r>
      <w:r w:rsidRPr="00E303AD">
        <w:rPr>
          <w:rFonts w:eastAsia="Calibri" w:hint="cs"/>
          <w:b/>
          <w:bCs/>
          <w:rtl/>
        </w:rPr>
        <w:t>מאבק בסחר בבני אדם, ל</w:t>
      </w:r>
      <w:r w:rsidRPr="00E303AD">
        <w:rPr>
          <w:rFonts w:eastAsia="Calibri"/>
          <w:b/>
          <w:bCs/>
          <w:rtl/>
        </w:rPr>
        <w:t xml:space="preserve">הגנה </w:t>
      </w:r>
      <w:r w:rsidRPr="00E303AD">
        <w:rPr>
          <w:rFonts w:eastAsia="Calibri" w:hint="cs"/>
          <w:b/>
          <w:bCs/>
          <w:rtl/>
        </w:rPr>
        <w:t>על ה</w:t>
      </w:r>
      <w:r w:rsidRPr="00E303AD">
        <w:rPr>
          <w:rFonts w:eastAsia="Calibri"/>
          <w:b/>
          <w:bCs/>
          <w:rtl/>
        </w:rPr>
        <w:t>קורבנות ולטיפול</w:t>
      </w:r>
      <w:r w:rsidRPr="00E303AD">
        <w:rPr>
          <w:rFonts w:eastAsia="Calibri" w:hint="cs"/>
          <w:b/>
          <w:bCs/>
          <w:rtl/>
        </w:rPr>
        <w:t xml:space="preserve"> בהם הוא לקוי וחסר. להלן יוצגו הליקויים העיקריים:</w:t>
      </w:r>
    </w:p>
    <w:bookmarkEnd w:id="209"/>
    <w:p w:rsidR="00E303AD" w:rsidRPr="00E303AD" w:rsidP="00E303AD">
      <w:pPr>
        <w:spacing w:line="269" w:lineRule="auto"/>
        <w:ind w:left="-567"/>
        <w:rPr>
          <w:rFonts w:eastAsia="Calibri"/>
          <w:b/>
          <w:bCs/>
          <w:szCs w:val="20"/>
          <w:rtl/>
        </w:rPr>
      </w:pPr>
      <w:r w:rsidRPr="00E303AD">
        <w:rPr>
          <w:rFonts w:eastAsia="Calibri" w:hint="cs"/>
          <w:b/>
          <w:bCs/>
          <w:szCs w:val="20"/>
          <w:rtl/>
        </w:rPr>
        <w:t xml:space="preserve"> </w:t>
      </w:r>
    </w:p>
    <w:p w:rsidR="00E303AD" w:rsidRPr="00E303AD" w:rsidP="00E303AD">
      <w:pPr>
        <w:spacing w:line="269" w:lineRule="auto"/>
        <w:rPr>
          <w:rFonts w:eastAsia="Calibri"/>
          <w:b/>
          <w:bCs/>
          <w:rtl/>
        </w:rPr>
      </w:pPr>
      <w:bookmarkStart w:id="210" w:name="_Hlk232342431"/>
      <w:r w:rsidRPr="00E303AD">
        <w:rPr>
          <w:rFonts w:eastAsia="Times New Roman" w:hint="eastAsia"/>
          <w:b/>
          <w:bCs/>
          <w:spacing w:val="40"/>
          <w:rtl/>
        </w:rPr>
        <w:t>תת</w:t>
      </w:r>
      <w:r w:rsidRPr="00E303AD">
        <w:rPr>
          <w:rFonts w:eastAsia="Times New Roman"/>
          <w:b/>
          <w:bCs/>
          <w:spacing w:val="40"/>
          <w:rtl/>
        </w:rPr>
        <w:t>-</w:t>
      </w:r>
      <w:r w:rsidRPr="00E303AD">
        <w:rPr>
          <w:rFonts w:eastAsia="Times New Roman" w:hint="eastAsia"/>
          <w:b/>
          <w:bCs/>
          <w:spacing w:val="40"/>
          <w:rtl/>
        </w:rPr>
        <w:t>אכיפה</w:t>
      </w:r>
      <w:r w:rsidRPr="00E303AD">
        <w:rPr>
          <w:rFonts w:eastAsia="Times New Roman"/>
          <w:b/>
          <w:bCs/>
          <w:spacing w:val="40"/>
          <w:rtl/>
        </w:rPr>
        <w:t xml:space="preserve"> של הוראות החוק לאיסור צריכת זנות:</w:t>
      </w:r>
      <w:r w:rsidRPr="00E303AD">
        <w:rPr>
          <w:rFonts w:eastAsia="Calibri" w:hint="cs"/>
          <w:b/>
          <w:bCs/>
          <w:rtl/>
        </w:rPr>
        <w:t xml:space="preserve"> הליקויים שהועלו בביקורת </w:t>
      </w:r>
      <w:r w:rsidRPr="00E303AD">
        <w:rPr>
          <w:rFonts w:eastAsia="Calibri"/>
          <w:b/>
          <w:bCs/>
          <w:rtl/>
        </w:rPr>
        <w:t xml:space="preserve">מעלים </w:t>
      </w:r>
      <w:r w:rsidRPr="00E303AD">
        <w:rPr>
          <w:rFonts w:eastAsia="Calibri" w:hint="cs"/>
          <w:b/>
          <w:bCs/>
          <w:rtl/>
        </w:rPr>
        <w:t>פערים עמוקים ביישומו</w:t>
      </w:r>
      <w:r w:rsidRPr="00E303AD">
        <w:rPr>
          <w:rFonts w:eastAsia="Calibri"/>
          <w:b/>
          <w:bCs/>
          <w:rtl/>
        </w:rPr>
        <w:t xml:space="preserve"> </w:t>
      </w:r>
      <w:r w:rsidRPr="00E303AD">
        <w:rPr>
          <w:rFonts w:eastAsia="Calibri" w:hint="cs"/>
          <w:b/>
          <w:bCs/>
          <w:rtl/>
        </w:rPr>
        <w:t>של החוק ו</w:t>
      </w:r>
      <w:r w:rsidRPr="00E303AD">
        <w:rPr>
          <w:rFonts w:eastAsia="Calibri"/>
          <w:b/>
          <w:bCs/>
          <w:rtl/>
        </w:rPr>
        <w:t>חשש לתת</w:t>
      </w:r>
      <w:r w:rsidRPr="00E303AD">
        <w:rPr>
          <w:rFonts w:eastAsia="Calibri" w:hint="cs"/>
          <w:b/>
          <w:bCs/>
          <w:rtl/>
        </w:rPr>
        <w:t>-</w:t>
      </w:r>
      <w:r w:rsidRPr="00E303AD">
        <w:rPr>
          <w:rFonts w:eastAsia="Calibri"/>
          <w:b/>
          <w:bCs/>
          <w:rtl/>
        </w:rPr>
        <w:t xml:space="preserve">אכיפה </w:t>
      </w:r>
      <w:r w:rsidRPr="00E303AD">
        <w:rPr>
          <w:rFonts w:eastAsia="Calibri" w:hint="cs"/>
          <w:b/>
          <w:bCs/>
          <w:rtl/>
        </w:rPr>
        <w:t xml:space="preserve">בולטת </w:t>
      </w:r>
      <w:r w:rsidRPr="00E303AD">
        <w:rPr>
          <w:rFonts w:eastAsia="Calibri"/>
          <w:b/>
          <w:bCs/>
          <w:rtl/>
        </w:rPr>
        <w:t xml:space="preserve">של עבירות </w:t>
      </w:r>
      <w:r w:rsidRPr="00E303AD">
        <w:rPr>
          <w:rFonts w:eastAsia="Calibri" w:hint="cs"/>
          <w:b/>
          <w:bCs/>
          <w:rtl/>
        </w:rPr>
        <w:t>הקשורות ב</w:t>
      </w:r>
      <w:r w:rsidRPr="00E303AD">
        <w:rPr>
          <w:rFonts w:eastAsia="Calibri"/>
          <w:b/>
          <w:bCs/>
          <w:rtl/>
        </w:rPr>
        <w:t xml:space="preserve">זנות </w:t>
      </w:r>
      <w:r w:rsidRPr="00E303AD">
        <w:rPr>
          <w:rFonts w:eastAsia="Calibri" w:hint="cs"/>
          <w:b/>
          <w:bCs/>
          <w:rtl/>
        </w:rPr>
        <w:t>וב</w:t>
      </w:r>
      <w:r w:rsidRPr="00E303AD">
        <w:rPr>
          <w:rFonts w:eastAsia="Calibri"/>
          <w:b/>
          <w:bCs/>
          <w:rtl/>
        </w:rPr>
        <w:t>סחר בבני אדם</w:t>
      </w:r>
      <w:r w:rsidRPr="00E303AD">
        <w:rPr>
          <w:rFonts w:eastAsia="Calibri" w:hint="cs"/>
          <w:b/>
          <w:bCs/>
          <w:rtl/>
        </w:rPr>
        <w:t>, ו</w:t>
      </w:r>
      <w:r w:rsidRPr="00E303AD">
        <w:rPr>
          <w:rFonts w:eastAsia="Calibri"/>
          <w:b/>
          <w:bCs/>
          <w:rtl/>
        </w:rPr>
        <w:t xml:space="preserve">זאת אף שמדובר בעבירות פליליות </w:t>
      </w:r>
      <w:r w:rsidRPr="00E303AD">
        <w:rPr>
          <w:rFonts w:eastAsia="Calibri" w:hint="cs"/>
          <w:b/>
          <w:bCs/>
          <w:rtl/>
        </w:rPr>
        <w:t xml:space="preserve">שיש בהן פגיעה חמורה בזכויות אדם בסיסיות, ועל אף מחויבויותיה הבין-לאומיות של ישראל בנושא וההשפעות של הפרתן. החוק טרם עלה אפוא על מסילת יישום אפקטיבית. הדבר עולה מהממצאים בכמה מישורים, ובהם: </w:t>
      </w:r>
    </w:p>
    <w:bookmarkEnd w:id="210"/>
    <w:p w:rsidR="00E303AD" w:rsidRPr="00E303AD" w:rsidP="00E303AD">
      <w:pPr>
        <w:spacing w:line="269" w:lineRule="auto"/>
        <w:ind w:left="-567"/>
        <w:rPr>
          <w:rFonts w:eastAsia="Calibri"/>
          <w:b/>
          <w:bCs/>
          <w:szCs w:val="20"/>
          <w:rtl/>
        </w:rPr>
      </w:pPr>
      <w:r w:rsidRPr="00E303AD">
        <w:rPr>
          <w:rFonts w:eastAsia="Calibri" w:hint="cs"/>
          <w:b/>
          <w:bCs/>
          <w:szCs w:val="20"/>
          <w:rtl/>
        </w:rPr>
        <w:t xml:space="preserve"> </w:t>
      </w:r>
    </w:p>
    <w:p w:rsidR="00E303AD" w:rsidRPr="00E303AD" w:rsidP="00E303AD">
      <w:pPr>
        <w:numPr>
          <w:ilvl w:val="0"/>
          <w:numId w:val="20"/>
        </w:numPr>
        <w:spacing w:line="269" w:lineRule="auto"/>
        <w:ind w:left="312"/>
        <w:contextualSpacing/>
        <w:rPr>
          <w:rFonts w:eastAsia="Calibri"/>
          <w:b/>
          <w:bCs/>
        </w:rPr>
      </w:pPr>
      <w:r w:rsidRPr="00E303AD">
        <w:rPr>
          <w:rFonts w:eastAsia="Calibri" w:hint="cs"/>
          <w:b/>
          <w:bCs/>
          <w:rtl/>
        </w:rPr>
        <w:t xml:space="preserve"> </w:t>
      </w:r>
      <w:r w:rsidRPr="00E303AD">
        <w:rPr>
          <w:rFonts w:eastAsia="Times New Roman"/>
          <w:b/>
          <w:bCs/>
          <w:spacing w:val="40"/>
          <w:rtl/>
        </w:rPr>
        <w:t>אכיפה מינהלית:</w:t>
      </w:r>
      <w:r w:rsidRPr="00E303AD">
        <w:rPr>
          <w:rFonts w:eastAsia="Calibri" w:hint="cs"/>
          <w:b/>
          <w:bCs/>
          <w:rtl/>
        </w:rPr>
        <w:t xml:space="preserve"> החל משנת 2023 מסתמנת מגמה של ירידה ניכרת באכיפת חוק איסור צריכת זנות באמצעות הטלת קנסות על צרכני זנות, עד לפעילות דלה ומצומצמת בשנת 2024.</w:t>
      </w:r>
      <w:r w:rsidRPr="00E303AD">
        <w:rPr>
          <w:rFonts w:eastAsia="Calibri"/>
          <w:b/>
          <w:bCs/>
          <w:rtl/>
        </w:rPr>
        <w:t xml:space="preserve"> </w:t>
      </w:r>
      <w:r w:rsidRPr="00E303AD">
        <w:rPr>
          <w:rFonts w:eastAsia="Calibri" w:hint="cs"/>
          <w:b/>
          <w:bCs/>
          <w:rtl/>
        </w:rPr>
        <w:t xml:space="preserve">אומנם בשנת 2025 חל </w:t>
      </w:r>
      <w:r w:rsidRPr="00E303AD">
        <w:rPr>
          <w:rFonts w:eastAsia="Calibri"/>
          <w:b/>
          <w:bCs/>
          <w:rtl/>
        </w:rPr>
        <w:t>גידול במספר הקנסות, אך מספר</w:t>
      </w:r>
      <w:r w:rsidRPr="00E303AD">
        <w:rPr>
          <w:rFonts w:eastAsia="Calibri" w:hint="cs"/>
          <w:b/>
          <w:bCs/>
          <w:rtl/>
        </w:rPr>
        <w:t>ם</w:t>
      </w:r>
      <w:r w:rsidRPr="00E303AD">
        <w:rPr>
          <w:rFonts w:eastAsia="Calibri"/>
          <w:b/>
          <w:bCs/>
          <w:rtl/>
        </w:rPr>
        <w:t xml:space="preserve"> עדיין </w:t>
      </w:r>
      <w:r w:rsidRPr="00E303AD">
        <w:rPr>
          <w:rFonts w:eastAsia="Calibri" w:hint="cs"/>
          <w:b/>
          <w:bCs/>
          <w:rtl/>
        </w:rPr>
        <w:t>קטן בהרבה</w:t>
      </w:r>
      <w:r w:rsidRPr="00E303AD">
        <w:rPr>
          <w:rFonts w:eastAsia="Calibri"/>
          <w:b/>
          <w:bCs/>
          <w:rtl/>
        </w:rPr>
        <w:t xml:space="preserve"> ממספר הקנסות שהוטלו בשנת 2022 (הפחתה של כ-65%). יתרה מזאת, </w:t>
      </w:r>
      <w:bookmarkStart w:id="211" w:name="_Hlk224653265"/>
      <w:r w:rsidRPr="00E303AD">
        <w:rPr>
          <w:rFonts w:eastAsia="Calibri" w:hint="cs"/>
          <w:b/>
          <w:bCs/>
          <w:rtl/>
        </w:rPr>
        <w:t>האכיפה בוצעה באופן כמעט בלעדי על ידי שלוש תחנות משטרה בלבד (</w:t>
      </w:r>
      <w:r w:rsidRPr="00E303AD">
        <w:rPr>
          <w:rFonts w:eastAsia="Calibri"/>
          <w:b/>
          <w:bCs/>
          <w:rtl/>
        </w:rPr>
        <w:t>זבולון, ראשון לציון ושרת</w:t>
      </w:r>
      <w:r w:rsidRPr="00E303AD">
        <w:rPr>
          <w:rFonts w:eastAsia="Calibri" w:hint="cs"/>
          <w:b/>
          <w:bCs/>
          <w:rtl/>
        </w:rPr>
        <w:t>) מתוך מאות תחנות.</w:t>
      </w:r>
      <w:bookmarkEnd w:id="211"/>
      <w:r w:rsidRPr="00E303AD">
        <w:rPr>
          <w:rFonts w:eastAsia="Calibri" w:hint="cs"/>
          <w:b/>
          <w:bCs/>
          <w:rtl/>
        </w:rPr>
        <w:t xml:space="preserve"> </w:t>
      </w:r>
    </w:p>
    <w:p w:rsidR="00E303AD" w:rsidRPr="00E303AD" w:rsidP="00E303AD">
      <w:pPr>
        <w:spacing w:line="269" w:lineRule="auto"/>
        <w:ind w:left="-567"/>
        <w:rPr>
          <w:rFonts w:eastAsia="Calibri"/>
          <w:b/>
          <w:bCs/>
          <w:szCs w:val="20"/>
        </w:rPr>
      </w:pPr>
      <w:r w:rsidRPr="00E303AD">
        <w:rPr>
          <w:rFonts w:eastAsia="Calibri" w:hint="cs"/>
          <w:b/>
          <w:bCs/>
          <w:szCs w:val="20"/>
          <w:rtl/>
        </w:rPr>
        <w:t xml:space="preserve"> </w:t>
      </w:r>
    </w:p>
    <w:p w:rsidR="00E303AD" w:rsidRPr="00E303AD" w:rsidP="00E303AD">
      <w:pPr>
        <w:numPr>
          <w:ilvl w:val="0"/>
          <w:numId w:val="20"/>
        </w:numPr>
        <w:spacing w:line="269" w:lineRule="auto"/>
        <w:ind w:left="312"/>
        <w:contextualSpacing/>
        <w:rPr>
          <w:rFonts w:eastAsia="Calibri"/>
          <w:b/>
          <w:bCs/>
        </w:rPr>
      </w:pPr>
      <w:r w:rsidRPr="00E303AD">
        <w:rPr>
          <w:rFonts w:eastAsia="Times New Roman"/>
          <w:b/>
          <w:bCs/>
          <w:spacing w:val="40"/>
          <w:rtl/>
        </w:rPr>
        <w:t>פיצוח פרשיות:</w:t>
      </w:r>
      <w:r w:rsidRPr="00E303AD">
        <w:rPr>
          <w:rFonts w:eastAsia="Calibri"/>
          <w:b/>
          <w:bCs/>
          <w:rtl/>
        </w:rPr>
        <w:t xml:space="preserve"> בשנים 2022 - 2024 </w:t>
      </w:r>
      <w:bookmarkStart w:id="212" w:name="_Hlk232956595"/>
      <w:r w:rsidRPr="00E303AD">
        <w:rPr>
          <w:rFonts w:eastAsia="Calibri"/>
          <w:b/>
          <w:bCs/>
          <w:rtl/>
        </w:rPr>
        <w:t xml:space="preserve">המשטרה </w:t>
      </w:r>
      <w:r w:rsidRPr="00E303AD">
        <w:rPr>
          <w:rFonts w:eastAsia="Calibri" w:hint="cs"/>
          <w:b/>
          <w:bCs/>
          <w:rtl/>
        </w:rPr>
        <w:t>עמדה ב</w:t>
      </w:r>
      <w:r w:rsidRPr="00E303AD">
        <w:rPr>
          <w:rFonts w:eastAsia="Calibri"/>
          <w:b/>
          <w:bCs/>
          <w:rtl/>
        </w:rPr>
        <w:t xml:space="preserve">כ-40% בלבד </w:t>
      </w:r>
      <w:r w:rsidRPr="00E303AD">
        <w:rPr>
          <w:rFonts w:eastAsia="Calibri" w:hint="cs"/>
          <w:b/>
          <w:bCs/>
          <w:rtl/>
        </w:rPr>
        <w:t xml:space="preserve">מהיעד שקבעה לפיצוח פרשיות של עבירות סחר בבני אדם, וגם זאת כמעט אך ורק עקב פעולותיו של אחד מתוך שבעת מחוזות המשטרה. </w:t>
      </w:r>
    </w:p>
    <w:bookmarkEnd w:id="212"/>
    <w:p w:rsidR="00E303AD" w:rsidRPr="00E303AD" w:rsidP="00E303AD">
      <w:pPr>
        <w:spacing w:line="269" w:lineRule="auto"/>
        <w:ind w:left="-567"/>
        <w:rPr>
          <w:rFonts w:eastAsia="Calibri"/>
          <w:b/>
          <w:bCs/>
          <w:szCs w:val="20"/>
        </w:rPr>
      </w:pPr>
      <w:r w:rsidRPr="00E303AD">
        <w:rPr>
          <w:rFonts w:eastAsia="Calibri" w:hint="cs"/>
          <w:b/>
          <w:bCs/>
          <w:szCs w:val="20"/>
          <w:rtl/>
        </w:rPr>
        <w:t xml:space="preserve"> </w:t>
      </w:r>
    </w:p>
    <w:p w:rsidR="00E303AD" w:rsidRPr="00E303AD" w:rsidP="00E303AD">
      <w:pPr>
        <w:numPr>
          <w:ilvl w:val="0"/>
          <w:numId w:val="20"/>
        </w:numPr>
        <w:spacing w:line="269" w:lineRule="auto"/>
        <w:ind w:left="312"/>
        <w:contextualSpacing/>
        <w:rPr>
          <w:rFonts w:eastAsia="Calibri"/>
          <w:b/>
          <w:bCs/>
        </w:rPr>
      </w:pPr>
      <w:bookmarkStart w:id="213" w:name="_Hlk231817568"/>
      <w:r w:rsidRPr="00E303AD">
        <w:rPr>
          <w:rFonts w:eastAsia="Times New Roman" w:hint="cs"/>
          <w:b/>
          <w:bCs/>
          <w:spacing w:val="40"/>
          <w:rtl/>
        </w:rPr>
        <w:t>אי-</w:t>
      </w:r>
      <w:r w:rsidRPr="00E303AD">
        <w:rPr>
          <w:rFonts w:eastAsia="Times New Roman" w:hint="eastAsia"/>
          <w:b/>
          <w:bCs/>
          <w:spacing w:val="40"/>
          <w:rtl/>
        </w:rPr>
        <w:t>מיצוי</w:t>
      </w:r>
      <w:r w:rsidRPr="00E303AD">
        <w:rPr>
          <w:rFonts w:eastAsia="Times New Roman"/>
          <w:b/>
          <w:bCs/>
          <w:spacing w:val="40"/>
          <w:rtl/>
        </w:rPr>
        <w:t xml:space="preserve"> </w:t>
      </w:r>
      <w:r w:rsidRPr="00E303AD">
        <w:rPr>
          <w:rFonts w:eastAsia="Times New Roman" w:hint="cs"/>
          <w:b/>
          <w:bCs/>
          <w:spacing w:val="40"/>
          <w:rtl/>
        </w:rPr>
        <w:t>מידע על זירות זנות</w:t>
      </w:r>
      <w:r w:rsidRPr="00E303AD">
        <w:rPr>
          <w:rFonts w:eastAsia="Times New Roman"/>
          <w:b/>
          <w:bCs/>
          <w:spacing w:val="40"/>
          <w:rtl/>
        </w:rPr>
        <w:t>:</w:t>
      </w:r>
      <w:r w:rsidRPr="00E303AD">
        <w:rPr>
          <w:rFonts w:eastAsia="Calibri" w:hint="cs"/>
          <w:b/>
          <w:bCs/>
          <w:rtl/>
        </w:rPr>
        <w:t xml:space="preserve"> המשטרה לא מיצתה מידע המצוי ברשותה שנאסף מאפיקים שונים</w:t>
      </w:r>
      <w:r>
        <w:rPr>
          <w:rFonts w:eastAsia="Calibri"/>
          <w:b/>
          <w:bCs/>
          <w:vertAlign w:val="superscript"/>
          <w:rtl/>
        </w:rPr>
        <w:footnoteReference w:id="182"/>
      </w:r>
      <w:r w:rsidRPr="00E303AD">
        <w:rPr>
          <w:rFonts w:eastAsia="Calibri" w:hint="cs"/>
          <w:b/>
          <w:bCs/>
          <w:vertAlign w:val="superscript"/>
          <w:rtl/>
        </w:rPr>
        <w:t xml:space="preserve"> </w:t>
      </w:r>
      <w:r w:rsidRPr="00E303AD">
        <w:rPr>
          <w:rFonts w:eastAsia="Calibri" w:hint="cs"/>
          <w:b/>
          <w:bCs/>
          <w:rtl/>
        </w:rPr>
        <w:t>לצורך אכיפה, לרבות מידע על הטיפול בעבירות של סחר בבני אדם,</w:t>
      </w:r>
      <w:r w:rsidRPr="00E303AD">
        <w:rPr>
          <w:rFonts w:eastAsia="Calibri" w:hint="cs"/>
          <w:b/>
          <w:bCs/>
          <w:rtl/>
        </w:rPr>
        <w:t xml:space="preserve"> </w:t>
      </w:r>
      <w:r w:rsidRPr="00E303AD">
        <w:rPr>
          <w:rFonts w:eastAsia="Calibri" w:hint="cs"/>
          <w:b/>
          <w:bCs/>
          <w:rtl/>
        </w:rPr>
        <w:t xml:space="preserve">על סגירה של בתי בושת ועל הטלת קנסות על צרכני זנות. למשל, אף שבידי המשטרה מידע על קיומן של יותר מ-1,300 זירות זנות, </w:t>
      </w:r>
      <w:bookmarkStart w:id="214" w:name="_Hlk232343435"/>
      <w:r w:rsidRPr="00E303AD">
        <w:rPr>
          <w:rFonts w:eastAsia="Calibri" w:hint="cs"/>
          <w:b/>
          <w:bCs/>
          <w:rtl/>
        </w:rPr>
        <w:t xml:space="preserve">מתוכן מאות ברמת מהימנות גבוהה ובינונית, </w:t>
      </w:r>
      <w:bookmarkEnd w:id="214"/>
      <w:r w:rsidRPr="00E303AD">
        <w:rPr>
          <w:rFonts w:eastAsia="Calibri" w:hint="cs"/>
          <w:b/>
          <w:bCs/>
          <w:rtl/>
        </w:rPr>
        <w:t xml:space="preserve">בשנת 2024 נסגרו 13 בתי בושת בלבד והוטלו רק כ-380 קנסות (ירידה של 87% במספר הקנסות לעומת שנת 2022). </w:t>
      </w:r>
    </w:p>
    <w:bookmarkEnd w:id="213"/>
    <w:p w:rsidR="00E303AD" w:rsidRPr="00E303AD" w:rsidP="00E303AD">
      <w:pPr>
        <w:spacing w:line="269" w:lineRule="auto"/>
        <w:ind w:left="-567"/>
        <w:rPr>
          <w:rFonts w:eastAsia="Calibri"/>
          <w:b/>
          <w:bCs/>
          <w:szCs w:val="20"/>
        </w:rPr>
      </w:pPr>
      <w:r w:rsidRPr="00E303AD">
        <w:rPr>
          <w:rFonts w:eastAsia="Calibri" w:hint="cs"/>
          <w:b/>
          <w:bCs/>
          <w:szCs w:val="20"/>
          <w:rtl/>
        </w:rPr>
        <w:t xml:space="preserve"> </w:t>
      </w:r>
    </w:p>
    <w:p w:rsidR="00E303AD" w:rsidRPr="00E303AD" w:rsidP="00E303AD">
      <w:pPr>
        <w:numPr>
          <w:ilvl w:val="0"/>
          <w:numId w:val="20"/>
        </w:numPr>
        <w:spacing w:line="269" w:lineRule="auto"/>
        <w:ind w:left="312"/>
        <w:contextualSpacing/>
        <w:rPr>
          <w:rFonts w:eastAsia="Calibri"/>
          <w:b/>
          <w:bCs/>
        </w:rPr>
      </w:pPr>
      <w:r w:rsidRPr="00E303AD">
        <w:rPr>
          <w:rFonts w:eastAsia="Times New Roman" w:hint="eastAsia"/>
          <w:b/>
          <w:bCs/>
          <w:spacing w:val="40"/>
          <w:rtl/>
        </w:rPr>
        <w:t>עבירות</w:t>
      </w:r>
      <w:r w:rsidRPr="00E303AD">
        <w:rPr>
          <w:rFonts w:eastAsia="Times New Roman"/>
          <w:b/>
          <w:bCs/>
          <w:spacing w:val="40"/>
          <w:rtl/>
        </w:rPr>
        <w:t xml:space="preserve"> </w:t>
      </w:r>
      <w:r w:rsidRPr="00E303AD">
        <w:rPr>
          <w:rFonts w:eastAsia="Times New Roman" w:hint="eastAsia"/>
          <w:b/>
          <w:bCs/>
          <w:spacing w:val="40"/>
          <w:rtl/>
        </w:rPr>
        <w:t>במרחב</w:t>
      </w:r>
      <w:r w:rsidRPr="00E303AD">
        <w:rPr>
          <w:rFonts w:eastAsia="Times New Roman"/>
          <w:b/>
          <w:bCs/>
          <w:spacing w:val="40"/>
          <w:rtl/>
        </w:rPr>
        <w:t xml:space="preserve"> </w:t>
      </w:r>
      <w:r w:rsidRPr="00E303AD">
        <w:rPr>
          <w:rFonts w:eastAsia="Times New Roman" w:hint="eastAsia"/>
          <w:b/>
          <w:bCs/>
          <w:spacing w:val="40"/>
          <w:rtl/>
        </w:rPr>
        <w:t>המקוון</w:t>
      </w:r>
      <w:r w:rsidRPr="00E303AD">
        <w:rPr>
          <w:rFonts w:eastAsia="Times New Roman"/>
          <w:b/>
          <w:bCs/>
          <w:spacing w:val="40"/>
          <w:rtl/>
        </w:rPr>
        <w:t>:</w:t>
      </w:r>
      <w:r w:rsidRPr="00E303AD">
        <w:rPr>
          <w:rFonts w:eastAsia="Calibri" w:hint="cs"/>
          <w:b/>
          <w:bCs/>
          <w:rtl/>
        </w:rPr>
        <w:t xml:space="preserve"> לא היה טיפול מספק ואפקטיבי בתופעת השימוש במרחב המקוון כפלטפורמה לשידול, לסרסרות, לניצול ולצריכת זנות - שימוש שהולך ומתרחב בשנים האחרונות. </w:t>
      </w:r>
    </w:p>
    <w:p w:rsidR="00E303AD" w:rsidRPr="00E303AD" w:rsidP="00E303AD">
      <w:pPr>
        <w:spacing w:line="269" w:lineRule="auto"/>
        <w:ind w:left="-567"/>
        <w:rPr>
          <w:rFonts w:eastAsia="Calibri"/>
          <w:b/>
          <w:bCs/>
          <w:szCs w:val="20"/>
          <w:rtl/>
        </w:rPr>
      </w:pPr>
      <w:r w:rsidRPr="00E303AD">
        <w:rPr>
          <w:rFonts w:eastAsia="Calibri" w:hint="cs"/>
          <w:b/>
          <w:bCs/>
          <w:szCs w:val="20"/>
          <w:rtl/>
        </w:rPr>
        <w:t xml:space="preserve"> </w:t>
      </w:r>
    </w:p>
    <w:p w:rsidR="00E303AD" w:rsidRPr="00E303AD" w:rsidP="00E303AD">
      <w:pPr>
        <w:spacing w:line="269" w:lineRule="auto"/>
        <w:rPr>
          <w:rFonts w:eastAsia="Calibri"/>
          <w:b/>
          <w:bCs/>
          <w:rtl/>
        </w:rPr>
      </w:pPr>
      <w:bookmarkStart w:id="215" w:name="_Hlk221783675"/>
      <w:r w:rsidRPr="00E303AD">
        <w:rPr>
          <w:rFonts w:eastAsia="Times New Roman" w:hint="eastAsia"/>
          <w:b/>
          <w:bCs/>
          <w:spacing w:val="40"/>
          <w:rtl/>
        </w:rPr>
        <w:t>ליקויים</w:t>
      </w:r>
      <w:r w:rsidRPr="00E303AD">
        <w:rPr>
          <w:rFonts w:eastAsia="Times New Roman"/>
          <w:b/>
          <w:bCs/>
          <w:spacing w:val="40"/>
          <w:rtl/>
        </w:rPr>
        <w:t xml:space="preserve"> </w:t>
      </w:r>
      <w:r w:rsidRPr="00E303AD">
        <w:rPr>
          <w:rFonts w:eastAsia="Times New Roman" w:hint="eastAsia"/>
          <w:b/>
          <w:bCs/>
          <w:spacing w:val="40"/>
          <w:rtl/>
        </w:rPr>
        <w:t>בטיפול</w:t>
      </w:r>
      <w:r w:rsidRPr="00E303AD">
        <w:rPr>
          <w:rFonts w:eastAsia="Times New Roman"/>
          <w:b/>
          <w:bCs/>
          <w:spacing w:val="40"/>
          <w:rtl/>
        </w:rPr>
        <w:t xml:space="preserve"> </w:t>
      </w:r>
      <w:r w:rsidRPr="00E303AD">
        <w:rPr>
          <w:rFonts w:eastAsia="Times New Roman" w:hint="eastAsia"/>
          <w:b/>
          <w:bCs/>
          <w:spacing w:val="40"/>
          <w:rtl/>
        </w:rPr>
        <w:t>רשות</w:t>
      </w:r>
      <w:r w:rsidRPr="00E303AD">
        <w:rPr>
          <w:rFonts w:eastAsia="Times New Roman"/>
          <w:b/>
          <w:bCs/>
          <w:spacing w:val="40"/>
          <w:rtl/>
        </w:rPr>
        <w:t xml:space="preserve"> </w:t>
      </w:r>
      <w:r w:rsidRPr="00E303AD">
        <w:rPr>
          <w:rFonts w:eastAsia="Times New Roman" w:hint="eastAsia"/>
          <w:b/>
          <w:bCs/>
          <w:spacing w:val="40"/>
          <w:rtl/>
        </w:rPr>
        <w:t>האוכלוסין</w:t>
      </w:r>
      <w:r w:rsidRPr="00E303AD">
        <w:rPr>
          <w:rFonts w:eastAsia="Times New Roman"/>
          <w:b/>
          <w:bCs/>
          <w:spacing w:val="40"/>
          <w:rtl/>
        </w:rPr>
        <w:t xml:space="preserve"> </w:t>
      </w:r>
      <w:r w:rsidRPr="00E303AD">
        <w:rPr>
          <w:rFonts w:eastAsia="Times New Roman" w:hint="eastAsia"/>
          <w:b/>
          <w:bCs/>
          <w:spacing w:val="40"/>
          <w:rtl/>
        </w:rPr>
        <w:t>במתן</w:t>
      </w:r>
      <w:r w:rsidRPr="00E303AD">
        <w:rPr>
          <w:rFonts w:eastAsia="Times New Roman"/>
          <w:b/>
          <w:bCs/>
          <w:spacing w:val="40"/>
          <w:rtl/>
        </w:rPr>
        <w:t xml:space="preserve"> </w:t>
      </w:r>
      <w:r w:rsidRPr="00E303AD">
        <w:rPr>
          <w:rFonts w:eastAsia="Times New Roman" w:hint="eastAsia"/>
          <w:b/>
          <w:bCs/>
          <w:spacing w:val="40"/>
          <w:rtl/>
        </w:rPr>
        <w:t>אשרות</w:t>
      </w:r>
      <w:r w:rsidRPr="00E303AD">
        <w:rPr>
          <w:rFonts w:eastAsia="Times New Roman"/>
          <w:b/>
          <w:bCs/>
          <w:spacing w:val="40"/>
          <w:rtl/>
        </w:rPr>
        <w:t xml:space="preserve"> </w:t>
      </w:r>
      <w:r w:rsidRPr="00E303AD">
        <w:rPr>
          <w:rFonts w:eastAsia="Times New Roman" w:hint="eastAsia"/>
          <w:b/>
          <w:bCs/>
          <w:spacing w:val="40"/>
          <w:rtl/>
        </w:rPr>
        <w:t>שהייה</w:t>
      </w:r>
      <w:r w:rsidRPr="00E303AD">
        <w:rPr>
          <w:rFonts w:eastAsia="Times New Roman"/>
          <w:b/>
          <w:bCs/>
          <w:spacing w:val="40"/>
          <w:rtl/>
        </w:rPr>
        <w:t xml:space="preserve"> </w:t>
      </w:r>
      <w:r w:rsidRPr="00E303AD">
        <w:rPr>
          <w:rFonts w:eastAsia="Times New Roman" w:hint="eastAsia"/>
          <w:b/>
          <w:bCs/>
          <w:spacing w:val="40"/>
          <w:rtl/>
        </w:rPr>
        <w:t>לקורבנות</w:t>
      </w:r>
      <w:r w:rsidRPr="00E303AD">
        <w:rPr>
          <w:rFonts w:eastAsia="Times New Roman"/>
          <w:b/>
          <w:bCs/>
          <w:spacing w:val="40"/>
          <w:rtl/>
        </w:rPr>
        <w:t xml:space="preserve"> </w:t>
      </w:r>
      <w:r w:rsidRPr="00E303AD">
        <w:rPr>
          <w:rFonts w:eastAsia="Times New Roman" w:hint="eastAsia"/>
          <w:b/>
          <w:bCs/>
          <w:spacing w:val="40"/>
          <w:rtl/>
        </w:rPr>
        <w:t>סחר</w:t>
      </w:r>
      <w:r w:rsidRPr="00E303AD">
        <w:rPr>
          <w:rFonts w:eastAsia="Times New Roman"/>
          <w:b/>
          <w:bCs/>
          <w:spacing w:val="40"/>
          <w:rtl/>
        </w:rPr>
        <w:t xml:space="preserve"> </w:t>
      </w:r>
      <w:r w:rsidRPr="00E303AD">
        <w:rPr>
          <w:rFonts w:eastAsia="Times New Roman" w:hint="eastAsia"/>
          <w:b/>
          <w:bCs/>
          <w:spacing w:val="40"/>
          <w:rtl/>
        </w:rPr>
        <w:t>בבני</w:t>
      </w:r>
      <w:r w:rsidRPr="00E303AD">
        <w:rPr>
          <w:rFonts w:eastAsia="Times New Roman"/>
          <w:b/>
          <w:bCs/>
          <w:spacing w:val="40"/>
          <w:rtl/>
        </w:rPr>
        <w:t xml:space="preserve"> </w:t>
      </w:r>
      <w:r w:rsidRPr="00E303AD">
        <w:rPr>
          <w:rFonts w:eastAsia="Times New Roman" w:hint="eastAsia"/>
          <w:b/>
          <w:bCs/>
          <w:spacing w:val="40"/>
          <w:rtl/>
        </w:rPr>
        <w:t>אדם</w:t>
      </w:r>
      <w:r w:rsidRPr="00E303AD">
        <w:rPr>
          <w:rFonts w:eastAsia="Times New Roman"/>
          <w:b/>
          <w:bCs/>
          <w:spacing w:val="40"/>
          <w:rtl/>
        </w:rPr>
        <w:t>:</w:t>
      </w:r>
      <w:r w:rsidRPr="00E303AD">
        <w:rPr>
          <w:rFonts w:eastAsia="Calibri" w:hint="cs"/>
          <w:b/>
          <w:bCs/>
          <w:rtl/>
        </w:rPr>
        <w:t xml:space="preserve"> בביקורת נמצא כי לעיתים טיפולה של הרשות במתן אשרות שהייה למי שהוכרו כקורבנות סחר בבני אדם התבצע באופן החורג מסמכותה ובניגוד לנהלים. אשרות אלו נועדו להסדיר את מעמדם של הקורבנות אשר אינם בעלי אזרחות ישראלית. </w:t>
      </w:r>
      <w:bookmarkStart w:id="216" w:name="_Hlk224809090"/>
      <w:r w:rsidRPr="00E303AD">
        <w:rPr>
          <w:rFonts w:eastAsia="Calibri"/>
          <w:b/>
          <w:bCs/>
          <w:rtl/>
        </w:rPr>
        <w:t xml:space="preserve">עמדת המתאמת </w:t>
      </w:r>
      <w:r w:rsidRPr="00E303AD">
        <w:rPr>
          <w:rFonts w:eastAsia="Calibri" w:hint="cs"/>
          <w:b/>
          <w:bCs/>
          <w:rtl/>
        </w:rPr>
        <w:t>ביחידת התיאום בעניין זה</w:t>
      </w:r>
      <w:r w:rsidRPr="00E303AD">
        <w:rPr>
          <w:rFonts w:eastAsia="Calibri"/>
          <w:b/>
          <w:bCs/>
          <w:rtl/>
        </w:rPr>
        <w:t xml:space="preserve"> היא כי הרשות</w:t>
      </w:r>
      <w:r w:rsidRPr="00E303AD">
        <w:rPr>
          <w:rFonts w:eastAsia="Calibri" w:hint="cs"/>
          <w:b/>
          <w:bCs/>
          <w:rtl/>
        </w:rPr>
        <w:t xml:space="preserve"> פועלת באופן בלתי סביר, </w:t>
      </w:r>
      <w:r w:rsidRPr="00E303AD">
        <w:rPr>
          <w:rFonts w:eastAsia="Calibri"/>
          <w:b/>
          <w:bCs/>
          <w:rtl/>
        </w:rPr>
        <w:t xml:space="preserve">בניגוד להחלטות הממשלה ואף לנוהלי הרשות עצמה, פוגעת קשות בקורבנות </w:t>
      </w:r>
      <w:r w:rsidRPr="00E303AD">
        <w:rPr>
          <w:rFonts w:eastAsia="Calibri" w:hint="cs"/>
          <w:b/>
          <w:bCs/>
          <w:rtl/>
        </w:rPr>
        <w:t>ו</w:t>
      </w:r>
      <w:r w:rsidRPr="00E303AD">
        <w:rPr>
          <w:rFonts w:eastAsia="Calibri"/>
          <w:b/>
          <w:bCs/>
          <w:rtl/>
        </w:rPr>
        <w:t xml:space="preserve">מובילה לדחיקתם חזרה למעגל הזנות ולפגיעה חמורה בניהול תיקים פליליים </w:t>
      </w:r>
      <w:r w:rsidRPr="00E303AD">
        <w:rPr>
          <w:rFonts w:eastAsia="Calibri" w:hint="cs"/>
          <w:b/>
          <w:bCs/>
          <w:rtl/>
        </w:rPr>
        <w:t>ש</w:t>
      </w:r>
      <w:r w:rsidRPr="00E303AD">
        <w:rPr>
          <w:rFonts w:eastAsia="Calibri"/>
          <w:b/>
          <w:bCs/>
          <w:rtl/>
        </w:rPr>
        <w:t>מושקע בהם מאמץ רב.</w:t>
      </w:r>
      <w:bookmarkEnd w:id="216"/>
      <w:r w:rsidRPr="00E303AD">
        <w:rPr>
          <w:rFonts w:eastAsia="Calibri"/>
          <w:b/>
          <w:bCs/>
          <w:rtl/>
        </w:rPr>
        <w:t xml:space="preserve"> </w:t>
      </w:r>
    </w:p>
    <w:p w:rsidR="00E303AD" w:rsidRPr="00E303AD" w:rsidP="00E303AD">
      <w:pPr>
        <w:spacing w:line="269" w:lineRule="auto"/>
        <w:ind w:left="-567"/>
        <w:rPr>
          <w:rFonts w:eastAsia="Calibri"/>
          <w:b/>
          <w:bCs/>
          <w:szCs w:val="20"/>
          <w:rtl/>
        </w:rPr>
      </w:pPr>
      <w:r w:rsidRPr="00E303AD">
        <w:rPr>
          <w:rFonts w:eastAsia="Calibri" w:hint="cs"/>
          <w:b/>
          <w:bCs/>
          <w:szCs w:val="20"/>
          <w:rtl/>
        </w:rPr>
        <w:t xml:space="preserve"> </w:t>
      </w:r>
    </w:p>
    <w:p w:rsidR="00E303AD" w:rsidRPr="00E303AD" w:rsidP="00E303AD">
      <w:pPr>
        <w:spacing w:line="269" w:lineRule="auto"/>
        <w:rPr>
          <w:rFonts w:eastAsia="Calibri"/>
          <w:b/>
          <w:bCs/>
          <w:rtl/>
        </w:rPr>
      </w:pPr>
      <w:bookmarkStart w:id="217" w:name="_Hlk232951073"/>
      <w:r w:rsidRPr="00E303AD">
        <w:rPr>
          <w:rFonts w:eastAsia="Times New Roman" w:hint="cs"/>
          <w:b/>
          <w:bCs/>
          <w:spacing w:val="40"/>
          <w:rtl/>
        </w:rPr>
        <w:t xml:space="preserve">משימות שנותרו לביצוע על ידי </w:t>
      </w:r>
      <w:r w:rsidRPr="00E303AD">
        <w:rPr>
          <w:rFonts w:eastAsia="Times New Roman" w:hint="eastAsia"/>
          <w:b/>
          <w:bCs/>
          <w:spacing w:val="40"/>
          <w:rtl/>
        </w:rPr>
        <w:t>יחידת</w:t>
      </w:r>
      <w:r w:rsidRPr="00E303AD">
        <w:rPr>
          <w:rFonts w:eastAsia="Times New Roman"/>
          <w:b/>
          <w:bCs/>
          <w:spacing w:val="40"/>
          <w:rtl/>
        </w:rPr>
        <w:t xml:space="preserve"> </w:t>
      </w:r>
      <w:r w:rsidRPr="00E303AD">
        <w:rPr>
          <w:rFonts w:eastAsia="Times New Roman" w:hint="eastAsia"/>
          <w:b/>
          <w:bCs/>
          <w:spacing w:val="40"/>
          <w:rtl/>
        </w:rPr>
        <w:t>התיאום</w:t>
      </w:r>
      <w:r w:rsidRPr="00E303AD">
        <w:rPr>
          <w:rFonts w:eastAsia="Times New Roman"/>
          <w:b/>
          <w:bCs/>
          <w:spacing w:val="40"/>
          <w:rtl/>
        </w:rPr>
        <w:t xml:space="preserve"> </w:t>
      </w:r>
      <w:r w:rsidRPr="00E303AD">
        <w:rPr>
          <w:rFonts w:eastAsia="Times New Roman" w:hint="cs"/>
          <w:b/>
          <w:bCs/>
          <w:spacing w:val="40"/>
          <w:rtl/>
        </w:rPr>
        <w:t>כחצי שנה לפני תום התקופה שהוגדרה ליישום התכנית הרב-שנתית</w:t>
      </w:r>
      <w:bookmarkEnd w:id="217"/>
      <w:r w:rsidRPr="00E303AD">
        <w:rPr>
          <w:rFonts w:eastAsia="Times New Roman"/>
          <w:b/>
          <w:bCs/>
          <w:spacing w:val="40"/>
          <w:rtl/>
        </w:rPr>
        <w:t>:</w:t>
      </w:r>
      <w:r w:rsidRPr="00E303AD">
        <w:rPr>
          <w:rFonts w:eastAsia="Calibri" w:hint="cs"/>
          <w:b/>
          <w:bCs/>
          <w:rtl/>
        </w:rPr>
        <w:t xml:space="preserve"> פעולת יחידת התיאום, אשר הוקמה לפי החלטת הממשלה כגוף המרכזי האחראי לעיצוב המדיניות בתחום המאבק בסחר בבני אדם ולתיאום וההובלה של יישומה, הייתה חסרה בכמה היבטים ובהם: (א) לא הוסדר שיתוף הפעולה בין מינהל אכיפה וזרים ברשות האוכלוסין</w:t>
      </w:r>
      <w:r w:rsidRPr="00E303AD">
        <w:rPr>
          <w:rFonts w:eastAsia="Calibri"/>
          <w:b/>
          <w:bCs/>
          <w:rtl/>
        </w:rPr>
        <w:t xml:space="preserve"> </w:t>
      </w:r>
      <w:r w:rsidRPr="00E303AD">
        <w:rPr>
          <w:rFonts w:eastAsia="Calibri" w:hint="cs"/>
          <w:b/>
          <w:bCs/>
          <w:rtl/>
        </w:rPr>
        <w:t>ובין המשטרה, ולכן פעולות גופים אלה אינן מתואמות</w:t>
      </w:r>
      <w:r w:rsidRPr="00E303AD">
        <w:rPr>
          <w:rFonts w:eastAsia="Calibri"/>
          <w:b/>
          <w:bCs/>
          <w:rtl/>
        </w:rPr>
        <w:t xml:space="preserve"> </w:t>
      </w:r>
      <w:r w:rsidRPr="00E303AD">
        <w:rPr>
          <w:rFonts w:eastAsia="Calibri" w:hint="cs"/>
          <w:b/>
          <w:bCs/>
          <w:rtl/>
        </w:rPr>
        <w:t xml:space="preserve">והם אינם מעבירים זה לזה </w:t>
      </w:r>
      <w:r w:rsidRPr="00E303AD">
        <w:rPr>
          <w:rFonts w:eastAsia="Calibri"/>
          <w:b/>
          <w:bCs/>
          <w:rtl/>
        </w:rPr>
        <w:t xml:space="preserve">מידע ונתונים היכולים לסייע </w:t>
      </w:r>
      <w:r w:rsidRPr="00E303AD">
        <w:rPr>
          <w:rFonts w:eastAsia="Calibri" w:hint="cs"/>
          <w:b/>
          <w:bCs/>
          <w:rtl/>
        </w:rPr>
        <w:t>ב</w:t>
      </w:r>
      <w:r w:rsidRPr="00E303AD">
        <w:rPr>
          <w:rFonts w:eastAsia="Calibri"/>
          <w:b/>
          <w:bCs/>
          <w:rtl/>
        </w:rPr>
        <w:t xml:space="preserve">אכיפה </w:t>
      </w:r>
      <w:bookmarkEnd w:id="215"/>
      <w:r w:rsidRPr="00E303AD">
        <w:rPr>
          <w:rFonts w:eastAsia="Calibri" w:hint="cs"/>
          <w:b/>
          <w:bCs/>
          <w:rtl/>
        </w:rPr>
        <w:t xml:space="preserve">ובמאבק בסחר בבני אדם; </w:t>
      </w:r>
      <w:bookmarkStart w:id="218" w:name="_Hlk232951156"/>
      <w:r w:rsidRPr="00E303AD">
        <w:rPr>
          <w:rFonts w:eastAsia="Calibri" w:hint="cs"/>
          <w:b/>
          <w:bCs/>
          <w:rtl/>
        </w:rPr>
        <w:t>(ב) הפעילות של מוקד פניות הציבור הייעודי לנושא הסחר בבני אדם, שמפעילה יחידת התיאום, לא הורחבה כנדרש בהחלטת הממשלה;</w:t>
      </w:r>
      <w:bookmarkEnd w:id="218"/>
      <w:r w:rsidRPr="00E303AD">
        <w:rPr>
          <w:rFonts w:eastAsia="Calibri" w:hint="cs"/>
          <w:b/>
          <w:bCs/>
          <w:rtl/>
        </w:rPr>
        <w:t xml:space="preserve"> (ג) יחידת התיאום </w:t>
      </w:r>
      <w:r w:rsidRPr="00E303AD">
        <w:rPr>
          <w:rFonts w:eastAsia="Calibri"/>
          <w:b/>
          <w:bCs/>
          <w:rtl/>
        </w:rPr>
        <w:t>לא גיבשה</w:t>
      </w:r>
      <w:r w:rsidRPr="00E303AD">
        <w:rPr>
          <w:rFonts w:eastAsia="Calibri" w:hint="cs"/>
          <w:b/>
          <w:bCs/>
          <w:rtl/>
        </w:rPr>
        <w:t>, כנדרש בהחלטת הממשלה,</w:t>
      </w:r>
      <w:r w:rsidRPr="00E303AD">
        <w:rPr>
          <w:rFonts w:eastAsia="Calibri"/>
          <w:b/>
          <w:bCs/>
          <w:rtl/>
        </w:rPr>
        <w:t xml:space="preserve"> ת</w:t>
      </w:r>
      <w:r w:rsidRPr="00E303AD">
        <w:rPr>
          <w:rFonts w:eastAsia="Calibri" w:hint="cs"/>
          <w:b/>
          <w:bCs/>
          <w:rtl/>
        </w:rPr>
        <w:t>ו</w:t>
      </w:r>
      <w:r w:rsidRPr="00E303AD">
        <w:rPr>
          <w:rFonts w:eastAsia="Calibri"/>
          <w:b/>
          <w:bCs/>
          <w:rtl/>
        </w:rPr>
        <w:t>כנית</w:t>
      </w:r>
      <w:r w:rsidRPr="00E303AD">
        <w:rPr>
          <w:rFonts w:eastAsia="Calibri" w:hint="cs"/>
          <w:b/>
          <w:bCs/>
          <w:rtl/>
        </w:rPr>
        <w:t xml:space="preserve"> </w:t>
      </w:r>
      <w:r w:rsidRPr="00E303AD">
        <w:rPr>
          <w:rFonts w:eastAsia="Calibri"/>
          <w:b/>
          <w:bCs/>
          <w:rtl/>
        </w:rPr>
        <w:t xml:space="preserve">הכשרה </w:t>
      </w:r>
      <w:r w:rsidRPr="00E303AD">
        <w:rPr>
          <w:rFonts w:eastAsia="Calibri" w:hint="cs"/>
          <w:b/>
          <w:bCs/>
          <w:rtl/>
        </w:rPr>
        <w:t xml:space="preserve">שנתית </w:t>
      </w:r>
      <w:r w:rsidRPr="00E303AD">
        <w:rPr>
          <w:rFonts w:eastAsia="Calibri"/>
          <w:b/>
          <w:bCs/>
          <w:rtl/>
        </w:rPr>
        <w:t>מקצועית, סדורה ובין-משרדית עבור המשרדים</w:t>
      </w:r>
      <w:r w:rsidRPr="00E303AD">
        <w:rPr>
          <w:rFonts w:eastAsia="Calibri" w:hint="cs"/>
          <w:b/>
          <w:bCs/>
          <w:rtl/>
        </w:rPr>
        <w:t xml:space="preserve"> והגופים</w:t>
      </w:r>
      <w:r w:rsidRPr="00E303AD">
        <w:rPr>
          <w:rFonts w:eastAsia="Calibri"/>
          <w:b/>
          <w:bCs/>
          <w:rtl/>
        </w:rPr>
        <w:t xml:space="preserve"> </w:t>
      </w:r>
      <w:r w:rsidRPr="00E303AD">
        <w:rPr>
          <w:rFonts w:eastAsia="Calibri" w:hint="cs"/>
          <w:b/>
          <w:bCs/>
          <w:rtl/>
        </w:rPr>
        <w:t xml:space="preserve">הציבוריים </w:t>
      </w:r>
      <w:r w:rsidRPr="00E303AD">
        <w:rPr>
          <w:rFonts w:eastAsia="Calibri"/>
          <w:b/>
          <w:bCs/>
          <w:rtl/>
        </w:rPr>
        <w:t>השותפים</w:t>
      </w:r>
      <w:r w:rsidRPr="00E303AD">
        <w:rPr>
          <w:rFonts w:eastAsia="Calibri" w:hint="cs"/>
          <w:b/>
          <w:bCs/>
          <w:rtl/>
        </w:rPr>
        <w:t xml:space="preserve"> במאבק בסחר בבני אדם וזנות.</w:t>
      </w:r>
    </w:p>
    <w:p w:rsidR="00E303AD" w:rsidRPr="00E303AD" w:rsidP="00E303AD">
      <w:pPr>
        <w:spacing w:line="269" w:lineRule="auto"/>
        <w:ind w:left="-567"/>
        <w:rPr>
          <w:rFonts w:eastAsia="Calibri"/>
          <w:b/>
          <w:bCs/>
          <w:szCs w:val="20"/>
          <w:rtl/>
        </w:rPr>
      </w:pPr>
      <w:r w:rsidRPr="00E303AD">
        <w:rPr>
          <w:rFonts w:eastAsia="Calibri" w:hint="cs"/>
          <w:b/>
          <w:bCs/>
          <w:szCs w:val="20"/>
          <w:rtl/>
        </w:rPr>
        <w:t xml:space="preserve"> </w:t>
      </w:r>
    </w:p>
    <w:p w:rsidR="00E303AD" w:rsidRPr="00E303AD" w:rsidP="00E303AD">
      <w:pPr>
        <w:spacing w:line="269" w:lineRule="auto"/>
        <w:rPr>
          <w:rFonts w:eastAsia="Calibri"/>
          <w:b/>
          <w:bCs/>
          <w:rtl/>
        </w:rPr>
      </w:pPr>
      <w:r w:rsidRPr="00E303AD">
        <w:rPr>
          <w:rFonts w:eastAsia="Calibri" w:hint="cs"/>
          <w:b/>
          <w:bCs/>
          <w:rtl/>
        </w:rPr>
        <w:t xml:space="preserve">על המשטרה ומשרד המשפטים לנקוט פעולות להגברת האכיפה של החוקים הנוגעים לעבירות זנות וסחר בבני אדם, לשיפור פעילות האכיפה ולהבטחת אכיפה יעילה ועקבית, בין היתר </w:t>
      </w:r>
      <w:r w:rsidRPr="00E303AD">
        <w:rPr>
          <w:rFonts w:eastAsia="Calibri" w:hint="cs"/>
          <w:b/>
          <w:bCs/>
          <w:rtl/>
        </w:rPr>
        <w:t xml:space="preserve">באמצעות הגברת השימוש במידע המשטרתי הקיים ובשיתופי פעולה; זאת, </w:t>
      </w:r>
      <w:r w:rsidRPr="00E303AD">
        <w:rPr>
          <w:rFonts w:eastAsia="Calibri"/>
          <w:b/>
          <w:bCs/>
          <w:rtl/>
        </w:rPr>
        <w:t>בשים לב לחומרת העבירות ו</w:t>
      </w:r>
      <w:r w:rsidRPr="00E303AD">
        <w:rPr>
          <w:rFonts w:eastAsia="Calibri" w:hint="cs"/>
          <w:b/>
          <w:bCs/>
          <w:rtl/>
        </w:rPr>
        <w:t>ל</w:t>
      </w:r>
      <w:r w:rsidRPr="00E303AD">
        <w:rPr>
          <w:rFonts w:eastAsia="Calibri"/>
          <w:b/>
          <w:bCs/>
          <w:rtl/>
        </w:rPr>
        <w:t xml:space="preserve">פגיעוּת הקורבנות, </w:t>
      </w:r>
      <w:r w:rsidRPr="00E303AD">
        <w:rPr>
          <w:rFonts w:eastAsia="Calibri" w:hint="cs"/>
          <w:b/>
          <w:bCs/>
          <w:rtl/>
        </w:rPr>
        <w:t xml:space="preserve">שעלולות להגיע </w:t>
      </w:r>
      <w:r w:rsidRPr="00E303AD">
        <w:rPr>
          <w:rFonts w:eastAsia="Calibri"/>
          <w:b/>
          <w:bCs/>
          <w:rtl/>
        </w:rPr>
        <w:t xml:space="preserve">עד כדי חשש ממשי לחייהם, וכן </w:t>
      </w:r>
      <w:r w:rsidRPr="00E303AD">
        <w:rPr>
          <w:rFonts w:eastAsia="Calibri" w:hint="cs"/>
          <w:b/>
          <w:bCs/>
          <w:rtl/>
        </w:rPr>
        <w:t>לנוכח</w:t>
      </w:r>
      <w:r w:rsidRPr="00E303AD">
        <w:rPr>
          <w:rFonts w:eastAsia="Calibri"/>
          <w:b/>
          <w:bCs/>
          <w:rtl/>
        </w:rPr>
        <w:t xml:space="preserve"> מחויבויותיה הבין-לאומיות של המדינה בנושא </w:t>
      </w:r>
      <w:r w:rsidRPr="00E303AD">
        <w:rPr>
          <w:rFonts w:eastAsia="Calibri" w:hint="cs"/>
          <w:b/>
          <w:bCs/>
          <w:rtl/>
        </w:rPr>
        <w:t>וההשפעות</w:t>
      </w:r>
      <w:r w:rsidRPr="00E303AD">
        <w:rPr>
          <w:rFonts w:eastAsia="Calibri"/>
          <w:b/>
          <w:bCs/>
          <w:rtl/>
        </w:rPr>
        <w:t xml:space="preserve"> של הפרתן</w:t>
      </w:r>
      <w:r w:rsidRPr="00E303AD">
        <w:rPr>
          <w:rFonts w:eastAsia="Calibri" w:hint="cs"/>
          <w:b/>
          <w:bCs/>
          <w:rtl/>
        </w:rPr>
        <w:t>.</w:t>
      </w:r>
      <w:r w:rsidRPr="00E303AD">
        <w:rPr>
          <w:rFonts w:eastAsia="Calibri"/>
          <w:b/>
          <w:bCs/>
          <w:rtl/>
        </w:rPr>
        <w:t xml:space="preserve"> </w:t>
      </w:r>
      <w:r w:rsidRPr="00E303AD">
        <w:rPr>
          <w:rFonts w:eastAsia="Calibri" w:hint="cs"/>
          <w:b/>
          <w:bCs/>
          <w:rtl/>
        </w:rPr>
        <w:t xml:space="preserve">מוצע כי </w:t>
      </w:r>
      <w:r w:rsidRPr="00E303AD">
        <w:rPr>
          <w:rFonts w:eastAsia="Calibri"/>
          <w:b/>
          <w:bCs/>
          <w:rtl/>
        </w:rPr>
        <w:t>צוות</w:t>
      </w:r>
      <w:r w:rsidRPr="00E303AD">
        <w:rPr>
          <w:rFonts w:eastAsia="Calibri" w:hint="cs"/>
          <w:b/>
          <w:bCs/>
          <w:rtl/>
        </w:rPr>
        <w:t>-</w:t>
      </w:r>
      <w:r w:rsidRPr="00E303AD">
        <w:rPr>
          <w:rFonts w:eastAsia="Calibri"/>
          <w:b/>
          <w:bCs/>
          <w:rtl/>
        </w:rPr>
        <w:t xml:space="preserve">העל בראשות היועצת המשפטית לממשלה </w:t>
      </w:r>
      <w:r w:rsidRPr="00E303AD">
        <w:rPr>
          <w:rFonts w:eastAsia="Calibri" w:hint="cs"/>
          <w:b/>
          <w:bCs/>
          <w:rtl/>
        </w:rPr>
        <w:t xml:space="preserve">ישקול אם </w:t>
      </w:r>
      <w:r w:rsidRPr="00E303AD">
        <w:rPr>
          <w:rFonts w:eastAsia="Calibri"/>
          <w:b/>
          <w:bCs/>
          <w:rtl/>
        </w:rPr>
        <w:t>לקבוע יעד</w:t>
      </w:r>
      <w:r w:rsidRPr="00E303AD">
        <w:rPr>
          <w:rFonts w:eastAsia="Calibri" w:hint="cs"/>
          <w:b/>
          <w:bCs/>
          <w:rtl/>
        </w:rPr>
        <w:t>י</w:t>
      </w:r>
      <w:r w:rsidRPr="00E303AD">
        <w:rPr>
          <w:rFonts w:eastAsia="Calibri"/>
          <w:b/>
          <w:bCs/>
          <w:rtl/>
        </w:rPr>
        <w:t xml:space="preserve"> אכיפה ב</w:t>
      </w:r>
      <w:r w:rsidRPr="00E303AD">
        <w:rPr>
          <w:rFonts w:eastAsia="Calibri" w:hint="cs"/>
          <w:b/>
          <w:bCs/>
          <w:rtl/>
        </w:rPr>
        <w:t xml:space="preserve">עניין </w:t>
      </w:r>
      <w:r w:rsidRPr="00E303AD">
        <w:rPr>
          <w:rFonts w:eastAsia="Calibri"/>
          <w:b/>
          <w:bCs/>
          <w:rtl/>
        </w:rPr>
        <w:t>עבירות סחר בבני אדם ו</w:t>
      </w:r>
      <w:r w:rsidRPr="00E303AD">
        <w:rPr>
          <w:rFonts w:eastAsia="Calibri" w:hint="cs"/>
          <w:b/>
          <w:bCs/>
          <w:rtl/>
        </w:rPr>
        <w:t>ה</w:t>
      </w:r>
      <w:r w:rsidRPr="00E303AD">
        <w:rPr>
          <w:rFonts w:eastAsia="Calibri"/>
          <w:b/>
          <w:bCs/>
          <w:rtl/>
        </w:rPr>
        <w:t xml:space="preserve">עבירות הנלוות להן ויפעל במסגרת תפקידו לקידום אכיפה משולבת בתחום זה </w:t>
      </w:r>
      <w:r w:rsidRPr="00E303AD">
        <w:rPr>
          <w:rFonts w:eastAsia="Calibri" w:hint="cs"/>
          <w:b/>
          <w:bCs/>
          <w:rtl/>
        </w:rPr>
        <w:t>בקרב</w:t>
      </w:r>
      <w:r w:rsidRPr="00E303AD">
        <w:rPr>
          <w:rFonts w:eastAsia="Calibri"/>
          <w:b/>
          <w:bCs/>
          <w:rtl/>
        </w:rPr>
        <w:t xml:space="preserve"> רשויות האכיפה השונות</w:t>
      </w:r>
      <w:r w:rsidRPr="00E303AD">
        <w:rPr>
          <w:rFonts w:eastAsia="Calibri" w:hint="cs"/>
          <w:b/>
          <w:bCs/>
          <w:rtl/>
        </w:rPr>
        <w:t>.</w:t>
      </w:r>
    </w:p>
    <w:p w:rsidR="00E303AD" w:rsidRPr="00E303AD" w:rsidP="00E303AD">
      <w:pPr>
        <w:spacing w:line="269" w:lineRule="auto"/>
        <w:ind w:left="-567"/>
        <w:rPr>
          <w:rFonts w:eastAsia="Calibri"/>
          <w:b/>
          <w:bCs/>
          <w:szCs w:val="20"/>
          <w:rtl/>
        </w:rPr>
      </w:pPr>
      <w:r w:rsidRPr="00E303AD">
        <w:rPr>
          <w:rFonts w:eastAsia="Calibri" w:hint="cs"/>
          <w:b/>
          <w:bCs/>
          <w:szCs w:val="20"/>
          <w:rtl/>
        </w:rPr>
        <w:t xml:space="preserve"> </w:t>
      </w:r>
    </w:p>
    <w:p w:rsidR="00E303AD" w:rsidRPr="00E303AD" w:rsidP="00E303AD">
      <w:pPr>
        <w:spacing w:line="269" w:lineRule="auto"/>
        <w:rPr>
          <w:rFonts w:eastAsia="Calibri"/>
          <w:b/>
          <w:bCs/>
          <w:rtl/>
        </w:rPr>
      </w:pPr>
      <w:r w:rsidRPr="00E303AD">
        <w:rPr>
          <w:rFonts w:eastAsia="Calibri"/>
          <w:b/>
          <w:bCs/>
          <w:rtl/>
        </w:rPr>
        <w:t xml:space="preserve">על יחידת התיאום </w:t>
      </w:r>
      <w:r w:rsidRPr="00E303AD">
        <w:rPr>
          <w:rFonts w:eastAsia="Calibri" w:hint="cs"/>
          <w:b/>
          <w:bCs/>
          <w:rtl/>
        </w:rPr>
        <w:t>להבטיח</w:t>
      </w:r>
      <w:r w:rsidRPr="00E303AD">
        <w:rPr>
          <w:rFonts w:eastAsia="Calibri"/>
          <w:b/>
          <w:bCs/>
          <w:rtl/>
        </w:rPr>
        <w:t xml:space="preserve"> עבודה משותפת</w:t>
      </w:r>
      <w:r w:rsidRPr="00E303AD">
        <w:rPr>
          <w:rFonts w:eastAsia="Calibri" w:hint="cs"/>
          <w:b/>
          <w:bCs/>
          <w:rtl/>
        </w:rPr>
        <w:t>,</w:t>
      </w:r>
      <w:r w:rsidRPr="00E303AD">
        <w:rPr>
          <w:rFonts w:eastAsia="Calibri"/>
          <w:b/>
          <w:bCs/>
          <w:rtl/>
        </w:rPr>
        <w:t xml:space="preserve"> יעילה ומיטבית </w:t>
      </w:r>
      <w:r w:rsidRPr="00E303AD">
        <w:rPr>
          <w:rFonts w:eastAsia="Calibri" w:hint="cs"/>
          <w:b/>
          <w:bCs/>
          <w:rtl/>
        </w:rPr>
        <w:t>של</w:t>
      </w:r>
      <w:r w:rsidRPr="00E303AD">
        <w:rPr>
          <w:rFonts w:eastAsia="Calibri"/>
          <w:b/>
          <w:bCs/>
          <w:rtl/>
        </w:rPr>
        <w:t xml:space="preserve"> גופי האכיפה השונים</w:t>
      </w:r>
      <w:r w:rsidRPr="00E303AD">
        <w:rPr>
          <w:rFonts w:eastAsia="Calibri" w:hint="cs"/>
          <w:b/>
          <w:bCs/>
          <w:rtl/>
        </w:rPr>
        <w:t xml:space="preserve"> ולממש באופן המיטבי את אחריותה כמתחייב מהחלטת הממשלה;</w:t>
      </w:r>
    </w:p>
    <w:p w:rsidR="00E303AD" w:rsidRPr="00E303AD" w:rsidP="00E303AD">
      <w:pPr>
        <w:spacing w:line="269" w:lineRule="auto"/>
        <w:ind w:left="-567"/>
        <w:rPr>
          <w:rFonts w:eastAsia="Calibri"/>
          <w:b/>
          <w:bCs/>
          <w:szCs w:val="20"/>
          <w:rtl/>
        </w:rPr>
      </w:pPr>
      <w:r w:rsidRPr="00E303AD">
        <w:rPr>
          <w:rFonts w:eastAsia="Calibri" w:hint="cs"/>
          <w:b/>
          <w:bCs/>
          <w:szCs w:val="20"/>
          <w:rtl/>
        </w:rPr>
        <w:t xml:space="preserve"> </w:t>
      </w:r>
    </w:p>
    <w:p w:rsidR="00E303AD" w:rsidRPr="00E303AD" w:rsidP="00E303AD">
      <w:pPr>
        <w:spacing w:line="269" w:lineRule="auto"/>
        <w:rPr>
          <w:rFonts w:eastAsia="Calibri"/>
          <w:b/>
          <w:bCs/>
          <w:rtl/>
        </w:rPr>
      </w:pPr>
      <w:r w:rsidRPr="00E303AD">
        <w:rPr>
          <w:rFonts w:eastAsia="Calibri" w:hint="cs"/>
          <w:b/>
          <w:bCs/>
          <w:rtl/>
        </w:rPr>
        <w:t xml:space="preserve">על רשות האוכלוסין להקפיד על מתן אשרת שהייה </w:t>
      </w:r>
      <w:r w:rsidRPr="00E303AD">
        <w:rPr>
          <w:rFonts w:eastAsia="Calibri"/>
          <w:b/>
          <w:bCs/>
          <w:rtl/>
        </w:rPr>
        <w:t xml:space="preserve">לכל קורבן </w:t>
      </w:r>
      <w:r w:rsidRPr="00E303AD">
        <w:rPr>
          <w:rFonts w:eastAsia="Calibri" w:hint="cs"/>
          <w:b/>
          <w:bCs/>
          <w:rtl/>
        </w:rPr>
        <w:t>סחר בבני אדם בהתאם לסמכות המוקנית לה ולנהליה, באופן שיאפשר להבטיח את מימוש זכויותיהם של מי שהוכרו כקורבנות סחר בבני אדם ויעודד אותם לשתף פעולה בהליכים פליליים שמנהלת המדינה בתחום.</w:t>
      </w:r>
    </w:p>
    <w:p w:rsidR="00E303AD" w:rsidRPr="00E303AD" w:rsidP="00E303AD">
      <w:pPr>
        <w:spacing w:line="269" w:lineRule="auto"/>
        <w:ind w:left="-567"/>
        <w:rPr>
          <w:rFonts w:eastAsia="Calibri"/>
          <w:b/>
          <w:bCs/>
          <w:szCs w:val="20"/>
          <w:rtl/>
        </w:rPr>
      </w:pPr>
      <w:r w:rsidRPr="00E303AD">
        <w:rPr>
          <w:rFonts w:eastAsia="Calibri" w:hint="cs"/>
          <w:b/>
          <w:bCs/>
          <w:szCs w:val="20"/>
          <w:rtl/>
        </w:rPr>
        <w:t xml:space="preserve"> </w:t>
      </w:r>
    </w:p>
    <w:p w:rsidR="00E303AD" w:rsidRPr="00E303AD" w:rsidP="00E303AD">
      <w:pPr>
        <w:spacing w:line="269" w:lineRule="auto"/>
        <w:rPr>
          <w:rFonts w:eastAsia="Calibri"/>
          <w:b/>
          <w:bCs/>
        </w:rPr>
      </w:pPr>
      <w:r w:rsidRPr="00E303AD">
        <w:rPr>
          <w:rFonts w:eastAsia="Calibri" w:hint="cs"/>
          <w:b/>
          <w:bCs/>
          <w:rtl/>
        </w:rPr>
        <w:t xml:space="preserve">הגברת האכיפה של חוק איסור צריכת זנות הכרחית לשם השגת ייעודו. </w:t>
      </w:r>
      <w:r w:rsidRPr="00E303AD">
        <w:rPr>
          <w:rFonts w:eastAsia="Calibri"/>
          <w:b/>
          <w:bCs/>
          <w:rtl/>
        </w:rPr>
        <w:t xml:space="preserve">יישום </w:t>
      </w:r>
      <w:r w:rsidRPr="00E303AD">
        <w:rPr>
          <w:rFonts w:eastAsia="Calibri" w:hint="cs"/>
          <w:b/>
          <w:bCs/>
          <w:rtl/>
        </w:rPr>
        <w:t xml:space="preserve">של </w:t>
      </w:r>
      <w:r w:rsidRPr="00E303AD">
        <w:rPr>
          <w:rFonts w:eastAsia="Calibri"/>
          <w:b/>
          <w:bCs/>
          <w:rtl/>
        </w:rPr>
        <w:t>המלצות אלה</w:t>
      </w:r>
      <w:r w:rsidRPr="00E303AD">
        <w:rPr>
          <w:rFonts w:eastAsia="Calibri" w:hint="cs"/>
          <w:b/>
          <w:bCs/>
          <w:rtl/>
        </w:rPr>
        <w:t>, ושל ההמלצות הנוספות המפורטות בדוח זה,</w:t>
      </w:r>
      <w:r w:rsidRPr="00E303AD">
        <w:rPr>
          <w:rFonts w:eastAsia="Calibri"/>
          <w:b/>
          <w:bCs/>
          <w:rtl/>
        </w:rPr>
        <w:t xml:space="preserve"> </w:t>
      </w:r>
      <w:r w:rsidRPr="00E303AD">
        <w:rPr>
          <w:rFonts w:eastAsia="Calibri" w:hint="cs"/>
          <w:b/>
          <w:bCs/>
          <w:rtl/>
        </w:rPr>
        <w:t xml:space="preserve">ישפר את אכיפת החוק ואת </w:t>
      </w:r>
      <w:r w:rsidRPr="00E303AD">
        <w:rPr>
          <w:rFonts w:eastAsia="Calibri"/>
          <w:b/>
          <w:bCs/>
          <w:rtl/>
        </w:rPr>
        <w:t xml:space="preserve">ההגנה על </w:t>
      </w:r>
      <w:r w:rsidRPr="00E303AD">
        <w:rPr>
          <w:rFonts w:eastAsia="Calibri" w:hint="cs"/>
          <w:b/>
          <w:bCs/>
          <w:rtl/>
        </w:rPr>
        <w:t>ה</w:t>
      </w:r>
      <w:r w:rsidRPr="00E303AD">
        <w:rPr>
          <w:rFonts w:eastAsia="Calibri"/>
          <w:b/>
          <w:bCs/>
          <w:rtl/>
        </w:rPr>
        <w:t>קורבנות</w:t>
      </w:r>
      <w:r w:rsidRPr="00E303AD">
        <w:rPr>
          <w:rFonts w:eastAsia="Calibri" w:hint="cs"/>
          <w:b/>
          <w:bCs/>
          <w:rtl/>
        </w:rPr>
        <w:t xml:space="preserve"> של תופעות הזנות והסחר בבני אדם ויסייע למדינה לעמוד בחובותיה המוסריות, החוקיות, החוקתיות והבין-לאומיות</w:t>
      </w:r>
      <w:r w:rsidRPr="00E303AD">
        <w:rPr>
          <w:rFonts w:eastAsia="Calibri"/>
          <w:b/>
          <w:bCs/>
        </w:rPr>
        <w:t>.</w:t>
      </w:r>
    </w:p>
    <w:p w:rsidR="00E303AD" w:rsidRPr="00E303AD" w:rsidP="00E303AD">
      <w:pPr>
        <w:spacing w:line="269" w:lineRule="auto"/>
        <w:rPr>
          <w:rFonts w:eastAsia="Calibri"/>
          <w:rtl/>
        </w:rPr>
      </w:pPr>
    </w:p>
    <w:p w:rsidR="00E303AD" w:rsidRPr="00E303AD" w:rsidP="00E303AD">
      <w:pPr>
        <w:spacing w:line="269" w:lineRule="auto"/>
        <w:ind w:left="-567"/>
        <w:rPr>
          <w:rFonts w:eastAsia="Calibri"/>
          <w:b/>
          <w:bCs/>
          <w:szCs w:val="20"/>
          <w:rtl/>
        </w:rPr>
      </w:pPr>
    </w:p>
    <w:p w:rsidR="001E204F" w:rsidRPr="00B4321D" w:rsidP="009E2768">
      <w:pPr>
        <w:tabs>
          <w:tab w:val="left" w:pos="6518"/>
          <w:tab w:val="left" w:pos="7568"/>
        </w:tabs>
        <w:spacing w:line="269" w:lineRule="auto"/>
        <w:jc w:val="left"/>
        <w:rPr>
          <w:rFonts w:ascii="Calibri" w:hAnsi="Calibri" w:cstheme="minorBidi"/>
          <w:color w:val="002060"/>
          <w:sz w:val="22"/>
          <w:szCs w:val="22"/>
        </w:rPr>
      </w:pPr>
    </w:p>
    <w:sectPr w:rsidSect="0099692E">
      <w:headerReference w:type="default" r:id="rId41"/>
      <w:headerReference w:type="first" r:id="rId42"/>
      <w:pgSz w:w="11906" w:h="16838"/>
      <w:pgMar w:top="1701" w:right="1985" w:bottom="1588"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arkisim">
    <w:altName w:val="Lucida Sans Unicode"/>
    <w:charset w:val="B1"/>
    <w:family w:val="swiss"/>
    <w:pitch w:val="variable"/>
    <w:sig w:usb0="00000801" w:usb1="00000000" w:usb2="00000000" w:usb3="00000000" w:csb0="00000020"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00006FF" w:usb1="0000FCFF" w:usb2="00000001" w:usb3="00000000" w:csb0="0000019F" w:csb1="00000000"/>
  </w:font>
  <w:font w:name="Almoni Tzar ML v5 AAA">
    <w:panose1 w:val="00000506000000000000"/>
    <w:charset w:val="00"/>
    <w:family w:val="modern"/>
    <w:notTrueType/>
    <w:pitch w:val="variable"/>
    <w:sig w:usb0="00000A07" w:usb1="40000000" w:usb2="00000000" w:usb3="00000000" w:csb0="000000B7"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C87191" w:rsidP="00C23CC9">
      <w:pPr>
        <w:spacing w:line="240" w:lineRule="auto"/>
      </w:pPr>
      <w:r>
        <w:separator/>
      </w:r>
    </w:p>
  </w:footnote>
  <w:footnote w:type="continuationSeparator" w:id="1">
    <w:p w:rsidR="00C87191" w:rsidP="00C23CC9">
      <w:pPr>
        <w:spacing w:line="240" w:lineRule="auto"/>
      </w:pPr>
      <w:r>
        <w:continuationSeparator/>
      </w:r>
    </w:p>
  </w:footnote>
  <w:footnote w:id="2">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חוק-יסוד: כבוד האדם וחירותו, ס"ח התשנ"ב, 150.</w:t>
      </w:r>
    </w:p>
  </w:footnote>
  <w:footnote w:id="3">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tl/>
        </w:rPr>
        <w:t xml:space="preserve">בג"ץ 366-03 </w:t>
      </w:r>
      <w:r w:rsidRPr="00BC7DC2">
        <w:rPr>
          <w:b/>
          <w:bCs/>
          <w:rtl/>
        </w:rPr>
        <w:t>עמותת מחויבות לשלום וצדק חברתי נ' שר האוצר</w:t>
      </w:r>
      <w:r w:rsidRPr="00BC7DC2">
        <w:rPr>
          <w:rtl/>
        </w:rPr>
        <w:t xml:space="preserve">, פ"ד ס(3) 464, 480 (2005). </w:t>
      </w:r>
    </w:p>
  </w:footnote>
  <w:footnote w:id="4">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tl/>
        </w:rPr>
        <w:t>מכון מאיירס ג</w:t>
      </w:r>
      <w:r w:rsidRPr="00BC7DC2">
        <w:rPr>
          <w:rFonts w:hint="cs"/>
          <w:rtl/>
        </w:rPr>
        <w:t>'</w:t>
      </w:r>
      <w:r w:rsidRPr="00BC7DC2">
        <w:rPr>
          <w:rtl/>
        </w:rPr>
        <w:t>וינט ברוקדייל</w:t>
      </w:r>
      <w:r w:rsidRPr="00BC7DC2">
        <w:rPr>
          <w:rFonts w:hint="cs"/>
          <w:rtl/>
        </w:rPr>
        <w:t xml:space="preserve">, </w:t>
      </w:r>
      <w:r w:rsidRPr="00BC7DC2">
        <w:rPr>
          <w:b/>
          <w:bCs/>
          <w:rtl/>
        </w:rPr>
        <w:t>יישום חוק איסור צריכת זנות</w:t>
      </w:r>
      <w:r w:rsidRPr="00BC7DC2">
        <w:rPr>
          <w:rFonts w:hint="cs"/>
          <w:b/>
          <w:bCs/>
          <w:rtl/>
        </w:rPr>
        <w:t xml:space="preserve"> -</w:t>
      </w:r>
      <w:r w:rsidRPr="00BC7DC2">
        <w:rPr>
          <w:b/>
          <w:bCs/>
          <w:rtl/>
        </w:rPr>
        <w:t xml:space="preserve"> דוח המחקר המלווה</w:t>
      </w:r>
      <w:r w:rsidRPr="00BC7DC2">
        <w:rPr>
          <w:rFonts w:hint="cs"/>
          <w:rtl/>
        </w:rPr>
        <w:t xml:space="preserve"> (2024) (להלן - המחקר המלווה).</w:t>
      </w:r>
    </w:p>
  </w:footnote>
  <w:footnote w:id="5">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 xml:space="preserve">משרד הרווחה והשירותים החברתיים והמשרד לביטחון הפנים, </w:t>
      </w:r>
      <w:r w:rsidRPr="00BC7DC2">
        <w:rPr>
          <w:rFonts w:hint="cs"/>
          <w:b/>
          <w:bCs/>
          <w:rtl/>
        </w:rPr>
        <w:t xml:space="preserve">הסקר הלאומי על תופעת הזנות בישראל </w:t>
      </w:r>
      <w:r w:rsidRPr="00BC7DC2">
        <w:rPr>
          <w:rFonts w:hint="cs"/>
          <w:rtl/>
        </w:rPr>
        <w:t>(אפריל 2016) (להלן - הסקר הלאומי).</w:t>
      </w:r>
    </w:p>
  </w:footnote>
  <w:footnote w:id="6">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tl/>
        </w:rPr>
        <w:t xml:space="preserve">הסקר הלאומי למיפוי תופעת </w:t>
      </w:r>
      <w:r w:rsidRPr="00BC7DC2">
        <w:rPr>
          <w:rFonts w:hint="cs"/>
          <w:rtl/>
        </w:rPr>
        <w:t>הזנות נתון</w:t>
      </w:r>
      <w:r w:rsidRPr="00BC7DC2">
        <w:rPr>
          <w:rtl/>
        </w:rPr>
        <w:t xml:space="preserve"> לביקורת מתודולוגית משמעותית. ראשית, הנתונים </w:t>
      </w:r>
      <w:r w:rsidRPr="00BC7DC2">
        <w:rPr>
          <w:rFonts w:hint="cs"/>
          <w:rtl/>
        </w:rPr>
        <w:t>ש</w:t>
      </w:r>
      <w:r w:rsidRPr="00BC7DC2">
        <w:rPr>
          <w:rtl/>
        </w:rPr>
        <w:t xml:space="preserve">בו התבססו על אומדנים </w:t>
      </w:r>
      <w:r w:rsidRPr="00BC7DC2">
        <w:rPr>
          <w:rFonts w:hint="cs"/>
          <w:rtl/>
        </w:rPr>
        <w:t xml:space="preserve">שהוכנו על סמך </w:t>
      </w:r>
      <w:r w:rsidRPr="00BC7DC2">
        <w:rPr>
          <w:rtl/>
        </w:rPr>
        <w:t xml:space="preserve">זירות זנות מוכרות וארגוני סיוע בלבד, </w:t>
      </w:r>
      <w:r w:rsidRPr="00BC7DC2">
        <w:rPr>
          <w:rFonts w:hint="cs"/>
          <w:rtl/>
        </w:rPr>
        <w:t>ומכאן</w:t>
      </w:r>
      <w:r w:rsidRPr="00BC7DC2">
        <w:rPr>
          <w:rtl/>
        </w:rPr>
        <w:t xml:space="preserve"> שמדובר באומדני חסר שאינם משקפים את מלוא התופעה. </w:t>
      </w:r>
      <w:r w:rsidRPr="00BC7DC2">
        <w:rPr>
          <w:rFonts w:hint="cs"/>
          <w:rtl/>
        </w:rPr>
        <w:t>שנית</w:t>
      </w:r>
      <w:r w:rsidRPr="00BC7DC2">
        <w:rPr>
          <w:rtl/>
        </w:rPr>
        <w:t xml:space="preserve">, הסקר התמקד בקצה הרצף של תשלום ישיר על מין, בלי לכלול </w:t>
      </w:r>
      <w:r w:rsidRPr="00BC7DC2">
        <w:rPr>
          <w:rFonts w:hint="cs"/>
          <w:rtl/>
        </w:rPr>
        <w:t>מגוון נרחב יותר של דפוסים ברצף הזנות</w:t>
      </w:r>
      <w:r w:rsidRPr="00BC7DC2">
        <w:rPr>
          <w:rtl/>
        </w:rPr>
        <w:t xml:space="preserve">, ובחן רק </w:t>
      </w:r>
      <w:r w:rsidRPr="00BC7DC2">
        <w:rPr>
          <w:rFonts w:hint="cs"/>
          <w:rtl/>
        </w:rPr>
        <w:t>נתונים על</w:t>
      </w:r>
      <w:r w:rsidRPr="00BC7DC2">
        <w:rPr>
          <w:rtl/>
        </w:rPr>
        <w:t xml:space="preserve"> מקבלות התשלום ולא </w:t>
      </w:r>
      <w:r w:rsidRPr="00BC7DC2">
        <w:rPr>
          <w:rFonts w:hint="cs"/>
          <w:rtl/>
        </w:rPr>
        <w:t>נתונים על</w:t>
      </w:r>
      <w:r w:rsidRPr="00BC7DC2">
        <w:rPr>
          <w:rtl/>
        </w:rPr>
        <w:t xml:space="preserve"> המשלמים עצמם</w:t>
      </w:r>
      <w:r w:rsidRPr="00BC7DC2">
        <w:rPr>
          <w:rFonts w:hint="cs"/>
          <w:rtl/>
        </w:rPr>
        <w:t xml:space="preserve"> (הצרכנים). </w:t>
      </w:r>
      <w:r w:rsidRPr="00BC7DC2">
        <w:rPr>
          <w:rtl/>
        </w:rPr>
        <w:t xml:space="preserve">מעבר לכך, מאחר שהנתונים נאספו באמצעות ראיונות, </w:t>
      </w:r>
      <w:r w:rsidRPr="00BC7DC2">
        <w:rPr>
          <w:rFonts w:hint="cs"/>
          <w:rtl/>
        </w:rPr>
        <w:t>יש</w:t>
      </w:r>
      <w:r w:rsidRPr="00BC7DC2">
        <w:rPr>
          <w:rtl/>
        </w:rPr>
        <w:t xml:space="preserve"> קושי </w:t>
      </w:r>
      <w:r w:rsidRPr="00BC7DC2">
        <w:rPr>
          <w:rFonts w:hint="cs"/>
          <w:rtl/>
        </w:rPr>
        <w:t>ב</w:t>
      </w:r>
      <w:r w:rsidRPr="00BC7DC2">
        <w:rPr>
          <w:rtl/>
        </w:rPr>
        <w:t>חשיפת מידע רגיש</w:t>
      </w:r>
      <w:r w:rsidRPr="00BC7DC2">
        <w:rPr>
          <w:rFonts w:hint="cs"/>
          <w:rtl/>
        </w:rPr>
        <w:t xml:space="preserve"> שעולה מהם</w:t>
      </w:r>
      <w:r w:rsidRPr="00BC7DC2">
        <w:rPr>
          <w:rtl/>
        </w:rPr>
        <w:t xml:space="preserve">, </w:t>
      </w:r>
      <w:r w:rsidRPr="00BC7DC2">
        <w:rPr>
          <w:rFonts w:hint="cs"/>
          <w:rtl/>
        </w:rPr>
        <w:t>בייחוד מאחר</w:t>
      </w:r>
      <w:r w:rsidRPr="00BC7DC2">
        <w:rPr>
          <w:rtl/>
        </w:rPr>
        <w:t xml:space="preserve"> </w:t>
      </w:r>
      <w:r w:rsidRPr="00BC7DC2">
        <w:rPr>
          <w:rFonts w:hint="cs"/>
          <w:rtl/>
        </w:rPr>
        <w:t>ש</w:t>
      </w:r>
      <w:r w:rsidRPr="00BC7DC2">
        <w:rPr>
          <w:rtl/>
        </w:rPr>
        <w:t xml:space="preserve">הראיונות </w:t>
      </w:r>
      <w:r w:rsidRPr="00BC7DC2">
        <w:rPr>
          <w:rFonts w:hint="cs"/>
          <w:rtl/>
        </w:rPr>
        <w:t>התקיימו</w:t>
      </w:r>
      <w:r w:rsidRPr="00BC7DC2">
        <w:rPr>
          <w:rtl/>
        </w:rPr>
        <w:t xml:space="preserve"> </w:t>
      </w:r>
      <w:r w:rsidRPr="00BC7DC2">
        <w:rPr>
          <w:rFonts w:hint="cs"/>
          <w:rtl/>
        </w:rPr>
        <w:t xml:space="preserve">על ידי אנשים זרים ולעיתים אף </w:t>
      </w:r>
      <w:r w:rsidRPr="00BC7DC2">
        <w:rPr>
          <w:rtl/>
        </w:rPr>
        <w:t xml:space="preserve">בנוכחות </w:t>
      </w:r>
      <w:r w:rsidRPr="00BC7DC2">
        <w:rPr>
          <w:rFonts w:hint="cs"/>
          <w:rtl/>
        </w:rPr>
        <w:t>ה</w:t>
      </w:r>
      <w:r w:rsidRPr="00BC7DC2">
        <w:rPr>
          <w:rtl/>
        </w:rPr>
        <w:t>סרסור, דבר שהגביר</w:t>
      </w:r>
      <w:r w:rsidRPr="00BC7DC2">
        <w:rPr>
          <w:rFonts w:hint="cs"/>
          <w:rtl/>
        </w:rPr>
        <w:t xml:space="preserve"> את</w:t>
      </w:r>
      <w:r w:rsidRPr="00BC7DC2">
        <w:rPr>
          <w:rtl/>
        </w:rPr>
        <w:t xml:space="preserve"> </w:t>
      </w:r>
      <w:r w:rsidRPr="00BC7DC2">
        <w:rPr>
          <w:rFonts w:hint="cs"/>
          <w:rtl/>
        </w:rPr>
        <w:t>ה</w:t>
      </w:r>
      <w:r w:rsidRPr="00BC7DC2">
        <w:rPr>
          <w:rtl/>
        </w:rPr>
        <w:t>חשש ואי</w:t>
      </w:r>
      <w:r w:rsidRPr="00BC7DC2">
        <w:rPr>
          <w:rFonts w:hint="cs"/>
          <w:rtl/>
        </w:rPr>
        <w:t>-ה</w:t>
      </w:r>
      <w:r w:rsidRPr="00BC7DC2">
        <w:rPr>
          <w:rtl/>
        </w:rPr>
        <w:t>אמון בקרב המשתתפות</w:t>
      </w:r>
      <w:r w:rsidRPr="00BC7DC2">
        <w:t>.</w:t>
      </w:r>
      <w:r w:rsidRPr="00BC7DC2">
        <w:rPr>
          <w:rFonts w:hint="cs"/>
          <w:rtl/>
        </w:rPr>
        <w:t xml:space="preserve"> ראו הרחבה: גיא </w:t>
      </w:r>
      <w:r w:rsidRPr="00BC7DC2">
        <w:rPr>
          <w:rtl/>
        </w:rPr>
        <w:t>שילה</w:t>
      </w:r>
      <w:r w:rsidRPr="00BC7DC2">
        <w:rPr>
          <w:rFonts w:hint="cs"/>
          <w:rtl/>
        </w:rPr>
        <w:t>, עינת</w:t>
      </w:r>
      <w:r w:rsidRPr="00BC7DC2">
        <w:rPr>
          <w:rtl/>
        </w:rPr>
        <w:t xml:space="preserve"> פלד</w:t>
      </w:r>
      <w:r w:rsidRPr="00BC7DC2">
        <w:rPr>
          <w:rFonts w:hint="cs"/>
          <w:rtl/>
        </w:rPr>
        <w:t>,</w:t>
      </w:r>
      <w:r w:rsidRPr="00BC7DC2">
        <w:rPr>
          <w:rtl/>
        </w:rPr>
        <w:t xml:space="preserve"> </w:t>
      </w:r>
      <w:r w:rsidRPr="00BC7DC2">
        <w:rPr>
          <w:rFonts w:hint="cs"/>
          <w:rtl/>
        </w:rPr>
        <w:t xml:space="preserve">הילה </w:t>
      </w:r>
      <w:r w:rsidRPr="00BC7DC2">
        <w:rPr>
          <w:rtl/>
        </w:rPr>
        <w:t xml:space="preserve">שמיר </w:t>
      </w:r>
      <w:r w:rsidRPr="00BC7DC2">
        <w:rPr>
          <w:rFonts w:hint="cs"/>
          <w:rtl/>
        </w:rPr>
        <w:t>"ה</w:t>
      </w:r>
      <w:r w:rsidRPr="00BC7DC2">
        <w:rPr>
          <w:rtl/>
        </w:rPr>
        <w:t>תנהגויות תשלום על מין וקבלת תשלום על מין, ועמדות הציבור בישראל כלפי מדיניות ביחס לזנות וחוק איסור צריכת זנות: נתוני סקר של האוכלוסייה הישראלית 2020</w:t>
      </w:r>
      <w:r w:rsidRPr="00BC7DC2">
        <w:rPr>
          <w:rFonts w:hint="cs"/>
          <w:rtl/>
        </w:rPr>
        <w:t>" (יולי 2020)</w:t>
      </w:r>
      <w:r w:rsidRPr="00BC7DC2">
        <w:t>.</w:t>
      </w:r>
    </w:p>
  </w:footnote>
  <w:footnote w:id="7">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 xml:space="preserve">המחקר המלווה; </w:t>
      </w:r>
      <w:r w:rsidRPr="00BC7DC2">
        <w:rPr>
          <w:rtl/>
        </w:rPr>
        <w:t>יחידת מידע, מחקר ושת''פ, המטה הלאומי להגנה על ילדים ברשת</w:t>
      </w:r>
      <w:r w:rsidRPr="00BC7DC2">
        <w:rPr>
          <w:rFonts w:hint="cs"/>
          <w:rtl/>
        </w:rPr>
        <w:t xml:space="preserve"> - 105; "עדכון תקופתי:</w:t>
      </w:r>
      <w:r w:rsidRPr="00BC7DC2">
        <w:rPr>
          <w:rFonts w:hint="cs"/>
        </w:rPr>
        <w:t xml:space="preserve"> </w:t>
      </w:r>
      <w:r w:rsidRPr="00BC7DC2">
        <w:rPr>
          <w:rFonts w:hint="cs"/>
          <w:rtl/>
        </w:rPr>
        <w:t>זנות קטינים ברשת",</w:t>
      </w:r>
      <w:r w:rsidRPr="00BC7DC2">
        <w:rPr>
          <w:rtl/>
        </w:rPr>
        <w:t xml:space="preserve"> </w:t>
      </w:r>
      <w:r w:rsidRPr="00BC7DC2">
        <w:rPr>
          <w:rFonts w:hint="cs"/>
          <w:rtl/>
        </w:rPr>
        <w:t>(</w:t>
      </w:r>
      <w:r w:rsidRPr="00BC7DC2">
        <w:rPr>
          <w:rtl/>
        </w:rPr>
        <w:t>אפריל 2025</w:t>
      </w:r>
      <w:r w:rsidRPr="00BC7DC2">
        <w:rPr>
          <w:rFonts w:hint="cs"/>
          <w:rtl/>
        </w:rPr>
        <w:t>).</w:t>
      </w:r>
    </w:p>
  </w:footnote>
  <w:footnote w:id="8">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המוקד לפליטים ולמהגרים, "</w:t>
      </w:r>
      <w:r w:rsidRPr="00BC7DC2">
        <w:rPr>
          <w:rtl/>
        </w:rPr>
        <w:t>עשרים שנות מאבק</w:t>
      </w:r>
      <w:r w:rsidRPr="00BC7DC2">
        <w:rPr>
          <w:rFonts w:hint="cs"/>
          <w:rtl/>
        </w:rPr>
        <w:t xml:space="preserve"> </w:t>
      </w:r>
      <w:r w:rsidRPr="00BC7DC2">
        <w:rPr>
          <w:rtl/>
        </w:rPr>
        <w:t>בסחר בבני אדם</w:t>
      </w:r>
      <w:r w:rsidRPr="00BC7DC2">
        <w:rPr>
          <w:rFonts w:hint="cs"/>
          <w:rtl/>
        </w:rPr>
        <w:t>" (נובמבר 2021).</w:t>
      </w:r>
    </w:p>
  </w:footnote>
  <w:footnote w:id="9">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 xml:space="preserve">החטיבה החברתית במשרד המשפטים, </w:t>
      </w:r>
      <w:r w:rsidRPr="00BC7DC2">
        <w:rPr>
          <w:b/>
          <w:bCs/>
          <w:rtl/>
        </w:rPr>
        <w:t>דוח היחידה לתיאום המאבק</w:t>
      </w:r>
      <w:r w:rsidRPr="00BC7DC2">
        <w:rPr>
          <w:rFonts w:hint="cs"/>
          <w:b/>
          <w:bCs/>
          <w:rtl/>
        </w:rPr>
        <w:t xml:space="preserve"> </w:t>
      </w:r>
      <w:r w:rsidRPr="00BC7DC2">
        <w:rPr>
          <w:b/>
          <w:bCs/>
          <w:rtl/>
        </w:rPr>
        <w:t>בסחר בבני אדם לשנת</w:t>
      </w:r>
      <w:r w:rsidRPr="00BC7DC2">
        <w:rPr>
          <w:rFonts w:hint="cs"/>
          <w:b/>
          <w:bCs/>
          <w:rtl/>
        </w:rPr>
        <w:t xml:space="preserve"> </w:t>
      </w:r>
      <w:r w:rsidRPr="00BC7DC2">
        <w:rPr>
          <w:b/>
          <w:bCs/>
          <w:rtl/>
        </w:rPr>
        <w:t>2023</w:t>
      </w:r>
      <w:r w:rsidRPr="00BC7DC2">
        <w:rPr>
          <w:rFonts w:hint="cs"/>
          <w:b/>
          <w:bCs/>
          <w:rtl/>
        </w:rPr>
        <w:t xml:space="preserve"> </w:t>
      </w:r>
      <w:r w:rsidRPr="00BC7DC2">
        <w:rPr>
          <w:rFonts w:hint="cs"/>
          <w:rtl/>
        </w:rPr>
        <w:t>(2024).</w:t>
      </w:r>
    </w:p>
  </w:footnote>
  <w:footnote w:id="10">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 xml:space="preserve">המוקד לפליטים ולמהגרים, </w:t>
      </w:r>
      <w:r w:rsidRPr="00BC7DC2">
        <w:rPr>
          <w:b/>
          <w:bCs/>
          <w:rtl/>
        </w:rPr>
        <w:t>עשרים שנות מאבק בסחר בבני אדם</w:t>
      </w:r>
      <w:r w:rsidRPr="00BC7DC2">
        <w:rPr>
          <w:rFonts w:hint="cs"/>
          <w:rtl/>
        </w:rPr>
        <w:t xml:space="preserve"> (נובמבר 2021).</w:t>
      </w:r>
    </w:p>
  </w:footnote>
  <w:footnote w:id="11">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t>Trafficking Victims Protection Reauthorization Act of 2003, Pub. L. No. 108-193, 117 Stat. 2875 (2003); Victims of Trafficking and Violence Protection Act of 2000, H.R.3244, 106th Cong</w:t>
      </w:r>
      <w:r w:rsidRPr="00BC7DC2">
        <w:rPr>
          <w:rtl/>
        </w:rPr>
        <w:t xml:space="preserve"> (2000)</w:t>
      </w:r>
      <w:r w:rsidRPr="00BC7DC2">
        <w:rPr>
          <w:rFonts w:hint="cs"/>
          <w:rtl/>
        </w:rPr>
        <w:t>.</w:t>
      </w:r>
    </w:p>
  </w:footnote>
  <w:footnote w:id="12">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 xml:space="preserve">החטיבה החברתית במשרד המשפטים, </w:t>
      </w:r>
      <w:r w:rsidRPr="00BC7DC2">
        <w:rPr>
          <w:b/>
          <w:bCs/>
          <w:rtl/>
        </w:rPr>
        <w:t>דוח היחידה לתיאום המאבק</w:t>
      </w:r>
      <w:r w:rsidRPr="00BC7DC2">
        <w:rPr>
          <w:rFonts w:hint="cs"/>
          <w:b/>
          <w:bCs/>
          <w:rtl/>
        </w:rPr>
        <w:t xml:space="preserve"> </w:t>
      </w:r>
      <w:r w:rsidRPr="00BC7DC2">
        <w:rPr>
          <w:b/>
          <w:bCs/>
          <w:rtl/>
        </w:rPr>
        <w:t>בסחר בבני אדם לשנת</w:t>
      </w:r>
      <w:r w:rsidRPr="00BC7DC2">
        <w:rPr>
          <w:rFonts w:hint="cs"/>
          <w:b/>
          <w:bCs/>
          <w:rtl/>
        </w:rPr>
        <w:t xml:space="preserve"> </w:t>
      </w:r>
      <w:r w:rsidRPr="00BC7DC2">
        <w:rPr>
          <w:b/>
          <w:bCs/>
          <w:rtl/>
        </w:rPr>
        <w:t>2023</w:t>
      </w:r>
      <w:r w:rsidRPr="00BC7DC2">
        <w:rPr>
          <w:rFonts w:hint="cs"/>
          <w:b/>
          <w:bCs/>
          <w:rtl/>
        </w:rPr>
        <w:t xml:space="preserve"> </w:t>
      </w:r>
      <w:r w:rsidRPr="00BC7DC2">
        <w:rPr>
          <w:rFonts w:hint="cs"/>
          <w:rtl/>
        </w:rPr>
        <w:t>(2024).</w:t>
      </w:r>
    </w:p>
  </w:footnote>
  <w:footnote w:id="13">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 xml:space="preserve">החטיבה החברתית במשרד המשפטים, </w:t>
      </w:r>
      <w:r w:rsidRPr="00BC7DC2">
        <w:rPr>
          <w:b/>
          <w:bCs/>
          <w:rtl/>
        </w:rPr>
        <w:t>דוח היחידה לתיאום המאבק</w:t>
      </w:r>
      <w:r w:rsidRPr="00BC7DC2">
        <w:rPr>
          <w:rFonts w:hint="cs"/>
          <w:b/>
          <w:bCs/>
          <w:rtl/>
        </w:rPr>
        <w:t xml:space="preserve"> </w:t>
      </w:r>
      <w:r w:rsidRPr="00BC7DC2">
        <w:rPr>
          <w:b/>
          <w:bCs/>
          <w:rtl/>
        </w:rPr>
        <w:t>בסחר בבני אדם לשנת</w:t>
      </w:r>
      <w:r w:rsidRPr="00BC7DC2">
        <w:rPr>
          <w:rFonts w:hint="cs"/>
          <w:b/>
          <w:bCs/>
          <w:rtl/>
        </w:rPr>
        <w:t xml:space="preserve"> </w:t>
      </w:r>
      <w:r w:rsidRPr="00BC7DC2">
        <w:rPr>
          <w:b/>
          <w:bCs/>
          <w:rtl/>
        </w:rPr>
        <w:t>2023</w:t>
      </w:r>
      <w:r w:rsidRPr="00BC7DC2">
        <w:rPr>
          <w:rFonts w:hint="cs"/>
          <w:b/>
          <w:bCs/>
          <w:rtl/>
        </w:rPr>
        <w:t xml:space="preserve"> </w:t>
      </w:r>
      <w:r w:rsidRPr="00BC7DC2">
        <w:rPr>
          <w:rFonts w:hint="cs"/>
          <w:rtl/>
        </w:rPr>
        <w:t>(2024).</w:t>
      </w:r>
    </w:p>
  </w:footnote>
  <w:footnote w:id="14">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b/>
          <w:bCs/>
          <w:rtl/>
        </w:rPr>
        <w:t>פרוטוקול למניעה, לדיכוי ולהענשת על סחר בבני אדם, בעיקר נשים וילדים, המשלים את אמנת האומות המאוחדות נגד פשע מאורגן חוצה גבולות</w:t>
      </w:r>
      <w:r w:rsidRPr="00BC7DC2">
        <w:rPr>
          <w:rFonts w:hint="cs"/>
          <w:rtl/>
        </w:rPr>
        <w:t>,</w:t>
      </w:r>
      <w:r w:rsidRPr="00BC7DC2">
        <w:rPr>
          <w:rtl/>
        </w:rPr>
        <w:t xml:space="preserve"> 15.11.20</w:t>
      </w:r>
      <w:r w:rsidRPr="00BC7DC2">
        <w:rPr>
          <w:rFonts w:hint="cs"/>
          <w:rtl/>
        </w:rPr>
        <w:t xml:space="preserve">: </w:t>
      </w:r>
      <w:r w:rsidRPr="00BC7DC2">
        <w:rPr>
          <w:rtl/>
        </w:rPr>
        <w:t>מסמך בי</w:t>
      </w:r>
      <w:r w:rsidRPr="00BC7DC2">
        <w:rPr>
          <w:rFonts w:hint="cs"/>
          <w:rtl/>
        </w:rPr>
        <w:t>ן-</w:t>
      </w:r>
      <w:r w:rsidRPr="00BC7DC2">
        <w:rPr>
          <w:rtl/>
        </w:rPr>
        <w:t>לאומי מרכזי ב</w:t>
      </w:r>
      <w:r w:rsidRPr="00BC7DC2">
        <w:rPr>
          <w:rFonts w:hint="cs"/>
          <w:rtl/>
        </w:rPr>
        <w:t>נושא ה</w:t>
      </w:r>
      <w:r w:rsidRPr="00BC7DC2">
        <w:rPr>
          <w:rtl/>
        </w:rPr>
        <w:t>מאבק בסחר בבני</w:t>
      </w:r>
      <w:r w:rsidRPr="00BC7DC2">
        <w:rPr>
          <w:rFonts w:hint="cs"/>
          <w:rtl/>
        </w:rPr>
        <w:t xml:space="preserve"> </w:t>
      </w:r>
      <w:r w:rsidRPr="00BC7DC2">
        <w:rPr>
          <w:rtl/>
        </w:rPr>
        <w:t xml:space="preserve">אדם, המחייב מדינות לפעול </w:t>
      </w:r>
      <w:r w:rsidRPr="00BC7DC2">
        <w:rPr>
          <w:rFonts w:hint="cs"/>
          <w:rtl/>
        </w:rPr>
        <w:t xml:space="preserve">למניעת </w:t>
      </w:r>
      <w:r w:rsidRPr="00BC7DC2">
        <w:rPr>
          <w:rtl/>
        </w:rPr>
        <w:t>סחר</w:t>
      </w:r>
      <w:r w:rsidRPr="00BC7DC2">
        <w:rPr>
          <w:rFonts w:hint="cs"/>
          <w:rtl/>
        </w:rPr>
        <w:t xml:space="preserve"> בבני אדם, לדיכויה ולהענשת העבריינים בתחום זה,</w:t>
      </w:r>
      <w:r w:rsidRPr="00BC7DC2">
        <w:rPr>
          <w:rtl/>
        </w:rPr>
        <w:t xml:space="preserve"> תוך </w:t>
      </w:r>
      <w:r w:rsidRPr="00BC7DC2">
        <w:rPr>
          <w:rFonts w:hint="cs"/>
          <w:rtl/>
        </w:rPr>
        <w:t xml:space="preserve">מתן פרשנות </w:t>
      </w:r>
      <w:r w:rsidRPr="00BC7DC2">
        <w:rPr>
          <w:rtl/>
        </w:rPr>
        <w:t xml:space="preserve">רחבה </w:t>
      </w:r>
      <w:r w:rsidRPr="00BC7DC2">
        <w:rPr>
          <w:rFonts w:hint="cs"/>
          <w:rtl/>
        </w:rPr>
        <w:t>להגדרת</w:t>
      </w:r>
      <w:r w:rsidRPr="00BC7DC2">
        <w:rPr>
          <w:rtl/>
        </w:rPr>
        <w:t xml:space="preserve"> פעולות ניצול כעבירה פלילית</w:t>
      </w:r>
      <w:r w:rsidRPr="00BC7DC2">
        <w:rPr>
          <w:rFonts w:hint="cs"/>
          <w:rtl/>
        </w:rPr>
        <w:t xml:space="preserve"> (להלן - פרוטוקול פלרמו).</w:t>
      </w:r>
    </w:p>
  </w:footnote>
  <w:footnote w:id="15">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tl/>
        </w:rPr>
        <w:t>החלטת הממשלה 956, "אישור הצטרפות מדינת ישראל לאמנת מועצת אירופה בדבר פעולה נגד סחר בבני אדם" (13.4.21).</w:t>
      </w:r>
    </w:p>
  </w:footnote>
  <w:footnote w:id="16">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 xml:space="preserve">אתר יחידת התיאום הממשלתית למאבק בסחר בבני אדם, זנות ופוליגמיה, סחר למטרות זנות וניצול מיני (פרסום: 20.5.19) </w:t>
      </w:r>
      <w:r w:rsidRPr="00BC7DC2">
        <w:t>https://www.gov.il/he/pages/prostitution?chapterIndex=2</w:t>
      </w:r>
      <w:r w:rsidRPr="00BC7DC2">
        <w:rPr>
          <w:rFonts w:hint="cs"/>
          <w:rtl/>
        </w:rPr>
        <w:t>; חוק הסיוע המשפטי, התשל"ב-1972, ס"ח 654.</w:t>
      </w:r>
    </w:p>
  </w:footnote>
  <w:footnote w:id="17">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tl/>
        </w:rPr>
        <w:t xml:space="preserve">חוק איסור סחר בבני אדם </w:t>
      </w:r>
      <w:r w:rsidRPr="00BC7DC2">
        <w:rPr>
          <w:rFonts w:hint="cs"/>
          <w:rtl/>
        </w:rPr>
        <w:t>(</w:t>
      </w:r>
      <w:r w:rsidRPr="00BC7DC2">
        <w:rPr>
          <w:rtl/>
        </w:rPr>
        <w:t>תיקוני חקיקה</w:t>
      </w:r>
      <w:r w:rsidRPr="00BC7DC2">
        <w:rPr>
          <w:rFonts w:hint="cs"/>
          <w:rtl/>
        </w:rPr>
        <w:t>)</w:t>
      </w:r>
      <w:r w:rsidRPr="00BC7DC2">
        <w:rPr>
          <w:rtl/>
        </w:rPr>
        <w:t>, התשס"ז</w:t>
      </w:r>
      <w:r w:rsidRPr="00BC7DC2">
        <w:rPr>
          <w:rFonts w:hint="cs"/>
          <w:rtl/>
        </w:rPr>
        <w:t>-</w:t>
      </w:r>
      <w:r w:rsidRPr="00BC7DC2">
        <w:rPr>
          <w:rtl/>
        </w:rPr>
        <w:t>2006</w:t>
      </w:r>
      <w:r w:rsidRPr="00BC7DC2">
        <w:rPr>
          <w:rFonts w:hint="cs"/>
          <w:rtl/>
        </w:rPr>
        <w:t>, ס"ח 2 (להלן - חוק איסור סחר בבני אדם).</w:t>
      </w:r>
    </w:p>
  </w:footnote>
  <w:footnote w:id="18">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החלטת הממשלה 63,</w:t>
      </w:r>
      <w:r w:rsidRPr="00BC7DC2">
        <w:rPr>
          <w:rtl/>
        </w:rPr>
        <w:t xml:space="preserve"> "הקמת ועדת מנכ"לים קבועה ומינוי מתאם בתחום המאבק בסחר בבני-אדם" </w:t>
      </w:r>
      <w:r w:rsidRPr="00BC7DC2">
        <w:rPr>
          <w:rFonts w:hint="cs"/>
          <w:rtl/>
        </w:rPr>
        <w:t>(21.5.06).</w:t>
      </w:r>
    </w:p>
  </w:footnote>
  <w:footnote w:id="19">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bookmarkStart w:id="17" w:name="_Hlk206584896"/>
      <w:r w:rsidRPr="00BC7DC2">
        <w:rPr>
          <w:rFonts w:hint="cs"/>
          <w:rtl/>
        </w:rPr>
        <w:t xml:space="preserve">אתר היחידה, על אודות יחידת התיאום הממשלתית למאבק בסחר בבני אדם, זנות ופוליגמיה (עדכון: 4.12.24), </w:t>
      </w:r>
      <w:bookmarkEnd w:id="17"/>
      <w:r w:rsidRPr="00BC7DC2">
        <w:t>https://www.gov.il/he/pages/government_resolution</w:t>
      </w:r>
      <w:r w:rsidRPr="00BC7DC2">
        <w:rPr>
          <w:rFonts w:hint="cs"/>
          <w:rtl/>
        </w:rPr>
        <w:t xml:space="preserve">. </w:t>
      </w:r>
    </w:p>
  </w:footnote>
  <w:footnote w:id="20">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 xml:space="preserve">החטיבה החברתית במשרד המשפטים, </w:t>
      </w:r>
      <w:r w:rsidRPr="00BC7DC2">
        <w:rPr>
          <w:b/>
          <w:bCs/>
          <w:rtl/>
        </w:rPr>
        <w:t>דוח היחידה לתיאום המאבק</w:t>
      </w:r>
      <w:r w:rsidRPr="00BC7DC2">
        <w:rPr>
          <w:rFonts w:hint="cs"/>
          <w:b/>
          <w:bCs/>
          <w:rtl/>
        </w:rPr>
        <w:t xml:space="preserve"> </w:t>
      </w:r>
      <w:r w:rsidRPr="00BC7DC2">
        <w:rPr>
          <w:b/>
          <w:bCs/>
          <w:rtl/>
        </w:rPr>
        <w:t>בסחר בבני אדם לשנת</w:t>
      </w:r>
      <w:r w:rsidRPr="00BC7DC2">
        <w:rPr>
          <w:rFonts w:hint="cs"/>
          <w:b/>
          <w:bCs/>
          <w:rtl/>
        </w:rPr>
        <w:t xml:space="preserve"> </w:t>
      </w:r>
      <w:r w:rsidRPr="00BC7DC2">
        <w:rPr>
          <w:b/>
          <w:bCs/>
          <w:rtl/>
        </w:rPr>
        <w:t>2023</w:t>
      </w:r>
      <w:r w:rsidRPr="00BC7DC2">
        <w:rPr>
          <w:rFonts w:hint="cs"/>
          <w:b/>
          <w:bCs/>
          <w:rtl/>
        </w:rPr>
        <w:t xml:space="preserve"> </w:t>
      </w:r>
      <w:r w:rsidRPr="00BC7DC2">
        <w:rPr>
          <w:rFonts w:hint="cs"/>
          <w:rtl/>
        </w:rPr>
        <w:t>(2024).</w:t>
      </w:r>
    </w:p>
  </w:footnote>
  <w:footnote w:id="21">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 xml:space="preserve">דוח מחלקת המדינה האמריקאית אינו מבחין בהקשר זה בין סחר בבני אדם למטרות זנות לבין סחר למטרות אחרות. יחידת התיאום מסרה למשרד מבקר המדינה כי המיקוד של דוח מחלקת המדינה האמריקאית בנושא ההפחתה של מספר החקירות, כתבי האישום וההרשעות היה בתחום הסחר למטרות עבודה ובעבירת העבדות ולא בעבירות הנוגעות לתופעת הזנות או הסחר למטרות זנות. </w:t>
      </w:r>
    </w:p>
  </w:footnote>
  <w:footnote w:id="22">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t xml:space="preserve">Office to Monitor and Combat Trafficking in Persons, </w:t>
      </w:r>
      <w:r w:rsidRPr="00BC7DC2">
        <w:rPr>
          <w:b/>
          <w:bCs/>
        </w:rPr>
        <w:t>Trafficking in Persons Report: Israel</w:t>
      </w:r>
      <w:r w:rsidRPr="00BC7DC2">
        <w:t xml:space="preserve"> (2021)</w:t>
      </w:r>
      <w:r w:rsidRPr="00BC7DC2">
        <w:rPr>
          <w:rFonts w:hint="cs"/>
          <w:rtl/>
        </w:rPr>
        <w:t>.</w:t>
      </w:r>
    </w:p>
  </w:footnote>
  <w:footnote w:id="23">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החלטת הממשלה 4463</w:t>
      </w:r>
      <w:r w:rsidRPr="00BC7DC2">
        <w:rPr>
          <w:rtl/>
        </w:rPr>
        <w:t xml:space="preserve">, "תוכנית לאומית למאבק בסחר בבני אדם 2019 - 2024 ותיקון החלטת ממשלה" </w:t>
      </w:r>
      <w:r w:rsidRPr="00BC7DC2">
        <w:rPr>
          <w:rFonts w:hint="cs"/>
          <w:rtl/>
        </w:rPr>
        <w:t>(13.1.19) (להלן - החלטת הממשלה 4463); החלטת הממשלה 1862</w:t>
      </w:r>
      <w:r w:rsidRPr="00BC7DC2">
        <w:rPr>
          <w:rtl/>
        </w:rPr>
        <w:t>, "תוכנית יישום רב שנתית של התוכנית הלאומית למאבק בסחר בבני אדם</w:t>
      </w:r>
      <w:r w:rsidRPr="00BC7DC2">
        <w:rPr>
          <w:rFonts w:hint="cs"/>
          <w:rtl/>
        </w:rPr>
        <w:t xml:space="preserve"> </w:t>
      </w:r>
      <w:r w:rsidRPr="00BC7DC2">
        <w:rPr>
          <w:rtl/>
        </w:rPr>
        <w:t xml:space="preserve">לשנים 2022 - 2026 ותיקון החלטת ממשלה" </w:t>
      </w:r>
      <w:r w:rsidRPr="00BC7DC2">
        <w:rPr>
          <w:rFonts w:hint="cs"/>
          <w:rtl/>
        </w:rPr>
        <w:t>(18.9.22).</w:t>
      </w:r>
    </w:p>
  </w:footnote>
  <w:footnote w:id="24">
    <w:p w:rsidR="00C87191" w:rsidRPr="00BC7DC2" w:rsidP="00E303AD">
      <w:pPr>
        <w:pStyle w:val="FootnoteText"/>
        <w:rPr>
          <w:rStyle w:val="Hyperlink"/>
          <w:color w:val="auto"/>
          <w:u w:val="none"/>
          <w:rtl/>
        </w:rPr>
      </w:pPr>
      <w:r w:rsidRPr="00BC7DC2">
        <w:rPr>
          <w:rStyle w:val="FootnoteReference1"/>
        </w:rPr>
        <w:footnoteRef/>
      </w:r>
      <w:r w:rsidRPr="00BC7DC2">
        <w:rPr>
          <w:rtl/>
        </w:rPr>
        <w:t xml:space="preserve"> </w:t>
      </w:r>
      <w:r w:rsidRPr="00BC7DC2">
        <w:rPr>
          <w:rtl/>
        </w:rPr>
        <w:tab/>
      </w:r>
      <w:r w:rsidRPr="00BC7DC2">
        <w:rPr>
          <w:rFonts w:hint="cs"/>
          <w:rtl/>
        </w:rPr>
        <w:t xml:space="preserve">אתר יחידת התיאום למאבק בסחר בבני אדם, </w:t>
      </w:r>
      <w:r w:rsidRPr="00BC7DC2">
        <w:rPr>
          <w:rFonts w:hint="eastAsia"/>
          <w:b/>
          <w:bCs/>
          <w:rtl/>
        </w:rPr>
        <w:t>החלטות</w:t>
      </w:r>
      <w:r w:rsidRPr="00BC7DC2">
        <w:rPr>
          <w:b/>
          <w:bCs/>
          <w:rtl/>
        </w:rPr>
        <w:t xml:space="preserve"> </w:t>
      </w:r>
      <w:r w:rsidRPr="00BC7DC2">
        <w:rPr>
          <w:rFonts w:hint="eastAsia"/>
          <w:b/>
          <w:bCs/>
          <w:rtl/>
        </w:rPr>
        <w:t>ממשלה</w:t>
      </w:r>
      <w:r w:rsidRPr="00BC7DC2">
        <w:rPr>
          <w:b/>
          <w:bCs/>
          <w:rtl/>
        </w:rPr>
        <w:t xml:space="preserve">, </w:t>
      </w:r>
      <w:r w:rsidRPr="00BC7DC2">
        <w:rPr>
          <w:rFonts w:hint="eastAsia"/>
          <w:b/>
          <w:bCs/>
          <w:rtl/>
        </w:rPr>
        <w:t>החלטות</w:t>
      </w:r>
      <w:r w:rsidRPr="00BC7DC2">
        <w:rPr>
          <w:b/>
          <w:bCs/>
          <w:rtl/>
        </w:rPr>
        <w:t xml:space="preserve"> </w:t>
      </w:r>
      <w:r w:rsidRPr="00BC7DC2">
        <w:rPr>
          <w:rFonts w:hint="eastAsia"/>
          <w:b/>
          <w:bCs/>
          <w:rtl/>
        </w:rPr>
        <w:t>ממשלה</w:t>
      </w:r>
      <w:r w:rsidRPr="00BC7DC2">
        <w:rPr>
          <w:b/>
          <w:bCs/>
          <w:rtl/>
        </w:rPr>
        <w:t xml:space="preserve"> </w:t>
      </w:r>
      <w:r w:rsidRPr="00BC7DC2">
        <w:rPr>
          <w:rFonts w:hint="eastAsia"/>
          <w:b/>
          <w:bCs/>
          <w:rtl/>
        </w:rPr>
        <w:t>בנושא</w:t>
      </w:r>
      <w:r w:rsidRPr="00BC7DC2">
        <w:rPr>
          <w:b/>
          <w:bCs/>
          <w:rtl/>
        </w:rPr>
        <w:t xml:space="preserve"> </w:t>
      </w:r>
      <w:r w:rsidRPr="00BC7DC2">
        <w:rPr>
          <w:rFonts w:hint="eastAsia"/>
          <w:b/>
          <w:bCs/>
          <w:rtl/>
        </w:rPr>
        <w:t>המאבק</w:t>
      </w:r>
      <w:r w:rsidRPr="00BC7DC2">
        <w:rPr>
          <w:b/>
          <w:bCs/>
          <w:rtl/>
        </w:rPr>
        <w:t xml:space="preserve"> </w:t>
      </w:r>
      <w:r w:rsidRPr="00BC7DC2">
        <w:rPr>
          <w:rFonts w:hint="eastAsia"/>
          <w:b/>
          <w:bCs/>
          <w:rtl/>
        </w:rPr>
        <w:t>בסחר</w:t>
      </w:r>
      <w:r w:rsidRPr="00BC7DC2">
        <w:rPr>
          <w:b/>
          <w:bCs/>
          <w:rtl/>
        </w:rPr>
        <w:t xml:space="preserve"> </w:t>
      </w:r>
      <w:r w:rsidRPr="00BC7DC2">
        <w:rPr>
          <w:rFonts w:hint="eastAsia"/>
          <w:b/>
          <w:bCs/>
          <w:rtl/>
        </w:rPr>
        <w:t>בבני</w:t>
      </w:r>
      <w:r w:rsidRPr="00BC7DC2">
        <w:rPr>
          <w:b/>
          <w:bCs/>
          <w:rtl/>
        </w:rPr>
        <w:t xml:space="preserve"> </w:t>
      </w:r>
      <w:r w:rsidRPr="00BC7DC2">
        <w:rPr>
          <w:rFonts w:hint="eastAsia"/>
          <w:b/>
          <w:bCs/>
          <w:rtl/>
        </w:rPr>
        <w:t>אדם</w:t>
      </w:r>
      <w:r w:rsidRPr="00BC7DC2">
        <w:rPr>
          <w:rFonts w:hint="cs"/>
          <w:rtl/>
        </w:rPr>
        <w:t xml:space="preserve"> (פרסום: 20.5.19)</w:t>
      </w:r>
      <w:r w:rsidRPr="00BC7DC2">
        <w:rPr>
          <w:rStyle w:val="Hyperlink"/>
          <w:rFonts w:hint="cs"/>
          <w:color w:val="auto"/>
          <w:u w:val="none"/>
          <w:rtl/>
        </w:rPr>
        <w:t xml:space="preserve">. </w:t>
      </w:r>
    </w:p>
    <w:p w:rsidR="00C87191" w:rsidRPr="00BC7DC2" w:rsidP="00E303AD">
      <w:pPr>
        <w:pStyle w:val="FootnoteText"/>
        <w:ind w:firstLine="0"/>
        <w:rPr>
          <w:rtl/>
        </w:rPr>
      </w:pPr>
      <w:r w:rsidRPr="00BC7DC2">
        <w:rPr>
          <w:rStyle w:val="Hyperlink"/>
          <w:color w:val="auto"/>
          <w:u w:val="none"/>
        </w:rPr>
        <w:t>https://www.gov.il/he/pages/government_resolution?chapterIndex=6</w:t>
      </w:r>
      <w:r w:rsidRPr="00BC7DC2">
        <w:rPr>
          <w:rFonts w:hint="cs"/>
          <w:rtl/>
        </w:rPr>
        <w:t>.</w:t>
      </w:r>
    </w:p>
  </w:footnote>
  <w:footnote w:id="25">
    <w:p w:rsidR="00C87191" w:rsidRPr="00BC7DC2" w:rsidP="00E303AD">
      <w:pPr>
        <w:pStyle w:val="FootnoteText"/>
        <w:rPr>
          <w:rtl/>
        </w:rPr>
      </w:pPr>
      <w:r w:rsidRPr="00BC7DC2">
        <w:rPr>
          <w:rStyle w:val="FootnoteReference1"/>
        </w:rPr>
        <w:footnoteRef/>
      </w:r>
      <w:r w:rsidRPr="00BC7DC2">
        <w:rPr>
          <w:rtl/>
        </w:rPr>
        <w:t xml:space="preserve"> </w:t>
      </w:r>
      <w:r w:rsidRPr="00BC7DC2">
        <w:tab/>
      </w:r>
      <w:r w:rsidRPr="00BC7DC2">
        <w:rPr>
          <w:rFonts w:hint="cs"/>
          <w:rtl/>
        </w:rPr>
        <w:t>ס"ח 235.</w:t>
      </w:r>
    </w:p>
  </w:footnote>
  <w:footnote w:id="26">
    <w:p w:rsidR="00C87191" w:rsidRPr="00BC7DC2" w:rsidP="00E303AD">
      <w:pPr>
        <w:pStyle w:val="FootnoteText"/>
        <w:rPr>
          <w:rtl/>
        </w:rPr>
      </w:pPr>
      <w:r w:rsidRPr="00BC7DC2">
        <w:rPr>
          <w:rStyle w:val="FootnoteReference1"/>
        </w:rPr>
        <w:footnoteRef/>
      </w:r>
      <w:r w:rsidRPr="00BC7DC2">
        <w:rPr>
          <w:rtl/>
        </w:rPr>
        <w:t xml:space="preserve"> </w:t>
      </w:r>
      <w:r w:rsidRPr="00BC7DC2">
        <w:tab/>
      </w:r>
      <w:r w:rsidRPr="00BC7DC2">
        <w:rPr>
          <w:rFonts w:hint="cs"/>
          <w:rtl/>
        </w:rPr>
        <w:t>פרק ח' סימן י' בחוק העונשין, התשל"ז-1977, ס"ח 224.</w:t>
      </w:r>
    </w:p>
  </w:footnote>
  <w:footnote w:id="27">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 xml:space="preserve">משרד המשפטים, </w:t>
      </w:r>
      <w:r w:rsidRPr="00BC7DC2">
        <w:rPr>
          <w:rFonts w:hint="cs"/>
          <w:b/>
          <w:bCs/>
          <w:rtl/>
        </w:rPr>
        <w:t xml:space="preserve">דוח הצוות הבין-משרדי לבחינת הכלים לצמצום צריכת זנות </w:t>
      </w:r>
      <w:r w:rsidRPr="00BC7DC2">
        <w:rPr>
          <w:rFonts w:hint="cs"/>
          <w:rtl/>
        </w:rPr>
        <w:t>(דצמבר 2017).</w:t>
      </w:r>
    </w:p>
  </w:footnote>
  <w:footnote w:id="28">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החלטת הממשלה 4462</w:t>
      </w:r>
      <w:r w:rsidRPr="00BC7DC2">
        <w:rPr>
          <w:rtl/>
        </w:rPr>
        <w:t xml:space="preserve">, "יישום המלצות הצוות הבין-משרדי לצמצום צריכת הזנות" </w:t>
      </w:r>
      <w:r w:rsidRPr="00BC7DC2">
        <w:rPr>
          <w:rFonts w:hint="cs"/>
          <w:rtl/>
        </w:rPr>
        <w:t>(13.1.19).</w:t>
      </w:r>
    </w:p>
  </w:footnote>
  <w:footnote w:id="29">
    <w:p w:rsidR="00C87191" w:rsidRPr="00BC7DC2" w:rsidP="00E303AD">
      <w:pPr>
        <w:pStyle w:val="FootnoteText"/>
        <w:rPr>
          <w:rtl/>
        </w:rPr>
      </w:pPr>
      <w:r w:rsidRPr="00BC7DC2">
        <w:rPr>
          <w:rStyle w:val="FootnoteReference1"/>
        </w:rPr>
        <w:footnoteRef/>
      </w:r>
      <w:r w:rsidRPr="00BC7DC2">
        <w:rPr>
          <w:rtl/>
        </w:rPr>
        <w:tab/>
      </w:r>
      <w:r w:rsidRPr="00BC7DC2">
        <w:rPr>
          <w:rFonts w:hint="cs"/>
          <w:rtl/>
        </w:rPr>
        <w:t>חוק איסור צריכת זנות.</w:t>
      </w:r>
    </w:p>
  </w:footnote>
  <w:footnote w:id="30">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tl/>
        </w:rPr>
        <w:t xml:space="preserve">המודל הנורדי התבסס לראשונה בשוודיה, </w:t>
      </w:r>
      <w:r w:rsidRPr="00BC7DC2">
        <w:rPr>
          <w:rFonts w:hint="cs"/>
          <w:rtl/>
        </w:rPr>
        <w:t>ובה הוא</w:t>
      </w:r>
      <w:r w:rsidRPr="00BC7DC2">
        <w:rPr>
          <w:rtl/>
        </w:rPr>
        <w:t xml:space="preserve"> פותח בעקבות מחקר עומק מקיף על חוויותיהן </w:t>
      </w:r>
      <w:r w:rsidRPr="00BC7DC2">
        <w:rPr>
          <w:rtl/>
        </w:rPr>
        <w:br/>
        <w:t>של נשים בזנות</w:t>
      </w:r>
      <w:r w:rsidRPr="00BC7DC2">
        <w:rPr>
          <w:rFonts w:hint="cs"/>
          <w:rtl/>
        </w:rPr>
        <w:t>. ממצאי מחקר זה העידו על</w:t>
      </w:r>
      <w:r w:rsidRPr="00BC7DC2">
        <w:rPr>
          <w:rtl/>
        </w:rPr>
        <w:t xml:space="preserve"> נזקים חמורים</w:t>
      </w:r>
      <w:r w:rsidRPr="00BC7DC2">
        <w:rPr>
          <w:rFonts w:hint="cs"/>
          <w:rtl/>
        </w:rPr>
        <w:t xml:space="preserve"> שנגרמו לנשים אלה</w:t>
      </w:r>
      <w:r w:rsidRPr="00BC7DC2">
        <w:rPr>
          <w:rtl/>
        </w:rPr>
        <w:t xml:space="preserve">, </w:t>
      </w:r>
      <w:r w:rsidRPr="00BC7DC2">
        <w:rPr>
          <w:rFonts w:hint="cs"/>
          <w:rtl/>
        </w:rPr>
        <w:t xml:space="preserve">על </w:t>
      </w:r>
      <w:r w:rsidRPr="00BC7DC2">
        <w:rPr>
          <w:rtl/>
        </w:rPr>
        <w:t xml:space="preserve">אלימות </w:t>
      </w:r>
      <w:r w:rsidRPr="00BC7DC2">
        <w:rPr>
          <w:rtl/>
        </w:rPr>
        <w:br/>
      </w:r>
      <w:r w:rsidRPr="00BC7DC2">
        <w:rPr>
          <w:rFonts w:hint="cs"/>
          <w:rtl/>
        </w:rPr>
        <w:t xml:space="preserve">כלפיהן </w:t>
      </w:r>
      <w:r w:rsidRPr="00BC7DC2">
        <w:rPr>
          <w:rtl/>
        </w:rPr>
        <w:t>ו</w:t>
      </w:r>
      <w:r w:rsidRPr="00BC7DC2">
        <w:rPr>
          <w:rFonts w:hint="cs"/>
          <w:rtl/>
        </w:rPr>
        <w:t xml:space="preserve">על </w:t>
      </w:r>
      <w:r w:rsidRPr="00BC7DC2">
        <w:rPr>
          <w:rtl/>
        </w:rPr>
        <w:t xml:space="preserve">דמיון </w:t>
      </w:r>
      <w:r w:rsidRPr="00BC7DC2">
        <w:rPr>
          <w:rFonts w:hint="cs"/>
          <w:rtl/>
        </w:rPr>
        <w:t xml:space="preserve">בין הפגיעות שנגרמו להן </w:t>
      </w:r>
      <w:r w:rsidRPr="00BC7DC2">
        <w:rPr>
          <w:rtl/>
        </w:rPr>
        <w:t xml:space="preserve">לדפוסים של פגיעות מיניות אחרות. מתוך מחקר זה </w:t>
      </w:r>
      <w:r w:rsidRPr="00BC7DC2">
        <w:rPr>
          <w:rtl/>
        </w:rPr>
        <w:br/>
        <w:t>גובשה לראשונה הגישה של הפללה חד</w:t>
      </w:r>
      <w:r w:rsidRPr="00BC7DC2">
        <w:rPr>
          <w:rFonts w:hint="cs"/>
          <w:rtl/>
        </w:rPr>
        <w:t>-</w:t>
      </w:r>
      <w:r w:rsidRPr="00BC7DC2">
        <w:rPr>
          <w:rtl/>
        </w:rPr>
        <w:t>צדדית של צרכני הזנות, לצד דה</w:t>
      </w:r>
      <w:r w:rsidRPr="00BC7DC2">
        <w:rPr>
          <w:rFonts w:hint="cs"/>
          <w:rtl/>
        </w:rPr>
        <w:t>-</w:t>
      </w:r>
      <w:r w:rsidRPr="00BC7DC2">
        <w:rPr>
          <w:rtl/>
        </w:rPr>
        <w:t>קרימינליזציה של המועסקות בזנות ומתן שירותי תמיכה ליציאה ממעגל הזנות. לאחר יישומו בשוודיה, אומץ המודל במדינות נוספות</w:t>
      </w:r>
      <w:r w:rsidRPr="00BC7DC2">
        <w:t>.</w:t>
      </w:r>
      <w:r w:rsidRPr="00BC7DC2">
        <w:rPr>
          <w:rtl/>
        </w:rPr>
        <w:t xml:space="preserve"> </w:t>
      </w:r>
      <w:r w:rsidRPr="00BC7DC2">
        <w:t>https://nordicmodelnow.org/what-is-the-nordic-model</w:t>
      </w:r>
      <w:r w:rsidRPr="00BC7DC2">
        <w:rPr>
          <w:rtl/>
        </w:rPr>
        <w:t>/.</w:t>
      </w:r>
    </w:p>
  </w:footnote>
  <w:footnote w:id="31">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הצעת חוק איסור צריכת זנות (הוראת שעה), התשע"ט-2018, ה"ח 1259, 58 (להלן - הצעת חוק איסור צריכת זנות).</w:t>
      </w:r>
    </w:p>
  </w:footnote>
  <w:footnote w:id="32">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לפי לקסיקון הכנסת "</w:t>
      </w:r>
      <w:r w:rsidRPr="00BC7DC2">
        <w:rPr>
          <w:rtl/>
        </w:rPr>
        <w:t>הוראת שעה</w:t>
      </w:r>
      <w:r w:rsidRPr="00BC7DC2">
        <w:rPr>
          <w:rFonts w:hint="cs"/>
          <w:rtl/>
        </w:rPr>
        <w:t xml:space="preserve"> היא </w:t>
      </w:r>
      <w:r w:rsidRPr="00BC7DC2">
        <w:rPr>
          <w:rtl/>
        </w:rPr>
        <w:t>חקיקה הנקבעת לתקופה מוגבלת.</w:t>
      </w:r>
      <w:r w:rsidRPr="00BC7DC2">
        <w:rPr>
          <w:rFonts w:hint="cs"/>
          <w:rtl/>
        </w:rPr>
        <w:t xml:space="preserve"> </w:t>
      </w:r>
      <w:r w:rsidRPr="00BC7DC2">
        <w:rPr>
          <w:rtl/>
        </w:rPr>
        <w:t xml:space="preserve">בדרך כלל כאשר </w:t>
      </w:r>
      <w:r w:rsidRPr="00BC7DC2">
        <w:rPr>
          <w:rtl/>
        </w:rPr>
        <w:br/>
      </w:r>
      <w:r w:rsidRPr="00BC7DC2">
        <w:rPr>
          <w:rFonts w:hint="cs"/>
          <w:rtl/>
        </w:rPr>
        <w:t xml:space="preserve">חקיקה </w:t>
      </w:r>
      <w:r w:rsidRPr="00BC7DC2">
        <w:rPr>
          <w:rFonts w:ascii="David" w:hAnsi="David" w:hint="cs"/>
          <w:rtl/>
        </w:rPr>
        <w:t>נקבעת</w:t>
      </w:r>
      <w:r w:rsidRPr="00BC7DC2">
        <w:rPr>
          <w:rtl/>
        </w:rPr>
        <w:t xml:space="preserve"> </w:t>
      </w:r>
      <w:r w:rsidRPr="00BC7DC2">
        <w:rPr>
          <w:rFonts w:ascii="David" w:hAnsi="David" w:hint="cs"/>
          <w:rtl/>
        </w:rPr>
        <w:t>כהוראת</w:t>
      </w:r>
      <w:r w:rsidRPr="00BC7DC2">
        <w:rPr>
          <w:rtl/>
        </w:rPr>
        <w:t xml:space="preserve"> </w:t>
      </w:r>
      <w:r w:rsidRPr="00BC7DC2">
        <w:rPr>
          <w:rFonts w:ascii="David" w:hAnsi="David" w:hint="cs"/>
          <w:rtl/>
        </w:rPr>
        <w:t>שעה</w:t>
      </w:r>
      <w:r w:rsidRPr="00BC7DC2">
        <w:rPr>
          <w:rtl/>
        </w:rPr>
        <w:t xml:space="preserve">, </w:t>
      </w:r>
      <w:r w:rsidRPr="00BC7DC2">
        <w:rPr>
          <w:rFonts w:ascii="David" w:hAnsi="David" w:hint="cs"/>
          <w:rtl/>
        </w:rPr>
        <w:t>הדבר</w:t>
      </w:r>
      <w:r w:rsidRPr="00BC7DC2">
        <w:rPr>
          <w:rtl/>
        </w:rPr>
        <w:t xml:space="preserve"> </w:t>
      </w:r>
      <w:r w:rsidRPr="00BC7DC2">
        <w:rPr>
          <w:rFonts w:ascii="David" w:hAnsi="David" w:hint="cs"/>
          <w:rtl/>
        </w:rPr>
        <w:t>נעשה</w:t>
      </w:r>
      <w:r w:rsidRPr="00BC7DC2">
        <w:rPr>
          <w:rFonts w:ascii="Arial" w:hAnsi="Arial" w:cs="Arial" w:hint="cs"/>
          <w:rtl/>
        </w:rPr>
        <w:t>​</w:t>
      </w:r>
      <w:r w:rsidRPr="00BC7DC2">
        <w:rPr>
          <w:rtl/>
        </w:rPr>
        <w:t xml:space="preserve"> </w:t>
      </w:r>
      <w:r w:rsidRPr="00BC7DC2">
        <w:rPr>
          <w:rFonts w:ascii="David" w:hAnsi="David" w:hint="cs"/>
          <w:rtl/>
        </w:rPr>
        <w:t>כדי</w:t>
      </w:r>
      <w:r w:rsidRPr="00BC7DC2">
        <w:rPr>
          <w:rtl/>
        </w:rPr>
        <w:t xml:space="preserve"> </w:t>
      </w:r>
      <w:r w:rsidRPr="00BC7DC2">
        <w:rPr>
          <w:rFonts w:ascii="David" w:hAnsi="David" w:hint="cs"/>
          <w:rtl/>
        </w:rPr>
        <w:t>לאפשר</w:t>
      </w:r>
      <w:r w:rsidRPr="00BC7DC2">
        <w:rPr>
          <w:rtl/>
        </w:rPr>
        <w:t xml:space="preserve"> </w:t>
      </w:r>
      <w:r w:rsidRPr="00BC7DC2">
        <w:rPr>
          <w:rFonts w:ascii="David" w:hAnsi="David" w:hint="cs"/>
          <w:rtl/>
        </w:rPr>
        <w:t>לבחון</w:t>
      </w:r>
      <w:r w:rsidRPr="00BC7DC2">
        <w:rPr>
          <w:rtl/>
        </w:rPr>
        <w:t xml:space="preserve"> </w:t>
      </w:r>
      <w:r w:rsidRPr="00BC7DC2">
        <w:rPr>
          <w:rFonts w:ascii="David" w:hAnsi="David" w:hint="cs"/>
          <w:rtl/>
        </w:rPr>
        <w:t>את</w:t>
      </w:r>
      <w:r w:rsidRPr="00BC7DC2">
        <w:rPr>
          <w:rtl/>
        </w:rPr>
        <w:t xml:space="preserve"> </w:t>
      </w:r>
      <w:r w:rsidRPr="00BC7DC2">
        <w:rPr>
          <w:rFonts w:ascii="David" w:hAnsi="David" w:hint="cs"/>
          <w:rtl/>
        </w:rPr>
        <w:t>יישומה</w:t>
      </w:r>
      <w:r w:rsidRPr="00BC7DC2">
        <w:rPr>
          <w:rtl/>
        </w:rPr>
        <w:t xml:space="preserve"> </w:t>
      </w:r>
      <w:r w:rsidRPr="00BC7DC2">
        <w:rPr>
          <w:rFonts w:ascii="David" w:hAnsi="David" w:hint="cs"/>
          <w:rtl/>
        </w:rPr>
        <w:t>עד</w:t>
      </w:r>
      <w:r w:rsidRPr="00BC7DC2">
        <w:rPr>
          <w:rtl/>
        </w:rPr>
        <w:t xml:space="preserve"> </w:t>
      </w:r>
      <w:r w:rsidRPr="00BC7DC2">
        <w:rPr>
          <w:rFonts w:ascii="David" w:hAnsi="David" w:hint="cs"/>
          <w:rtl/>
        </w:rPr>
        <w:t>לקביעת</w:t>
      </w:r>
      <w:r w:rsidRPr="00BC7DC2">
        <w:rPr>
          <w:rtl/>
        </w:rPr>
        <w:t xml:space="preserve"> </w:t>
      </w:r>
      <w:r w:rsidRPr="00BC7DC2">
        <w:rPr>
          <w:rFonts w:ascii="David" w:hAnsi="David" w:hint="cs"/>
          <w:rtl/>
        </w:rPr>
        <w:t>הסדר</w:t>
      </w:r>
      <w:r w:rsidRPr="00BC7DC2">
        <w:rPr>
          <w:rtl/>
        </w:rPr>
        <w:t xml:space="preserve"> </w:t>
      </w:r>
      <w:r w:rsidRPr="00BC7DC2">
        <w:rPr>
          <w:rFonts w:ascii="David" w:hAnsi="David" w:hint="cs"/>
          <w:rtl/>
        </w:rPr>
        <w:t>של</w:t>
      </w:r>
      <w:r w:rsidRPr="00BC7DC2">
        <w:rPr>
          <w:rtl/>
        </w:rPr>
        <w:t xml:space="preserve"> </w:t>
      </w:r>
      <w:r w:rsidRPr="00BC7DC2">
        <w:rPr>
          <w:rFonts w:ascii="David" w:hAnsi="David" w:hint="cs"/>
          <w:rtl/>
        </w:rPr>
        <w:t>קבע"</w:t>
      </w:r>
      <w:r w:rsidRPr="00BC7DC2">
        <w:rPr>
          <w:rtl/>
        </w:rPr>
        <w:t>.</w:t>
      </w:r>
      <w:r w:rsidRPr="00BC7DC2">
        <w:rPr>
          <w:rFonts w:hint="cs"/>
          <w:rtl/>
        </w:rPr>
        <w:t xml:space="preserve"> </w:t>
      </w:r>
      <w:r w:rsidRPr="00BC7DC2">
        <w:t>https://main.knesset.gov.il/about/lexicon/pages/temporary-order.aspx</w:t>
      </w:r>
      <w:r w:rsidRPr="00BC7DC2">
        <w:rPr>
          <w:rFonts w:hint="cs"/>
          <w:rtl/>
        </w:rPr>
        <w:t>.</w:t>
      </w:r>
    </w:p>
  </w:footnote>
  <w:footnote w:id="33">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סעיף 2 לחוק איסור צריכת זנות.</w:t>
      </w:r>
    </w:p>
  </w:footnote>
  <w:footnote w:id="34">
    <w:p w:rsidR="00C87191" w:rsidRPr="00BC7DC2" w:rsidP="00E303AD">
      <w:pPr>
        <w:pStyle w:val="FootnoteText"/>
        <w:rPr>
          <w:rtl/>
        </w:rPr>
      </w:pPr>
      <w:r w:rsidRPr="00BC7DC2">
        <w:rPr>
          <w:rStyle w:val="FootnoteReference1"/>
        </w:rPr>
        <w:footnoteRef/>
      </w:r>
      <w:r w:rsidRPr="00BC7DC2">
        <w:rPr>
          <w:rtl/>
        </w:rPr>
        <w:t xml:space="preserve"> </w:t>
      </w:r>
      <w:r w:rsidRPr="00BC7DC2">
        <w:tab/>
      </w:r>
      <w:r w:rsidRPr="00BC7DC2">
        <w:rPr>
          <w:rFonts w:hint="cs"/>
          <w:rtl/>
        </w:rPr>
        <w:t>סעיף 8(ב) לחוק איסור צריכת זנות.</w:t>
      </w:r>
      <w:r w:rsidRPr="00BC7DC2">
        <w:t xml:space="preserve"> </w:t>
      </w:r>
    </w:p>
  </w:footnote>
  <w:footnote w:id="35">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יצוין שכ-27% מצרכני הזנות שנקנסו בשנים 2022 - 2024 לא היו אזרחים ישראלים, אלא השתייכו לאוכלוסיות שונות כגון תיירים, עובדים זרים, מסתננים, מבקשי מקלט או שוהים בלתי חוקיים.</w:t>
      </w:r>
    </w:p>
  </w:footnote>
  <w:footnote w:id="36">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eastAsia"/>
          <w:b/>
          <w:bCs/>
          <w:rtl/>
        </w:rPr>
        <w:t>חדשות</w:t>
      </w:r>
      <w:r w:rsidRPr="00BC7DC2">
        <w:rPr>
          <w:b/>
          <w:bCs/>
          <w:rtl/>
        </w:rPr>
        <w:t xml:space="preserve"> </w:t>
      </w:r>
      <w:r w:rsidRPr="00BC7DC2">
        <w:rPr>
          <w:rFonts w:hint="eastAsia"/>
          <w:b/>
          <w:bCs/>
          <w:rtl/>
        </w:rPr>
        <w:t>הכנסת</w:t>
      </w:r>
      <w:r w:rsidRPr="00BC7DC2">
        <w:rPr>
          <w:rFonts w:hint="cs"/>
          <w:rtl/>
        </w:rPr>
        <w:t>, "</w:t>
      </w:r>
      <w:r w:rsidRPr="00BC7DC2">
        <w:rPr>
          <w:rtl/>
        </w:rPr>
        <w:t xml:space="preserve">בעקבות מצב החירום וללא מתנגדים: ועדת החוקה אישרה לקריאות שניה ושלישית את הארכת </w:t>
      </w:r>
      <w:bookmarkStart w:id="19" w:name="_Hlk232582338"/>
      <w:r w:rsidRPr="00BC7DC2">
        <w:rPr>
          <w:rtl/>
        </w:rPr>
        <w:t xml:space="preserve">הוראת השעה לאיסור צריכת זנות בחמש שנים נוספות </w:t>
      </w:r>
      <w:bookmarkEnd w:id="19"/>
      <w:r w:rsidRPr="00BC7DC2">
        <w:rPr>
          <w:rtl/>
        </w:rPr>
        <w:t>לקראת פקיעתה</w:t>
      </w:r>
      <w:r w:rsidRPr="00BC7DC2">
        <w:rPr>
          <w:rFonts w:hint="cs"/>
          <w:rtl/>
        </w:rPr>
        <w:t>"</w:t>
      </w:r>
      <w:r w:rsidRPr="00BC7DC2">
        <w:rPr>
          <w:rFonts w:hint="cs"/>
          <w:b/>
          <w:bCs/>
          <w:rtl/>
        </w:rPr>
        <w:t xml:space="preserve"> </w:t>
      </w:r>
      <w:r w:rsidRPr="00BC7DC2">
        <w:rPr>
          <w:rFonts w:hint="cs"/>
          <w:rtl/>
        </w:rPr>
        <w:t xml:space="preserve">(24.6.25) </w:t>
      </w:r>
      <w:r w:rsidRPr="00BC7DC2">
        <w:t>main.knesset.gov.il/news/pressreleases/pages/press24062025n.aspx</w:t>
      </w:r>
      <w:r w:rsidRPr="00BC7DC2">
        <w:rPr>
          <w:rFonts w:hint="cs"/>
          <w:rtl/>
        </w:rPr>
        <w:t>.</w:t>
      </w:r>
    </w:p>
  </w:footnote>
  <w:footnote w:id="37">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 xml:space="preserve">הדוח מתמקד באכיפת חוק איסור צריכת זנות ולא באכיפת החוק בעניינן של כלל עבירות הזנות, כגון סרסרות והחזקה או ניהול של </w:t>
      </w:r>
      <w:r w:rsidRPr="00BC7DC2">
        <w:rPr>
          <w:rtl/>
        </w:rPr>
        <w:t>מקום לשם עיסוק בזנות</w:t>
      </w:r>
      <w:r w:rsidRPr="00BC7DC2">
        <w:rPr>
          <w:rFonts w:hint="cs"/>
          <w:rtl/>
        </w:rPr>
        <w:t>.</w:t>
      </w:r>
    </w:p>
  </w:footnote>
  <w:footnote w:id="38">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 xml:space="preserve">בדוח זה יוזכרו, לסירוגין, קורבנות סחר בבני אדם או אנשים על רצף הזנות בלשון נקבה אך יובהר שהנפגעים מתופעות הזנות והסחר בבני אדם הם נשים וגברים גם יחד. יצוין כי מרבית </w:t>
      </w:r>
      <w:r w:rsidRPr="00BC7DC2">
        <w:rPr>
          <w:rFonts w:hint="eastAsia"/>
          <w:rtl/>
        </w:rPr>
        <w:t>הנפגעות</w:t>
      </w:r>
      <w:r w:rsidRPr="00BC7DC2">
        <w:rPr>
          <w:rtl/>
        </w:rPr>
        <w:t xml:space="preserve"> </w:t>
      </w:r>
      <w:r w:rsidRPr="00BC7DC2">
        <w:rPr>
          <w:rFonts w:hint="eastAsia"/>
          <w:rtl/>
        </w:rPr>
        <w:t>הן</w:t>
      </w:r>
      <w:r w:rsidRPr="00BC7DC2">
        <w:rPr>
          <w:rtl/>
        </w:rPr>
        <w:t xml:space="preserve"> </w:t>
      </w:r>
      <w:r w:rsidRPr="00BC7DC2">
        <w:rPr>
          <w:rFonts w:hint="eastAsia"/>
          <w:rtl/>
        </w:rPr>
        <w:t>נשים</w:t>
      </w:r>
      <w:r w:rsidRPr="00BC7DC2">
        <w:rPr>
          <w:rFonts w:hint="cs"/>
          <w:rtl/>
        </w:rPr>
        <w:t>.</w:t>
      </w:r>
    </w:p>
  </w:footnote>
  <w:footnote w:id="39">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הצעת חוק איסור צריכת זנות; תזכיר חוק איסור צריכת זנות, התשפ"ה-2025, 7</w:t>
      </w:r>
      <w:r w:rsidRPr="00BC7DC2">
        <w:t xml:space="preserve"> </w:t>
      </w:r>
      <w:r w:rsidRPr="00BC7DC2">
        <w:rPr>
          <w:rFonts w:hint="cs"/>
          <w:rtl/>
        </w:rPr>
        <w:t>(להלן - תזכיר חוק איסור צריכת זנות).</w:t>
      </w:r>
    </w:p>
  </w:footnote>
  <w:footnote w:id="40">
    <w:p w:rsidR="00C87191" w:rsidRPr="00BC7DC2" w:rsidP="00E303AD">
      <w:pPr>
        <w:pStyle w:val="FootnoteText"/>
        <w:rPr>
          <w:rtl/>
        </w:rPr>
      </w:pPr>
      <w:r w:rsidRPr="00BC7DC2">
        <w:rPr>
          <w:rStyle w:val="FootnoteReference1"/>
        </w:rPr>
        <w:footnoteRef/>
      </w:r>
      <w:r w:rsidRPr="00BC7DC2">
        <w:rPr>
          <w:rtl/>
        </w:rPr>
        <w:t xml:space="preserve"> </w:t>
      </w:r>
      <w:r w:rsidRPr="00BC7DC2">
        <w:tab/>
      </w:r>
      <w:r w:rsidRPr="00BC7DC2">
        <w:rPr>
          <w:rFonts w:hint="cs"/>
          <w:rtl/>
        </w:rPr>
        <w:t>הצעת חוק איסור צריכת זנות.</w:t>
      </w:r>
    </w:p>
  </w:footnote>
  <w:footnote w:id="41">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t>European Parliament,</w:t>
      </w:r>
      <w:r w:rsidRPr="00BC7DC2">
        <w:rPr>
          <w:b/>
          <w:bCs/>
        </w:rPr>
        <w:t xml:space="preserve"> </w:t>
      </w:r>
      <w:r w:rsidRPr="00BC7DC2">
        <w:rPr>
          <w:b/>
          <w:bCs/>
        </w:rPr>
        <w:t>The</w:t>
      </w:r>
      <w:r w:rsidRPr="00BC7DC2">
        <w:rPr>
          <w:b/>
          <w:bCs/>
        </w:rPr>
        <w:t xml:space="preserve"> differing EU Member States’ regulations on prostitution and their cross-border</w:t>
      </w:r>
      <w:r w:rsidRPr="00BC7DC2">
        <w:rPr>
          <w:rFonts w:eastAsia="Times New Roman"/>
          <w:b/>
          <w:szCs w:val="36"/>
        </w:rPr>
        <w:t xml:space="preserve"> </w:t>
      </w:r>
      <w:r w:rsidRPr="00BC7DC2">
        <w:rPr>
          <w:b/>
          <w:bCs/>
        </w:rPr>
        <w:t>implications on women’s rights</w:t>
      </w:r>
      <w:r w:rsidRPr="00BC7DC2">
        <w:t xml:space="preserve"> (2021), pp. 15-45; </w:t>
      </w:r>
      <w:r w:rsidRPr="00BC7DC2">
        <w:rPr>
          <w:rFonts w:hint="cs"/>
        </w:rPr>
        <w:t>J</w:t>
      </w:r>
      <w:r w:rsidRPr="00BC7DC2">
        <w:t>enita Kanapathy, Taylor university</w:t>
      </w:r>
      <w:r w:rsidRPr="00BC7DC2">
        <w:rPr>
          <w:b/>
          <w:bCs/>
        </w:rPr>
        <w:t xml:space="preserve">, Regulating the Sex Trade: A Comparative Study between the Legal Policies Adopted in Selected Countries </w:t>
      </w:r>
      <w:r w:rsidRPr="00BC7DC2">
        <w:t>(2020), pp.35-42</w:t>
      </w:r>
      <w:r w:rsidRPr="00BC7DC2">
        <w:rPr>
          <w:rFonts w:hint="cs"/>
          <w:rtl/>
        </w:rPr>
        <w:t xml:space="preserve">. </w:t>
      </w:r>
    </w:p>
  </w:footnote>
  <w:footnote w:id="42">
    <w:p w:rsidR="00C87191" w:rsidRPr="00BC7DC2" w:rsidP="00E303AD">
      <w:pPr>
        <w:pStyle w:val="FootnoteText"/>
        <w:rPr>
          <w:b/>
          <w:bCs/>
          <w:rtl/>
        </w:rPr>
      </w:pPr>
      <w:r w:rsidRPr="00BC7DC2">
        <w:rPr>
          <w:rStyle w:val="FootnoteReference1"/>
        </w:rPr>
        <w:footnoteRef/>
      </w:r>
      <w:r w:rsidRPr="00BC7DC2">
        <w:rPr>
          <w:rtl/>
        </w:rPr>
        <w:t xml:space="preserve"> </w:t>
      </w:r>
      <w:bookmarkStart w:id="27" w:name="_Hlk203282830"/>
      <w:r w:rsidRPr="00BC7DC2">
        <w:rPr>
          <w:rtl/>
        </w:rPr>
        <w:tab/>
      </w:r>
      <w:r w:rsidRPr="00BC7DC2">
        <w:rPr>
          <w:rFonts w:hint="cs"/>
          <w:rtl/>
        </w:rPr>
        <w:t>המחקר המלווה.</w:t>
      </w:r>
      <w:bookmarkEnd w:id="27"/>
    </w:p>
  </w:footnote>
  <w:footnote w:id="43">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 xml:space="preserve">הנחיית פרקליט המדינה 2.2, </w:t>
      </w:r>
      <w:r w:rsidRPr="00BC7DC2">
        <w:rPr>
          <w:rFonts w:hint="eastAsia"/>
          <w:b/>
          <w:bCs/>
          <w:rtl/>
        </w:rPr>
        <w:t>מדיניות</w:t>
      </w:r>
      <w:r w:rsidRPr="00BC7DC2">
        <w:rPr>
          <w:b/>
          <w:bCs/>
          <w:rtl/>
        </w:rPr>
        <w:t xml:space="preserve"> </w:t>
      </w:r>
      <w:r w:rsidRPr="00BC7DC2">
        <w:rPr>
          <w:rFonts w:hint="eastAsia"/>
          <w:b/>
          <w:bCs/>
          <w:rtl/>
        </w:rPr>
        <w:t>האכיפה</w:t>
      </w:r>
      <w:r w:rsidRPr="00BC7DC2">
        <w:rPr>
          <w:b/>
          <w:bCs/>
          <w:rtl/>
        </w:rPr>
        <w:t xml:space="preserve"> </w:t>
      </w:r>
      <w:r w:rsidRPr="00BC7DC2">
        <w:rPr>
          <w:rFonts w:hint="eastAsia"/>
          <w:b/>
          <w:bCs/>
          <w:rtl/>
        </w:rPr>
        <w:t>בעבירות</w:t>
      </w:r>
      <w:r w:rsidRPr="00BC7DC2">
        <w:rPr>
          <w:b/>
          <w:bCs/>
          <w:rtl/>
        </w:rPr>
        <w:t xml:space="preserve"> </w:t>
      </w:r>
      <w:r w:rsidRPr="00BC7DC2">
        <w:rPr>
          <w:rFonts w:hint="eastAsia"/>
          <w:b/>
          <w:bCs/>
          <w:rtl/>
        </w:rPr>
        <w:t>הנלוות</w:t>
      </w:r>
      <w:r w:rsidRPr="00BC7DC2">
        <w:rPr>
          <w:b/>
          <w:bCs/>
          <w:rtl/>
        </w:rPr>
        <w:t xml:space="preserve"> </w:t>
      </w:r>
      <w:r w:rsidRPr="00BC7DC2">
        <w:rPr>
          <w:rFonts w:hint="eastAsia"/>
          <w:b/>
          <w:bCs/>
          <w:rtl/>
        </w:rPr>
        <w:t>לזנות</w:t>
      </w:r>
      <w:r w:rsidRPr="00BC7DC2">
        <w:rPr>
          <w:rFonts w:hint="cs"/>
          <w:rtl/>
        </w:rPr>
        <w:t xml:space="preserve"> (6.5.19).</w:t>
      </w:r>
      <w:r w:rsidRPr="00BC7DC2">
        <w:rPr>
          <w:rtl/>
        </w:rPr>
        <w:tab/>
      </w:r>
    </w:p>
  </w:footnote>
  <w:footnote w:id="44">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סעיף 203ג ל</w:t>
      </w:r>
      <w:r w:rsidRPr="00BC7DC2">
        <w:rPr>
          <w:rtl/>
        </w:rPr>
        <w:t>חוק העונשין</w:t>
      </w:r>
      <w:r w:rsidRPr="00BC7DC2">
        <w:rPr>
          <w:rFonts w:hint="cs"/>
          <w:rtl/>
        </w:rPr>
        <w:t>, ה</w:t>
      </w:r>
      <w:r w:rsidRPr="00BC7DC2">
        <w:rPr>
          <w:rtl/>
        </w:rPr>
        <w:t>תשל"ז-1977</w:t>
      </w:r>
      <w:r w:rsidRPr="00BC7DC2">
        <w:rPr>
          <w:rFonts w:hint="cs"/>
          <w:rtl/>
        </w:rPr>
        <w:t>.</w:t>
      </w:r>
    </w:p>
  </w:footnote>
  <w:footnote w:id="45">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 xml:space="preserve">נוהל אח"ם מס' 300.25.01, </w:t>
      </w:r>
      <w:r w:rsidRPr="00BC7DC2">
        <w:rPr>
          <w:rFonts w:hint="eastAsia"/>
          <w:b/>
          <w:bCs/>
          <w:rtl/>
        </w:rPr>
        <w:t>אכיפת</w:t>
      </w:r>
      <w:r w:rsidRPr="00BC7DC2">
        <w:rPr>
          <w:b/>
          <w:bCs/>
          <w:rtl/>
        </w:rPr>
        <w:t xml:space="preserve"> </w:t>
      </w:r>
      <w:r w:rsidRPr="00BC7DC2">
        <w:rPr>
          <w:rFonts w:hint="eastAsia"/>
          <w:b/>
          <w:bCs/>
          <w:rtl/>
        </w:rPr>
        <w:t>חוק</w:t>
      </w:r>
      <w:r w:rsidRPr="00BC7DC2">
        <w:rPr>
          <w:b/>
          <w:bCs/>
          <w:rtl/>
        </w:rPr>
        <w:t xml:space="preserve"> </w:t>
      </w:r>
      <w:r w:rsidRPr="00BC7DC2">
        <w:rPr>
          <w:rFonts w:hint="eastAsia"/>
          <w:b/>
          <w:bCs/>
          <w:rtl/>
        </w:rPr>
        <w:t>איסור</w:t>
      </w:r>
      <w:r w:rsidRPr="00BC7DC2">
        <w:rPr>
          <w:b/>
          <w:bCs/>
          <w:rtl/>
        </w:rPr>
        <w:t xml:space="preserve"> </w:t>
      </w:r>
      <w:r w:rsidRPr="00BC7DC2">
        <w:rPr>
          <w:rFonts w:hint="eastAsia"/>
          <w:b/>
          <w:bCs/>
          <w:rtl/>
        </w:rPr>
        <w:t>צריכת</w:t>
      </w:r>
      <w:r w:rsidRPr="00BC7DC2">
        <w:rPr>
          <w:b/>
          <w:bCs/>
          <w:rtl/>
        </w:rPr>
        <w:t xml:space="preserve"> </w:t>
      </w:r>
      <w:r w:rsidRPr="00BC7DC2">
        <w:rPr>
          <w:rFonts w:hint="eastAsia"/>
          <w:b/>
          <w:bCs/>
          <w:rtl/>
        </w:rPr>
        <w:t>זנות</w:t>
      </w:r>
      <w:r w:rsidRPr="00BC7DC2">
        <w:rPr>
          <w:rFonts w:hint="cs"/>
          <w:rtl/>
        </w:rPr>
        <w:t xml:space="preserve"> (3.5.21)</w:t>
      </w:r>
      <w:r w:rsidRPr="00BC7DC2">
        <w:rPr>
          <w:rStyle w:val="Hyperlink"/>
          <w:rFonts w:hint="cs"/>
          <w:color w:val="auto"/>
          <w:u w:val="none"/>
          <w:rtl/>
        </w:rPr>
        <w:t>.</w:t>
      </w:r>
      <w:r w:rsidRPr="00BC7DC2">
        <w:rPr>
          <w:rFonts w:hint="cs"/>
          <w:rtl/>
        </w:rPr>
        <w:t xml:space="preserve"> כמו כן ראו </w:t>
      </w:r>
      <w:r w:rsidRPr="00BC7DC2">
        <w:rPr>
          <w:rtl/>
        </w:rPr>
        <w:t>הנחי</w:t>
      </w:r>
      <w:r w:rsidRPr="00BC7DC2">
        <w:rPr>
          <w:rFonts w:hint="cs"/>
          <w:rtl/>
        </w:rPr>
        <w:t>ית</w:t>
      </w:r>
      <w:r w:rsidRPr="00BC7DC2">
        <w:rPr>
          <w:rtl/>
        </w:rPr>
        <w:t xml:space="preserve"> היועץ המשפטי לממשלה</w:t>
      </w:r>
      <w:r w:rsidRPr="00BC7DC2">
        <w:rPr>
          <w:rFonts w:hint="cs"/>
          <w:rtl/>
        </w:rPr>
        <w:t xml:space="preserve"> 4.1115, "</w:t>
      </w:r>
      <w:r w:rsidRPr="00BC7DC2">
        <w:rPr>
          <w:rtl/>
        </w:rPr>
        <w:t xml:space="preserve">מדיניות אכיפה בעניין חוק איסור צריכת זנות </w:t>
      </w:r>
      <w:r w:rsidRPr="00BC7DC2">
        <w:rPr>
          <w:rFonts w:hint="cs"/>
          <w:rtl/>
        </w:rPr>
        <w:t>(</w:t>
      </w:r>
      <w:r w:rsidRPr="00BC7DC2">
        <w:rPr>
          <w:rtl/>
        </w:rPr>
        <w:t>הוראת שעה ותיקון חקיקה</w:t>
      </w:r>
      <w:r w:rsidRPr="00BC7DC2">
        <w:rPr>
          <w:rFonts w:hint="cs"/>
          <w:rtl/>
        </w:rPr>
        <w:t>)</w:t>
      </w:r>
      <w:r w:rsidRPr="00BC7DC2">
        <w:rPr>
          <w:rtl/>
        </w:rPr>
        <w:t xml:space="preserve">, </w:t>
      </w:r>
      <w:r w:rsidRPr="00BC7DC2">
        <w:rPr>
          <w:rFonts w:hint="cs"/>
          <w:rtl/>
        </w:rPr>
        <w:t>ה</w:t>
      </w:r>
      <w:r w:rsidRPr="00BC7DC2">
        <w:rPr>
          <w:rtl/>
        </w:rPr>
        <w:t>תשע"ט-2019</w:t>
      </w:r>
      <w:r w:rsidRPr="00BC7DC2">
        <w:rPr>
          <w:rFonts w:hint="cs"/>
          <w:rtl/>
        </w:rPr>
        <w:t xml:space="preserve">" </w:t>
      </w:r>
      <w:r w:rsidRPr="00BC7DC2">
        <w:rPr>
          <w:rtl/>
        </w:rPr>
        <w:t>(12.7.20)</w:t>
      </w:r>
      <w:r w:rsidRPr="00BC7DC2">
        <w:rPr>
          <w:rFonts w:hint="cs"/>
          <w:rtl/>
        </w:rPr>
        <w:t>.</w:t>
      </w:r>
    </w:p>
  </w:footnote>
  <w:footnote w:id="46">
    <w:p w:rsidR="00C87191" w:rsidRPr="00BC7DC2" w:rsidP="00E303AD">
      <w:pPr>
        <w:pStyle w:val="FootnoteText"/>
      </w:pPr>
      <w:r w:rsidRPr="00BC7DC2">
        <w:rPr>
          <w:rStyle w:val="FootnoteReference1"/>
        </w:rPr>
        <w:footnoteRef/>
      </w:r>
      <w:r w:rsidRPr="00BC7DC2">
        <w:rPr>
          <w:rtl/>
        </w:rPr>
        <w:t xml:space="preserve"> </w:t>
      </w:r>
      <w:r w:rsidRPr="00BC7DC2">
        <w:tab/>
      </w:r>
      <w:r w:rsidRPr="00BC7DC2">
        <w:rPr>
          <w:rFonts w:hint="cs"/>
          <w:rtl/>
        </w:rPr>
        <w:t>המחקר המלווה; חוק איסור צריכת זנות; תזכיר חוק איסור צריכת זנות.</w:t>
      </w:r>
    </w:p>
  </w:footnote>
  <w:footnote w:id="47">
    <w:p w:rsidR="00C87191" w:rsidRPr="00BC7DC2" w:rsidP="00E303AD">
      <w:pPr>
        <w:pStyle w:val="FootnoteText"/>
        <w:rPr>
          <w:rtl/>
        </w:rPr>
      </w:pPr>
      <w:r w:rsidRPr="00BC7DC2">
        <w:rPr>
          <w:rStyle w:val="FootnoteReference1"/>
        </w:rPr>
        <w:footnoteRef/>
      </w:r>
      <w:r w:rsidRPr="00BC7DC2">
        <w:rPr>
          <w:rtl/>
        </w:rPr>
        <w:t xml:space="preserve"> </w:t>
      </w:r>
      <w:r w:rsidRPr="00BC7DC2">
        <w:tab/>
      </w:r>
      <w:r w:rsidRPr="00BC7DC2">
        <w:rPr>
          <w:rFonts w:hint="cs"/>
          <w:rtl/>
        </w:rPr>
        <w:t>סעיף 8(ב) לחוק איסור צריכת זנות.</w:t>
      </w:r>
      <w:r w:rsidRPr="00BC7DC2">
        <w:t xml:space="preserve"> </w:t>
      </w:r>
    </w:p>
  </w:footnote>
  <w:footnote w:id="48">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תזכיר חוק</w:t>
      </w:r>
      <w:r w:rsidRPr="00BC7DC2">
        <w:rPr>
          <w:rStyle w:val="Hyperlink"/>
          <w:rFonts w:hint="cs"/>
          <w:color w:val="auto"/>
          <w:u w:val="none"/>
          <w:rtl/>
        </w:rPr>
        <w:t xml:space="preserve"> </w:t>
      </w:r>
      <w:r w:rsidRPr="00BC7DC2">
        <w:rPr>
          <w:rFonts w:hint="cs"/>
          <w:rtl/>
        </w:rPr>
        <w:t>איסור צריכת זנות.</w:t>
      </w:r>
    </w:p>
  </w:footnote>
  <w:footnote w:id="49">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eastAsia"/>
          <w:b/>
          <w:bCs/>
          <w:rtl/>
        </w:rPr>
        <w:t>חדשות</w:t>
      </w:r>
      <w:r w:rsidRPr="00BC7DC2">
        <w:rPr>
          <w:b/>
          <w:bCs/>
          <w:rtl/>
        </w:rPr>
        <w:t xml:space="preserve"> </w:t>
      </w:r>
      <w:r w:rsidRPr="00BC7DC2">
        <w:rPr>
          <w:rFonts w:hint="eastAsia"/>
          <w:b/>
          <w:bCs/>
          <w:rtl/>
        </w:rPr>
        <w:t>הכנסת</w:t>
      </w:r>
      <w:r w:rsidRPr="00BC7DC2">
        <w:rPr>
          <w:rFonts w:hint="cs"/>
          <w:rtl/>
        </w:rPr>
        <w:t>, "</w:t>
      </w:r>
      <w:r w:rsidRPr="00BC7DC2">
        <w:rPr>
          <w:rtl/>
        </w:rPr>
        <w:t>בעקבות מצב החירום וללא מתנגדים: ועדת החוקה אישרה לקריאות שניה ושלישית את הארכת הוראת השעה לאיסור צריכת זנות בחמש שנים נוספות לקראת פקיעתה</w:t>
      </w:r>
      <w:r w:rsidRPr="00BC7DC2">
        <w:rPr>
          <w:rFonts w:hint="cs"/>
          <w:rtl/>
        </w:rPr>
        <w:t>"</w:t>
      </w:r>
      <w:r w:rsidRPr="00BC7DC2">
        <w:rPr>
          <w:rFonts w:hint="cs"/>
          <w:b/>
          <w:bCs/>
          <w:rtl/>
        </w:rPr>
        <w:t xml:space="preserve"> </w:t>
      </w:r>
      <w:r w:rsidRPr="00BC7DC2">
        <w:rPr>
          <w:rFonts w:hint="cs"/>
          <w:rtl/>
        </w:rPr>
        <w:t xml:space="preserve">(24.6.25) </w:t>
      </w:r>
      <w:r w:rsidRPr="00BC7DC2">
        <w:t>main.knesset.gov.il/news/pressreleases/pages/press24062025n.aspx</w:t>
      </w:r>
      <w:r w:rsidRPr="00BC7DC2">
        <w:rPr>
          <w:rFonts w:hint="cs"/>
          <w:rtl/>
        </w:rPr>
        <w:t xml:space="preserve"> (בהתאם להודעה </w:t>
      </w:r>
      <w:r w:rsidRPr="00BC7DC2">
        <w:rPr>
          <w:rtl/>
        </w:rPr>
        <w:t>חברי הוועדה תמכו בהצעת החוק הממשלתית ו</w:t>
      </w:r>
      <w:r w:rsidRPr="00BC7DC2">
        <w:rPr>
          <w:rFonts w:hint="cs"/>
          <w:rtl/>
        </w:rPr>
        <w:t>ב</w:t>
      </w:r>
      <w:r w:rsidRPr="00BC7DC2">
        <w:rPr>
          <w:rtl/>
        </w:rPr>
        <w:t>הצעות החוק הפרטיות, שנועדו לקבוע את איסור צריכת הזנות כעבירה פלילית בחקיקת קבע, אולם יו"ר הוועדה הכריע כי הצ</w:t>
      </w:r>
      <w:r w:rsidRPr="00BC7DC2">
        <w:rPr>
          <w:rFonts w:hint="cs"/>
          <w:rtl/>
        </w:rPr>
        <w:t>עת החוק</w:t>
      </w:r>
      <w:r w:rsidRPr="00BC7DC2">
        <w:rPr>
          <w:rtl/>
        </w:rPr>
        <w:t xml:space="preserve"> תיקבע כהוראת שעה בלבד, בשל מצב החירום ומצוקת הזמנים</w:t>
      </w:r>
      <w:r w:rsidRPr="00BC7DC2">
        <w:rPr>
          <w:rFonts w:hint="cs"/>
          <w:rtl/>
        </w:rPr>
        <w:t xml:space="preserve"> </w:t>
      </w:r>
      <w:r w:rsidRPr="00BC7DC2">
        <w:rPr>
          <w:rtl/>
        </w:rPr>
        <w:t xml:space="preserve">- </w:t>
      </w:r>
      <w:r w:rsidRPr="00BC7DC2">
        <w:rPr>
          <w:rFonts w:hint="cs"/>
          <w:rtl/>
        </w:rPr>
        <w:t xml:space="preserve">מאחר שתוקפה של </w:t>
      </w:r>
      <w:r w:rsidRPr="00BC7DC2">
        <w:rPr>
          <w:rtl/>
        </w:rPr>
        <w:t xml:space="preserve">ההוראה </w:t>
      </w:r>
      <w:r w:rsidRPr="00BC7DC2">
        <w:rPr>
          <w:rFonts w:hint="cs"/>
          <w:rtl/>
        </w:rPr>
        <w:t>היה אמור לפקוע כעבור</w:t>
      </w:r>
      <w:r w:rsidRPr="00BC7DC2">
        <w:rPr>
          <w:rtl/>
        </w:rPr>
        <w:t xml:space="preserve"> שבועיים</w:t>
      </w:r>
      <w:r w:rsidRPr="00BC7DC2">
        <w:rPr>
          <w:rFonts w:hint="cs"/>
          <w:rtl/>
        </w:rPr>
        <w:t xml:space="preserve">). </w:t>
      </w:r>
      <w:r w:rsidRPr="00BC7DC2">
        <w:rPr>
          <w:rtl/>
        </w:rPr>
        <w:tab/>
      </w:r>
    </w:p>
  </w:footnote>
  <w:footnote w:id="50">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 xml:space="preserve">נוהל אח"ם מס' 300.25.01, </w:t>
      </w:r>
      <w:r w:rsidRPr="00BC7DC2">
        <w:rPr>
          <w:rFonts w:hint="eastAsia"/>
          <w:b/>
          <w:bCs/>
          <w:rtl/>
        </w:rPr>
        <w:t>אכיפת</w:t>
      </w:r>
      <w:r w:rsidRPr="00BC7DC2">
        <w:rPr>
          <w:b/>
          <w:bCs/>
          <w:rtl/>
        </w:rPr>
        <w:t xml:space="preserve"> </w:t>
      </w:r>
      <w:r w:rsidRPr="00BC7DC2">
        <w:rPr>
          <w:rFonts w:hint="eastAsia"/>
          <w:b/>
          <w:bCs/>
          <w:rtl/>
        </w:rPr>
        <w:t>חוק</w:t>
      </w:r>
      <w:r w:rsidRPr="00BC7DC2">
        <w:rPr>
          <w:b/>
          <w:bCs/>
          <w:rtl/>
        </w:rPr>
        <w:t xml:space="preserve"> </w:t>
      </w:r>
      <w:r w:rsidRPr="00BC7DC2">
        <w:rPr>
          <w:rFonts w:hint="eastAsia"/>
          <w:b/>
          <w:bCs/>
          <w:rtl/>
        </w:rPr>
        <w:t>איסור</w:t>
      </w:r>
      <w:r w:rsidRPr="00BC7DC2">
        <w:rPr>
          <w:b/>
          <w:bCs/>
          <w:rtl/>
        </w:rPr>
        <w:t xml:space="preserve"> </w:t>
      </w:r>
      <w:r w:rsidRPr="00BC7DC2">
        <w:rPr>
          <w:rFonts w:hint="eastAsia"/>
          <w:b/>
          <w:bCs/>
          <w:rtl/>
        </w:rPr>
        <w:t>צריכת</w:t>
      </w:r>
      <w:r w:rsidRPr="00BC7DC2">
        <w:rPr>
          <w:b/>
          <w:bCs/>
          <w:rtl/>
        </w:rPr>
        <w:t xml:space="preserve"> </w:t>
      </w:r>
      <w:r w:rsidRPr="00BC7DC2">
        <w:rPr>
          <w:rFonts w:hint="eastAsia"/>
          <w:b/>
          <w:bCs/>
          <w:rtl/>
        </w:rPr>
        <w:t>זנות</w:t>
      </w:r>
      <w:r w:rsidRPr="00BC7DC2">
        <w:rPr>
          <w:rFonts w:hint="cs"/>
          <w:rtl/>
        </w:rPr>
        <w:t xml:space="preserve"> (3.5.21).</w:t>
      </w:r>
    </w:p>
  </w:footnote>
  <w:footnote w:id="51">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 xml:space="preserve">כאמור, כ-27% מצרכני הזנות שנקנסו בשנים 2022 - 2024 לא היו אזרחים ישראלים, אלא השתייכו לאוכלוסיות שונות כגון תיירים, עובדים זרים, מסתננים, מבקשי מקלט או שוהים בלתי חוקיים. נתון זה עשוי להעיד על צורך בהסברה ואכיפה מותאמות לאוכלוסיות אלו. כמו כן, מאפיין זה מקשה את המעקב אחר תשלום הקנסות, בין היתר בשל היעדר אמצעי זיהוי קבוע כדוגמת תעודת זהות. </w:t>
      </w:r>
    </w:p>
  </w:footnote>
  <w:footnote w:id="52">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בתרשים לא נכללו תחנות שכלל לא חולקו בהן קנסות.</w:t>
      </w:r>
    </w:p>
  </w:footnote>
  <w:footnote w:id="53">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 xml:space="preserve">בעניין זה, משרד המשפטים העלה את האפשרות לטענה של אכיפה בררנית בישיבה ממאי 2023 עם כלל הגורמים הרלוונטיים ממערך ייעוץ וחקיקה (משפט פלילי). </w:t>
      </w:r>
    </w:p>
  </w:footnote>
  <w:footnote w:id="54">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 xml:space="preserve">נוהל אח"ם מס' 300.25.01, </w:t>
      </w:r>
      <w:r w:rsidRPr="00BC7DC2">
        <w:rPr>
          <w:rFonts w:hint="eastAsia"/>
          <w:b/>
          <w:bCs/>
          <w:rtl/>
        </w:rPr>
        <w:t>אכיפת</w:t>
      </w:r>
      <w:r w:rsidRPr="00BC7DC2">
        <w:rPr>
          <w:b/>
          <w:bCs/>
          <w:rtl/>
        </w:rPr>
        <w:t xml:space="preserve"> </w:t>
      </w:r>
      <w:r w:rsidRPr="00BC7DC2">
        <w:rPr>
          <w:rFonts w:hint="eastAsia"/>
          <w:b/>
          <w:bCs/>
          <w:rtl/>
        </w:rPr>
        <w:t>חוק</w:t>
      </w:r>
      <w:r w:rsidRPr="00BC7DC2">
        <w:rPr>
          <w:b/>
          <w:bCs/>
          <w:rtl/>
        </w:rPr>
        <w:t xml:space="preserve"> </w:t>
      </w:r>
      <w:r w:rsidRPr="00BC7DC2">
        <w:rPr>
          <w:rFonts w:hint="eastAsia"/>
          <w:b/>
          <w:bCs/>
          <w:rtl/>
        </w:rPr>
        <w:t>איסור</w:t>
      </w:r>
      <w:r w:rsidRPr="00BC7DC2">
        <w:rPr>
          <w:b/>
          <w:bCs/>
          <w:rtl/>
        </w:rPr>
        <w:t xml:space="preserve"> </w:t>
      </w:r>
      <w:r w:rsidRPr="00BC7DC2">
        <w:rPr>
          <w:rFonts w:hint="eastAsia"/>
          <w:b/>
          <w:bCs/>
          <w:rtl/>
        </w:rPr>
        <w:t>צריכת</w:t>
      </w:r>
      <w:r w:rsidRPr="00BC7DC2">
        <w:rPr>
          <w:b/>
          <w:bCs/>
          <w:rtl/>
        </w:rPr>
        <w:t xml:space="preserve"> </w:t>
      </w:r>
      <w:r w:rsidRPr="00BC7DC2">
        <w:rPr>
          <w:rFonts w:hint="eastAsia"/>
          <w:b/>
          <w:bCs/>
          <w:rtl/>
        </w:rPr>
        <w:t>זנות</w:t>
      </w:r>
      <w:r w:rsidRPr="00BC7DC2">
        <w:rPr>
          <w:rFonts w:hint="cs"/>
          <w:rtl/>
        </w:rPr>
        <w:t xml:space="preserve"> (3.5.21)</w:t>
      </w:r>
      <w:r w:rsidRPr="00BC7DC2">
        <w:rPr>
          <w:rStyle w:val="Hyperlink"/>
          <w:rFonts w:hint="cs"/>
          <w:color w:val="auto"/>
          <w:u w:val="none"/>
          <w:rtl/>
        </w:rPr>
        <w:t>.</w:t>
      </w:r>
    </w:p>
  </w:footnote>
  <w:footnote w:id="55">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מערך</w:t>
      </w:r>
      <w:r w:rsidRPr="00BC7DC2">
        <w:rPr>
          <w:rFonts w:hint="cs"/>
        </w:rPr>
        <w:t xml:space="preserve"> </w:t>
      </w:r>
      <w:r w:rsidRPr="00BC7DC2">
        <w:rPr>
          <w:rtl/>
        </w:rPr>
        <w:t>הב</w:t>
      </w:r>
      <w:r w:rsidRPr="00BC7DC2">
        <w:rPr>
          <w:rFonts w:hint="cs"/>
          <w:rtl/>
        </w:rPr>
        <w:t>י</w:t>
      </w:r>
      <w:r w:rsidRPr="00BC7DC2">
        <w:rPr>
          <w:rtl/>
        </w:rPr>
        <w:t>ל</w:t>
      </w:r>
      <w:r w:rsidRPr="00BC7DC2">
        <w:rPr>
          <w:rFonts w:hint="cs"/>
          <w:rtl/>
        </w:rPr>
        <w:t>ו</w:t>
      </w:r>
      <w:r w:rsidRPr="00BC7DC2">
        <w:rPr>
          <w:rtl/>
        </w:rPr>
        <w:t xml:space="preserve">ש </w:t>
      </w:r>
      <w:r w:rsidRPr="00BC7DC2">
        <w:rPr>
          <w:rFonts w:hint="cs"/>
          <w:rtl/>
        </w:rPr>
        <w:t xml:space="preserve">הוא </w:t>
      </w:r>
      <w:r w:rsidRPr="00BC7DC2">
        <w:rPr>
          <w:rtl/>
        </w:rPr>
        <w:t xml:space="preserve">זרוע מבצעית של מערך המודיעין, המבצע פעילויות יזומות, סמויות וגלויות, לאיסוף ראיות מפלילות נגד יעדים וגורמי פשיעה, </w:t>
      </w:r>
      <w:r w:rsidRPr="00BC7DC2">
        <w:rPr>
          <w:rFonts w:hint="cs"/>
          <w:rtl/>
        </w:rPr>
        <w:t>כדי</w:t>
      </w:r>
      <w:r w:rsidRPr="00BC7DC2">
        <w:rPr>
          <w:rtl/>
        </w:rPr>
        <w:t xml:space="preserve"> להביא להרשעתם.</w:t>
      </w:r>
    </w:p>
  </w:footnote>
  <w:footnote w:id="56">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 xml:space="preserve">הסיור מתקיים באמצעות שוטרים הנעים ברגל או בניידת בתחומי גזרה מוגדרת, נותנים </w:t>
      </w:r>
      <w:r w:rsidRPr="00BC7DC2">
        <w:rPr>
          <w:rtl/>
        </w:rPr>
        <w:t xml:space="preserve">מענה </w:t>
      </w:r>
      <w:r w:rsidRPr="00BC7DC2">
        <w:rPr>
          <w:rFonts w:hint="cs"/>
          <w:rtl/>
        </w:rPr>
        <w:t xml:space="preserve">ראשוני על אירועים בזמן אמת ואוכפים את החוק. תפקידם כולל שמירה על הסדר הציבורי, מניעת עבירות, הגברת הנוכחות וההרתעה ומתן מענה מיידי על אירועים. </w:t>
      </w:r>
    </w:p>
  </w:footnote>
  <w:footnote w:id="57">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 xml:space="preserve">נוהל אח"ם מס' 300.25.01, </w:t>
      </w:r>
      <w:r w:rsidRPr="00BC7DC2">
        <w:rPr>
          <w:rFonts w:hint="eastAsia"/>
          <w:b/>
          <w:bCs/>
          <w:rtl/>
        </w:rPr>
        <w:t>אכיפת</w:t>
      </w:r>
      <w:r w:rsidRPr="00BC7DC2">
        <w:rPr>
          <w:b/>
          <w:bCs/>
          <w:rtl/>
        </w:rPr>
        <w:t xml:space="preserve"> </w:t>
      </w:r>
      <w:r w:rsidRPr="00BC7DC2">
        <w:rPr>
          <w:rFonts w:hint="eastAsia"/>
          <w:b/>
          <w:bCs/>
          <w:rtl/>
        </w:rPr>
        <w:t>חוק</w:t>
      </w:r>
      <w:r w:rsidRPr="00BC7DC2">
        <w:rPr>
          <w:b/>
          <w:bCs/>
          <w:rtl/>
        </w:rPr>
        <w:t xml:space="preserve"> </w:t>
      </w:r>
      <w:r w:rsidRPr="00BC7DC2">
        <w:rPr>
          <w:rFonts w:hint="eastAsia"/>
          <w:b/>
          <w:bCs/>
          <w:rtl/>
        </w:rPr>
        <w:t>איסור</w:t>
      </w:r>
      <w:r w:rsidRPr="00BC7DC2">
        <w:rPr>
          <w:b/>
          <w:bCs/>
          <w:rtl/>
        </w:rPr>
        <w:t xml:space="preserve"> </w:t>
      </w:r>
      <w:r w:rsidRPr="00BC7DC2">
        <w:rPr>
          <w:rFonts w:hint="eastAsia"/>
          <w:b/>
          <w:bCs/>
          <w:rtl/>
        </w:rPr>
        <w:t>צריכת</w:t>
      </w:r>
      <w:r w:rsidRPr="00BC7DC2">
        <w:rPr>
          <w:b/>
          <w:bCs/>
          <w:rtl/>
        </w:rPr>
        <w:t xml:space="preserve"> </w:t>
      </w:r>
      <w:r w:rsidRPr="00BC7DC2">
        <w:rPr>
          <w:rFonts w:hint="eastAsia"/>
          <w:b/>
          <w:bCs/>
          <w:rtl/>
        </w:rPr>
        <w:t>זנות</w:t>
      </w:r>
      <w:r w:rsidRPr="00BC7DC2">
        <w:rPr>
          <w:rFonts w:hint="cs"/>
          <w:rtl/>
        </w:rPr>
        <w:t xml:space="preserve"> (3.5.21).</w:t>
      </w:r>
    </w:p>
  </w:footnote>
  <w:footnote w:id="58">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 xml:space="preserve">יצוין כי רוב האכיפה במחוז תל אביב בוצעה על ידי </w:t>
      </w:r>
      <w:r w:rsidRPr="00BC7DC2">
        <w:rPr>
          <w:rtl/>
        </w:rPr>
        <w:t xml:space="preserve">תחנת שרת </w:t>
      </w:r>
      <w:r w:rsidRPr="00BC7DC2">
        <w:rPr>
          <w:rFonts w:hint="cs"/>
          <w:rtl/>
        </w:rPr>
        <w:t xml:space="preserve">- </w:t>
      </w:r>
      <w:r w:rsidRPr="00BC7DC2">
        <w:rPr>
          <w:rtl/>
        </w:rPr>
        <w:t>התקבל</w:t>
      </w:r>
      <w:r w:rsidRPr="00BC7DC2">
        <w:rPr>
          <w:rFonts w:hint="cs"/>
          <w:rtl/>
        </w:rPr>
        <w:t xml:space="preserve"> בה</w:t>
      </w:r>
      <w:r w:rsidRPr="00BC7DC2">
        <w:rPr>
          <w:rtl/>
        </w:rPr>
        <w:t xml:space="preserve"> </w:t>
      </w:r>
      <w:r w:rsidRPr="00BC7DC2">
        <w:rPr>
          <w:rFonts w:hint="cs"/>
          <w:rtl/>
        </w:rPr>
        <w:t>מידע על למעלה מ-200 כתובות החשודות כזירות זנות</w:t>
      </w:r>
      <w:r w:rsidRPr="00BC7DC2">
        <w:rPr>
          <w:rtl/>
        </w:rPr>
        <w:t xml:space="preserve">, </w:t>
      </w:r>
      <w:r w:rsidRPr="00BC7DC2">
        <w:rPr>
          <w:rFonts w:hint="cs"/>
          <w:rtl/>
        </w:rPr>
        <w:t xml:space="preserve">והוטלו </w:t>
      </w:r>
      <w:r w:rsidRPr="00BC7DC2">
        <w:rPr>
          <w:rtl/>
        </w:rPr>
        <w:t xml:space="preserve">בה 152 מתוך 154 </w:t>
      </w:r>
      <w:r w:rsidRPr="00BC7DC2">
        <w:rPr>
          <w:rFonts w:hint="cs"/>
          <w:rtl/>
        </w:rPr>
        <w:t xml:space="preserve">הקנסות שהוטלו </w:t>
      </w:r>
      <w:r w:rsidRPr="00BC7DC2">
        <w:rPr>
          <w:rtl/>
        </w:rPr>
        <w:t>במחוז תל אביב</w:t>
      </w:r>
      <w:r w:rsidRPr="00BC7DC2">
        <w:rPr>
          <w:rFonts w:hint="cs"/>
          <w:rtl/>
        </w:rPr>
        <w:t>.</w:t>
      </w:r>
    </w:p>
  </w:footnote>
  <w:footnote w:id="59">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 xml:space="preserve">יצוין כי רוב האכיפה </w:t>
      </w:r>
      <w:r w:rsidRPr="00BC7DC2">
        <w:rPr>
          <w:rtl/>
        </w:rPr>
        <w:t>במחוז חוף</w:t>
      </w:r>
      <w:r w:rsidRPr="00BC7DC2">
        <w:rPr>
          <w:rFonts w:hint="cs"/>
          <w:rtl/>
        </w:rPr>
        <w:t xml:space="preserve"> בוצעה על ידי תחנת זבולון</w:t>
      </w:r>
      <w:r w:rsidRPr="00BC7DC2">
        <w:rPr>
          <w:rtl/>
        </w:rPr>
        <w:t xml:space="preserve"> </w:t>
      </w:r>
      <w:r w:rsidRPr="00BC7DC2">
        <w:rPr>
          <w:rFonts w:hint="cs"/>
          <w:rtl/>
        </w:rPr>
        <w:t xml:space="preserve">- </w:t>
      </w:r>
      <w:r w:rsidRPr="00BC7DC2">
        <w:rPr>
          <w:rtl/>
        </w:rPr>
        <w:t xml:space="preserve">התקבל </w:t>
      </w:r>
      <w:r w:rsidRPr="00BC7DC2">
        <w:rPr>
          <w:rFonts w:hint="cs"/>
          <w:rtl/>
        </w:rPr>
        <w:t>בה מידע על למעלה מ-100</w:t>
      </w:r>
      <w:r w:rsidRPr="00BC7DC2">
        <w:rPr>
          <w:rtl/>
        </w:rPr>
        <w:t xml:space="preserve"> </w:t>
      </w:r>
      <w:r w:rsidRPr="00BC7DC2">
        <w:rPr>
          <w:rFonts w:hint="cs"/>
          <w:rtl/>
        </w:rPr>
        <w:t>כתובות החשודות כזירות זנות</w:t>
      </w:r>
      <w:r w:rsidRPr="00BC7DC2">
        <w:rPr>
          <w:rtl/>
        </w:rPr>
        <w:t xml:space="preserve">, </w:t>
      </w:r>
      <w:r w:rsidRPr="00BC7DC2">
        <w:rPr>
          <w:rFonts w:hint="cs"/>
          <w:rtl/>
        </w:rPr>
        <w:t xml:space="preserve">והוטלו </w:t>
      </w:r>
      <w:r w:rsidRPr="00BC7DC2">
        <w:rPr>
          <w:rtl/>
        </w:rPr>
        <w:t xml:space="preserve">בה 121 מתוך 135 </w:t>
      </w:r>
      <w:r w:rsidRPr="00BC7DC2">
        <w:rPr>
          <w:rFonts w:hint="cs"/>
          <w:rtl/>
        </w:rPr>
        <w:t>הקנסות שהוטלו</w:t>
      </w:r>
      <w:r w:rsidRPr="00BC7DC2">
        <w:rPr>
          <w:rtl/>
        </w:rPr>
        <w:t xml:space="preserve"> במחוז</w:t>
      </w:r>
      <w:r w:rsidRPr="00BC7DC2">
        <w:rPr>
          <w:rFonts w:hint="cs"/>
          <w:rtl/>
        </w:rPr>
        <w:t>.</w:t>
      </w:r>
    </w:p>
  </w:footnote>
  <w:footnote w:id="60">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הכוונה לפניות אזרחים בקשר ל</w:t>
      </w:r>
      <w:r w:rsidRPr="00BC7DC2">
        <w:rPr>
          <w:rtl/>
        </w:rPr>
        <w:t>עבירת מטרד</w:t>
      </w:r>
      <w:r w:rsidRPr="00BC7DC2">
        <w:rPr>
          <w:rFonts w:hint="cs"/>
          <w:rtl/>
        </w:rPr>
        <w:t>ים</w:t>
      </w:r>
      <w:r w:rsidRPr="00BC7DC2">
        <w:rPr>
          <w:rtl/>
        </w:rPr>
        <w:t xml:space="preserve"> </w:t>
      </w:r>
      <w:r w:rsidRPr="00BC7DC2">
        <w:rPr>
          <w:rFonts w:hint="cs"/>
          <w:rtl/>
        </w:rPr>
        <w:t xml:space="preserve">לפי </w:t>
      </w:r>
      <w:r w:rsidRPr="00BC7DC2">
        <w:rPr>
          <w:rtl/>
        </w:rPr>
        <w:t>ס' 215 (ג) לחוק העונשין.</w:t>
      </w:r>
    </w:p>
  </w:footnote>
  <w:footnote w:id="61">
    <w:p w:rsidR="00C87191" w:rsidRPr="00BC7DC2" w:rsidP="00E303AD">
      <w:pPr>
        <w:pStyle w:val="FootnoteText"/>
      </w:pPr>
      <w:r w:rsidRPr="00BC7DC2">
        <w:rPr>
          <w:rStyle w:val="FootnoteReference1"/>
        </w:rPr>
        <w:footnoteRef/>
      </w:r>
      <w:r w:rsidRPr="00BC7DC2">
        <w:rPr>
          <w:rtl/>
        </w:rPr>
        <w:t xml:space="preserve"> </w:t>
      </w:r>
      <w:r w:rsidRPr="00BC7DC2">
        <w:tab/>
      </w:r>
      <w:bookmarkStart w:id="72" w:name="_Hlk220566308"/>
      <w:r w:rsidRPr="00BC7DC2">
        <w:rPr>
          <w:rFonts w:hint="cs"/>
          <w:rtl/>
        </w:rPr>
        <w:t xml:space="preserve">משרד הבריאות, </w:t>
      </w:r>
      <w:r w:rsidRPr="00BC7DC2">
        <w:rPr>
          <w:rFonts w:hint="cs"/>
          <w:b/>
          <w:bCs/>
          <w:rtl/>
        </w:rPr>
        <w:t xml:space="preserve">טיפול משרד הבריאות באנשים המעורבים בזנות </w:t>
      </w:r>
      <w:r w:rsidRPr="00BC7DC2">
        <w:rPr>
          <w:rFonts w:hint="cs"/>
          <w:rtl/>
        </w:rPr>
        <w:t>(19.8.21).</w:t>
      </w:r>
      <w:bookmarkEnd w:id="72"/>
    </w:p>
  </w:footnote>
  <w:footnote w:id="62">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ברמת מהימנות שונה.</w:t>
      </w:r>
    </w:p>
  </w:footnote>
  <w:footnote w:id="63">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tl/>
        </w:rPr>
        <w:t>עבירות סחר בבני אדם למעשה זנות, סחר בקטין מתחת ל</w:t>
      </w:r>
      <w:r w:rsidRPr="00BC7DC2">
        <w:rPr>
          <w:rFonts w:hint="cs"/>
          <w:rtl/>
        </w:rPr>
        <w:t xml:space="preserve">גיל </w:t>
      </w:r>
      <w:r w:rsidRPr="00BC7DC2">
        <w:rPr>
          <w:rtl/>
        </w:rPr>
        <w:t>14, גרימת עזיבת המדינה לשם</w:t>
      </w:r>
      <w:r w:rsidRPr="00BC7DC2">
        <w:rPr>
          <w:rFonts w:hint="cs"/>
          <w:rtl/>
        </w:rPr>
        <w:t xml:space="preserve"> </w:t>
      </w:r>
      <w:r w:rsidRPr="00BC7DC2">
        <w:rPr>
          <w:rtl/>
        </w:rPr>
        <w:t>זנות</w:t>
      </w:r>
      <w:r w:rsidRPr="00BC7DC2">
        <w:rPr>
          <w:rFonts w:hint="cs"/>
          <w:rtl/>
        </w:rPr>
        <w:t>.</w:t>
      </w:r>
    </w:p>
  </w:footnote>
  <w:footnote w:id="64">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tl/>
        </w:rPr>
        <w:t xml:space="preserve">החזקת מקום לשם זנות, השכרת מקום לשם זנות, פרסום שירותי זנות, מי שמחייתו, כולה או מקצתה, דרך קבע או בתקופה כלשהי, על רווחי אדם העוסק בזנות, </w:t>
      </w:r>
      <w:r w:rsidRPr="00BC7DC2">
        <w:rPr>
          <w:rFonts w:hint="cs"/>
          <w:rtl/>
        </w:rPr>
        <w:t>סרסרות</w:t>
      </w:r>
      <w:r w:rsidRPr="00BC7DC2">
        <w:rPr>
          <w:rtl/>
        </w:rPr>
        <w:t xml:space="preserve"> בנסיבות מחמירות, הבאת אדם לידי מעשה זנות, הבאת אדם לידי עיסוק </w:t>
      </w:r>
      <w:r w:rsidRPr="00BC7DC2">
        <w:rPr>
          <w:rFonts w:hint="cs"/>
          <w:rtl/>
        </w:rPr>
        <w:t>ב</w:t>
      </w:r>
      <w:r w:rsidRPr="00BC7DC2">
        <w:rPr>
          <w:rtl/>
        </w:rPr>
        <w:t xml:space="preserve">זנות, הבאה לעיסוק בזנות תוך ניצול </w:t>
      </w:r>
      <w:r w:rsidRPr="00BC7DC2">
        <w:rPr>
          <w:rFonts w:hint="cs"/>
          <w:rtl/>
        </w:rPr>
        <w:t>ה</w:t>
      </w:r>
      <w:r w:rsidRPr="00BC7DC2">
        <w:rPr>
          <w:rtl/>
        </w:rPr>
        <w:t>מצב, החזקת מקום לשם זנות או ניהולו ועבירות הזנות בקטינים.</w:t>
      </w:r>
    </w:p>
  </w:footnote>
  <w:footnote w:id="65">
    <w:p w:rsidR="00C87191" w:rsidRPr="00BC7DC2" w:rsidP="00E303AD">
      <w:pPr>
        <w:pStyle w:val="FootnoteText"/>
        <w:rPr>
          <w:rStyle w:val="Hyperlink"/>
          <w:color w:val="auto"/>
          <w:u w:val="none"/>
          <w:rtl/>
        </w:rPr>
      </w:pPr>
      <w:r w:rsidRPr="00BC7DC2">
        <w:rPr>
          <w:rStyle w:val="FootnoteReference1"/>
        </w:rPr>
        <w:footnoteRef/>
      </w:r>
      <w:r w:rsidRPr="00BC7DC2">
        <w:rPr>
          <w:rtl/>
        </w:rPr>
        <w:t xml:space="preserve"> </w:t>
      </w:r>
      <w:r w:rsidRPr="00BC7DC2">
        <w:tab/>
      </w:r>
      <w:r w:rsidRPr="00BC7DC2">
        <w:rPr>
          <w:rFonts w:hint="cs"/>
          <w:rtl/>
        </w:rPr>
        <w:t>סעיף 5 ל</w:t>
      </w:r>
      <w:r w:rsidRPr="00BC7DC2">
        <w:rPr>
          <w:rtl/>
        </w:rPr>
        <w:t xml:space="preserve">תקנות איסור צריכת זנות (אמצעי חלופי להטלת קנס), </w:t>
      </w:r>
      <w:r w:rsidRPr="00BC7DC2">
        <w:rPr>
          <w:rFonts w:hint="cs"/>
          <w:rtl/>
        </w:rPr>
        <w:t>ה</w:t>
      </w:r>
      <w:r w:rsidRPr="00BC7DC2">
        <w:rPr>
          <w:rtl/>
        </w:rPr>
        <w:t>תש"ף-2020</w:t>
      </w:r>
      <w:r w:rsidRPr="00BC7DC2">
        <w:rPr>
          <w:rFonts w:hint="cs"/>
          <w:rtl/>
        </w:rPr>
        <w:t xml:space="preserve">, ק"ת 8733; נוהל אח"ם מס' 300.25.01, </w:t>
      </w:r>
      <w:r w:rsidRPr="00BC7DC2">
        <w:rPr>
          <w:rFonts w:hint="eastAsia"/>
          <w:b/>
          <w:bCs/>
          <w:rtl/>
        </w:rPr>
        <w:t>אכיפת</w:t>
      </w:r>
      <w:r w:rsidRPr="00BC7DC2">
        <w:rPr>
          <w:b/>
          <w:bCs/>
          <w:rtl/>
        </w:rPr>
        <w:t xml:space="preserve"> </w:t>
      </w:r>
      <w:r w:rsidRPr="00BC7DC2">
        <w:rPr>
          <w:rFonts w:hint="eastAsia"/>
          <w:b/>
          <w:bCs/>
          <w:rtl/>
        </w:rPr>
        <w:t>חוק</w:t>
      </w:r>
      <w:r w:rsidRPr="00BC7DC2">
        <w:rPr>
          <w:b/>
          <w:bCs/>
          <w:rtl/>
        </w:rPr>
        <w:t xml:space="preserve"> </w:t>
      </w:r>
      <w:r w:rsidRPr="00BC7DC2">
        <w:rPr>
          <w:rFonts w:hint="eastAsia"/>
          <w:b/>
          <w:bCs/>
          <w:rtl/>
        </w:rPr>
        <w:t>איסור</w:t>
      </w:r>
      <w:r w:rsidRPr="00BC7DC2">
        <w:rPr>
          <w:b/>
          <w:bCs/>
          <w:rtl/>
        </w:rPr>
        <w:t xml:space="preserve"> </w:t>
      </w:r>
      <w:r w:rsidRPr="00BC7DC2">
        <w:rPr>
          <w:rFonts w:hint="eastAsia"/>
          <w:b/>
          <w:bCs/>
          <w:rtl/>
        </w:rPr>
        <w:t>צריכת</w:t>
      </w:r>
      <w:r w:rsidRPr="00BC7DC2">
        <w:rPr>
          <w:b/>
          <w:bCs/>
          <w:rtl/>
        </w:rPr>
        <w:t xml:space="preserve"> </w:t>
      </w:r>
      <w:r w:rsidRPr="00BC7DC2">
        <w:rPr>
          <w:rFonts w:hint="eastAsia"/>
          <w:b/>
          <w:bCs/>
          <w:rtl/>
        </w:rPr>
        <w:t>זנות</w:t>
      </w:r>
      <w:r w:rsidRPr="00BC7DC2">
        <w:rPr>
          <w:rFonts w:hint="cs"/>
          <w:rtl/>
        </w:rPr>
        <w:t xml:space="preserve"> (3.5.21)</w:t>
      </w:r>
      <w:r w:rsidRPr="00BC7DC2">
        <w:rPr>
          <w:rStyle w:val="Hyperlink"/>
          <w:rFonts w:hint="cs"/>
          <w:color w:val="auto"/>
          <w:u w:val="none"/>
          <w:rtl/>
        </w:rPr>
        <w:t>.</w:t>
      </w:r>
    </w:p>
  </w:footnote>
  <w:footnote w:id="66">
    <w:p w:rsidR="00C87191" w:rsidRPr="00BC7DC2" w:rsidP="00E303AD">
      <w:pPr>
        <w:pStyle w:val="FootnoteText"/>
        <w:rPr>
          <w:rtl/>
        </w:rPr>
      </w:pPr>
      <w:r w:rsidRPr="00BC7DC2">
        <w:rPr>
          <w:rStyle w:val="FootnoteReference1"/>
        </w:rPr>
        <w:footnoteRef/>
      </w:r>
      <w:r w:rsidRPr="00BC7DC2">
        <w:rPr>
          <w:rtl/>
        </w:rPr>
        <w:t xml:space="preserve"> </w:t>
      </w:r>
      <w:r w:rsidRPr="00BC7DC2">
        <w:tab/>
      </w:r>
      <w:r w:rsidRPr="00BC7DC2">
        <w:rPr>
          <w:rtl/>
        </w:rPr>
        <w:t xml:space="preserve">תקנות איסור צריכת זנות (אמצעי חלופי להטלת קנס), </w:t>
      </w:r>
      <w:r w:rsidRPr="00BC7DC2">
        <w:rPr>
          <w:rFonts w:hint="cs"/>
          <w:rtl/>
        </w:rPr>
        <w:t>ה</w:t>
      </w:r>
      <w:r w:rsidRPr="00BC7DC2">
        <w:rPr>
          <w:rtl/>
        </w:rPr>
        <w:t>תש"ף-2020</w:t>
      </w:r>
      <w:r w:rsidRPr="00BC7DC2">
        <w:rPr>
          <w:rFonts w:hint="cs"/>
          <w:rtl/>
        </w:rPr>
        <w:t>, ק"ת 8733</w:t>
      </w:r>
      <w:r w:rsidRPr="00BC7DC2">
        <w:rPr>
          <w:rStyle w:val="Hyperlink"/>
          <w:rFonts w:hint="cs"/>
          <w:color w:val="auto"/>
          <w:u w:val="none"/>
          <w:rtl/>
        </w:rPr>
        <w:t>.</w:t>
      </w:r>
    </w:p>
  </w:footnote>
  <w:footnote w:id="67">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 xml:space="preserve">אתר משרד הרווחה והביטחון החברתי, אגף בכיר שירות המבחן מבוגרים (עדכון: 6.8.25). </w:t>
      </w:r>
      <w:r w:rsidRPr="00BC7DC2">
        <w:t>https://www.gov.il/he/departments/units/molsa-units-adult-probation-service</w:t>
      </w:r>
      <w:r w:rsidRPr="00BC7DC2">
        <w:rPr>
          <w:rFonts w:hint="cs"/>
          <w:rtl/>
        </w:rPr>
        <w:t>.</w:t>
      </w:r>
    </w:p>
  </w:footnote>
  <w:footnote w:id="68">
    <w:p w:rsidR="00C87191" w:rsidRPr="00BC7DC2" w:rsidP="00E303AD">
      <w:pPr>
        <w:pStyle w:val="FootnoteText"/>
        <w:rPr>
          <w:rtl/>
        </w:rPr>
      </w:pPr>
      <w:r w:rsidRPr="00BC7DC2">
        <w:rPr>
          <w:rStyle w:val="FootnoteReference1"/>
        </w:rPr>
        <w:footnoteRef/>
      </w:r>
      <w:r w:rsidRPr="00BC7DC2">
        <w:rPr>
          <w:rtl/>
        </w:rPr>
        <w:t xml:space="preserve"> </w:t>
      </w:r>
      <w:r w:rsidRPr="00BC7DC2">
        <w:tab/>
      </w:r>
      <w:r w:rsidRPr="00BC7DC2">
        <w:rPr>
          <w:rFonts w:hint="cs"/>
          <w:rtl/>
        </w:rPr>
        <w:t>סעיף 5 לחוק איסור צריכת זנות.</w:t>
      </w:r>
    </w:p>
  </w:footnote>
  <w:footnote w:id="69">
    <w:p w:rsidR="00C87191" w:rsidRPr="00BC7DC2" w:rsidP="00E303AD">
      <w:pPr>
        <w:pStyle w:val="FootnoteText"/>
        <w:rPr>
          <w:rtl/>
        </w:rPr>
      </w:pPr>
      <w:r w:rsidRPr="00BC7DC2">
        <w:rPr>
          <w:rStyle w:val="FootnoteReference1"/>
        </w:rPr>
        <w:footnoteRef/>
      </w:r>
      <w:r w:rsidRPr="00BC7DC2">
        <w:rPr>
          <w:rtl/>
        </w:rPr>
        <w:t xml:space="preserve"> </w:t>
      </w:r>
      <w:r w:rsidRPr="00BC7DC2">
        <w:tab/>
      </w:r>
      <w:r w:rsidRPr="00BC7DC2">
        <w:rPr>
          <w:rFonts w:hint="cs"/>
          <w:rtl/>
        </w:rPr>
        <w:t>סעיף 5 לחוק איסור צריכת זנות.</w:t>
      </w:r>
    </w:p>
  </w:footnote>
  <w:footnote w:id="70">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המחקר המלווה.</w:t>
      </w:r>
    </w:p>
  </w:footnote>
  <w:footnote w:id="71">
    <w:p w:rsidR="00C87191" w:rsidRPr="00BC7DC2" w:rsidP="00E303AD">
      <w:pPr>
        <w:pStyle w:val="FootnoteText"/>
        <w:rPr>
          <w:rtl/>
        </w:rPr>
      </w:pPr>
      <w:r w:rsidRPr="00BC7DC2">
        <w:rPr>
          <w:rStyle w:val="FootnoteReference1"/>
        </w:rPr>
        <w:footnoteRef/>
      </w:r>
      <w:r w:rsidRPr="00BC7DC2">
        <w:rPr>
          <w:rtl/>
        </w:rPr>
        <w:t xml:space="preserve"> </w:t>
      </w:r>
      <w:r w:rsidRPr="00BC7DC2">
        <w:tab/>
      </w:r>
      <w:r w:rsidRPr="00BC7DC2">
        <w:rPr>
          <w:rFonts w:hint="cs"/>
          <w:rtl/>
        </w:rPr>
        <w:t>המחקר המלווה.</w:t>
      </w:r>
    </w:p>
  </w:footnote>
  <w:footnote w:id="72">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היו צרכני זנות שקיבלו יותר מקנס אחד, ולכן מספר הקנסות גדול ממספר הנקנסים, אך מדובר בשיעור זניח: מנתוני רשות האכיפה והגבייה לשנים 2022 עד מאי 2025 עולה כי 257 קנסות מתוך 4,296 (6%) הקנסות שהוטלו היו כפל קנס בגין עבירה חוזרת.</w:t>
      </w:r>
    </w:p>
  </w:footnote>
  <w:footnote w:id="73">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 xml:space="preserve">חיים ויסמונסקי, "הזנות המקוונת", </w:t>
      </w:r>
      <w:r w:rsidRPr="00BC7DC2">
        <w:rPr>
          <w:rFonts w:hint="cs"/>
          <w:b/>
          <w:bCs/>
          <w:rtl/>
        </w:rPr>
        <w:t xml:space="preserve">עיוני משפט </w:t>
      </w:r>
      <w:r w:rsidRPr="00BC7DC2">
        <w:rPr>
          <w:rFonts w:hint="cs"/>
          <w:rtl/>
        </w:rPr>
        <w:t xml:space="preserve">יב (2021), עמ' 247 - 281; כבר משנת 2018 הובאו בדוחות המחלקה האמריקאית בנושא הסחר בבני אדם התרעות על שינויים אלו וכן על השימוש באתרים לגיטימיים דוגמת "דרושים" כדי לגייס לזנות; </w:t>
      </w:r>
      <w:r w:rsidRPr="00BC7DC2">
        <w:t xml:space="preserve">Office to Monitor and Combat Trafficking in Persons, </w:t>
      </w:r>
      <w:r w:rsidRPr="00BC7DC2">
        <w:rPr>
          <w:b/>
          <w:bCs/>
        </w:rPr>
        <w:t>Trafficking in Persons Report: Israel</w:t>
      </w:r>
      <w:r w:rsidRPr="00BC7DC2">
        <w:t xml:space="preserve"> (2018).</w:t>
      </w:r>
      <w:r w:rsidRPr="00BC7DC2">
        <w:rPr>
          <w:rFonts w:hint="cs"/>
          <w:rtl/>
        </w:rPr>
        <w:t xml:space="preserve"> </w:t>
      </w:r>
    </w:p>
  </w:footnote>
  <w:footnote w:id="74">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t xml:space="preserve">European Parliament, </w:t>
      </w:r>
      <w:r w:rsidRPr="00BC7DC2">
        <w:rPr>
          <w:b/>
          <w:bCs/>
        </w:rPr>
        <w:t xml:space="preserve">Regulation of prostitution in the European Union </w:t>
      </w:r>
      <w:r w:rsidRPr="00BC7DC2">
        <w:t>(September 2024).</w:t>
      </w:r>
      <w:r w:rsidRPr="00BC7DC2">
        <w:rPr>
          <w:rFonts w:hint="cs"/>
          <w:rtl/>
        </w:rPr>
        <w:t>; גם המחקר המלווה התייחס לאינטנסיביו</w:t>
      </w:r>
      <w:r w:rsidRPr="00BC7DC2">
        <w:rPr>
          <w:rFonts w:hint="eastAsia"/>
          <w:rtl/>
        </w:rPr>
        <w:t>ת</w:t>
      </w:r>
      <w:r w:rsidRPr="00BC7DC2">
        <w:rPr>
          <w:rFonts w:hint="cs"/>
          <w:rtl/>
        </w:rPr>
        <w:t xml:space="preserve"> של השימוש ברשתות לצריכת תוכן מיני, לתחרות בשוק המקוון ולהיעדר גבולות ברורים, המוביל להסלמת התכנים המוצעים במסגרת הפלטפורמות ולעיתים אף לגלישה מהמרחב הדיגיטלי למפגש הפיזי.</w:t>
      </w:r>
    </w:p>
  </w:footnote>
  <w:footnote w:id="75">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 xml:space="preserve">משרד המשפטים, </w:t>
      </w:r>
      <w:r w:rsidRPr="00BC7DC2">
        <w:rPr>
          <w:rFonts w:hint="cs"/>
          <w:b/>
          <w:bCs/>
          <w:rtl/>
        </w:rPr>
        <w:t xml:space="preserve">דוח הצוות הבין-משרדי לבחינת הכלים לצמצום צריכת זנות </w:t>
      </w:r>
      <w:r w:rsidRPr="00BC7DC2">
        <w:rPr>
          <w:rFonts w:hint="cs"/>
          <w:rtl/>
        </w:rPr>
        <w:t>(דצמבר 2017).</w:t>
      </w:r>
    </w:p>
  </w:footnote>
  <w:footnote w:id="76">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tl/>
        </w:rPr>
        <w:t>על האתגרים הטכנולוגיים כבדי המשקל בכל הנוגע לראיות המשפיעות על ביצוע חקירות במרחב המקוון ראו גם</w:t>
      </w:r>
      <w:r w:rsidRPr="00BC7DC2">
        <w:rPr>
          <w:rFonts w:hint="cs"/>
          <w:rtl/>
        </w:rPr>
        <w:t xml:space="preserve">: מבקר המדינה, </w:t>
      </w:r>
      <w:r w:rsidRPr="00BC7DC2">
        <w:rPr>
          <w:rFonts w:hint="eastAsia"/>
          <w:b/>
          <w:bCs/>
          <w:rtl/>
        </w:rPr>
        <w:t>דוח</w:t>
      </w:r>
      <w:r w:rsidRPr="00BC7DC2">
        <w:rPr>
          <w:b/>
          <w:bCs/>
          <w:rtl/>
        </w:rPr>
        <w:t xml:space="preserve"> </w:t>
      </w:r>
      <w:r w:rsidRPr="00BC7DC2">
        <w:rPr>
          <w:rFonts w:hint="eastAsia"/>
          <w:b/>
          <w:bCs/>
          <w:rtl/>
        </w:rPr>
        <w:t>ביקורת</w:t>
      </w:r>
      <w:r w:rsidRPr="00BC7DC2">
        <w:rPr>
          <w:b/>
          <w:bCs/>
          <w:rtl/>
        </w:rPr>
        <w:t xml:space="preserve"> </w:t>
      </w:r>
      <w:r w:rsidRPr="00BC7DC2">
        <w:rPr>
          <w:rFonts w:hint="eastAsia"/>
          <w:b/>
          <w:bCs/>
          <w:rtl/>
        </w:rPr>
        <w:t>מיוחד</w:t>
      </w:r>
      <w:r w:rsidRPr="00BC7DC2">
        <w:rPr>
          <w:b/>
          <w:bCs/>
          <w:rtl/>
        </w:rPr>
        <w:t xml:space="preserve"> - </w:t>
      </w:r>
      <w:r w:rsidRPr="00BC7DC2">
        <w:rPr>
          <w:rFonts w:hint="eastAsia"/>
          <w:b/>
          <w:bCs/>
          <w:rtl/>
        </w:rPr>
        <w:t>הגנה</w:t>
      </w:r>
      <w:r w:rsidRPr="00BC7DC2">
        <w:rPr>
          <w:b/>
          <w:bCs/>
          <w:rtl/>
        </w:rPr>
        <w:t xml:space="preserve"> </w:t>
      </w:r>
      <w:r w:rsidRPr="00BC7DC2">
        <w:rPr>
          <w:rFonts w:hint="eastAsia"/>
          <w:b/>
          <w:bCs/>
          <w:rtl/>
        </w:rPr>
        <w:t>על</w:t>
      </w:r>
      <w:r w:rsidRPr="00BC7DC2">
        <w:rPr>
          <w:b/>
          <w:bCs/>
          <w:rtl/>
        </w:rPr>
        <w:t xml:space="preserve"> </w:t>
      </w:r>
      <w:r w:rsidRPr="00BC7DC2">
        <w:rPr>
          <w:rFonts w:hint="eastAsia"/>
          <w:b/>
          <w:bCs/>
          <w:rtl/>
        </w:rPr>
        <w:t>קטינים</w:t>
      </w:r>
      <w:r w:rsidRPr="00BC7DC2">
        <w:rPr>
          <w:b/>
          <w:bCs/>
          <w:rtl/>
        </w:rPr>
        <w:t xml:space="preserve"> </w:t>
      </w:r>
      <w:r w:rsidRPr="00BC7DC2">
        <w:rPr>
          <w:rFonts w:hint="eastAsia"/>
          <w:b/>
          <w:bCs/>
          <w:rtl/>
        </w:rPr>
        <w:t>במרחב</w:t>
      </w:r>
      <w:r w:rsidRPr="00BC7DC2">
        <w:rPr>
          <w:b/>
          <w:bCs/>
          <w:rtl/>
        </w:rPr>
        <w:t xml:space="preserve"> </w:t>
      </w:r>
      <w:r w:rsidRPr="00BC7DC2">
        <w:rPr>
          <w:rFonts w:hint="eastAsia"/>
          <w:b/>
          <w:bCs/>
          <w:rtl/>
        </w:rPr>
        <w:t>המקוון</w:t>
      </w:r>
      <w:r w:rsidRPr="00BC7DC2">
        <w:rPr>
          <w:rtl/>
        </w:rPr>
        <w:t xml:space="preserve"> </w:t>
      </w:r>
      <w:r w:rsidRPr="00BC7DC2">
        <w:rPr>
          <w:rFonts w:hint="cs"/>
          <w:rtl/>
        </w:rPr>
        <w:t>(2022).</w:t>
      </w:r>
    </w:p>
  </w:footnote>
  <w:footnote w:id="77">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 xml:space="preserve">ס"ח 1040; ראו גם </w:t>
      </w:r>
      <w:r w:rsidRPr="00BC7DC2">
        <w:rPr>
          <w:rtl/>
        </w:rPr>
        <w:t xml:space="preserve">חוק חסימת מספר טלפון לשם מניעת ביצוע עבירות, </w:t>
      </w:r>
      <w:r w:rsidRPr="00BC7DC2">
        <w:rPr>
          <w:rFonts w:hint="eastAsia"/>
          <w:rtl/>
        </w:rPr>
        <w:t>ה</w:t>
      </w:r>
      <w:r w:rsidRPr="00BC7DC2">
        <w:rPr>
          <w:rtl/>
        </w:rPr>
        <w:t xml:space="preserve">תשע"ח-2018, </w:t>
      </w:r>
      <w:r w:rsidRPr="00BC7DC2">
        <w:rPr>
          <w:rFonts w:hint="eastAsia"/>
          <w:rtl/>
        </w:rPr>
        <w:t>ס</w:t>
      </w:r>
      <w:r w:rsidRPr="00BC7DC2">
        <w:rPr>
          <w:rtl/>
        </w:rPr>
        <w:t>"ח 444</w:t>
      </w:r>
      <w:r w:rsidRPr="00BC7DC2">
        <w:rPr>
          <w:rFonts w:hint="cs"/>
          <w:rtl/>
        </w:rPr>
        <w:t xml:space="preserve"> ה</w:t>
      </w:r>
      <w:r w:rsidRPr="00BC7DC2">
        <w:rPr>
          <w:rtl/>
        </w:rPr>
        <w:t>מקנה כלים למניעת ביצוע עבירות בתחומי זנות וסמים באמצעות טלפון סלולרי.</w:t>
      </w:r>
    </w:p>
  </w:footnote>
  <w:footnote w:id="78">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אתר המשטרה, יחידת הסייבר בלהב 433; אתר פרקליטות המדינה, מחלקת הסייבר.</w:t>
      </w:r>
    </w:p>
  </w:footnote>
  <w:footnote w:id="79">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פרוטוקול הוועדה לביטחון לאומי, הצעה לדיון מהיר בנושא: זנות באינטרנט (10.11.25).</w:t>
      </w:r>
    </w:p>
  </w:footnote>
  <w:footnote w:id="80">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יצוין כי תוכנית העבודה הרב-שנתית (לשנים 2023 - 2024) של הצוות הבין-משרדי לאכיפה וזיהוי של עבירות סחר בבני אדם ועבירות נלוות לזנות (אשר הוקם בהתאם להחלטת ממשלה 1862) כללה יעד של "</w:t>
      </w:r>
      <w:r w:rsidRPr="00BC7DC2">
        <w:rPr>
          <w:rtl/>
        </w:rPr>
        <w:t>קידום שימוש</w:t>
      </w:r>
      <w:r w:rsidRPr="00BC7DC2">
        <w:rPr>
          <w:rFonts w:hint="cs"/>
          <w:rtl/>
        </w:rPr>
        <w:t xml:space="preserve"> </w:t>
      </w:r>
      <w:r w:rsidRPr="00BC7DC2">
        <w:rPr>
          <w:rtl/>
        </w:rPr>
        <w:t>ב</w:t>
      </w:r>
      <w:r w:rsidRPr="00BC7DC2">
        <w:rPr>
          <w:rFonts w:hint="cs"/>
          <w:rtl/>
        </w:rPr>
        <w:t>שני</w:t>
      </w:r>
      <w:r w:rsidRPr="00BC7DC2">
        <w:rPr>
          <w:rtl/>
        </w:rPr>
        <w:t xml:space="preserve"> אמצעים</w:t>
      </w:r>
      <w:r w:rsidRPr="00BC7DC2">
        <w:rPr>
          <w:rFonts w:hint="cs"/>
          <w:rtl/>
        </w:rPr>
        <w:t xml:space="preserve"> </w:t>
      </w:r>
      <w:r w:rsidRPr="00BC7DC2">
        <w:rPr>
          <w:rtl/>
        </w:rPr>
        <w:t>טכנולוגיים</w:t>
      </w:r>
      <w:r w:rsidRPr="00BC7DC2">
        <w:rPr>
          <w:rFonts w:hint="cs"/>
          <w:rtl/>
        </w:rPr>
        <w:t xml:space="preserve"> </w:t>
      </w:r>
      <w:r w:rsidRPr="00BC7DC2">
        <w:rPr>
          <w:rtl/>
        </w:rPr>
        <w:t>לאיתור</w:t>
      </w:r>
      <w:r w:rsidRPr="00BC7DC2">
        <w:rPr>
          <w:rFonts w:hint="cs"/>
          <w:rtl/>
        </w:rPr>
        <w:t xml:space="preserve"> </w:t>
      </w:r>
      <w:r w:rsidRPr="00BC7DC2">
        <w:rPr>
          <w:rtl/>
        </w:rPr>
        <w:t>ואכיפה</w:t>
      </w:r>
      <w:r w:rsidRPr="00BC7DC2">
        <w:rPr>
          <w:rFonts w:hint="cs"/>
          <w:rtl/>
        </w:rPr>
        <w:t xml:space="preserve">". בעניין זה </w:t>
      </w:r>
      <w:r w:rsidRPr="00BC7DC2">
        <w:rPr>
          <w:rtl/>
        </w:rPr>
        <w:t xml:space="preserve">התקיימו </w:t>
      </w:r>
      <w:r w:rsidRPr="00BC7DC2">
        <w:rPr>
          <w:rFonts w:hint="cs"/>
          <w:rtl/>
        </w:rPr>
        <w:t xml:space="preserve">כמה </w:t>
      </w:r>
      <w:r w:rsidRPr="00BC7DC2">
        <w:rPr>
          <w:rtl/>
        </w:rPr>
        <w:t xml:space="preserve">ישיבות </w:t>
      </w:r>
      <w:r w:rsidRPr="00BC7DC2">
        <w:rPr>
          <w:rFonts w:hint="cs"/>
          <w:rtl/>
        </w:rPr>
        <w:t xml:space="preserve">של </w:t>
      </w:r>
      <w:r w:rsidRPr="00BC7DC2">
        <w:rPr>
          <w:rtl/>
        </w:rPr>
        <w:t>גורמים</w:t>
      </w:r>
      <w:r w:rsidRPr="00BC7DC2">
        <w:rPr>
          <w:rFonts w:hint="cs"/>
          <w:rtl/>
        </w:rPr>
        <w:t xml:space="preserve"> במשטרה</w:t>
      </w:r>
      <w:r w:rsidRPr="00BC7DC2">
        <w:rPr>
          <w:rtl/>
        </w:rPr>
        <w:t xml:space="preserve"> </w:t>
      </w:r>
      <w:r w:rsidRPr="00BC7DC2">
        <w:rPr>
          <w:rFonts w:hint="cs"/>
          <w:rtl/>
        </w:rPr>
        <w:t>מ</w:t>
      </w:r>
      <w:r w:rsidRPr="00BC7DC2">
        <w:rPr>
          <w:rtl/>
        </w:rPr>
        <w:t xml:space="preserve">מחלקת </w:t>
      </w:r>
      <w:r w:rsidRPr="00BC7DC2">
        <w:rPr>
          <w:rFonts w:hint="cs"/>
          <w:rtl/>
        </w:rPr>
        <w:t>ה</w:t>
      </w:r>
      <w:r w:rsidRPr="00BC7DC2">
        <w:rPr>
          <w:rtl/>
        </w:rPr>
        <w:t>סייבר</w:t>
      </w:r>
      <w:r w:rsidRPr="00BC7DC2">
        <w:rPr>
          <w:rFonts w:hint="cs"/>
          <w:rtl/>
        </w:rPr>
        <w:t xml:space="preserve"> </w:t>
      </w:r>
      <w:r w:rsidRPr="00BC7DC2">
        <w:rPr>
          <w:rtl/>
        </w:rPr>
        <w:t>ו</w:t>
      </w:r>
      <w:r w:rsidRPr="00BC7DC2">
        <w:rPr>
          <w:rFonts w:hint="cs"/>
          <w:rtl/>
        </w:rPr>
        <w:t>מ</w:t>
      </w:r>
      <w:r w:rsidRPr="00BC7DC2">
        <w:rPr>
          <w:rtl/>
        </w:rPr>
        <w:t>מדור פשיעה</w:t>
      </w:r>
      <w:r w:rsidRPr="00BC7DC2">
        <w:rPr>
          <w:rFonts w:hint="cs"/>
          <w:rtl/>
        </w:rPr>
        <w:t xml:space="preserve"> </w:t>
      </w:r>
      <w:r w:rsidRPr="00BC7DC2">
        <w:rPr>
          <w:rtl/>
        </w:rPr>
        <w:t>דיגיטלית</w:t>
      </w:r>
      <w:r w:rsidRPr="00BC7DC2">
        <w:rPr>
          <w:rFonts w:hint="cs"/>
          <w:rtl/>
        </w:rPr>
        <w:t xml:space="preserve"> </w:t>
      </w:r>
      <w:r w:rsidRPr="00BC7DC2">
        <w:rPr>
          <w:rtl/>
        </w:rPr>
        <w:t>לבחינת</w:t>
      </w:r>
      <w:r w:rsidRPr="00BC7DC2">
        <w:rPr>
          <w:rFonts w:hint="cs"/>
          <w:rtl/>
        </w:rPr>
        <w:t xml:space="preserve"> </w:t>
      </w:r>
      <w:r w:rsidRPr="00BC7DC2">
        <w:rPr>
          <w:rtl/>
        </w:rPr>
        <w:t>האמצעים</w:t>
      </w:r>
      <w:r w:rsidRPr="00BC7DC2">
        <w:rPr>
          <w:rFonts w:hint="cs"/>
          <w:rtl/>
        </w:rPr>
        <w:t xml:space="preserve"> </w:t>
      </w:r>
      <w:r w:rsidRPr="00BC7DC2">
        <w:rPr>
          <w:rtl/>
        </w:rPr>
        <w:t>הטכנולוגי</w:t>
      </w:r>
      <w:r w:rsidRPr="00BC7DC2">
        <w:rPr>
          <w:rFonts w:hint="cs"/>
          <w:rtl/>
        </w:rPr>
        <w:t>י</w:t>
      </w:r>
      <w:r w:rsidRPr="00BC7DC2">
        <w:rPr>
          <w:rtl/>
        </w:rPr>
        <w:t>ם</w:t>
      </w:r>
      <w:r w:rsidRPr="00BC7DC2">
        <w:rPr>
          <w:rFonts w:hint="cs"/>
          <w:rtl/>
        </w:rPr>
        <w:t xml:space="preserve"> </w:t>
      </w:r>
      <w:r w:rsidRPr="00BC7DC2">
        <w:rPr>
          <w:rtl/>
        </w:rPr>
        <w:t>הקיימים</w:t>
      </w:r>
      <w:r w:rsidRPr="00BC7DC2">
        <w:rPr>
          <w:rFonts w:hint="cs"/>
          <w:rtl/>
        </w:rPr>
        <w:t xml:space="preserve">, </w:t>
      </w:r>
      <w:r w:rsidRPr="00BC7DC2">
        <w:rPr>
          <w:rtl/>
        </w:rPr>
        <w:t xml:space="preserve">ואולם נכון לדצמבר 2024 </w:t>
      </w:r>
      <w:r w:rsidRPr="00BC7DC2">
        <w:rPr>
          <w:rFonts w:hint="cs"/>
          <w:rtl/>
        </w:rPr>
        <w:t xml:space="preserve">טרם </w:t>
      </w:r>
      <w:r w:rsidRPr="00BC7DC2">
        <w:rPr>
          <w:rtl/>
        </w:rPr>
        <w:t>הושג יעד זה</w:t>
      </w:r>
      <w:r w:rsidRPr="00BC7DC2">
        <w:rPr>
          <w:rFonts w:hint="cs"/>
          <w:rtl/>
        </w:rPr>
        <w:t>.</w:t>
      </w:r>
    </w:p>
  </w:footnote>
  <w:footnote w:id="81">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 xml:space="preserve">דיון בבקשה לסגור תשעה אתרים נוספים אמור היה להתקיים בנובמבר 2025. </w:t>
      </w:r>
    </w:p>
  </w:footnote>
  <w:footnote w:id="82">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 xml:space="preserve">יעד של סגירת 20 אתרים במרשתת שהוצב לימ"ר חוף וימ"ר מרכז; יעד של סגירת עשרה אתרים במרשתת שהוצב ליתר המחוזות. </w:t>
      </w:r>
    </w:p>
  </w:footnote>
  <w:footnote w:id="83">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 xml:space="preserve">החטיבה החברתית במשרד המשפטים, </w:t>
      </w:r>
      <w:r w:rsidRPr="00BC7DC2">
        <w:rPr>
          <w:b/>
          <w:bCs/>
          <w:rtl/>
        </w:rPr>
        <w:t>דוח היחידה לתיאום המאבק</w:t>
      </w:r>
      <w:r w:rsidRPr="00BC7DC2">
        <w:rPr>
          <w:rFonts w:hint="cs"/>
          <w:b/>
          <w:bCs/>
          <w:rtl/>
        </w:rPr>
        <w:t xml:space="preserve"> </w:t>
      </w:r>
      <w:r w:rsidRPr="00BC7DC2">
        <w:rPr>
          <w:b/>
          <w:bCs/>
          <w:rtl/>
        </w:rPr>
        <w:t>בסחר בבני אדם לשנת</w:t>
      </w:r>
      <w:r w:rsidRPr="00BC7DC2">
        <w:rPr>
          <w:rFonts w:hint="cs"/>
          <w:b/>
          <w:bCs/>
          <w:rtl/>
        </w:rPr>
        <w:t xml:space="preserve"> </w:t>
      </w:r>
      <w:r w:rsidRPr="00BC7DC2">
        <w:rPr>
          <w:b/>
          <w:bCs/>
          <w:rtl/>
        </w:rPr>
        <w:t>2023</w:t>
      </w:r>
      <w:r w:rsidRPr="00BC7DC2">
        <w:rPr>
          <w:rFonts w:hint="cs"/>
          <w:b/>
          <w:bCs/>
          <w:rtl/>
        </w:rPr>
        <w:t xml:space="preserve"> </w:t>
      </w:r>
      <w:r w:rsidRPr="00BC7DC2">
        <w:rPr>
          <w:rFonts w:hint="cs"/>
          <w:rtl/>
        </w:rPr>
        <w:t xml:space="preserve">(2024); </w:t>
      </w:r>
      <w:r w:rsidRPr="00BC7DC2">
        <w:rPr>
          <w:rtl/>
        </w:rPr>
        <w:t xml:space="preserve">"פרוטוקול למניעה, לדיכוי ולהענשת על סחר בבני אדם, בעיקר נשים וילדים, המשלים את אמנת האומות המאוחדות נגד פשע מאורגן חוצה גבולות" </w:t>
      </w:r>
      <w:r w:rsidRPr="00BC7DC2">
        <w:rPr>
          <w:rFonts w:hint="cs"/>
          <w:rtl/>
        </w:rPr>
        <w:t>(</w:t>
      </w:r>
      <w:r w:rsidRPr="00BC7DC2">
        <w:rPr>
          <w:rtl/>
        </w:rPr>
        <w:t>15.11.20</w:t>
      </w:r>
      <w:r w:rsidRPr="00BC7DC2">
        <w:rPr>
          <w:rFonts w:hint="cs"/>
          <w:rtl/>
        </w:rPr>
        <w:t xml:space="preserve">); </w:t>
      </w:r>
      <w:r w:rsidRPr="00BC7DC2">
        <w:rPr>
          <w:rtl/>
        </w:rPr>
        <w:t>החלטת הממשלה 956, "אישור הצטרפות מדינת ישראל לאמנת מועצת אירופה בדבר פעולה נגד סחר בבני אדם" (13.4.21).</w:t>
      </w:r>
      <w:r w:rsidRPr="00BC7DC2">
        <w:rPr>
          <w:rtl/>
        </w:rPr>
        <w:tab/>
      </w:r>
    </w:p>
  </w:footnote>
  <w:footnote w:id="84">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 xml:space="preserve">חוק העונשין, התשל"ז-1977, סעיף 377א. </w:t>
      </w:r>
    </w:p>
  </w:footnote>
  <w:footnote w:id="85">
    <w:p w:rsidR="00C87191" w:rsidRPr="00BC7DC2" w:rsidP="00E303AD">
      <w:pPr>
        <w:pStyle w:val="FootnoteText"/>
        <w:rPr>
          <w:highlight w:val="yellow"/>
          <w:rtl/>
        </w:rPr>
      </w:pPr>
      <w:r w:rsidRPr="00BC7DC2">
        <w:rPr>
          <w:rStyle w:val="FootnoteReference1"/>
        </w:rPr>
        <w:footnoteRef/>
      </w:r>
      <w:r w:rsidRPr="00BC7DC2">
        <w:rPr>
          <w:rtl/>
        </w:rPr>
        <w:t xml:space="preserve"> </w:t>
      </w:r>
      <w:r w:rsidRPr="00BC7DC2">
        <w:rPr>
          <w:rtl/>
        </w:rPr>
        <w:tab/>
      </w:r>
      <w:r w:rsidRPr="00BC7DC2">
        <w:t>Trafficking Victims Protection Reauthorization Act of 2003, Pub. L. No. 108-193, 117 Stat. 2875 (2003)</w:t>
      </w:r>
      <w:r w:rsidRPr="00BC7DC2">
        <w:rPr>
          <w:rFonts w:hint="cs"/>
          <w:rtl/>
        </w:rPr>
        <w:t>.</w:t>
      </w:r>
    </w:p>
  </w:footnote>
  <w:footnote w:id="86">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t>Trafficking Victims Protection Reauthorization Act of 2003, Pub. L. No. 108-193, 117 Stat. 2875 (2003)</w:t>
      </w:r>
      <w:r w:rsidRPr="00BC7DC2">
        <w:rPr>
          <w:rFonts w:hint="cs"/>
          <w:rtl/>
        </w:rPr>
        <w:t xml:space="preserve">. </w:t>
      </w:r>
      <w:r w:rsidRPr="00BC7DC2">
        <w:rPr>
          <w:rFonts w:hint="cs"/>
          <w:rtl/>
        </w:rPr>
        <w:t xml:space="preserve">בהקשר זה ראוי לציין גם </w:t>
      </w:r>
      <w:r w:rsidRPr="00BC7DC2">
        <w:rPr>
          <w:rtl/>
        </w:rPr>
        <w:t xml:space="preserve">מנגנוני ביקורת ובקרה נוספים שישראל מדווחת להם </w:t>
      </w:r>
      <w:r w:rsidRPr="00BC7DC2">
        <w:rPr>
          <w:rFonts w:hint="eastAsia"/>
          <w:rtl/>
        </w:rPr>
        <w:t>בנושא</w:t>
      </w:r>
      <w:r w:rsidRPr="00BC7DC2">
        <w:rPr>
          <w:rtl/>
        </w:rPr>
        <w:t xml:space="preserve">, כגון </w:t>
      </w:r>
      <w:r w:rsidRPr="00BC7DC2">
        <w:rPr>
          <w:rFonts w:hint="eastAsia"/>
          <w:rtl/>
        </w:rPr>
        <w:t>במסגרת</w:t>
      </w:r>
      <w:r w:rsidRPr="00BC7DC2">
        <w:rPr>
          <w:rtl/>
        </w:rPr>
        <w:t xml:space="preserve"> אמנת מועצת אירופה.</w:t>
      </w:r>
    </w:p>
  </w:footnote>
  <w:footnote w:id="87">
    <w:p w:rsidR="00C87191" w:rsidRPr="00BC7DC2" w:rsidP="00E303AD">
      <w:pPr>
        <w:pStyle w:val="FootnoteText"/>
        <w:rPr>
          <w:highlight w:val="yellow"/>
          <w:rtl/>
        </w:rPr>
      </w:pPr>
      <w:r w:rsidRPr="00BC7DC2">
        <w:rPr>
          <w:rStyle w:val="FootnoteReference1"/>
        </w:rPr>
        <w:footnoteRef/>
      </w:r>
      <w:r w:rsidRPr="00BC7DC2">
        <w:rPr>
          <w:rtl/>
        </w:rPr>
        <w:t xml:space="preserve"> </w:t>
      </w:r>
      <w:r w:rsidRPr="00BC7DC2">
        <w:rPr>
          <w:rtl/>
        </w:rPr>
        <w:tab/>
      </w:r>
      <w:r w:rsidRPr="00BC7DC2">
        <w:t>Trafficking Victims Protection Reauthorization Act of 2003, Pub. L. No. 108-193, 117 Stat. 2875 (2003)</w:t>
      </w:r>
      <w:r w:rsidRPr="00BC7DC2">
        <w:rPr>
          <w:rFonts w:hint="cs"/>
          <w:rtl/>
        </w:rPr>
        <w:t>.</w:t>
      </w:r>
    </w:p>
  </w:footnote>
  <w:footnote w:id="88">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t xml:space="preserve">Office to Monitor and Combat Trafficking in Persons, </w:t>
      </w:r>
      <w:r w:rsidRPr="00BC7DC2">
        <w:rPr>
          <w:b/>
          <w:bCs/>
        </w:rPr>
        <w:t xml:space="preserve">Trafficking in Persons Report: Israel, West Bank and Gaza </w:t>
      </w:r>
      <w:r w:rsidRPr="00BC7DC2">
        <w:t>(2024)</w:t>
      </w:r>
      <w:r w:rsidRPr="00BC7DC2">
        <w:rPr>
          <w:rFonts w:hint="cs"/>
          <w:rtl/>
        </w:rPr>
        <w:t xml:space="preserve">; החטיבה החברתית במשרד המשפטים, </w:t>
      </w:r>
      <w:r w:rsidRPr="00BC7DC2">
        <w:rPr>
          <w:b/>
          <w:bCs/>
          <w:rtl/>
        </w:rPr>
        <w:t>דוח היחידה לתיאום המאבק</w:t>
      </w:r>
      <w:r w:rsidRPr="00BC7DC2">
        <w:rPr>
          <w:rFonts w:hint="cs"/>
          <w:b/>
          <w:bCs/>
          <w:rtl/>
        </w:rPr>
        <w:t xml:space="preserve"> </w:t>
      </w:r>
      <w:r w:rsidRPr="00BC7DC2">
        <w:rPr>
          <w:b/>
          <w:bCs/>
          <w:rtl/>
        </w:rPr>
        <w:t>בסחר בבני אדם לשנת</w:t>
      </w:r>
      <w:r w:rsidRPr="00BC7DC2">
        <w:rPr>
          <w:rFonts w:hint="cs"/>
          <w:b/>
          <w:bCs/>
          <w:rtl/>
        </w:rPr>
        <w:t xml:space="preserve"> </w:t>
      </w:r>
      <w:r w:rsidRPr="00BC7DC2">
        <w:rPr>
          <w:b/>
          <w:bCs/>
          <w:rtl/>
        </w:rPr>
        <w:t>2023</w:t>
      </w:r>
      <w:r w:rsidRPr="00BC7DC2">
        <w:rPr>
          <w:rFonts w:hint="cs"/>
          <w:b/>
          <w:bCs/>
          <w:rtl/>
        </w:rPr>
        <w:t xml:space="preserve"> </w:t>
      </w:r>
      <w:r w:rsidRPr="00BC7DC2">
        <w:rPr>
          <w:rFonts w:hint="cs"/>
          <w:rtl/>
        </w:rPr>
        <w:t>(2024).</w:t>
      </w:r>
    </w:p>
  </w:footnote>
  <w:footnote w:id="89">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t xml:space="preserve">Office to Monitor and Combat Trafficking in Persons, </w:t>
      </w:r>
      <w:r w:rsidRPr="00BC7DC2">
        <w:rPr>
          <w:b/>
          <w:bCs/>
        </w:rPr>
        <w:t xml:space="preserve">Trafficking in Persons Report: Israel, West Bank and Gaza </w:t>
      </w:r>
      <w:r w:rsidRPr="00BC7DC2">
        <w:t>(2024)</w:t>
      </w:r>
      <w:r w:rsidRPr="00BC7DC2">
        <w:rPr>
          <w:rFonts w:hint="cs"/>
          <w:rtl/>
        </w:rPr>
        <w:t>.</w:t>
      </w:r>
    </w:p>
  </w:footnote>
  <w:footnote w:id="90">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 xml:space="preserve">חלק מההמלצות נוגעות לתחומי סחר אחרים ולא למטרות זנות, ולגבי חלקן הביקורת של מחלקת המדינה האמריקאית לא חזרה בדוח לשנת 2025. </w:t>
      </w:r>
    </w:p>
  </w:footnote>
  <w:footnote w:id="91">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לעניין זה: פרקליטות, משטרה, רשות האוכלוסין וההגירה (בפרט בקרי הגבולות), מערכת הבריאות (אנשי רפואה בחדרי מיון, במרפאות ציבוריות וכו') ומערכת המשפט.</w:t>
      </w:r>
    </w:p>
  </w:footnote>
  <w:footnote w:id="92">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אשרה המוענקת לצד הכרה כקורבן סחר בבני אדם ומאפשרת שנת שיקום בישראל. להרחבה ראו פרק: "הטיפול באשרות של קורבנות סחר בבני אדם".</w:t>
      </w:r>
    </w:p>
  </w:footnote>
  <w:footnote w:id="93">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tl/>
        </w:rPr>
        <w:t>חוק איסור סחר בבני אדם</w:t>
      </w:r>
      <w:r w:rsidRPr="00BC7DC2">
        <w:rPr>
          <w:rFonts w:hint="cs"/>
          <w:rtl/>
        </w:rPr>
        <w:t>.</w:t>
      </w:r>
    </w:p>
  </w:footnote>
  <w:footnote w:id="94">
    <w:p w:rsidR="00C87191" w:rsidRPr="00BC7DC2" w:rsidP="00E303AD">
      <w:pPr>
        <w:pStyle w:val="FootnoteText"/>
        <w:rPr>
          <w:rtl/>
        </w:rPr>
      </w:pPr>
      <w:r w:rsidRPr="00BC7DC2">
        <w:rPr>
          <w:rStyle w:val="FootnoteReference1"/>
        </w:rPr>
        <w:footnoteRef/>
      </w:r>
      <w:r w:rsidRPr="00BC7DC2">
        <w:rPr>
          <w:rtl/>
        </w:rPr>
        <w:t xml:space="preserve"> </w:t>
      </w:r>
      <w:bookmarkStart w:id="96" w:name="_Hlk204752005"/>
      <w:r w:rsidRPr="00BC7DC2">
        <w:rPr>
          <w:rtl/>
        </w:rPr>
        <w:tab/>
      </w:r>
      <w:r w:rsidRPr="00BC7DC2">
        <w:t xml:space="preserve">Office to Monitor and Combat Trafficking in Persons, </w:t>
      </w:r>
      <w:r w:rsidRPr="00BC7DC2">
        <w:rPr>
          <w:b/>
          <w:bCs/>
        </w:rPr>
        <w:t xml:space="preserve">Trafficking in Persons Report: Israel, West Bank and Gaza </w:t>
      </w:r>
      <w:r w:rsidRPr="00BC7DC2">
        <w:t>(2024)</w:t>
      </w:r>
      <w:bookmarkEnd w:id="96"/>
      <w:r w:rsidRPr="00BC7DC2">
        <w:rPr>
          <w:rFonts w:hint="cs"/>
          <w:rtl/>
        </w:rPr>
        <w:t>.</w:t>
      </w:r>
    </w:p>
  </w:footnote>
  <w:footnote w:id="95">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 xml:space="preserve">הליווי כולל פגישה עם קורבנות, התאמת יחידת חקירה לאירוע, טיפול מול המקלט לקורבנות סחר בבני אדם, דיווח ותיאום מול ארגונים קשורים, ליווי יחידת החקירה, השתתפות בישיבות מעקב של חקירות בשלב הסמוי והגלוי, טיפול באשרות מול רשות האוכלוסין וההגירה, טיפול בבעיות מול המקלט ומול יחידות החקירה, התאמת פרקליט מלווה, דיונים עיתיים עם הפרקליטות וגורמים נוספים, טיפול בתקציבים ובהבאת עדים מחו"ל. </w:t>
      </w:r>
    </w:p>
  </w:footnote>
  <w:footnote w:id="96">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כמו כן, הוחלט על תקנון רכב לחוליה.</w:t>
      </w:r>
    </w:p>
  </w:footnote>
  <w:footnote w:id="97">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 xml:space="preserve">יצוין כי מדובר בתקופה שבה סמכות ההכרה בקורבנות סחר הייתה באחריות המשטרה. בשנת 2022 אושרה החלטת הממשלה 1862 אשר העבירה את סמכות ההכרה ליחידת התיאום. כן ראו: </w:t>
      </w:r>
      <w:r w:rsidRPr="00BC7DC2">
        <w:t xml:space="preserve">Office to Monitor and Combat Trafficking in Persons, </w:t>
      </w:r>
      <w:r w:rsidRPr="00BC7DC2">
        <w:rPr>
          <w:b/>
          <w:bCs/>
        </w:rPr>
        <w:t>Trafficking in Persons Report: Israel</w:t>
      </w:r>
      <w:r w:rsidRPr="00BC7DC2">
        <w:t xml:space="preserve"> (2017); Office to Monitor and Combat Trafficking in Persons, </w:t>
      </w:r>
      <w:r w:rsidRPr="00BC7DC2">
        <w:rPr>
          <w:b/>
          <w:bCs/>
        </w:rPr>
        <w:t>Trafficking in Persons Report: Israel</w:t>
      </w:r>
      <w:r w:rsidRPr="00BC7DC2">
        <w:t xml:space="preserve"> (2022); Office to Monitor and Combat Trafficking in Persons, </w:t>
      </w:r>
      <w:r w:rsidRPr="00BC7DC2">
        <w:rPr>
          <w:b/>
          <w:bCs/>
        </w:rPr>
        <w:t>Trafficking in Persons Report: Israel</w:t>
      </w:r>
      <w:r w:rsidRPr="00BC7DC2">
        <w:t xml:space="preserve"> (2025)</w:t>
      </w:r>
      <w:r w:rsidRPr="00BC7DC2">
        <w:rPr>
          <w:rFonts w:hint="cs"/>
          <w:rtl/>
        </w:rPr>
        <w:t>.</w:t>
      </w:r>
    </w:p>
  </w:footnote>
  <w:footnote w:id="98">
    <w:p w:rsidR="00C87191" w:rsidRPr="00BC7DC2" w:rsidP="00E303AD">
      <w:pPr>
        <w:pStyle w:val="CommentText"/>
        <w:ind w:left="720" w:hanging="720"/>
        <w:rPr>
          <w:rtl/>
        </w:rPr>
      </w:pPr>
      <w:r w:rsidRPr="00BC7DC2">
        <w:rPr>
          <w:rStyle w:val="FootnoteReference1"/>
        </w:rPr>
        <w:footnoteRef/>
      </w:r>
      <w:r w:rsidRPr="00BC7DC2">
        <w:rPr>
          <w:rtl/>
        </w:rPr>
        <w:t xml:space="preserve"> </w:t>
      </w:r>
      <w:r w:rsidRPr="00BC7DC2">
        <w:rPr>
          <w:rtl/>
        </w:rPr>
        <w:tab/>
      </w:r>
      <w:r w:rsidRPr="00BC7DC2">
        <w:rPr>
          <w:rFonts w:hint="cs"/>
          <w:rtl/>
        </w:rPr>
        <w:t>כבר ב</w:t>
      </w:r>
      <w:r w:rsidRPr="00BC7DC2">
        <w:rPr>
          <w:rtl/>
        </w:rPr>
        <w:t xml:space="preserve">תמונת </w:t>
      </w:r>
      <w:r w:rsidRPr="00BC7DC2">
        <w:rPr>
          <w:rFonts w:hint="cs"/>
          <w:rtl/>
        </w:rPr>
        <w:t>ה</w:t>
      </w:r>
      <w:r w:rsidRPr="00BC7DC2">
        <w:rPr>
          <w:rtl/>
        </w:rPr>
        <w:t xml:space="preserve">מודיעין </w:t>
      </w:r>
      <w:r w:rsidRPr="00BC7DC2">
        <w:rPr>
          <w:rFonts w:hint="cs"/>
          <w:rtl/>
        </w:rPr>
        <w:t>מהשנים 2014 - 2015</w:t>
      </w:r>
      <w:r w:rsidRPr="00BC7DC2">
        <w:rPr>
          <w:rtl/>
        </w:rPr>
        <w:t xml:space="preserve"> </w:t>
      </w:r>
      <w:r w:rsidRPr="00BC7DC2">
        <w:rPr>
          <w:rFonts w:hint="cs"/>
          <w:rtl/>
        </w:rPr>
        <w:t>ציינה כי "</w:t>
      </w:r>
      <w:r w:rsidRPr="00BC7DC2">
        <w:rPr>
          <w:rtl/>
        </w:rPr>
        <w:t>ככלל, סחר בבני אדם למטרות זנות לא מזוהה בישראל כיום כתופעה</w:t>
      </w:r>
      <w:r w:rsidRPr="00BC7DC2">
        <w:rPr>
          <w:rFonts w:hint="cs"/>
          <w:rtl/>
        </w:rPr>
        <w:t xml:space="preserve">"; </w:t>
      </w:r>
    </w:p>
    <w:p w:rsidR="00C87191" w:rsidRPr="00BC7DC2" w:rsidP="00E303AD">
      <w:pPr>
        <w:pStyle w:val="CommentText"/>
        <w:ind w:left="720"/>
        <w:rPr>
          <w:rtl/>
        </w:rPr>
      </w:pPr>
      <w:r w:rsidRPr="00BC7DC2">
        <w:t>http://mvdocd2app.mevaker.loc/D2/?docbase=NM_PRD&amp;locateId=090bc09b8482770d</w:t>
      </w:r>
      <w:r w:rsidRPr="00BC7DC2">
        <w:rPr>
          <w:rFonts w:hint="cs"/>
          <w:rtl/>
        </w:rPr>
        <w:t xml:space="preserve"> </w:t>
      </w:r>
    </w:p>
  </w:footnote>
  <w:footnote w:id="99">
    <w:p w:rsidR="00C87191" w:rsidRPr="00BC7DC2" w:rsidP="00E303AD">
      <w:pPr>
        <w:pStyle w:val="CommentText"/>
        <w:ind w:left="720" w:hanging="720"/>
        <w:rPr>
          <w:rtl/>
        </w:rPr>
      </w:pPr>
      <w:r w:rsidRPr="00BC7DC2">
        <w:rPr>
          <w:rStyle w:val="FootnoteReference1"/>
        </w:rPr>
        <w:footnoteRef/>
      </w:r>
      <w:r w:rsidRPr="00BC7DC2">
        <w:rPr>
          <w:rtl/>
        </w:rPr>
        <w:t xml:space="preserve"> </w:t>
      </w:r>
      <w:r w:rsidRPr="00BC7DC2">
        <w:rPr>
          <w:rtl/>
        </w:rPr>
        <w:tab/>
      </w:r>
      <w:r w:rsidRPr="00BC7DC2">
        <w:rPr>
          <w:rtl/>
        </w:rPr>
        <w:t>קריטריון לעמידה ביעד פיצוח פרשיה</w:t>
      </w:r>
      <w:r w:rsidRPr="00BC7DC2">
        <w:rPr>
          <w:rFonts w:hint="cs"/>
          <w:rtl/>
        </w:rPr>
        <w:t xml:space="preserve"> הוא</w:t>
      </w:r>
      <w:r w:rsidRPr="00BC7DC2">
        <w:rPr>
          <w:rtl/>
        </w:rPr>
        <w:t xml:space="preserve"> הגשת </w:t>
      </w:r>
      <w:r w:rsidRPr="00BC7DC2">
        <w:rPr>
          <w:rFonts w:hint="cs"/>
          <w:rtl/>
        </w:rPr>
        <w:t xml:space="preserve">כתב אישום </w:t>
      </w:r>
      <w:r w:rsidRPr="00BC7DC2">
        <w:rPr>
          <w:rtl/>
        </w:rPr>
        <w:t>ו</w:t>
      </w:r>
      <w:r w:rsidRPr="00BC7DC2">
        <w:rPr>
          <w:rFonts w:hint="cs"/>
          <w:rtl/>
        </w:rPr>
        <w:t xml:space="preserve">הגשת </w:t>
      </w:r>
      <w:r w:rsidRPr="00BC7DC2">
        <w:rPr>
          <w:rtl/>
        </w:rPr>
        <w:t xml:space="preserve">בקשה למעצר עד </w:t>
      </w:r>
      <w:r w:rsidRPr="00BC7DC2">
        <w:rPr>
          <w:rFonts w:hint="cs"/>
          <w:rtl/>
        </w:rPr>
        <w:t xml:space="preserve">תום ההליכים </w:t>
      </w:r>
      <w:r w:rsidRPr="00BC7DC2">
        <w:rPr>
          <w:rtl/>
        </w:rPr>
        <w:t>נגד לפחות אחד מהחשודים בעבירה שנקבעה בתוכנית או בעבירה מסוג פשע</w:t>
      </w:r>
      <w:r w:rsidRPr="00BC7DC2">
        <w:rPr>
          <w:rFonts w:hint="cs"/>
          <w:rtl/>
        </w:rPr>
        <w:t xml:space="preserve">. </w:t>
      </w:r>
    </w:p>
  </w:footnote>
  <w:footnote w:id="100">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 xml:space="preserve">יצוין כי יעדי הפיצוח בפרשיות סחר בבני אדם מתייחסים לכל סוגי הסחר, </w:t>
      </w:r>
      <w:r w:rsidRPr="00BC7DC2">
        <w:rPr>
          <w:rtl/>
        </w:rPr>
        <w:t xml:space="preserve">ללא </w:t>
      </w:r>
      <w:r w:rsidRPr="00BC7DC2">
        <w:rPr>
          <w:rFonts w:hint="cs"/>
          <w:rtl/>
        </w:rPr>
        <w:t>ה</w:t>
      </w:r>
      <w:r w:rsidRPr="00BC7DC2">
        <w:rPr>
          <w:rtl/>
        </w:rPr>
        <w:t xml:space="preserve">בחנה </w:t>
      </w:r>
      <w:r w:rsidRPr="00BC7DC2">
        <w:rPr>
          <w:rFonts w:hint="cs"/>
          <w:rtl/>
        </w:rPr>
        <w:t>בין מטרות הסחר</w:t>
      </w:r>
      <w:r w:rsidRPr="00BC7DC2">
        <w:rPr>
          <w:rtl/>
        </w:rPr>
        <w:t xml:space="preserve"> (מין, עבדות, נטילת איבר, עבודת כפייה, הולדת ילד ונטילתו</w:t>
      </w:r>
      <w:r w:rsidRPr="00BC7DC2">
        <w:rPr>
          <w:rFonts w:hint="cs"/>
          <w:rtl/>
        </w:rPr>
        <w:t>).</w:t>
      </w:r>
    </w:p>
  </w:footnote>
  <w:footnote w:id="101">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במחוזות תל אביב ודרום נקבע יעד של שתי פרשיות לפיצוח לכל מחוז; ובמחוזות חוף, מרכז וירושלים נקבע יעד של פרשייה אחת לכל מחוז.</w:t>
      </w:r>
    </w:p>
  </w:footnote>
  <w:footnote w:id="102">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נושא התעניינות הוא נושא שהמשטרה ממקדת לגביו איסוף מידע במסגרת גיבוש תכנית המודיעין.</w:t>
      </w:r>
    </w:p>
  </w:footnote>
  <w:footnote w:id="103">
    <w:p w:rsidR="00C87191" w:rsidRPr="00BC7DC2" w:rsidP="00E303AD">
      <w:pPr>
        <w:pStyle w:val="FootnoteText"/>
        <w:ind w:left="-1" w:firstLine="1"/>
        <w:rPr>
          <w:rtl/>
        </w:rPr>
      </w:pPr>
      <w:r w:rsidRPr="00BC7DC2">
        <w:rPr>
          <w:rStyle w:val="FootnoteReference1"/>
        </w:rPr>
        <w:footnoteRef/>
      </w:r>
      <w:r w:rsidRPr="00BC7DC2">
        <w:rPr>
          <w:rtl/>
        </w:rPr>
        <w:t xml:space="preserve"> </w:t>
      </w:r>
      <w:r w:rsidRPr="00BC7DC2">
        <w:rPr>
          <w:rtl/>
        </w:rPr>
        <w:tab/>
      </w:r>
      <w:r w:rsidRPr="00BC7DC2">
        <w:rPr>
          <w:rFonts w:hint="cs"/>
          <w:rtl/>
        </w:rPr>
        <w:t>חוק העונשין, התשל"ז-1977, סעיף 204.</w:t>
      </w:r>
    </w:p>
  </w:footnote>
  <w:footnote w:id="104">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 xml:space="preserve">מחולל פשיעה - גורם או מרחב אשר מאפייניו, אופן פעולתו או השימוש הנעשה בו יוצרים תנאים המגבירים את הסבירות להתרחשות עבירות פליליות. כך למשל, קיים סיכון כי זירות הזנות (שניהולן כאמור אסור) מהוות מרחב שבו עולה הסבירות לעבירות פליליות קשות כגון סחר בסמים, אלימות וכו'. </w:t>
      </w:r>
    </w:p>
  </w:footnote>
  <w:footnote w:id="105">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b/>
          <w:bCs/>
          <w:rtl/>
        </w:rPr>
        <w:t>נ</w:t>
      </w:r>
      <w:r w:rsidRPr="00BC7DC2">
        <w:rPr>
          <w:rFonts w:hint="eastAsia"/>
          <w:b/>
          <w:bCs/>
          <w:rtl/>
        </w:rPr>
        <w:t>ציב</w:t>
      </w:r>
      <w:r w:rsidRPr="00BC7DC2">
        <w:rPr>
          <w:b/>
          <w:bCs/>
          <w:rtl/>
        </w:rPr>
        <w:t xml:space="preserve"> </w:t>
      </w:r>
      <w:r w:rsidRPr="00BC7DC2">
        <w:rPr>
          <w:rFonts w:hint="eastAsia"/>
          <w:b/>
          <w:bCs/>
          <w:rtl/>
        </w:rPr>
        <w:t>תלונות</w:t>
      </w:r>
      <w:r w:rsidRPr="00BC7DC2">
        <w:rPr>
          <w:b/>
          <w:bCs/>
          <w:rtl/>
        </w:rPr>
        <w:t xml:space="preserve"> </w:t>
      </w:r>
      <w:r w:rsidRPr="00BC7DC2">
        <w:rPr>
          <w:rFonts w:hint="eastAsia"/>
          <w:b/>
          <w:bCs/>
          <w:rtl/>
        </w:rPr>
        <w:t>הציבור</w:t>
      </w:r>
      <w:r w:rsidRPr="00BC7DC2">
        <w:rPr>
          <w:rFonts w:hint="cs"/>
          <w:b/>
          <w:bCs/>
          <w:rtl/>
        </w:rPr>
        <w:t xml:space="preserve"> - דוח שנתי 52 לשנת</w:t>
      </w:r>
      <w:r w:rsidRPr="00BC7DC2">
        <w:rPr>
          <w:b/>
          <w:bCs/>
          <w:rtl/>
        </w:rPr>
        <w:t xml:space="preserve"> 2025</w:t>
      </w:r>
      <w:r w:rsidRPr="00BC7DC2">
        <w:rPr>
          <w:rFonts w:hint="cs"/>
          <w:rtl/>
        </w:rPr>
        <w:t xml:space="preserve"> (19.5.26), עמ' 106</w:t>
      </w:r>
      <w:r w:rsidRPr="00BC7DC2">
        <w:rPr>
          <w:rtl/>
        </w:rPr>
        <w:t>.</w:t>
      </w:r>
    </w:p>
  </w:footnote>
  <w:footnote w:id="106">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מניין הימים המרבי הקבוע בחוק הגבלת שימוש במקום לשם מניעת ביצוע עבירות, התשס"ה-2005.</w:t>
      </w:r>
    </w:p>
  </w:footnote>
  <w:footnote w:id="107">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סימן א1 לפקודת העיריות.</w:t>
      </w:r>
    </w:p>
  </w:footnote>
  <w:footnote w:id="108">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חוק התכנון והבנייה, התשכ"ה-1965, ס"ח 307; חוק רישוי עסקים, התשכ"ח-1968, ס"ח 204.</w:t>
      </w:r>
    </w:p>
  </w:footnote>
  <w:footnote w:id="109">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 xml:space="preserve">מרכז המחקר והמידע של הכנסת, </w:t>
      </w:r>
      <w:r w:rsidRPr="00BC7DC2">
        <w:rPr>
          <w:rtl/>
        </w:rPr>
        <w:t>אכיפת איסור צריכת זנות ומענים לאוכלוסיות בזנות</w:t>
      </w:r>
      <w:r w:rsidRPr="00BC7DC2">
        <w:rPr>
          <w:rFonts w:hint="cs"/>
          <w:rtl/>
        </w:rPr>
        <w:t>, 27.1.22.</w:t>
      </w:r>
    </w:p>
  </w:footnote>
  <w:footnote w:id="110">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sz w:val="16"/>
          <w:rtl/>
        </w:rPr>
        <w:t xml:space="preserve">מכיוון שחשודים יכולים להופיע ביותר מתיק אחד, מספר החשודים מתייחס לאנשים עצמם, </w:t>
      </w:r>
      <w:r w:rsidRPr="00BC7DC2">
        <w:rPr>
          <w:rFonts w:hint="cs"/>
          <w:sz w:val="16"/>
          <w:rtl/>
        </w:rPr>
        <w:t xml:space="preserve">ואילו </w:t>
      </w:r>
      <w:r w:rsidRPr="00BC7DC2">
        <w:rPr>
          <w:sz w:val="16"/>
          <w:rtl/>
        </w:rPr>
        <w:t xml:space="preserve">מספר החשודים בתיק מתייחס </w:t>
      </w:r>
      <w:r w:rsidRPr="00BC7DC2">
        <w:rPr>
          <w:rFonts w:hint="cs"/>
          <w:sz w:val="16"/>
          <w:rtl/>
        </w:rPr>
        <w:t>למספר</w:t>
      </w:r>
      <w:r w:rsidRPr="00BC7DC2">
        <w:rPr>
          <w:sz w:val="16"/>
          <w:rtl/>
        </w:rPr>
        <w:t xml:space="preserve"> </w:t>
      </w:r>
      <w:r w:rsidRPr="00BC7DC2">
        <w:rPr>
          <w:rFonts w:hint="cs"/>
          <w:sz w:val="16"/>
          <w:rtl/>
        </w:rPr>
        <w:t>ה</w:t>
      </w:r>
      <w:r w:rsidRPr="00BC7DC2">
        <w:rPr>
          <w:sz w:val="16"/>
          <w:rtl/>
        </w:rPr>
        <w:t xml:space="preserve">פעמים </w:t>
      </w:r>
      <w:r w:rsidRPr="00BC7DC2">
        <w:rPr>
          <w:rFonts w:hint="cs"/>
          <w:sz w:val="16"/>
          <w:rtl/>
        </w:rPr>
        <w:t xml:space="preserve">שבו </w:t>
      </w:r>
      <w:r w:rsidRPr="00BC7DC2">
        <w:rPr>
          <w:sz w:val="16"/>
          <w:rtl/>
        </w:rPr>
        <w:t>הם מופיעים בתיקים</w:t>
      </w:r>
      <w:r w:rsidRPr="00BC7DC2">
        <w:rPr>
          <w:rFonts w:hint="cs"/>
          <w:sz w:val="16"/>
          <w:rtl/>
        </w:rPr>
        <w:t xml:space="preserve">; הפער בכתבי האישום נובע </w:t>
      </w:r>
      <w:r w:rsidRPr="00BC7DC2">
        <w:rPr>
          <w:sz w:val="16"/>
          <w:rtl/>
        </w:rPr>
        <w:t>מכך שבתיק אחד יכולים להיות כמה חשודים, ואם נגד כולם יש ראיות מספיקות</w:t>
      </w:r>
      <w:r w:rsidRPr="00BC7DC2">
        <w:rPr>
          <w:rFonts w:hint="cs"/>
          <w:sz w:val="16"/>
          <w:rtl/>
        </w:rPr>
        <w:t xml:space="preserve"> הרי ש</w:t>
      </w:r>
      <w:r w:rsidRPr="00BC7DC2">
        <w:rPr>
          <w:sz w:val="16"/>
          <w:rtl/>
        </w:rPr>
        <w:t>מוגשים כתבי אישום נפרדים לכל אחד מהם</w:t>
      </w:r>
      <w:r w:rsidRPr="00BC7DC2">
        <w:rPr>
          <w:rFonts w:hint="cs"/>
          <w:rtl/>
        </w:rPr>
        <w:t>.</w:t>
      </w:r>
    </w:p>
  </w:footnote>
  <w:footnote w:id="111">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tl/>
        </w:rPr>
        <w:t>צוות היגוי</w:t>
      </w:r>
      <w:r w:rsidRPr="00BC7DC2">
        <w:rPr>
          <w:rFonts w:hint="cs"/>
          <w:rtl/>
        </w:rPr>
        <w:t>-</w:t>
      </w:r>
      <w:r w:rsidRPr="00BC7DC2">
        <w:rPr>
          <w:rtl/>
        </w:rPr>
        <w:t>על בראשות היוע</w:t>
      </w:r>
      <w:r w:rsidRPr="00BC7DC2">
        <w:rPr>
          <w:rFonts w:hint="cs"/>
          <w:rtl/>
        </w:rPr>
        <w:t>צת</w:t>
      </w:r>
      <w:r w:rsidRPr="00BC7DC2">
        <w:rPr>
          <w:rtl/>
        </w:rPr>
        <w:t xml:space="preserve"> המשפטי</w:t>
      </w:r>
      <w:r w:rsidRPr="00BC7DC2">
        <w:rPr>
          <w:rFonts w:hint="cs"/>
          <w:rtl/>
        </w:rPr>
        <w:t>ת</w:t>
      </w:r>
      <w:r w:rsidRPr="00BC7DC2">
        <w:rPr>
          <w:rtl/>
        </w:rPr>
        <w:t xml:space="preserve"> לממשלה, בשיתוף עם מפכ"ל המשטרה, פרקליט המדינה, מנהל רשות המ</w:t>
      </w:r>
      <w:r w:rsidRPr="00BC7DC2">
        <w:rPr>
          <w:rFonts w:hint="cs"/>
          <w:rtl/>
        </w:rPr>
        <w:t>י</w:t>
      </w:r>
      <w:r w:rsidRPr="00BC7DC2">
        <w:rPr>
          <w:rtl/>
        </w:rPr>
        <w:t xml:space="preserve">סים ויו"ר הרשות לניירות ערך, </w:t>
      </w:r>
      <w:bookmarkStart w:id="135" w:name="_Hlk233796474"/>
      <w:r w:rsidRPr="00BC7DC2">
        <w:rPr>
          <w:rtl/>
        </w:rPr>
        <w:t>אחראי להתוויית המדיניות ו</w:t>
      </w:r>
      <w:r w:rsidRPr="00BC7DC2">
        <w:rPr>
          <w:rFonts w:hint="cs"/>
          <w:rtl/>
        </w:rPr>
        <w:t>ה</w:t>
      </w:r>
      <w:r w:rsidRPr="00BC7DC2">
        <w:rPr>
          <w:rtl/>
        </w:rPr>
        <w:t xml:space="preserve">הכוונה הכללית במאבק </w:t>
      </w:r>
      <w:r w:rsidRPr="00BC7DC2">
        <w:rPr>
          <w:rFonts w:hint="cs"/>
          <w:rtl/>
        </w:rPr>
        <w:t>בפשיעה חמורה ו</w:t>
      </w:r>
      <w:r w:rsidRPr="00BC7DC2">
        <w:rPr>
          <w:rtl/>
        </w:rPr>
        <w:t>מאורגנת</w:t>
      </w:r>
      <w:bookmarkEnd w:id="135"/>
      <w:r w:rsidRPr="00BC7DC2">
        <w:rPr>
          <w:rFonts w:hint="cs"/>
          <w:rtl/>
        </w:rPr>
        <w:t xml:space="preserve">. </w:t>
      </w:r>
      <w:r w:rsidRPr="00BC7DC2">
        <w:rPr>
          <w:rtl/>
        </w:rPr>
        <w:t>צוות זה</w:t>
      </w:r>
      <w:r w:rsidRPr="00BC7DC2">
        <w:rPr>
          <w:rFonts w:hint="cs"/>
          <w:rtl/>
        </w:rPr>
        <w:t xml:space="preserve"> </w:t>
      </w:r>
      <w:r w:rsidRPr="00BC7DC2">
        <w:rPr>
          <w:rtl/>
        </w:rPr>
        <w:t>מגדיר את היעדים האסטרטגיים ומנחה את הפעולות של כלל הגורמים המעורבים</w:t>
      </w:r>
      <w:r w:rsidRPr="00BC7DC2">
        <w:rPr>
          <w:rFonts w:hint="cs"/>
          <w:rtl/>
        </w:rPr>
        <w:t xml:space="preserve"> בכך</w:t>
      </w:r>
      <w:r w:rsidRPr="00BC7DC2">
        <w:rPr>
          <w:rtl/>
        </w:rPr>
        <w:t>.</w:t>
      </w:r>
      <w:r w:rsidRPr="00BC7DC2">
        <w:rPr>
          <w:rFonts w:hint="cs"/>
          <w:rtl/>
        </w:rPr>
        <w:t xml:space="preserve"> </w:t>
      </w:r>
      <w:r w:rsidRPr="00BC7DC2">
        <w:rPr>
          <w:rtl/>
        </w:rPr>
        <w:t>לצורך יישום המדיניות</w:t>
      </w:r>
      <w:r w:rsidRPr="00BC7DC2">
        <w:rPr>
          <w:rFonts w:hint="cs"/>
          <w:rtl/>
        </w:rPr>
        <w:t xml:space="preserve"> של צוות העל</w:t>
      </w:r>
      <w:r w:rsidRPr="00BC7DC2">
        <w:rPr>
          <w:rtl/>
        </w:rPr>
        <w:t>, פועלת הוועדה המתמדת, בראשות ראש</w:t>
      </w:r>
      <w:r w:rsidRPr="00BC7DC2">
        <w:rPr>
          <w:rFonts w:hint="cs"/>
          <w:rtl/>
        </w:rPr>
        <w:t xml:space="preserve"> אח"ם</w:t>
      </w:r>
      <w:r w:rsidRPr="00BC7DC2">
        <w:rPr>
          <w:rtl/>
        </w:rPr>
        <w:t>, אשר מורכבת מנציגים בכירים מכלל רשויות האכיפה</w:t>
      </w:r>
      <w:r w:rsidRPr="00BC7DC2">
        <w:rPr>
          <w:rFonts w:hint="cs"/>
          <w:rtl/>
        </w:rPr>
        <w:t xml:space="preserve">. </w:t>
      </w:r>
      <w:r w:rsidRPr="00BC7DC2">
        <w:rPr>
          <w:rtl/>
        </w:rPr>
        <w:t xml:space="preserve">הוועדה </w:t>
      </w:r>
      <w:r w:rsidRPr="00BC7DC2">
        <w:rPr>
          <w:rFonts w:hint="cs"/>
          <w:rtl/>
        </w:rPr>
        <w:t>נועדה</w:t>
      </w:r>
      <w:r w:rsidRPr="00BC7DC2">
        <w:rPr>
          <w:rtl/>
        </w:rPr>
        <w:t xml:space="preserve"> להכווין ולתאם את הפעולות השוטפות במאבק בפשיעה החמורה, ולהביא ליישום </w:t>
      </w:r>
      <w:r w:rsidRPr="00BC7DC2">
        <w:rPr>
          <w:rFonts w:hint="cs"/>
          <w:rtl/>
        </w:rPr>
        <w:t>ה</w:t>
      </w:r>
      <w:r w:rsidRPr="00BC7DC2">
        <w:rPr>
          <w:rtl/>
        </w:rPr>
        <w:t>מיטבי של החלטות צוות</w:t>
      </w:r>
      <w:r w:rsidRPr="00BC7DC2">
        <w:rPr>
          <w:rFonts w:hint="cs"/>
          <w:rtl/>
        </w:rPr>
        <w:t>-העל</w:t>
      </w:r>
      <w:r w:rsidRPr="00BC7DC2">
        <w:rPr>
          <w:rtl/>
        </w:rPr>
        <w:t xml:space="preserve"> תוך חיזוק שיתוף הפעולה בין הרשויות השונות</w:t>
      </w:r>
      <w:r w:rsidRPr="00BC7DC2">
        <w:t>.</w:t>
      </w:r>
      <w:r w:rsidRPr="00BC7DC2">
        <w:rPr>
          <w:rFonts w:hint="cs"/>
          <w:rtl/>
        </w:rPr>
        <w:t xml:space="preserve"> צוות-העל קובע את יעדי האכיפה בתהליך הכולל שקלול של גורמים שונים, לרבות ההיקף המוערך של הפעילות הכספית הכרוכה בתופעת הפשיעה ועניינים שבהם יש ערך מוסף בשילוב כמה גורמי אכיפה. ראו אתר המשטרה, מאבק בפשיעה החמורה והמאורגנת, עדכון: 7.3.18.</w:t>
      </w:r>
      <w:r w:rsidRPr="00BC7DC2">
        <w:rPr>
          <w:rStyle w:val="Hyperlink"/>
          <w:rFonts w:hint="cs"/>
          <w:color w:val="auto"/>
          <w:u w:val="none"/>
          <w:rtl/>
        </w:rPr>
        <w:t xml:space="preserve"> </w:t>
      </w:r>
    </w:p>
  </w:footnote>
  <w:footnote w:id="112">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t xml:space="preserve">Office to Monitor and Combat Trafficking in Persons, </w:t>
      </w:r>
      <w:r w:rsidRPr="00BC7DC2">
        <w:rPr>
          <w:b/>
          <w:bCs/>
        </w:rPr>
        <w:t>Trafficking in Persons Report: Israel</w:t>
      </w:r>
      <w:r w:rsidRPr="00BC7DC2">
        <w:t xml:space="preserve"> (2025)</w:t>
      </w:r>
      <w:r w:rsidRPr="00BC7DC2">
        <w:rPr>
          <w:rFonts w:hint="cs"/>
          <w:rtl/>
        </w:rPr>
        <w:t>.</w:t>
      </w:r>
    </w:p>
  </w:footnote>
  <w:footnote w:id="113">
    <w:p w:rsidR="00C87191" w:rsidRPr="00BC7DC2" w:rsidP="00E303AD">
      <w:pPr>
        <w:pStyle w:val="FootnoteText"/>
        <w:jc w:val="left"/>
        <w:rPr>
          <w:rtl/>
        </w:rPr>
      </w:pPr>
      <w:r w:rsidRPr="00BC7DC2">
        <w:rPr>
          <w:rStyle w:val="FootnoteReference1"/>
        </w:rPr>
        <w:footnoteRef/>
      </w:r>
      <w:r w:rsidRPr="00BC7DC2">
        <w:rPr>
          <w:rtl/>
        </w:rPr>
        <w:t xml:space="preserve"> </w:t>
      </w:r>
      <w:r w:rsidRPr="00BC7DC2">
        <w:rPr>
          <w:rtl/>
        </w:rPr>
        <w:tab/>
      </w:r>
      <w:r w:rsidRPr="00BC7DC2">
        <w:rPr>
          <w:rFonts w:hint="cs"/>
          <w:rtl/>
        </w:rPr>
        <w:t xml:space="preserve">משרד המשפטים, </w:t>
      </w:r>
      <w:r w:rsidRPr="00BC7DC2">
        <w:rPr>
          <w:b/>
          <w:bCs/>
          <w:rtl/>
        </w:rPr>
        <w:t>נוהל המתאמת הבין משרדית למנגנון ההכרה באדם כקורבן סחר בבני אדם בהתאם להחלטת הממשלה 1862</w:t>
      </w:r>
      <w:r w:rsidRPr="00BC7DC2">
        <w:rPr>
          <w:rFonts w:hint="cs"/>
          <w:rtl/>
        </w:rPr>
        <w:t xml:space="preserve"> (22.12.24); אתר יחידת התיאום: </w:t>
      </w:r>
      <w:r w:rsidRPr="00BC7DC2">
        <w:t>https://www.gov.il/he/departments/units/office_of_the_anti_trafficking_coordinator/govil-landing-page</w:t>
      </w:r>
      <w:r w:rsidRPr="00BC7DC2">
        <w:rPr>
          <w:rFonts w:hint="cs"/>
          <w:rtl/>
        </w:rPr>
        <w:t>.</w:t>
      </w:r>
    </w:p>
  </w:footnote>
  <w:footnote w:id="114">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החלטת הממשלה 1862 (18.9.22).</w:t>
      </w:r>
    </w:p>
  </w:footnote>
  <w:footnote w:id="115">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 xml:space="preserve">משרד המשפטים, </w:t>
      </w:r>
      <w:r w:rsidRPr="00BC7DC2">
        <w:rPr>
          <w:b/>
          <w:bCs/>
          <w:rtl/>
        </w:rPr>
        <w:t>נוהל המתאמת הבין משרדית למנגנון ההכרה באדם כקורבן סחר בבני אדם בהתאם להחלטת הממשלה 1862</w:t>
      </w:r>
      <w:r w:rsidRPr="00BC7DC2">
        <w:rPr>
          <w:rFonts w:hint="cs"/>
          <w:rtl/>
        </w:rPr>
        <w:t xml:space="preserve"> (22.12.24).</w:t>
      </w:r>
    </w:p>
  </w:footnote>
  <w:footnote w:id="116">
    <w:p w:rsidR="00C87191" w:rsidRPr="00BC7DC2" w:rsidP="00E303AD">
      <w:pPr>
        <w:pStyle w:val="FootnoteText"/>
      </w:pPr>
      <w:r w:rsidRPr="00BC7DC2">
        <w:rPr>
          <w:rStyle w:val="FootnoteReference1"/>
        </w:rPr>
        <w:footnoteRef/>
      </w:r>
      <w:r w:rsidRPr="00BC7DC2">
        <w:rPr>
          <w:rtl/>
        </w:rPr>
        <w:tab/>
      </w:r>
      <w:r w:rsidRPr="00BC7DC2">
        <w:rPr>
          <w:rFonts w:hint="cs"/>
          <w:rtl/>
        </w:rPr>
        <w:t xml:space="preserve">משרד המשפטים, </w:t>
      </w:r>
      <w:r w:rsidRPr="00BC7DC2">
        <w:rPr>
          <w:b/>
          <w:bCs/>
          <w:rtl/>
        </w:rPr>
        <w:t>נוהל המתאמת הבין משרדית למנגנון ההכרה באדם כקורבן סחר בבני אדם בהתאם להחלטת הממשלה 1862</w:t>
      </w:r>
      <w:r w:rsidRPr="00BC7DC2">
        <w:rPr>
          <w:rFonts w:hint="cs"/>
          <w:rtl/>
        </w:rPr>
        <w:t xml:space="preserve"> (22.12.24).</w:t>
      </w:r>
      <w:r w:rsidRPr="00BC7DC2">
        <w:rPr>
          <w:rtl/>
        </w:rPr>
        <w:tab/>
      </w:r>
    </w:p>
  </w:footnote>
  <w:footnote w:id="117">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 xml:space="preserve">משרד המשפטים, </w:t>
      </w:r>
      <w:r w:rsidRPr="00BC7DC2">
        <w:rPr>
          <w:rFonts w:hint="cs"/>
          <w:b/>
          <w:bCs/>
          <w:rtl/>
        </w:rPr>
        <w:t>דוח היחידה לתיאום המאבק בסחר בבני אדם לשנת 2023</w:t>
      </w:r>
      <w:r w:rsidRPr="00BC7DC2">
        <w:rPr>
          <w:rFonts w:hint="cs"/>
          <w:rtl/>
        </w:rPr>
        <w:t xml:space="preserve"> (דצמבר 2024).</w:t>
      </w:r>
      <w:r w:rsidRPr="00BC7DC2">
        <w:rPr>
          <w:rFonts w:hint="cs"/>
          <w:b/>
          <w:bCs/>
          <w:rtl/>
        </w:rPr>
        <w:t xml:space="preserve"> </w:t>
      </w:r>
    </w:p>
  </w:footnote>
  <w:footnote w:id="118">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 xml:space="preserve">נוהל מס' 5.3.0050, </w:t>
      </w:r>
      <w:r w:rsidRPr="00BC7DC2">
        <w:rPr>
          <w:rFonts w:hint="eastAsia"/>
          <w:b/>
          <w:bCs/>
          <w:rtl/>
        </w:rPr>
        <w:t>הטיפול</w:t>
      </w:r>
      <w:r w:rsidRPr="00BC7DC2">
        <w:rPr>
          <w:b/>
          <w:bCs/>
          <w:rtl/>
        </w:rPr>
        <w:t xml:space="preserve"> </w:t>
      </w:r>
      <w:r w:rsidRPr="00BC7DC2">
        <w:rPr>
          <w:rFonts w:hint="eastAsia"/>
          <w:b/>
          <w:bCs/>
          <w:rtl/>
        </w:rPr>
        <w:t>בקורבנות</w:t>
      </w:r>
      <w:r w:rsidRPr="00BC7DC2">
        <w:rPr>
          <w:b/>
          <w:bCs/>
          <w:rtl/>
        </w:rPr>
        <w:t xml:space="preserve"> </w:t>
      </w:r>
      <w:r w:rsidRPr="00BC7DC2">
        <w:rPr>
          <w:rFonts w:hint="eastAsia"/>
          <w:b/>
          <w:bCs/>
          <w:rtl/>
        </w:rPr>
        <w:t>סחר</w:t>
      </w:r>
      <w:r w:rsidRPr="00BC7DC2">
        <w:rPr>
          <w:b/>
          <w:bCs/>
          <w:rtl/>
        </w:rPr>
        <w:t xml:space="preserve"> </w:t>
      </w:r>
      <w:r w:rsidRPr="00BC7DC2">
        <w:rPr>
          <w:rFonts w:hint="eastAsia"/>
          <w:b/>
          <w:bCs/>
          <w:rtl/>
        </w:rPr>
        <w:t>בנשים</w:t>
      </w:r>
      <w:r w:rsidRPr="00BC7DC2">
        <w:rPr>
          <w:b/>
          <w:bCs/>
          <w:rtl/>
        </w:rPr>
        <w:t xml:space="preserve"> </w:t>
      </w:r>
      <w:r w:rsidRPr="00BC7DC2">
        <w:rPr>
          <w:rFonts w:hint="eastAsia"/>
          <w:b/>
          <w:bCs/>
          <w:rtl/>
        </w:rPr>
        <w:t>המבקשות</w:t>
      </w:r>
      <w:r w:rsidRPr="00BC7DC2">
        <w:rPr>
          <w:b/>
          <w:bCs/>
          <w:rtl/>
        </w:rPr>
        <w:t xml:space="preserve"> </w:t>
      </w:r>
      <w:r w:rsidRPr="00BC7DC2">
        <w:rPr>
          <w:rFonts w:hint="eastAsia"/>
          <w:b/>
          <w:bCs/>
          <w:rtl/>
        </w:rPr>
        <w:t>להעיד</w:t>
      </w:r>
      <w:r w:rsidRPr="00BC7DC2">
        <w:rPr>
          <w:rFonts w:hint="cs"/>
          <w:rtl/>
        </w:rPr>
        <w:t xml:space="preserve"> (30.10.19); נוהל מס' 6.3.0006, </w:t>
      </w:r>
      <w:r w:rsidRPr="00BC7DC2">
        <w:rPr>
          <w:rFonts w:hint="eastAsia"/>
          <w:b/>
          <w:bCs/>
          <w:rtl/>
        </w:rPr>
        <w:t>הטיפול</w:t>
      </w:r>
      <w:r w:rsidRPr="00BC7DC2">
        <w:rPr>
          <w:b/>
          <w:bCs/>
          <w:rtl/>
        </w:rPr>
        <w:t xml:space="preserve"> </w:t>
      </w:r>
      <w:r w:rsidRPr="00BC7DC2">
        <w:rPr>
          <w:rFonts w:hint="eastAsia"/>
          <w:b/>
          <w:bCs/>
          <w:rtl/>
        </w:rPr>
        <w:t>בקורבנות</w:t>
      </w:r>
      <w:r w:rsidRPr="00BC7DC2">
        <w:rPr>
          <w:b/>
          <w:bCs/>
          <w:rtl/>
        </w:rPr>
        <w:t xml:space="preserve"> </w:t>
      </w:r>
      <w:r w:rsidRPr="00BC7DC2">
        <w:rPr>
          <w:rFonts w:hint="eastAsia"/>
          <w:b/>
          <w:bCs/>
          <w:rtl/>
        </w:rPr>
        <w:t>סחר</w:t>
      </w:r>
      <w:r w:rsidRPr="00BC7DC2">
        <w:rPr>
          <w:b/>
          <w:bCs/>
          <w:rtl/>
        </w:rPr>
        <w:t xml:space="preserve"> </w:t>
      </w:r>
      <w:r w:rsidRPr="00BC7DC2">
        <w:rPr>
          <w:rFonts w:hint="eastAsia"/>
          <w:b/>
          <w:bCs/>
          <w:rtl/>
        </w:rPr>
        <w:t>בנשים</w:t>
      </w:r>
      <w:r w:rsidRPr="00BC7DC2">
        <w:rPr>
          <w:b/>
          <w:bCs/>
          <w:rtl/>
        </w:rPr>
        <w:t xml:space="preserve"> </w:t>
      </w:r>
      <w:r w:rsidRPr="00BC7DC2">
        <w:rPr>
          <w:rFonts w:hint="eastAsia"/>
          <w:b/>
          <w:bCs/>
          <w:rtl/>
        </w:rPr>
        <w:t>המבקשות</w:t>
      </w:r>
      <w:r w:rsidRPr="00BC7DC2">
        <w:rPr>
          <w:b/>
          <w:bCs/>
          <w:rtl/>
        </w:rPr>
        <w:t xml:space="preserve"> </w:t>
      </w:r>
      <w:r w:rsidRPr="00BC7DC2">
        <w:rPr>
          <w:rFonts w:hint="eastAsia"/>
          <w:b/>
          <w:bCs/>
          <w:rtl/>
        </w:rPr>
        <w:t>להעיד</w:t>
      </w:r>
      <w:r w:rsidRPr="00BC7DC2">
        <w:rPr>
          <w:rFonts w:hint="cs"/>
          <w:rtl/>
        </w:rPr>
        <w:t xml:space="preserve"> (1.8.05).</w:t>
      </w:r>
    </w:p>
  </w:footnote>
  <w:footnote w:id="119">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 xml:space="preserve">נוהל מס' 6.3.0008, </w:t>
      </w:r>
      <w:r w:rsidRPr="00BC7DC2">
        <w:rPr>
          <w:rFonts w:hint="eastAsia"/>
          <w:b/>
          <w:bCs/>
          <w:rtl/>
        </w:rPr>
        <w:t>הטיפול</w:t>
      </w:r>
      <w:r w:rsidRPr="00BC7DC2">
        <w:rPr>
          <w:b/>
          <w:bCs/>
          <w:rtl/>
        </w:rPr>
        <w:t xml:space="preserve"> </w:t>
      </w:r>
      <w:r w:rsidRPr="00BC7DC2">
        <w:rPr>
          <w:rFonts w:hint="eastAsia"/>
          <w:b/>
          <w:bCs/>
          <w:rtl/>
        </w:rPr>
        <w:t>במתן</w:t>
      </w:r>
      <w:r w:rsidRPr="00BC7DC2">
        <w:rPr>
          <w:b/>
          <w:bCs/>
          <w:rtl/>
        </w:rPr>
        <w:t xml:space="preserve"> </w:t>
      </w:r>
      <w:r w:rsidRPr="00BC7DC2">
        <w:rPr>
          <w:rFonts w:hint="eastAsia"/>
          <w:b/>
          <w:bCs/>
          <w:rtl/>
        </w:rPr>
        <w:t>מעמד</w:t>
      </w:r>
      <w:r w:rsidRPr="00BC7DC2">
        <w:rPr>
          <w:b/>
          <w:bCs/>
          <w:rtl/>
        </w:rPr>
        <w:t xml:space="preserve"> </w:t>
      </w:r>
      <w:r w:rsidRPr="00BC7DC2">
        <w:rPr>
          <w:rFonts w:hint="eastAsia"/>
          <w:b/>
          <w:bCs/>
          <w:rtl/>
        </w:rPr>
        <w:t>לנפגעי</w:t>
      </w:r>
      <w:r w:rsidRPr="00BC7DC2">
        <w:rPr>
          <w:b/>
          <w:bCs/>
          <w:rtl/>
        </w:rPr>
        <w:t xml:space="preserve"> </w:t>
      </w:r>
      <w:r w:rsidRPr="00BC7DC2">
        <w:rPr>
          <w:rFonts w:hint="eastAsia"/>
          <w:b/>
          <w:bCs/>
          <w:rtl/>
        </w:rPr>
        <w:t>עבדות</w:t>
      </w:r>
      <w:r w:rsidRPr="00BC7DC2">
        <w:rPr>
          <w:b/>
          <w:bCs/>
          <w:rtl/>
        </w:rPr>
        <w:t xml:space="preserve"> </w:t>
      </w:r>
      <w:r w:rsidRPr="00BC7DC2">
        <w:rPr>
          <w:rFonts w:hint="eastAsia"/>
          <w:b/>
          <w:bCs/>
          <w:rtl/>
        </w:rPr>
        <w:t>וסחר</w:t>
      </w:r>
      <w:r w:rsidRPr="00BC7DC2">
        <w:rPr>
          <w:b/>
          <w:bCs/>
          <w:rtl/>
        </w:rPr>
        <w:t xml:space="preserve"> </w:t>
      </w:r>
      <w:r w:rsidRPr="00BC7DC2">
        <w:rPr>
          <w:rFonts w:hint="eastAsia"/>
          <w:b/>
          <w:bCs/>
          <w:rtl/>
        </w:rPr>
        <w:t>בבני</w:t>
      </w:r>
      <w:r w:rsidRPr="00BC7DC2">
        <w:rPr>
          <w:b/>
          <w:bCs/>
          <w:rtl/>
        </w:rPr>
        <w:t xml:space="preserve"> </w:t>
      </w:r>
      <w:r w:rsidRPr="00BC7DC2">
        <w:rPr>
          <w:rFonts w:hint="eastAsia"/>
          <w:b/>
          <w:bCs/>
          <w:rtl/>
        </w:rPr>
        <w:t>אדם</w:t>
      </w:r>
      <w:r w:rsidRPr="00BC7DC2">
        <w:rPr>
          <w:b/>
          <w:bCs/>
          <w:rtl/>
        </w:rPr>
        <w:t xml:space="preserve"> </w:t>
      </w:r>
      <w:r w:rsidRPr="00BC7DC2">
        <w:rPr>
          <w:rFonts w:hint="eastAsia"/>
          <w:b/>
          <w:bCs/>
          <w:rtl/>
        </w:rPr>
        <w:t>לעבדות</w:t>
      </w:r>
      <w:r w:rsidRPr="00BC7DC2">
        <w:rPr>
          <w:b/>
          <w:bCs/>
          <w:rtl/>
        </w:rPr>
        <w:t xml:space="preserve"> </w:t>
      </w:r>
      <w:r w:rsidRPr="00BC7DC2">
        <w:rPr>
          <w:rFonts w:hint="eastAsia"/>
          <w:b/>
          <w:bCs/>
          <w:rtl/>
        </w:rPr>
        <w:t>ולעבודת</w:t>
      </w:r>
      <w:r w:rsidRPr="00BC7DC2">
        <w:rPr>
          <w:b/>
          <w:bCs/>
          <w:rtl/>
        </w:rPr>
        <w:t xml:space="preserve"> </w:t>
      </w:r>
      <w:r w:rsidRPr="00BC7DC2">
        <w:rPr>
          <w:rFonts w:hint="eastAsia"/>
          <w:b/>
          <w:bCs/>
          <w:rtl/>
        </w:rPr>
        <w:t>כפיה</w:t>
      </w:r>
      <w:r w:rsidRPr="00BC7DC2">
        <w:rPr>
          <w:rFonts w:hint="cs"/>
          <w:rtl/>
        </w:rPr>
        <w:t xml:space="preserve"> (15.6.10) (עודכן ב-27.1.25).</w:t>
      </w:r>
    </w:p>
  </w:footnote>
  <w:footnote w:id="120">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החלטת הממשלה 2670, "תכניות לאומיות למאבק בסחר בבני אדם וקביעת פתרונות שיכון לקורבנות עבדות, סחר לעבדות וסחר לעבודות כפייה (2.12.07).</w:t>
      </w:r>
    </w:p>
  </w:footnote>
  <w:footnote w:id="121">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 xml:space="preserve">אתר משרד רשות האוכלוסין, </w:t>
      </w:r>
      <w:r w:rsidRPr="00BC7DC2">
        <w:rPr>
          <w:rFonts w:hint="eastAsia"/>
          <w:rtl/>
        </w:rPr>
        <w:t>אגף</w:t>
      </w:r>
      <w:r w:rsidRPr="00BC7DC2">
        <w:rPr>
          <w:rtl/>
        </w:rPr>
        <w:t xml:space="preserve"> </w:t>
      </w:r>
      <w:r w:rsidRPr="00BC7DC2">
        <w:rPr>
          <w:rFonts w:hint="eastAsia"/>
          <w:rtl/>
        </w:rPr>
        <w:t>אשרות</w:t>
      </w:r>
      <w:r w:rsidRPr="00BC7DC2">
        <w:rPr>
          <w:rtl/>
        </w:rPr>
        <w:t xml:space="preserve"> </w:t>
      </w:r>
      <w:r w:rsidRPr="00BC7DC2">
        <w:rPr>
          <w:rFonts w:hint="eastAsia"/>
          <w:rtl/>
        </w:rPr>
        <w:t>ומעמד</w:t>
      </w:r>
      <w:r w:rsidRPr="00BC7DC2">
        <w:rPr>
          <w:rtl/>
        </w:rPr>
        <w:t xml:space="preserve">, </w:t>
      </w:r>
      <w:r w:rsidRPr="00BC7DC2">
        <w:rPr>
          <w:rFonts w:hint="eastAsia"/>
          <w:rtl/>
        </w:rPr>
        <w:t>סוגי</w:t>
      </w:r>
      <w:r w:rsidRPr="00BC7DC2">
        <w:rPr>
          <w:rtl/>
        </w:rPr>
        <w:t xml:space="preserve"> </w:t>
      </w:r>
      <w:r w:rsidRPr="00BC7DC2">
        <w:rPr>
          <w:rFonts w:hint="eastAsia"/>
          <w:rtl/>
        </w:rPr>
        <w:t>אשרות</w:t>
      </w:r>
      <w:r w:rsidRPr="00BC7DC2">
        <w:rPr>
          <w:rFonts w:hint="cs"/>
          <w:rtl/>
        </w:rPr>
        <w:t xml:space="preserve"> (27.11.24).</w:t>
      </w:r>
    </w:p>
  </w:footnote>
  <w:footnote w:id="122">
    <w:p w:rsidR="00C87191" w:rsidRPr="00BC7DC2" w:rsidP="00E303AD">
      <w:pPr>
        <w:pStyle w:val="FootnoteText"/>
        <w:jc w:val="left"/>
        <w:rPr>
          <w:rtl/>
        </w:rPr>
      </w:pPr>
      <w:r w:rsidRPr="00BC7DC2">
        <w:rPr>
          <w:rStyle w:val="FootnoteReference1"/>
        </w:rPr>
        <w:footnoteRef/>
      </w:r>
      <w:r w:rsidRPr="00BC7DC2">
        <w:rPr>
          <w:rtl/>
        </w:rPr>
        <w:t xml:space="preserve"> </w:t>
      </w:r>
      <w:r w:rsidRPr="00BC7DC2">
        <w:rPr>
          <w:rtl/>
        </w:rPr>
        <w:tab/>
      </w:r>
      <w:r w:rsidRPr="00BC7DC2">
        <w:rPr>
          <w:rFonts w:hint="cs"/>
          <w:rtl/>
        </w:rPr>
        <w:t xml:space="preserve">אתר יחידת התיאום: </w:t>
      </w:r>
      <w:r w:rsidRPr="00BC7DC2">
        <w:t>https://www.gov.il/he/departments/units/office_of_the_anti_trafficking_coordinator/govil-landing-page</w:t>
      </w:r>
      <w:r w:rsidRPr="00BC7DC2">
        <w:rPr>
          <w:rFonts w:hint="cs"/>
          <w:rtl/>
        </w:rPr>
        <w:t>.</w:t>
      </w:r>
    </w:p>
  </w:footnote>
  <w:footnote w:id="123">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 xml:space="preserve">נוהל מס' 6.3.0007, </w:t>
      </w:r>
      <w:r w:rsidRPr="00BC7DC2">
        <w:rPr>
          <w:b/>
          <w:bCs/>
          <w:rtl/>
        </w:rPr>
        <w:t>הטיפול במתן מעמד לנפגעות סחר בנשים מטעמים הומניטריים</w:t>
      </w:r>
      <w:r w:rsidRPr="00BC7DC2">
        <w:rPr>
          <w:rFonts w:hint="cs"/>
          <w:rtl/>
        </w:rPr>
        <w:t xml:space="preserve"> (1.6.06)</w:t>
      </w:r>
      <w:r w:rsidRPr="00BC7DC2">
        <w:t>.</w:t>
      </w:r>
    </w:p>
  </w:footnote>
  <w:footnote w:id="124">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 xml:space="preserve">נוהל מס' 1.6.0001, </w:t>
      </w:r>
      <w:r w:rsidRPr="00BC7DC2">
        <w:rPr>
          <w:b/>
          <w:bCs/>
          <w:rtl/>
        </w:rPr>
        <w:t>נוהל טיפול בבקשות ובעררים על החלטות לשכות ומטה רשות האוכלוסין וההגירה</w:t>
      </w:r>
      <w:r w:rsidRPr="00BC7DC2">
        <w:rPr>
          <w:rFonts w:hint="cs"/>
          <w:rtl/>
        </w:rPr>
        <w:t xml:space="preserve"> (24.2.22). עררים אלו רלוונטיים, למשל, אם </w:t>
      </w:r>
      <w:r w:rsidRPr="00BC7DC2">
        <w:rPr>
          <w:rtl/>
        </w:rPr>
        <w:t xml:space="preserve">הרשות </w:t>
      </w:r>
      <w:r w:rsidRPr="00BC7DC2">
        <w:rPr>
          <w:rFonts w:hint="cs"/>
          <w:rtl/>
        </w:rPr>
        <w:t xml:space="preserve">החליטה שלא להאריך </w:t>
      </w:r>
      <w:r w:rsidRPr="00BC7DC2">
        <w:rPr>
          <w:rtl/>
        </w:rPr>
        <w:t xml:space="preserve">אשרה, או </w:t>
      </w:r>
      <w:r w:rsidRPr="00BC7DC2">
        <w:rPr>
          <w:rFonts w:hint="cs"/>
          <w:rtl/>
        </w:rPr>
        <w:t>אם היא הע</w:t>
      </w:r>
      <w:r w:rsidRPr="00BC7DC2">
        <w:rPr>
          <w:rtl/>
        </w:rPr>
        <w:t xml:space="preserve">ניקה אשרה מסוג </w:t>
      </w:r>
      <w:r w:rsidRPr="00BC7DC2">
        <w:rPr>
          <w:rFonts w:hint="cs"/>
          <w:rtl/>
        </w:rPr>
        <w:t xml:space="preserve">שונה מהמבוקש, כגון </w:t>
      </w:r>
      <w:r w:rsidRPr="00BC7DC2">
        <w:rPr>
          <w:rtl/>
        </w:rPr>
        <w:t xml:space="preserve">ב/2 </w:t>
      </w:r>
      <w:r w:rsidRPr="00BC7DC2">
        <w:rPr>
          <w:rFonts w:hint="cs"/>
          <w:rtl/>
        </w:rPr>
        <w:t>במקום</w:t>
      </w:r>
      <w:r w:rsidRPr="00BC7DC2">
        <w:rPr>
          <w:rtl/>
        </w:rPr>
        <w:t xml:space="preserve"> ב/1</w:t>
      </w:r>
      <w:r w:rsidRPr="00BC7DC2">
        <w:rPr>
          <w:rFonts w:hint="cs"/>
          <w:rtl/>
        </w:rPr>
        <w:t>.</w:t>
      </w:r>
    </w:p>
  </w:footnote>
  <w:footnote w:id="125">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 xml:space="preserve">משרד המשפטים, </w:t>
      </w:r>
      <w:r w:rsidRPr="00BC7DC2">
        <w:rPr>
          <w:b/>
          <w:bCs/>
          <w:rtl/>
        </w:rPr>
        <w:t>נוהל המתאמת הבין משרדית למנגנון ההכרה באדם כקורבן סחר בבני אדם בהתאם להחלטת הממשלה 1862</w:t>
      </w:r>
      <w:r w:rsidRPr="00BC7DC2">
        <w:rPr>
          <w:rFonts w:hint="cs"/>
          <w:rtl/>
        </w:rPr>
        <w:t xml:space="preserve"> (22.12.24).</w:t>
      </w:r>
      <w:r w:rsidRPr="00BC7DC2">
        <w:rPr>
          <w:rtl/>
        </w:rPr>
        <w:t xml:space="preserve"> </w:t>
      </w:r>
    </w:p>
  </w:footnote>
  <w:footnote w:id="126">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 xml:space="preserve">החלטת הממשלה 3434, "רשות האוכלוסין, ההגירה ומעברי הגבול" (13.4.08). </w:t>
      </w:r>
    </w:p>
  </w:footnote>
  <w:footnote w:id="127">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tl/>
        </w:rPr>
        <w:t xml:space="preserve">חוק הכניסה לישראל, </w:t>
      </w:r>
      <w:r w:rsidRPr="00BC7DC2">
        <w:rPr>
          <w:rFonts w:hint="cs"/>
          <w:rtl/>
        </w:rPr>
        <w:t>ה</w:t>
      </w:r>
      <w:r w:rsidRPr="00BC7DC2">
        <w:rPr>
          <w:rtl/>
        </w:rPr>
        <w:t>תשי"ב-1952</w:t>
      </w:r>
      <w:r w:rsidRPr="00BC7DC2">
        <w:rPr>
          <w:rFonts w:hint="cs"/>
          <w:rtl/>
        </w:rPr>
        <w:t xml:space="preserve">, ס"ח 354. </w:t>
      </w:r>
    </w:p>
  </w:footnote>
  <w:footnote w:id="128">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 xml:space="preserve">נוהל מס' 6.3.0007, </w:t>
      </w:r>
      <w:r w:rsidRPr="00BC7DC2">
        <w:rPr>
          <w:b/>
          <w:bCs/>
          <w:rtl/>
        </w:rPr>
        <w:t>הטיפול במתן מעמד לנפגעות סחר בנשים מטעמים הומניטריים</w:t>
      </w:r>
      <w:r w:rsidRPr="00BC7DC2">
        <w:rPr>
          <w:rFonts w:hint="cs"/>
          <w:rtl/>
        </w:rPr>
        <w:t xml:space="preserve"> (1.6.06); </w:t>
      </w:r>
      <w:r w:rsidRPr="00BC7DC2">
        <w:rPr>
          <w:rtl/>
        </w:rPr>
        <w:t xml:space="preserve">נוהל מס' 5.3.0050, </w:t>
      </w:r>
      <w:r w:rsidRPr="00BC7DC2">
        <w:rPr>
          <w:b/>
          <w:bCs/>
          <w:rtl/>
        </w:rPr>
        <w:t>הטיפול בקורבנות סחר בנשים המבקשות להעיד</w:t>
      </w:r>
      <w:r w:rsidRPr="00BC7DC2">
        <w:rPr>
          <w:rtl/>
        </w:rPr>
        <w:t xml:space="preserve"> </w:t>
      </w:r>
      <w:r w:rsidRPr="00BC7DC2">
        <w:rPr>
          <w:rFonts w:hint="cs"/>
          <w:rtl/>
        </w:rPr>
        <w:t>(</w:t>
      </w:r>
      <w:r w:rsidRPr="00BC7DC2">
        <w:rPr>
          <w:rtl/>
        </w:rPr>
        <w:t>30.10.19</w:t>
      </w:r>
      <w:r w:rsidRPr="00BC7DC2">
        <w:rPr>
          <w:rFonts w:hint="cs"/>
          <w:rtl/>
        </w:rPr>
        <w:t>).</w:t>
      </w:r>
    </w:p>
  </w:footnote>
  <w:footnote w:id="129">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tl/>
        </w:rPr>
        <w:t xml:space="preserve">נוהל מס' 5.3.0050, </w:t>
      </w:r>
      <w:r w:rsidRPr="00BC7DC2">
        <w:rPr>
          <w:b/>
          <w:bCs/>
          <w:rtl/>
        </w:rPr>
        <w:t>הטיפול בקורבנות סחר בנשים המבקשות להעיד</w:t>
      </w:r>
      <w:r w:rsidRPr="00BC7DC2">
        <w:rPr>
          <w:rtl/>
        </w:rPr>
        <w:t xml:space="preserve"> </w:t>
      </w:r>
      <w:r w:rsidRPr="00BC7DC2">
        <w:rPr>
          <w:rFonts w:hint="cs"/>
          <w:rtl/>
        </w:rPr>
        <w:t>(</w:t>
      </w:r>
      <w:r w:rsidRPr="00BC7DC2">
        <w:rPr>
          <w:rtl/>
        </w:rPr>
        <w:t>30.10.19</w:t>
      </w:r>
      <w:r w:rsidRPr="00BC7DC2">
        <w:rPr>
          <w:rFonts w:hint="cs"/>
          <w:rtl/>
        </w:rPr>
        <w:t xml:space="preserve">); נוהל מס' 6.3.0007, </w:t>
      </w:r>
      <w:r w:rsidRPr="00BC7DC2">
        <w:rPr>
          <w:b/>
          <w:bCs/>
          <w:rtl/>
        </w:rPr>
        <w:t>הטיפול במתן מעמד לנפגעות סחר בנשים מטעמים הומניטריים</w:t>
      </w:r>
      <w:r w:rsidRPr="00BC7DC2">
        <w:rPr>
          <w:rFonts w:hint="cs"/>
          <w:rtl/>
        </w:rPr>
        <w:t xml:space="preserve"> (1.6.06)</w:t>
      </w:r>
      <w:r w:rsidRPr="00BC7DC2">
        <w:t>.</w:t>
      </w:r>
    </w:p>
  </w:footnote>
  <w:footnote w:id="130">
    <w:p w:rsidR="00C87191" w:rsidRPr="00BC7DC2" w:rsidP="00E303AD">
      <w:pPr>
        <w:pStyle w:val="FootnoteText"/>
      </w:pPr>
      <w:r w:rsidRPr="00BC7DC2">
        <w:rPr>
          <w:rStyle w:val="FootnoteReference1"/>
        </w:rPr>
        <w:footnoteRef/>
      </w:r>
      <w:r w:rsidRPr="00BC7DC2">
        <w:rPr>
          <w:rtl/>
        </w:rPr>
        <w:t xml:space="preserve"> </w:t>
      </w:r>
      <w:r w:rsidRPr="00BC7DC2">
        <w:rPr>
          <w:rtl/>
        </w:rPr>
        <w:tab/>
      </w:r>
      <w:bookmarkStart w:id="145" w:name="_Hlk208490908"/>
      <w:r w:rsidRPr="00BC7DC2">
        <w:rPr>
          <w:rFonts w:hint="cs"/>
          <w:rtl/>
        </w:rPr>
        <w:t xml:space="preserve">נוהל מס' 6.3.0007, </w:t>
      </w:r>
      <w:r w:rsidRPr="00BC7DC2">
        <w:rPr>
          <w:b/>
          <w:bCs/>
          <w:rtl/>
        </w:rPr>
        <w:t>הטיפול במתן מעמד לנפגעות סחר בנשים מטעמים הומניטריים</w:t>
      </w:r>
      <w:r w:rsidRPr="00BC7DC2">
        <w:rPr>
          <w:rFonts w:hint="cs"/>
          <w:rtl/>
        </w:rPr>
        <w:t xml:space="preserve"> (1.6.06); </w:t>
      </w:r>
      <w:r w:rsidRPr="00BC7DC2">
        <w:rPr>
          <w:rtl/>
        </w:rPr>
        <w:t xml:space="preserve">נוהל מס' 5.3.0050, </w:t>
      </w:r>
      <w:r w:rsidRPr="00BC7DC2">
        <w:rPr>
          <w:b/>
          <w:bCs/>
          <w:rtl/>
        </w:rPr>
        <w:t>הטיפול בקורבנות סחר בנשים המבקשות להעיד</w:t>
      </w:r>
      <w:r w:rsidRPr="00BC7DC2">
        <w:rPr>
          <w:rtl/>
        </w:rPr>
        <w:t xml:space="preserve"> </w:t>
      </w:r>
      <w:r w:rsidRPr="00BC7DC2">
        <w:rPr>
          <w:rFonts w:hint="cs"/>
          <w:rtl/>
        </w:rPr>
        <w:t>(</w:t>
      </w:r>
      <w:r w:rsidRPr="00BC7DC2">
        <w:rPr>
          <w:rtl/>
        </w:rPr>
        <w:t>30.10.19</w:t>
      </w:r>
      <w:r w:rsidRPr="00BC7DC2">
        <w:rPr>
          <w:rFonts w:hint="cs"/>
          <w:rtl/>
        </w:rPr>
        <w:t>).</w:t>
      </w:r>
    </w:p>
    <w:bookmarkEnd w:id="145"/>
  </w:footnote>
  <w:footnote w:id="131">
    <w:p w:rsidR="00C87191" w:rsidRPr="00BC7DC2" w:rsidP="00E303AD">
      <w:pPr>
        <w:pStyle w:val="FootnoteText"/>
        <w:rPr>
          <w:b/>
          <w:bCs/>
          <w:rtl/>
        </w:rPr>
      </w:pPr>
      <w:r w:rsidRPr="00BC7DC2">
        <w:rPr>
          <w:rStyle w:val="FootnoteReference1"/>
        </w:rPr>
        <w:footnoteRef/>
      </w:r>
      <w:r w:rsidRPr="00BC7DC2">
        <w:rPr>
          <w:rtl/>
        </w:rPr>
        <w:t xml:space="preserve"> </w:t>
      </w:r>
      <w:r w:rsidRPr="00BC7DC2">
        <w:rPr>
          <w:rtl/>
        </w:rPr>
        <w:tab/>
      </w:r>
      <w:bookmarkStart w:id="146" w:name="_Hlk207607293"/>
      <w:r w:rsidRPr="00BC7DC2">
        <w:rPr>
          <w:rFonts w:hint="cs"/>
          <w:rtl/>
        </w:rPr>
        <w:t xml:space="preserve">משרד המשפטים, </w:t>
      </w:r>
      <w:r w:rsidRPr="00BC7DC2">
        <w:rPr>
          <w:rFonts w:hint="cs"/>
          <w:b/>
          <w:bCs/>
          <w:rtl/>
        </w:rPr>
        <w:t>דוח היחידה לתיאום המאבק בסחר בבני אדם לשנת 2023</w:t>
      </w:r>
      <w:r w:rsidRPr="00BC7DC2">
        <w:rPr>
          <w:rFonts w:hint="cs"/>
          <w:rtl/>
        </w:rPr>
        <w:t xml:space="preserve"> (דצמבר 2024).</w:t>
      </w:r>
      <w:r w:rsidRPr="00BC7DC2">
        <w:rPr>
          <w:rFonts w:hint="cs"/>
          <w:b/>
          <w:bCs/>
          <w:rtl/>
        </w:rPr>
        <w:t xml:space="preserve"> </w:t>
      </w:r>
      <w:bookmarkEnd w:id="146"/>
    </w:p>
  </w:footnote>
  <w:footnote w:id="132">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tl/>
        </w:rPr>
        <w:t xml:space="preserve">נוהל מס' 5.3.0050, </w:t>
      </w:r>
      <w:r w:rsidRPr="00BC7DC2">
        <w:rPr>
          <w:b/>
          <w:bCs/>
          <w:rtl/>
        </w:rPr>
        <w:t>הטיפול בקורבנות סחר בנשים המבקשות להעיד</w:t>
      </w:r>
      <w:r w:rsidRPr="00BC7DC2">
        <w:rPr>
          <w:rtl/>
        </w:rPr>
        <w:t xml:space="preserve"> </w:t>
      </w:r>
      <w:r w:rsidRPr="00BC7DC2">
        <w:rPr>
          <w:rFonts w:hint="cs"/>
          <w:rtl/>
        </w:rPr>
        <w:t>(</w:t>
      </w:r>
      <w:r w:rsidRPr="00BC7DC2">
        <w:rPr>
          <w:rtl/>
        </w:rPr>
        <w:t>30.10.19</w:t>
      </w:r>
      <w:r w:rsidRPr="00BC7DC2">
        <w:rPr>
          <w:rFonts w:hint="cs"/>
          <w:rtl/>
        </w:rPr>
        <w:t>).</w:t>
      </w:r>
    </w:p>
  </w:footnote>
  <w:footnote w:id="133">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סעיף 8(ו) להנחיית פרקליט המדינה 2.2, "מדיניות האכיפה בעבירות הנלוות לזנות" (6.5.19).</w:t>
      </w:r>
    </w:p>
  </w:footnote>
  <w:footnote w:id="134">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 xml:space="preserve">נוהל מס' 6.3.0007, </w:t>
      </w:r>
      <w:r w:rsidRPr="00BC7DC2">
        <w:rPr>
          <w:b/>
          <w:bCs/>
          <w:rtl/>
        </w:rPr>
        <w:t>הטיפול במתן מעמד לנפגעות סחר בנשים מטעמים הומניטריים</w:t>
      </w:r>
      <w:r w:rsidRPr="00BC7DC2">
        <w:rPr>
          <w:rFonts w:hint="cs"/>
          <w:rtl/>
        </w:rPr>
        <w:t xml:space="preserve"> (1.6.06)</w:t>
      </w:r>
      <w:r w:rsidRPr="00BC7DC2">
        <w:t>.</w:t>
      </w:r>
    </w:p>
  </w:footnote>
  <w:footnote w:id="135">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 xml:space="preserve">נוהל מס' 6.3.0007, </w:t>
      </w:r>
      <w:r w:rsidRPr="00BC7DC2">
        <w:rPr>
          <w:b/>
          <w:bCs/>
          <w:rtl/>
        </w:rPr>
        <w:t>הטיפול במתן מעמד לנפגעות סחר בנשים מטעמים הומניטריים</w:t>
      </w:r>
      <w:r w:rsidRPr="00BC7DC2">
        <w:rPr>
          <w:rFonts w:hint="cs"/>
          <w:rtl/>
        </w:rPr>
        <w:t xml:space="preserve"> (1.6.06). כמו כן ראו </w:t>
      </w:r>
      <w:r w:rsidRPr="00BC7DC2">
        <w:rPr>
          <w:rtl/>
        </w:rPr>
        <w:t xml:space="preserve">נוהל מס' 5.3.0050, </w:t>
      </w:r>
      <w:r w:rsidRPr="00BC7DC2">
        <w:rPr>
          <w:b/>
          <w:bCs/>
          <w:rtl/>
        </w:rPr>
        <w:t>הטיפול בקורבנות סחר בנשים המבקשות להעיד</w:t>
      </w:r>
      <w:r w:rsidRPr="00BC7DC2">
        <w:rPr>
          <w:rtl/>
        </w:rPr>
        <w:t xml:space="preserve"> </w:t>
      </w:r>
      <w:r w:rsidRPr="00BC7DC2">
        <w:rPr>
          <w:rFonts w:hint="cs"/>
          <w:rtl/>
        </w:rPr>
        <w:t>(</w:t>
      </w:r>
      <w:r w:rsidRPr="00BC7DC2">
        <w:rPr>
          <w:rtl/>
        </w:rPr>
        <w:t>30.10.19</w:t>
      </w:r>
      <w:r w:rsidRPr="00BC7DC2">
        <w:rPr>
          <w:rFonts w:hint="cs"/>
          <w:rtl/>
        </w:rPr>
        <w:t>). לפי נוהל זה "אם מעמדה של העדה עדיין מוכר כקורבן סחר, באפשרותה להגיש בקשה לשנת שיקום להמשך שהות בארץ" (סעיף 6ב7).</w:t>
      </w:r>
    </w:p>
  </w:footnote>
  <w:footnote w:id="136">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הפועל מכוח סעיף 2 לחוק הסיוע המשפטי, התשל"ב-1972, ס"ח 654.</w:t>
      </w:r>
    </w:p>
  </w:footnote>
  <w:footnote w:id="137">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סעיף 8 להחלטת ממשלה 2806, "הקמת מקלט לקרבנות סחר בבני-אדם לעיסוק בזנות" (1.12.02).</w:t>
      </w:r>
    </w:p>
  </w:footnote>
  <w:footnote w:id="138">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 xml:space="preserve">נוהל מס' 10.8.0002, </w:t>
      </w:r>
      <w:r w:rsidRPr="00BC7DC2">
        <w:rPr>
          <w:rFonts w:hint="eastAsia"/>
          <w:b/>
          <w:bCs/>
          <w:rtl/>
        </w:rPr>
        <w:t>נוהל</w:t>
      </w:r>
      <w:r w:rsidRPr="00BC7DC2">
        <w:rPr>
          <w:b/>
          <w:bCs/>
          <w:rtl/>
        </w:rPr>
        <w:t xml:space="preserve"> </w:t>
      </w:r>
      <w:r w:rsidRPr="00BC7DC2">
        <w:rPr>
          <w:rFonts w:hint="eastAsia"/>
          <w:b/>
          <w:bCs/>
          <w:rtl/>
        </w:rPr>
        <w:t>הפעלת</w:t>
      </w:r>
      <w:r w:rsidRPr="00BC7DC2">
        <w:rPr>
          <w:b/>
          <w:bCs/>
          <w:rtl/>
        </w:rPr>
        <w:t xml:space="preserve"> </w:t>
      </w:r>
      <w:r w:rsidRPr="00BC7DC2">
        <w:rPr>
          <w:rFonts w:hint="eastAsia"/>
          <w:b/>
          <w:bCs/>
          <w:rtl/>
        </w:rPr>
        <w:t>סמכויות</w:t>
      </w:r>
      <w:r w:rsidRPr="00BC7DC2">
        <w:rPr>
          <w:b/>
          <w:bCs/>
          <w:rtl/>
        </w:rPr>
        <w:t xml:space="preserve"> </w:t>
      </w:r>
      <w:r w:rsidRPr="00BC7DC2">
        <w:rPr>
          <w:rFonts w:hint="eastAsia"/>
          <w:b/>
          <w:bCs/>
          <w:rtl/>
        </w:rPr>
        <w:t>פקח</w:t>
      </w:r>
      <w:r w:rsidRPr="00BC7DC2">
        <w:rPr>
          <w:rFonts w:hint="cs"/>
          <w:rtl/>
        </w:rPr>
        <w:t xml:space="preserve"> (15.8.12).</w:t>
      </w:r>
    </w:p>
  </w:footnote>
  <w:footnote w:id="139">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tl/>
        </w:rPr>
        <w:t xml:space="preserve">נוהל מס' 5.3.0050, </w:t>
      </w:r>
      <w:r w:rsidRPr="00BC7DC2">
        <w:rPr>
          <w:b/>
          <w:bCs/>
          <w:rtl/>
        </w:rPr>
        <w:t>הטיפול בקורבנות סחר בנשים המבקשות להעיד</w:t>
      </w:r>
      <w:r w:rsidRPr="00BC7DC2">
        <w:rPr>
          <w:rtl/>
        </w:rPr>
        <w:t xml:space="preserve"> </w:t>
      </w:r>
      <w:r w:rsidRPr="00BC7DC2">
        <w:rPr>
          <w:rFonts w:hint="cs"/>
          <w:rtl/>
        </w:rPr>
        <w:t>(</w:t>
      </w:r>
      <w:r w:rsidRPr="00BC7DC2">
        <w:rPr>
          <w:rtl/>
        </w:rPr>
        <w:t>30.10.19</w:t>
      </w:r>
      <w:r w:rsidRPr="00BC7DC2">
        <w:rPr>
          <w:rFonts w:hint="cs"/>
          <w:rtl/>
        </w:rPr>
        <w:t>).</w:t>
      </w:r>
    </w:p>
  </w:footnote>
  <w:footnote w:id="140">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מתוך חוות הדעת של המתאמת מיוני 2025.</w:t>
      </w:r>
    </w:p>
  </w:footnote>
  <w:footnote w:id="141">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אשרה המוענקת לפי סעיף 2(א)(5) לחוק הכניסה לישראל, התשי"ב-1952.</w:t>
      </w:r>
    </w:p>
  </w:footnote>
  <w:footnote w:id="142">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 xml:space="preserve">נוהל מס' 5.3.0050, </w:t>
      </w:r>
      <w:r w:rsidRPr="00BC7DC2">
        <w:rPr>
          <w:rFonts w:hint="eastAsia"/>
          <w:b/>
          <w:bCs/>
          <w:rtl/>
        </w:rPr>
        <w:t>הטיפול</w:t>
      </w:r>
      <w:r w:rsidRPr="00BC7DC2">
        <w:rPr>
          <w:b/>
          <w:bCs/>
          <w:rtl/>
        </w:rPr>
        <w:t xml:space="preserve"> </w:t>
      </w:r>
      <w:r w:rsidRPr="00BC7DC2">
        <w:rPr>
          <w:rFonts w:hint="eastAsia"/>
          <w:b/>
          <w:bCs/>
          <w:rtl/>
        </w:rPr>
        <w:t>בקורבנות</w:t>
      </w:r>
      <w:r w:rsidRPr="00BC7DC2">
        <w:rPr>
          <w:b/>
          <w:bCs/>
          <w:rtl/>
        </w:rPr>
        <w:t xml:space="preserve"> </w:t>
      </w:r>
      <w:r w:rsidRPr="00BC7DC2">
        <w:rPr>
          <w:rFonts w:hint="eastAsia"/>
          <w:b/>
          <w:bCs/>
          <w:rtl/>
        </w:rPr>
        <w:t>סחר</w:t>
      </w:r>
      <w:r w:rsidRPr="00BC7DC2">
        <w:rPr>
          <w:b/>
          <w:bCs/>
          <w:rtl/>
        </w:rPr>
        <w:t xml:space="preserve"> </w:t>
      </w:r>
      <w:r w:rsidRPr="00BC7DC2">
        <w:rPr>
          <w:rFonts w:hint="eastAsia"/>
          <w:b/>
          <w:bCs/>
          <w:rtl/>
        </w:rPr>
        <w:t>בנשים</w:t>
      </w:r>
      <w:r w:rsidRPr="00BC7DC2">
        <w:rPr>
          <w:b/>
          <w:bCs/>
          <w:rtl/>
        </w:rPr>
        <w:t xml:space="preserve"> </w:t>
      </w:r>
      <w:r w:rsidRPr="00BC7DC2">
        <w:rPr>
          <w:rFonts w:hint="eastAsia"/>
          <w:b/>
          <w:bCs/>
          <w:rtl/>
        </w:rPr>
        <w:t>המבקשות</w:t>
      </w:r>
      <w:r w:rsidRPr="00BC7DC2">
        <w:rPr>
          <w:b/>
          <w:bCs/>
          <w:rtl/>
        </w:rPr>
        <w:t xml:space="preserve"> </w:t>
      </w:r>
      <w:r w:rsidRPr="00BC7DC2">
        <w:rPr>
          <w:rFonts w:hint="eastAsia"/>
          <w:b/>
          <w:bCs/>
          <w:rtl/>
        </w:rPr>
        <w:t>להעיד</w:t>
      </w:r>
      <w:r w:rsidRPr="00BC7DC2">
        <w:rPr>
          <w:rFonts w:hint="cs"/>
          <w:rtl/>
        </w:rPr>
        <w:t xml:space="preserve"> (30.10.19); נוהל מס' 6.3.0006, </w:t>
      </w:r>
      <w:r w:rsidRPr="00BC7DC2">
        <w:rPr>
          <w:rFonts w:hint="eastAsia"/>
          <w:b/>
          <w:bCs/>
          <w:rtl/>
        </w:rPr>
        <w:t>הטיפול</w:t>
      </w:r>
      <w:r w:rsidRPr="00BC7DC2">
        <w:rPr>
          <w:b/>
          <w:bCs/>
          <w:rtl/>
        </w:rPr>
        <w:t xml:space="preserve"> </w:t>
      </w:r>
      <w:r w:rsidRPr="00BC7DC2">
        <w:rPr>
          <w:rFonts w:hint="eastAsia"/>
          <w:b/>
          <w:bCs/>
          <w:rtl/>
        </w:rPr>
        <w:t>בקורבנות</w:t>
      </w:r>
      <w:r w:rsidRPr="00BC7DC2">
        <w:rPr>
          <w:b/>
          <w:bCs/>
          <w:rtl/>
        </w:rPr>
        <w:t xml:space="preserve"> </w:t>
      </w:r>
      <w:r w:rsidRPr="00BC7DC2">
        <w:rPr>
          <w:rFonts w:hint="eastAsia"/>
          <w:b/>
          <w:bCs/>
          <w:rtl/>
        </w:rPr>
        <w:t>סחר</w:t>
      </w:r>
      <w:r w:rsidRPr="00BC7DC2">
        <w:rPr>
          <w:b/>
          <w:bCs/>
          <w:rtl/>
        </w:rPr>
        <w:t xml:space="preserve"> </w:t>
      </w:r>
      <w:r w:rsidRPr="00BC7DC2">
        <w:rPr>
          <w:rFonts w:hint="eastAsia"/>
          <w:b/>
          <w:bCs/>
          <w:rtl/>
        </w:rPr>
        <w:t>בנשים</w:t>
      </w:r>
      <w:r w:rsidRPr="00BC7DC2">
        <w:rPr>
          <w:b/>
          <w:bCs/>
          <w:rtl/>
        </w:rPr>
        <w:t xml:space="preserve"> </w:t>
      </w:r>
      <w:r w:rsidRPr="00BC7DC2">
        <w:rPr>
          <w:rFonts w:hint="eastAsia"/>
          <w:b/>
          <w:bCs/>
          <w:rtl/>
        </w:rPr>
        <w:t>המבקשות</w:t>
      </w:r>
      <w:r w:rsidRPr="00BC7DC2">
        <w:rPr>
          <w:b/>
          <w:bCs/>
          <w:rtl/>
        </w:rPr>
        <w:t xml:space="preserve"> </w:t>
      </w:r>
      <w:r w:rsidRPr="00BC7DC2">
        <w:rPr>
          <w:rFonts w:hint="eastAsia"/>
          <w:b/>
          <w:bCs/>
          <w:rtl/>
        </w:rPr>
        <w:t>להעיד</w:t>
      </w:r>
      <w:r w:rsidRPr="00BC7DC2">
        <w:rPr>
          <w:rFonts w:hint="cs"/>
          <w:rtl/>
        </w:rPr>
        <w:t xml:space="preserve"> (1.8.05).</w:t>
      </w:r>
    </w:p>
  </w:footnote>
  <w:footnote w:id="143">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tl/>
        </w:rPr>
        <w:t>נספח א' בהחלטת הממשלה 1862 (18.9.22).</w:t>
      </w:r>
    </w:p>
  </w:footnote>
  <w:footnote w:id="144">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tl/>
        </w:rPr>
        <w:t xml:space="preserve">יצוין כי לפי </w:t>
      </w:r>
      <w:r w:rsidRPr="00BC7DC2">
        <w:rPr>
          <w:rFonts w:hint="cs"/>
          <w:rtl/>
        </w:rPr>
        <w:t xml:space="preserve">נוהל מס' 1.6.0001, </w:t>
      </w:r>
      <w:r w:rsidRPr="00BC7DC2">
        <w:rPr>
          <w:b/>
          <w:bCs/>
          <w:rtl/>
        </w:rPr>
        <w:t>נוהל טיפול בבקשות ובעררים על החלטות לשכות ומטה רשות האוכלוסין וההגירה</w:t>
      </w:r>
      <w:r w:rsidRPr="00BC7DC2">
        <w:rPr>
          <w:rFonts w:hint="cs"/>
          <w:rtl/>
        </w:rPr>
        <w:t xml:space="preserve"> (24.2.22)</w:t>
      </w:r>
      <w:r w:rsidRPr="00BC7DC2">
        <w:rPr>
          <w:rtl/>
        </w:rPr>
        <w:t>, בקשות בנושא אשרות יוגשו בלשכה באזור המגורים של המבקש. עם זאת, הרשות ד</w:t>
      </w:r>
      <w:r w:rsidRPr="00BC7DC2">
        <w:rPr>
          <w:rFonts w:hint="cs"/>
          <w:rtl/>
        </w:rPr>
        <w:t xml:space="preserve">רשה </w:t>
      </w:r>
      <w:r w:rsidRPr="00BC7DC2">
        <w:rPr>
          <w:rtl/>
        </w:rPr>
        <w:t xml:space="preserve">מקורבנות הסחר בבני אדם לפנות ללשכה מסוימת של רשות האוכלוסין בלבד. לעיתים קורבנות הסחר אינן מתגוררות בקרבת הלשכה הספציפית, והגעתן </w:t>
      </w:r>
      <w:r w:rsidRPr="00BC7DC2">
        <w:rPr>
          <w:rFonts w:hint="cs"/>
          <w:rtl/>
        </w:rPr>
        <w:t>אליה</w:t>
      </w:r>
      <w:r w:rsidRPr="00BC7DC2">
        <w:rPr>
          <w:rtl/>
        </w:rPr>
        <w:t xml:space="preserve"> כרוכה בנסיעות רבות ו</w:t>
      </w:r>
      <w:r w:rsidRPr="00BC7DC2">
        <w:rPr>
          <w:rFonts w:hint="cs"/>
          <w:rtl/>
        </w:rPr>
        <w:t>ב</w:t>
      </w:r>
      <w:r w:rsidRPr="00BC7DC2">
        <w:rPr>
          <w:rtl/>
        </w:rPr>
        <w:t>אובדן יום עבודה.</w:t>
      </w:r>
    </w:p>
  </w:footnote>
  <w:footnote w:id="145">
    <w:p w:rsidR="00C87191" w:rsidRPr="00BC7DC2" w:rsidP="00E303AD">
      <w:pPr>
        <w:pStyle w:val="FootnoteText"/>
      </w:pPr>
      <w:r w:rsidRPr="00BC7DC2">
        <w:rPr>
          <w:rStyle w:val="FootnoteReference1"/>
        </w:rPr>
        <w:footnoteRef/>
      </w:r>
      <w:r w:rsidRPr="00BC7DC2">
        <w:t xml:space="preserve"> </w:t>
      </w:r>
      <w:r w:rsidRPr="00BC7DC2">
        <w:rPr>
          <w:rtl/>
        </w:rPr>
        <w:tab/>
      </w:r>
      <w:r w:rsidRPr="00BC7DC2">
        <w:rPr>
          <w:rFonts w:hint="cs"/>
          <w:rtl/>
        </w:rPr>
        <w:t>החלטת הממשלה 1862 (18.9.22).</w:t>
      </w:r>
    </w:p>
  </w:footnote>
  <w:footnote w:id="146">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 xml:space="preserve">משרד המשפטים, </w:t>
      </w:r>
      <w:r w:rsidRPr="00BC7DC2">
        <w:rPr>
          <w:rFonts w:hint="cs"/>
          <w:b/>
          <w:bCs/>
          <w:rtl/>
        </w:rPr>
        <w:t xml:space="preserve">דוח היחידה לתיאום המאבק בסחר בבני אדם לשנת 2023 </w:t>
      </w:r>
      <w:r w:rsidRPr="00BC7DC2">
        <w:rPr>
          <w:rFonts w:hint="cs"/>
          <w:rtl/>
        </w:rPr>
        <w:t>(דצמבר 2024).</w:t>
      </w:r>
    </w:p>
  </w:footnote>
  <w:footnote w:id="147">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נספח א' בהחלטת הממשלה 1862 (18.9.22).</w:t>
      </w:r>
      <w:r w:rsidRPr="00BC7DC2">
        <w:rPr>
          <w:rtl/>
        </w:rPr>
        <w:tab/>
      </w:r>
    </w:p>
  </w:footnote>
  <w:footnote w:id="148">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החלטת הממשלה 4463; חוק איסור סחר בבני אדם.</w:t>
      </w:r>
    </w:p>
  </w:footnote>
  <w:footnote w:id="149">
    <w:p w:rsidR="00C87191" w:rsidRPr="00BC7DC2" w:rsidP="00E303AD">
      <w:pPr>
        <w:pStyle w:val="FootnoteText"/>
      </w:pPr>
      <w:r w:rsidRPr="00BC7DC2">
        <w:rPr>
          <w:rStyle w:val="FootnoteReference1"/>
        </w:rPr>
        <w:footnoteRef/>
      </w:r>
      <w:r w:rsidRPr="00BC7DC2">
        <w:rPr>
          <w:rFonts w:hint="cs"/>
          <w:rtl/>
        </w:rPr>
        <w:t xml:space="preserve"> </w:t>
      </w:r>
      <w:r w:rsidRPr="00BC7DC2">
        <w:rPr>
          <w:rtl/>
        </w:rPr>
        <w:tab/>
      </w:r>
      <w:r w:rsidRPr="00BC7DC2">
        <w:rPr>
          <w:rFonts w:hint="cs"/>
          <w:rtl/>
        </w:rPr>
        <w:t xml:space="preserve">משרד המשפטים, </w:t>
      </w:r>
      <w:r w:rsidRPr="00BC7DC2">
        <w:rPr>
          <w:b/>
          <w:bCs/>
          <w:rtl/>
        </w:rPr>
        <w:t>נוהל המתאמת הבין משרדית למנגנון ההכרה באדם כקורבן סחר בבני אדם בהתאם להחלטת הממשלה 1862</w:t>
      </w:r>
      <w:r w:rsidRPr="00BC7DC2">
        <w:rPr>
          <w:rFonts w:hint="cs"/>
          <w:rtl/>
        </w:rPr>
        <w:t xml:space="preserve"> (22.12.24)</w:t>
      </w:r>
      <w:r w:rsidRPr="00BC7DC2">
        <w:rPr>
          <w:rStyle w:val="Hyperlink"/>
          <w:rFonts w:hint="cs"/>
          <w:color w:val="auto"/>
          <w:u w:val="none"/>
          <w:rtl/>
        </w:rPr>
        <w:t>.</w:t>
      </w:r>
      <w:r w:rsidRPr="00BC7DC2">
        <w:rPr>
          <w:rtl/>
        </w:rPr>
        <w:tab/>
      </w:r>
    </w:p>
  </w:footnote>
  <w:footnote w:id="150">
    <w:p w:rsidR="00C87191" w:rsidRPr="00BC7DC2" w:rsidP="00E303AD">
      <w:pPr>
        <w:pStyle w:val="FootnoteText"/>
        <w:rPr>
          <w:rtl/>
        </w:rPr>
      </w:pPr>
      <w:r w:rsidRPr="00BC7DC2">
        <w:rPr>
          <w:rStyle w:val="FootnoteReference1"/>
        </w:rPr>
        <w:footnoteRef/>
      </w:r>
      <w:r w:rsidRPr="00BC7DC2">
        <w:rPr>
          <w:rtl/>
        </w:rPr>
        <w:t xml:space="preserve"> </w:t>
      </w:r>
      <w:r w:rsidRPr="00BC7DC2">
        <w:tab/>
      </w:r>
      <w:r w:rsidRPr="00BC7DC2">
        <w:rPr>
          <w:rFonts w:hint="cs"/>
          <w:rtl/>
        </w:rPr>
        <w:t xml:space="preserve">החלטת הממשלה 4463; משרד המשפטים, </w:t>
      </w:r>
      <w:r w:rsidRPr="00BC7DC2">
        <w:rPr>
          <w:rFonts w:hint="cs"/>
          <w:b/>
          <w:bCs/>
          <w:rtl/>
        </w:rPr>
        <w:t xml:space="preserve">דוח היחידה לתיאום המאבק בסחר בבני אדם לשנת 2023 </w:t>
      </w:r>
      <w:r w:rsidRPr="00BC7DC2">
        <w:rPr>
          <w:rFonts w:hint="cs"/>
          <w:rtl/>
        </w:rPr>
        <w:t>(דצמבר 2024).</w:t>
      </w:r>
    </w:p>
  </w:footnote>
  <w:footnote w:id="151">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החלטת הממשלה 1862.</w:t>
      </w:r>
    </w:p>
  </w:footnote>
  <w:footnote w:id="152">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 xml:space="preserve">משרד המשפטים, </w:t>
      </w:r>
      <w:r w:rsidRPr="00BC7DC2">
        <w:rPr>
          <w:rFonts w:hint="cs"/>
          <w:b/>
          <w:bCs/>
          <w:rtl/>
        </w:rPr>
        <w:t xml:space="preserve">דוח היחידה לתיאום המאבק בסחר בבני אדם לשנת 2023 </w:t>
      </w:r>
      <w:r w:rsidRPr="00BC7DC2">
        <w:rPr>
          <w:rFonts w:hint="cs"/>
          <w:rtl/>
        </w:rPr>
        <w:t>(דצמבר 2024).</w:t>
      </w:r>
    </w:p>
  </w:footnote>
  <w:footnote w:id="153">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 xml:space="preserve">משרד המשפטים, </w:t>
      </w:r>
      <w:r w:rsidRPr="00BC7DC2">
        <w:rPr>
          <w:b/>
          <w:bCs/>
          <w:rtl/>
        </w:rPr>
        <w:t>נוהל המתאמת הבין משרדית למנגנון ההכרה באדם כקורבן סחר בבני אדם בהתאם להחלטת הממשלה 1862</w:t>
      </w:r>
      <w:r w:rsidRPr="00BC7DC2">
        <w:rPr>
          <w:rFonts w:hint="cs"/>
          <w:rtl/>
        </w:rPr>
        <w:t xml:space="preserve"> (22.12.24)</w:t>
      </w:r>
      <w:r w:rsidRPr="00BC7DC2">
        <w:rPr>
          <w:rStyle w:val="Hyperlink"/>
          <w:rFonts w:hint="cs"/>
          <w:color w:val="auto"/>
          <w:u w:val="none"/>
          <w:rtl/>
        </w:rPr>
        <w:t>.</w:t>
      </w:r>
    </w:p>
  </w:footnote>
  <w:footnote w:id="154">
    <w:p w:rsidR="00C87191" w:rsidRPr="00BC7DC2" w:rsidP="00E303AD">
      <w:pPr>
        <w:pStyle w:val="FootnoteText"/>
        <w:rPr>
          <w:rtl/>
        </w:rPr>
      </w:pPr>
      <w:r w:rsidRPr="00BC7DC2">
        <w:rPr>
          <w:rStyle w:val="FootnoteReference1"/>
        </w:rPr>
        <w:footnoteRef/>
      </w:r>
      <w:r w:rsidRPr="00BC7DC2">
        <w:rPr>
          <w:rtl/>
        </w:rPr>
        <w:t xml:space="preserve"> </w:t>
      </w:r>
      <w:r w:rsidRPr="00BC7DC2">
        <w:tab/>
      </w:r>
      <w:r w:rsidRPr="00BC7DC2">
        <w:rPr>
          <w:rFonts w:hint="cs"/>
          <w:rtl/>
        </w:rPr>
        <w:t xml:space="preserve">משרד המשפטים, </w:t>
      </w:r>
      <w:r w:rsidRPr="00BC7DC2">
        <w:rPr>
          <w:b/>
          <w:bCs/>
          <w:rtl/>
        </w:rPr>
        <w:t>נוהל המתאמת הבין משרדית למנגנון ההכרה באדם כקורבן סחר בבני אדם בהתאם להחלטת הממשלה 1862</w:t>
      </w:r>
      <w:r w:rsidRPr="00BC7DC2">
        <w:rPr>
          <w:rFonts w:hint="cs"/>
          <w:rtl/>
        </w:rPr>
        <w:t xml:space="preserve"> (22.12.24)</w:t>
      </w:r>
      <w:r w:rsidRPr="00BC7DC2">
        <w:rPr>
          <w:rStyle w:val="Hyperlink"/>
          <w:rFonts w:hint="cs"/>
          <w:color w:val="auto"/>
          <w:u w:val="none"/>
          <w:rtl/>
        </w:rPr>
        <w:t>.</w:t>
      </w:r>
    </w:p>
  </w:footnote>
  <w:footnote w:id="155">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 xml:space="preserve">אתר היחידה, על אודות יחידת התיאום הממשלתית למאבק בסחר בבני אדם, זנות ופוליגמיה (עדכון: 4.12.24), </w:t>
      </w:r>
      <w:r w:rsidRPr="00BC7DC2">
        <w:t>https://www.gov.il/he/pages/about_the_office_of_the_anti_trafficking_coordinator</w:t>
      </w:r>
      <w:r w:rsidRPr="00BC7DC2">
        <w:rPr>
          <w:rFonts w:hint="cs"/>
          <w:rtl/>
        </w:rPr>
        <w:t>.</w:t>
      </w:r>
    </w:p>
  </w:footnote>
  <w:footnote w:id="156">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 xml:space="preserve">משרד המשפטים, </w:t>
      </w:r>
      <w:r w:rsidRPr="00BC7DC2">
        <w:rPr>
          <w:rFonts w:hint="cs"/>
          <w:b/>
          <w:bCs/>
          <w:rtl/>
        </w:rPr>
        <w:t xml:space="preserve">דוח היחידה לתיאום המאבק בסחר בבני אדם לשנת 2023 </w:t>
      </w:r>
      <w:r w:rsidRPr="00BC7DC2">
        <w:rPr>
          <w:rFonts w:hint="cs"/>
          <w:rtl/>
        </w:rPr>
        <w:t>(דצמבר 2024).</w:t>
      </w:r>
    </w:p>
  </w:footnote>
  <w:footnote w:id="157">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נספח א' בהחלטת הממשלה 1862.</w:t>
      </w:r>
    </w:p>
  </w:footnote>
  <w:footnote w:id="158">
    <w:p w:rsidR="00C87191" w:rsidRPr="00BC7DC2" w:rsidP="00E303AD">
      <w:pPr>
        <w:pStyle w:val="FootnoteText"/>
      </w:pPr>
      <w:r w:rsidRPr="00BC7DC2">
        <w:rPr>
          <w:rStyle w:val="FootnoteReference1"/>
        </w:rPr>
        <w:footnoteRef/>
      </w:r>
      <w:r w:rsidRPr="00BC7DC2">
        <w:rPr>
          <w:rtl/>
        </w:rPr>
        <w:t xml:space="preserve"> </w:t>
      </w:r>
      <w:r w:rsidRPr="00BC7DC2">
        <w:rPr>
          <w:rtl/>
        </w:rPr>
        <w:tab/>
      </w:r>
      <w:bookmarkStart w:id="180" w:name="_Hlk205372103"/>
      <w:r w:rsidRPr="00BC7DC2">
        <w:rPr>
          <w:rFonts w:hint="cs"/>
          <w:rtl/>
        </w:rPr>
        <w:t>נספח א' בהחלטת הממשלה 1862.</w:t>
      </w:r>
      <w:bookmarkEnd w:id="180"/>
    </w:p>
  </w:footnote>
  <w:footnote w:id="159">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 xml:space="preserve">אתר רשות האוכלוסין וההגירה, </w:t>
      </w:r>
      <w:r w:rsidRPr="00BC7DC2">
        <w:rPr>
          <w:rFonts w:hint="eastAsia"/>
          <w:rtl/>
        </w:rPr>
        <w:t>מינהל</w:t>
      </w:r>
      <w:r w:rsidRPr="00BC7DC2">
        <w:rPr>
          <w:rtl/>
        </w:rPr>
        <w:t xml:space="preserve"> אכיפה וזרים</w:t>
      </w:r>
      <w:r w:rsidRPr="00BC7DC2">
        <w:rPr>
          <w:rFonts w:hint="cs"/>
          <w:rtl/>
        </w:rPr>
        <w:t xml:space="preserve"> (עדכון: 29.7.25).</w:t>
      </w:r>
    </w:p>
  </w:footnote>
  <w:footnote w:id="160">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eastAsia"/>
          <w:rtl/>
        </w:rPr>
        <w:t>למשל</w:t>
      </w:r>
      <w:r w:rsidRPr="00BC7DC2">
        <w:rPr>
          <w:rFonts w:hint="cs"/>
          <w:rtl/>
        </w:rPr>
        <w:t>, אין מנגנון לעבודה משותפת וסדירה בין המשטרה לבין מינהל אכיפה ברשות, וזאת על אף הצורך בכך ומודעות המשטרה לנושא.</w:t>
      </w:r>
    </w:p>
  </w:footnote>
  <w:footnote w:id="161">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tl/>
        </w:rPr>
        <w:t>החלט</w:t>
      </w:r>
      <w:r w:rsidRPr="00BC7DC2">
        <w:rPr>
          <w:rFonts w:hint="cs"/>
          <w:rtl/>
        </w:rPr>
        <w:t>ת הממשלה</w:t>
      </w:r>
      <w:r w:rsidRPr="00BC7DC2">
        <w:rPr>
          <w:rtl/>
        </w:rPr>
        <w:t xml:space="preserve"> 1752</w:t>
      </w:r>
      <w:r w:rsidRPr="00BC7DC2">
        <w:rPr>
          <w:rFonts w:hint="cs"/>
          <w:rtl/>
        </w:rPr>
        <w:t>, "</w:t>
      </w:r>
      <w:r w:rsidRPr="00BC7DC2">
        <w:rPr>
          <w:rtl/>
        </w:rPr>
        <w:t>ייעול ושיפור הפיקוח והאכיפה על העסקה של עובדים זרים ותיקון החלטות ממשלה</w:t>
      </w:r>
      <w:r w:rsidRPr="00BC7DC2">
        <w:rPr>
          <w:rFonts w:hint="cs"/>
          <w:rtl/>
        </w:rPr>
        <w:t>" (15.5.24).</w:t>
      </w:r>
    </w:p>
  </w:footnote>
  <w:footnote w:id="162">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נספח א' בהחלטת הממשלה 1862.</w:t>
      </w:r>
    </w:p>
  </w:footnote>
  <w:footnote w:id="163">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נספח א' בהחלטת הממשלה 1862.</w:t>
      </w:r>
    </w:p>
  </w:footnote>
  <w:footnote w:id="164">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 xml:space="preserve">האגף לחקירות ולמודיעין, </w:t>
      </w:r>
      <w:r w:rsidRPr="00BC7DC2">
        <w:rPr>
          <w:rFonts w:hint="eastAsia"/>
          <w:b/>
          <w:bCs/>
          <w:rtl/>
        </w:rPr>
        <w:t>נוהל</w:t>
      </w:r>
      <w:r w:rsidRPr="00BC7DC2">
        <w:rPr>
          <w:b/>
          <w:bCs/>
          <w:rtl/>
        </w:rPr>
        <w:t xml:space="preserve"> </w:t>
      </w:r>
      <w:r w:rsidRPr="00BC7DC2">
        <w:rPr>
          <w:rFonts w:hint="eastAsia"/>
          <w:b/>
          <w:bCs/>
          <w:rtl/>
        </w:rPr>
        <w:t>הטיפול</w:t>
      </w:r>
      <w:r w:rsidRPr="00BC7DC2">
        <w:rPr>
          <w:b/>
          <w:bCs/>
          <w:rtl/>
        </w:rPr>
        <w:t xml:space="preserve"> </w:t>
      </w:r>
      <w:r w:rsidRPr="00BC7DC2">
        <w:rPr>
          <w:rFonts w:hint="eastAsia"/>
          <w:b/>
          <w:bCs/>
          <w:rtl/>
        </w:rPr>
        <w:t>בעבירות</w:t>
      </w:r>
      <w:r w:rsidRPr="00BC7DC2">
        <w:rPr>
          <w:b/>
          <w:bCs/>
          <w:rtl/>
        </w:rPr>
        <w:t xml:space="preserve"> </w:t>
      </w:r>
      <w:r w:rsidRPr="00BC7DC2">
        <w:rPr>
          <w:rFonts w:hint="eastAsia"/>
          <w:b/>
          <w:bCs/>
          <w:rtl/>
        </w:rPr>
        <w:t>סחר</w:t>
      </w:r>
      <w:r w:rsidRPr="00BC7DC2">
        <w:rPr>
          <w:b/>
          <w:bCs/>
          <w:rtl/>
        </w:rPr>
        <w:t xml:space="preserve"> </w:t>
      </w:r>
      <w:r w:rsidRPr="00BC7DC2">
        <w:rPr>
          <w:rFonts w:hint="eastAsia"/>
          <w:b/>
          <w:bCs/>
          <w:rtl/>
        </w:rPr>
        <w:t>בבני</w:t>
      </w:r>
      <w:r w:rsidRPr="00BC7DC2">
        <w:rPr>
          <w:b/>
          <w:bCs/>
          <w:rtl/>
        </w:rPr>
        <w:t xml:space="preserve"> </w:t>
      </w:r>
      <w:r w:rsidRPr="00BC7DC2">
        <w:rPr>
          <w:rFonts w:hint="eastAsia"/>
          <w:b/>
          <w:bCs/>
          <w:rtl/>
        </w:rPr>
        <w:t>אדם</w:t>
      </w:r>
      <w:r w:rsidRPr="00BC7DC2">
        <w:rPr>
          <w:b/>
          <w:bCs/>
          <w:rtl/>
        </w:rPr>
        <w:t xml:space="preserve">, </w:t>
      </w:r>
      <w:r w:rsidRPr="00BC7DC2">
        <w:rPr>
          <w:rFonts w:hint="eastAsia"/>
          <w:b/>
          <w:bCs/>
          <w:rtl/>
        </w:rPr>
        <w:t>עבדות</w:t>
      </w:r>
      <w:r w:rsidRPr="00BC7DC2">
        <w:rPr>
          <w:b/>
          <w:bCs/>
          <w:rtl/>
        </w:rPr>
        <w:t xml:space="preserve"> </w:t>
      </w:r>
      <w:r w:rsidRPr="00BC7DC2">
        <w:rPr>
          <w:rFonts w:hint="eastAsia"/>
          <w:b/>
          <w:bCs/>
          <w:rtl/>
        </w:rPr>
        <w:t>ועבודת</w:t>
      </w:r>
      <w:r w:rsidRPr="00BC7DC2">
        <w:rPr>
          <w:b/>
          <w:bCs/>
          <w:rtl/>
        </w:rPr>
        <w:t xml:space="preserve"> </w:t>
      </w:r>
      <w:r w:rsidRPr="00BC7DC2">
        <w:rPr>
          <w:rFonts w:hint="eastAsia"/>
          <w:b/>
          <w:bCs/>
          <w:rtl/>
        </w:rPr>
        <w:t>כפייה</w:t>
      </w:r>
      <w:r w:rsidRPr="00BC7DC2">
        <w:rPr>
          <w:b/>
          <w:bCs/>
          <w:rtl/>
        </w:rPr>
        <w:t xml:space="preserve"> </w:t>
      </w:r>
      <w:r w:rsidRPr="00BC7DC2">
        <w:rPr>
          <w:rFonts w:hint="eastAsia"/>
          <w:b/>
          <w:bCs/>
          <w:rtl/>
        </w:rPr>
        <w:t>ועבירות</w:t>
      </w:r>
      <w:r w:rsidRPr="00BC7DC2">
        <w:rPr>
          <w:b/>
          <w:bCs/>
          <w:rtl/>
        </w:rPr>
        <w:t xml:space="preserve"> </w:t>
      </w:r>
      <w:r w:rsidRPr="00BC7DC2">
        <w:rPr>
          <w:rFonts w:hint="eastAsia"/>
          <w:b/>
          <w:bCs/>
          <w:rtl/>
        </w:rPr>
        <w:t>נלוות</w:t>
      </w:r>
      <w:r w:rsidRPr="00BC7DC2">
        <w:rPr>
          <w:b/>
          <w:bCs/>
          <w:rtl/>
        </w:rPr>
        <w:t xml:space="preserve"> </w:t>
      </w:r>
      <w:r w:rsidRPr="00BC7DC2">
        <w:rPr>
          <w:rFonts w:hint="eastAsia"/>
          <w:b/>
          <w:bCs/>
          <w:rtl/>
        </w:rPr>
        <w:t>לזנות</w:t>
      </w:r>
      <w:r w:rsidRPr="00BC7DC2">
        <w:rPr>
          <w:rFonts w:hint="cs"/>
          <w:rtl/>
        </w:rPr>
        <w:t xml:space="preserve"> (עודכן ביוני 2022).</w:t>
      </w:r>
    </w:p>
  </w:footnote>
  <w:footnote w:id="165">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 xml:space="preserve">רשות האוכלוסין וההגירה, נוהל מס' 5.3.0050, </w:t>
      </w:r>
      <w:r w:rsidRPr="00BC7DC2">
        <w:rPr>
          <w:rFonts w:hint="eastAsia"/>
          <w:b/>
          <w:bCs/>
          <w:rtl/>
        </w:rPr>
        <w:t>נוהל</w:t>
      </w:r>
      <w:r w:rsidRPr="00BC7DC2">
        <w:rPr>
          <w:b/>
          <w:bCs/>
          <w:rtl/>
        </w:rPr>
        <w:t xml:space="preserve"> </w:t>
      </w:r>
      <w:r w:rsidRPr="00BC7DC2">
        <w:rPr>
          <w:rFonts w:hint="eastAsia"/>
          <w:b/>
          <w:bCs/>
          <w:rtl/>
        </w:rPr>
        <w:t>הטיפול</w:t>
      </w:r>
      <w:r w:rsidRPr="00BC7DC2">
        <w:rPr>
          <w:b/>
          <w:bCs/>
          <w:rtl/>
        </w:rPr>
        <w:t xml:space="preserve"> </w:t>
      </w:r>
      <w:r w:rsidRPr="00BC7DC2">
        <w:rPr>
          <w:rFonts w:hint="eastAsia"/>
          <w:b/>
          <w:bCs/>
          <w:rtl/>
        </w:rPr>
        <w:t>בקורבנות</w:t>
      </w:r>
      <w:r w:rsidRPr="00BC7DC2">
        <w:rPr>
          <w:b/>
          <w:bCs/>
          <w:rtl/>
        </w:rPr>
        <w:t xml:space="preserve"> </w:t>
      </w:r>
      <w:r w:rsidRPr="00BC7DC2">
        <w:rPr>
          <w:rFonts w:hint="eastAsia"/>
          <w:b/>
          <w:bCs/>
          <w:rtl/>
        </w:rPr>
        <w:t>סחר</w:t>
      </w:r>
      <w:r w:rsidRPr="00BC7DC2">
        <w:rPr>
          <w:b/>
          <w:bCs/>
          <w:rtl/>
        </w:rPr>
        <w:t xml:space="preserve"> </w:t>
      </w:r>
      <w:r w:rsidRPr="00BC7DC2">
        <w:rPr>
          <w:rFonts w:hint="eastAsia"/>
          <w:b/>
          <w:bCs/>
          <w:rtl/>
        </w:rPr>
        <w:t>בנשים</w:t>
      </w:r>
      <w:r w:rsidRPr="00BC7DC2">
        <w:rPr>
          <w:b/>
          <w:bCs/>
          <w:rtl/>
        </w:rPr>
        <w:t xml:space="preserve"> </w:t>
      </w:r>
      <w:r w:rsidRPr="00BC7DC2">
        <w:rPr>
          <w:rFonts w:hint="eastAsia"/>
          <w:b/>
          <w:bCs/>
          <w:rtl/>
        </w:rPr>
        <w:t>המבקשות</w:t>
      </w:r>
      <w:r w:rsidRPr="00BC7DC2">
        <w:rPr>
          <w:b/>
          <w:bCs/>
          <w:rtl/>
        </w:rPr>
        <w:t xml:space="preserve"> </w:t>
      </w:r>
      <w:r w:rsidRPr="00BC7DC2">
        <w:rPr>
          <w:rFonts w:hint="eastAsia"/>
          <w:b/>
          <w:bCs/>
          <w:rtl/>
        </w:rPr>
        <w:t>להעיד</w:t>
      </w:r>
      <w:r w:rsidRPr="00BC7DC2">
        <w:rPr>
          <w:rFonts w:hint="cs"/>
          <w:rtl/>
        </w:rPr>
        <w:t xml:space="preserve"> (30.10.19).</w:t>
      </w:r>
    </w:p>
  </w:footnote>
  <w:footnote w:id="166">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אמנת הפליטים, שמדינת ישראל חתומה עליה, מחייבת, במסגרת עקרון אי-ההחזרה, לבחון אם נשקפת</w:t>
      </w:r>
      <w:r w:rsidRPr="00BC7DC2">
        <w:rPr>
          <w:rtl/>
        </w:rPr>
        <w:t xml:space="preserve"> סכנה ממשית לקורבן סחר בבני אדם במדינת מוצאו</w:t>
      </w:r>
      <w:r w:rsidRPr="00BC7DC2">
        <w:rPr>
          <w:rFonts w:hint="cs"/>
          <w:rtl/>
        </w:rPr>
        <w:t xml:space="preserve">. אם נשקפת סכנה כזאת, המדינה </w:t>
      </w:r>
      <w:r w:rsidRPr="00BC7DC2">
        <w:rPr>
          <w:rFonts w:ascii="David" w:hAnsi="David" w:hint="cs"/>
          <w:rtl/>
        </w:rPr>
        <w:t>מנועה</w:t>
      </w:r>
      <w:r w:rsidRPr="00BC7DC2">
        <w:rPr>
          <w:rtl/>
        </w:rPr>
        <w:t xml:space="preserve"> </w:t>
      </w:r>
      <w:r w:rsidRPr="00BC7DC2">
        <w:rPr>
          <w:rFonts w:ascii="David" w:hAnsi="David" w:hint="cs"/>
          <w:rtl/>
        </w:rPr>
        <w:t>מלהרחיקו</w:t>
      </w:r>
      <w:r w:rsidRPr="00BC7DC2">
        <w:rPr>
          <w:rtl/>
        </w:rPr>
        <w:t xml:space="preserve"> </w:t>
      </w:r>
      <w:r w:rsidRPr="00BC7DC2">
        <w:rPr>
          <w:rFonts w:ascii="David" w:hAnsi="David" w:hint="cs"/>
          <w:rtl/>
        </w:rPr>
        <w:t>למדינתו</w:t>
      </w:r>
      <w:r w:rsidRPr="00BC7DC2">
        <w:rPr>
          <w:rtl/>
        </w:rPr>
        <w:t xml:space="preserve">, </w:t>
      </w:r>
      <w:r w:rsidRPr="00BC7DC2">
        <w:rPr>
          <w:rFonts w:ascii="David" w:hAnsi="David" w:hint="cs"/>
          <w:rtl/>
        </w:rPr>
        <w:t>ועל</w:t>
      </w:r>
      <w:r w:rsidRPr="00BC7DC2">
        <w:rPr>
          <w:rtl/>
        </w:rPr>
        <w:t xml:space="preserve"> </w:t>
      </w:r>
      <w:r w:rsidRPr="00BC7DC2">
        <w:rPr>
          <w:rFonts w:ascii="David" w:hAnsi="David" w:hint="cs"/>
          <w:rtl/>
        </w:rPr>
        <w:t>כן</w:t>
      </w:r>
      <w:r w:rsidRPr="00BC7DC2">
        <w:rPr>
          <w:rtl/>
        </w:rPr>
        <w:t xml:space="preserve"> </w:t>
      </w:r>
      <w:r w:rsidRPr="00BC7DC2">
        <w:rPr>
          <w:rFonts w:ascii="David" w:hAnsi="David" w:hint="cs"/>
          <w:rtl/>
        </w:rPr>
        <w:t>פתוחה</w:t>
      </w:r>
      <w:r w:rsidRPr="00BC7DC2">
        <w:rPr>
          <w:rtl/>
        </w:rPr>
        <w:t xml:space="preserve"> </w:t>
      </w:r>
      <w:r w:rsidRPr="00BC7DC2">
        <w:rPr>
          <w:rFonts w:ascii="David" w:hAnsi="David" w:hint="cs"/>
          <w:rtl/>
        </w:rPr>
        <w:t>לפניו</w:t>
      </w:r>
      <w:r w:rsidRPr="00BC7DC2">
        <w:rPr>
          <w:rtl/>
        </w:rPr>
        <w:t xml:space="preserve"> </w:t>
      </w:r>
      <w:r w:rsidRPr="00BC7DC2">
        <w:rPr>
          <w:rFonts w:ascii="David" w:hAnsi="David" w:hint="cs"/>
          <w:rtl/>
        </w:rPr>
        <w:t>האפשרות</w:t>
      </w:r>
      <w:r w:rsidRPr="00BC7DC2">
        <w:rPr>
          <w:rtl/>
        </w:rPr>
        <w:t xml:space="preserve"> </w:t>
      </w:r>
      <w:r w:rsidRPr="00BC7DC2">
        <w:rPr>
          <w:rFonts w:ascii="David" w:hAnsi="David" w:hint="cs"/>
          <w:rtl/>
        </w:rPr>
        <w:t>להגיש</w:t>
      </w:r>
      <w:r w:rsidRPr="00BC7DC2">
        <w:rPr>
          <w:rtl/>
        </w:rPr>
        <w:t xml:space="preserve"> </w:t>
      </w:r>
      <w:r w:rsidRPr="00BC7DC2">
        <w:rPr>
          <w:rFonts w:ascii="David" w:hAnsi="David" w:hint="cs"/>
          <w:rtl/>
        </w:rPr>
        <w:t>בקשת</w:t>
      </w:r>
      <w:r w:rsidRPr="00BC7DC2">
        <w:rPr>
          <w:rtl/>
        </w:rPr>
        <w:t xml:space="preserve"> </w:t>
      </w:r>
      <w:r w:rsidRPr="00BC7DC2">
        <w:rPr>
          <w:rFonts w:ascii="David" w:hAnsi="David" w:hint="cs"/>
          <w:rtl/>
        </w:rPr>
        <w:t>מקלט</w:t>
      </w:r>
      <w:r w:rsidRPr="00BC7DC2">
        <w:rPr>
          <w:rtl/>
        </w:rPr>
        <w:t xml:space="preserve"> </w:t>
      </w:r>
      <w:r w:rsidRPr="00BC7DC2">
        <w:rPr>
          <w:rFonts w:ascii="David" w:hAnsi="David" w:hint="cs"/>
          <w:rtl/>
        </w:rPr>
        <w:t>או</w:t>
      </w:r>
      <w:r w:rsidRPr="00BC7DC2">
        <w:rPr>
          <w:rtl/>
        </w:rPr>
        <w:t xml:space="preserve"> </w:t>
      </w:r>
      <w:r w:rsidRPr="00BC7DC2">
        <w:rPr>
          <w:rFonts w:ascii="David" w:hAnsi="David" w:hint="cs"/>
          <w:rtl/>
        </w:rPr>
        <w:t>בקשת</w:t>
      </w:r>
      <w:r w:rsidRPr="00BC7DC2">
        <w:rPr>
          <w:rtl/>
        </w:rPr>
        <w:t xml:space="preserve"> </w:t>
      </w:r>
      <w:r w:rsidRPr="00BC7DC2">
        <w:rPr>
          <w:rFonts w:ascii="David" w:hAnsi="David" w:hint="cs"/>
          <w:rtl/>
        </w:rPr>
        <w:t>אשרה</w:t>
      </w:r>
      <w:r w:rsidRPr="00BC7DC2">
        <w:rPr>
          <w:rtl/>
        </w:rPr>
        <w:t xml:space="preserve"> </w:t>
      </w:r>
      <w:r w:rsidRPr="00BC7DC2">
        <w:rPr>
          <w:rFonts w:ascii="David" w:hAnsi="David" w:hint="cs"/>
          <w:rtl/>
        </w:rPr>
        <w:t>מטעמים</w:t>
      </w:r>
      <w:r w:rsidRPr="00BC7DC2">
        <w:rPr>
          <w:rtl/>
        </w:rPr>
        <w:t xml:space="preserve"> </w:t>
      </w:r>
      <w:r w:rsidRPr="00BC7DC2">
        <w:rPr>
          <w:rFonts w:ascii="David" w:hAnsi="David" w:hint="cs"/>
          <w:rtl/>
        </w:rPr>
        <w:t>הומניטריים</w:t>
      </w:r>
      <w:r w:rsidRPr="00BC7DC2">
        <w:rPr>
          <w:rtl/>
        </w:rPr>
        <w:t>.</w:t>
      </w:r>
      <w:r w:rsidRPr="00BC7DC2">
        <w:rPr>
          <w:rFonts w:hint="cs"/>
          <w:rtl/>
        </w:rPr>
        <w:t xml:space="preserve"> </w:t>
      </w:r>
    </w:p>
  </w:footnote>
  <w:footnote w:id="167">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eastAsia"/>
          <w:rtl/>
        </w:rPr>
        <w:t>למשל</w:t>
      </w:r>
      <w:r w:rsidRPr="00BC7DC2">
        <w:rPr>
          <w:rtl/>
        </w:rPr>
        <w:t xml:space="preserve"> </w:t>
      </w:r>
      <w:r w:rsidRPr="00BC7DC2">
        <w:rPr>
          <w:rFonts w:hint="eastAsia"/>
          <w:rtl/>
        </w:rPr>
        <w:t>העברת</w:t>
      </w:r>
      <w:r w:rsidRPr="00BC7DC2">
        <w:rPr>
          <w:rtl/>
        </w:rPr>
        <w:t xml:space="preserve"> </w:t>
      </w:r>
      <w:r w:rsidRPr="00BC7DC2">
        <w:rPr>
          <w:rFonts w:hint="eastAsia"/>
          <w:rtl/>
        </w:rPr>
        <w:t>ק</w:t>
      </w:r>
      <w:r w:rsidRPr="00BC7DC2">
        <w:rPr>
          <w:rFonts w:hint="cs"/>
          <w:rtl/>
        </w:rPr>
        <w:t>ו</w:t>
      </w:r>
      <w:r w:rsidRPr="00BC7DC2">
        <w:rPr>
          <w:rFonts w:hint="eastAsia"/>
          <w:rtl/>
        </w:rPr>
        <w:t>רבן</w:t>
      </w:r>
      <w:r w:rsidRPr="00BC7DC2">
        <w:rPr>
          <w:rtl/>
        </w:rPr>
        <w:t xml:space="preserve"> </w:t>
      </w:r>
      <w:r w:rsidRPr="00BC7DC2">
        <w:rPr>
          <w:rFonts w:hint="eastAsia"/>
          <w:rtl/>
        </w:rPr>
        <w:t>הסחר</w:t>
      </w:r>
      <w:r w:rsidRPr="00BC7DC2">
        <w:rPr>
          <w:rtl/>
        </w:rPr>
        <w:t xml:space="preserve"> למקום מוגן בארץ המוצא או עדכון הרשויות </w:t>
      </w:r>
      <w:r w:rsidRPr="00BC7DC2">
        <w:rPr>
          <w:rFonts w:hint="cs"/>
          <w:rtl/>
        </w:rPr>
        <w:t>בדבר</w:t>
      </w:r>
      <w:r w:rsidRPr="00BC7DC2">
        <w:rPr>
          <w:rtl/>
        </w:rPr>
        <w:t xml:space="preserve"> הגעתו.</w:t>
      </w:r>
    </w:p>
  </w:footnote>
  <w:footnote w:id="168">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 xml:space="preserve">נציבות האו"ם לפליטים, </w:t>
      </w:r>
      <w:r w:rsidRPr="00BC7DC2">
        <w:rPr>
          <w:b/>
          <w:bCs/>
          <w:rtl/>
        </w:rPr>
        <w:t>א</w:t>
      </w:r>
      <w:r w:rsidRPr="00BC7DC2">
        <w:rPr>
          <w:rFonts w:hint="eastAsia"/>
          <w:b/>
          <w:bCs/>
          <w:rtl/>
        </w:rPr>
        <w:t>מנ</w:t>
      </w:r>
      <w:r w:rsidRPr="00BC7DC2">
        <w:rPr>
          <w:b/>
          <w:bCs/>
          <w:rtl/>
        </w:rPr>
        <w:t>ה ופרוטוקול בדבר מעמדם של פליטים</w:t>
      </w:r>
      <w:r w:rsidRPr="00BC7DC2">
        <w:rPr>
          <w:rFonts w:hint="cs"/>
          <w:rtl/>
        </w:rPr>
        <w:t xml:space="preserve"> (1951), </w:t>
      </w:r>
      <w:r w:rsidRPr="00BC7DC2">
        <w:rPr>
          <w:rFonts w:hint="eastAsia"/>
          <w:rtl/>
        </w:rPr>
        <w:t>סימן</w:t>
      </w:r>
      <w:r w:rsidRPr="00BC7DC2">
        <w:rPr>
          <w:rtl/>
        </w:rPr>
        <w:t xml:space="preserve"> </w:t>
      </w:r>
      <w:r w:rsidRPr="00BC7DC2">
        <w:rPr>
          <w:rFonts w:hint="eastAsia"/>
          <w:rtl/>
        </w:rPr>
        <w:t>לג</w:t>
      </w:r>
      <w:r w:rsidRPr="00BC7DC2">
        <w:rPr>
          <w:rtl/>
        </w:rPr>
        <w:t>.</w:t>
      </w:r>
    </w:p>
  </w:footnote>
  <w:footnote w:id="169">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נספח א' בהחלטת הממשלה 1862.</w:t>
      </w:r>
    </w:p>
  </w:footnote>
  <w:footnote w:id="170">
    <w:p w:rsidR="00C87191" w:rsidRPr="00BC7DC2" w:rsidP="00E303AD">
      <w:pPr>
        <w:pStyle w:val="FootnoteText"/>
      </w:pPr>
      <w:r w:rsidRPr="00BC7DC2">
        <w:rPr>
          <w:rStyle w:val="FootnoteReference1"/>
        </w:rPr>
        <w:footnoteRef/>
      </w:r>
      <w:r w:rsidRPr="00BC7DC2">
        <w:rPr>
          <w:rtl/>
        </w:rPr>
        <w:t xml:space="preserve"> </w:t>
      </w:r>
      <w:r w:rsidRPr="00BC7DC2">
        <w:tab/>
      </w:r>
      <w:r w:rsidRPr="00BC7DC2">
        <w:rPr>
          <w:rFonts w:hint="cs"/>
          <w:rtl/>
        </w:rPr>
        <w:t>המחקר המלווה.</w:t>
      </w:r>
      <w:r w:rsidRPr="00BC7DC2">
        <w:rPr>
          <w:rFonts w:hint="cs"/>
          <w:rtl/>
        </w:rPr>
        <w:t xml:space="preserve"> </w:t>
      </w:r>
    </w:p>
  </w:footnote>
  <w:footnote w:id="171">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t>Trafficking Victims Protection Reauthorization Act of 2003, Pub. L. No. 108-193, 117 Stat. 2875 (2003)</w:t>
      </w:r>
      <w:r w:rsidRPr="00BC7DC2">
        <w:rPr>
          <w:rFonts w:hint="cs"/>
          <w:rtl/>
        </w:rPr>
        <w:t xml:space="preserve">. </w:t>
      </w:r>
    </w:p>
  </w:footnote>
  <w:footnote w:id="172">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 xml:space="preserve">למשל, במסגרת ההסמכה לתפקיד פקח בביקורת גבולות של מינהל אכיפה ברשות האוכלוסין כלולה הרצאה בנושא סחר בבני אדם המועברת על ידי יחידת התיאום, המשטרה ונציגת המקלט. כמו כן, מפעם לפעם ובהתאם להקצאות, נשלחים הפקחים להשתלמות בנושא. עם זאת, עדיין לא הוקם מערך הדרכה מובנה. במהלך הביקורת מסרו נציגי מינהל אכיפה כי הם פועלים לגיבוש תוכנית הדרכה מסודרת כדי להעמיק את הידע של עובדי המינהל בנושא זה. </w:t>
      </w:r>
    </w:p>
  </w:footnote>
  <w:footnote w:id="173">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tl/>
        </w:rPr>
        <w:t>חוק איסור סחר בבני</w:t>
      </w:r>
      <w:r w:rsidRPr="00BC7DC2">
        <w:rPr>
          <w:rFonts w:hint="cs"/>
          <w:rtl/>
        </w:rPr>
        <w:t xml:space="preserve"> </w:t>
      </w:r>
      <w:r w:rsidRPr="00BC7DC2">
        <w:rPr>
          <w:rtl/>
        </w:rPr>
        <w:t>אד</w:t>
      </w:r>
      <w:r w:rsidRPr="00BC7DC2">
        <w:rPr>
          <w:rFonts w:hint="cs"/>
          <w:rtl/>
        </w:rPr>
        <w:t>ם.</w:t>
      </w:r>
    </w:p>
  </w:footnote>
  <w:footnote w:id="174">
    <w:p w:rsidR="00C87191" w:rsidRPr="00BC7DC2" w:rsidP="00E303AD">
      <w:pPr>
        <w:pStyle w:val="FootnoteText"/>
        <w:rPr>
          <w:rtl/>
        </w:rPr>
      </w:pPr>
      <w:r w:rsidRPr="00BC7DC2">
        <w:rPr>
          <w:rStyle w:val="FootnoteReference1"/>
        </w:rPr>
        <w:footnoteRef/>
      </w:r>
      <w:r w:rsidRPr="00BC7DC2">
        <w:rPr>
          <w:rtl/>
        </w:rPr>
        <w:t xml:space="preserve"> </w:t>
      </w:r>
      <w:r w:rsidRPr="00BC7DC2">
        <w:tab/>
      </w:r>
      <w:r w:rsidRPr="00BC7DC2">
        <w:rPr>
          <w:rFonts w:hint="cs"/>
          <w:rtl/>
        </w:rPr>
        <w:t>סעיף 377ה(ד)(1) ל</w:t>
      </w:r>
      <w:r w:rsidRPr="00BC7DC2">
        <w:rPr>
          <w:rtl/>
        </w:rPr>
        <w:t>חוק איסור סחר בבני אדם</w:t>
      </w:r>
      <w:r w:rsidRPr="00BC7DC2">
        <w:rPr>
          <w:rFonts w:hint="cs"/>
          <w:rtl/>
        </w:rPr>
        <w:t xml:space="preserve">. </w:t>
      </w:r>
    </w:p>
  </w:footnote>
  <w:footnote w:id="175">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tl/>
        </w:rPr>
        <w:t xml:space="preserve">תקנות העונשין (דרכי הנהלת הקרן הייעודית לטיפול ברכוש שחולט ובקנסות שהוטלו בתיקי סחר בבני אדם והחזקה בתנאי עבדות), </w:t>
      </w:r>
      <w:r w:rsidRPr="00BC7DC2">
        <w:rPr>
          <w:rFonts w:hint="cs"/>
          <w:rtl/>
        </w:rPr>
        <w:t>ה</w:t>
      </w:r>
      <w:r w:rsidRPr="00BC7DC2">
        <w:rPr>
          <w:rtl/>
        </w:rPr>
        <w:t>תשס"ט-2009</w:t>
      </w:r>
      <w:r w:rsidRPr="00BC7DC2">
        <w:rPr>
          <w:rFonts w:hint="cs"/>
          <w:rtl/>
        </w:rPr>
        <w:t>.</w:t>
      </w:r>
    </w:p>
  </w:footnote>
  <w:footnote w:id="176">
    <w:p w:rsidR="00C87191" w:rsidRPr="00BC7DC2" w:rsidP="00E303AD">
      <w:pPr>
        <w:pStyle w:val="FootnoteText"/>
        <w:rPr>
          <w:rtl/>
        </w:rPr>
      </w:pPr>
      <w:r w:rsidRPr="00BC7DC2">
        <w:rPr>
          <w:rStyle w:val="FootnoteReference1"/>
        </w:rPr>
        <w:footnoteRef/>
      </w:r>
      <w:r w:rsidRPr="00BC7DC2">
        <w:rPr>
          <w:rtl/>
        </w:rPr>
        <w:t xml:space="preserve"> </w:t>
      </w:r>
      <w:r w:rsidRPr="00BC7DC2">
        <w:tab/>
      </w:r>
      <w:r w:rsidRPr="00BC7DC2">
        <w:rPr>
          <w:rFonts w:hint="cs"/>
          <w:rtl/>
        </w:rPr>
        <w:t>סעיף 377ה לחוק העונשין, התשל"ז-1977.</w:t>
      </w:r>
    </w:p>
  </w:footnote>
  <w:footnote w:id="177">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tl/>
        </w:rPr>
        <w:t xml:space="preserve">ע"פ 4031/12 </w:t>
      </w:r>
      <w:r w:rsidRPr="00BC7DC2">
        <w:rPr>
          <w:b/>
          <w:bCs/>
          <w:rtl/>
        </w:rPr>
        <w:t>רחמים סבן ואח' נ' מדינת ישרא</w:t>
      </w:r>
      <w:r w:rsidRPr="00BC7DC2">
        <w:rPr>
          <w:rFonts w:hint="cs"/>
          <w:b/>
          <w:bCs/>
          <w:rtl/>
        </w:rPr>
        <w:t>ל</w:t>
      </w:r>
      <w:r w:rsidRPr="00BC7DC2">
        <w:rPr>
          <w:rFonts w:hint="cs"/>
          <w:rtl/>
        </w:rPr>
        <w:t xml:space="preserve"> (פורסם במאגר ממוחשב, 11.12.13).</w:t>
      </w:r>
    </w:p>
  </w:footnote>
  <w:footnote w:id="178">
    <w:p w:rsidR="00C87191" w:rsidRPr="00BC7DC2" w:rsidP="00E303AD">
      <w:pPr>
        <w:pStyle w:val="FootnoteText"/>
        <w:rPr>
          <w:rtl/>
        </w:rPr>
      </w:pPr>
      <w:r w:rsidRPr="00BC7DC2">
        <w:rPr>
          <w:rStyle w:val="FootnoteReference1"/>
        </w:rPr>
        <w:footnoteRef/>
      </w:r>
      <w:r w:rsidRPr="00BC7DC2">
        <w:rPr>
          <w:rtl/>
        </w:rPr>
        <w:t xml:space="preserve"> </w:t>
      </w:r>
      <w:r w:rsidRPr="00BC7DC2">
        <w:tab/>
      </w:r>
      <w:r w:rsidRPr="00BC7DC2">
        <w:rPr>
          <w:rFonts w:hint="cs"/>
          <w:rtl/>
        </w:rPr>
        <w:t xml:space="preserve">משרד המשפטים, </w:t>
      </w:r>
      <w:r w:rsidRPr="00BC7DC2">
        <w:rPr>
          <w:rFonts w:hint="cs"/>
          <w:b/>
          <w:bCs/>
          <w:rtl/>
        </w:rPr>
        <w:t xml:space="preserve">דוח היחידה לתיאום המאבק בסחר בבני אדם לשנת 2023 </w:t>
      </w:r>
      <w:r w:rsidRPr="00BC7DC2">
        <w:rPr>
          <w:rFonts w:hint="cs"/>
          <w:rtl/>
        </w:rPr>
        <w:t>(דצמבר 2024).</w:t>
      </w:r>
    </w:p>
  </w:footnote>
  <w:footnote w:id="179">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 xml:space="preserve">משרד המשפטים, </w:t>
      </w:r>
      <w:r w:rsidRPr="00BC7DC2">
        <w:rPr>
          <w:rFonts w:hint="cs"/>
          <w:b/>
          <w:bCs/>
          <w:rtl/>
        </w:rPr>
        <w:t xml:space="preserve">דוח היחידה לתיאום המאבק בסחר בבני אדם לשנת 2023 </w:t>
      </w:r>
      <w:r w:rsidRPr="00BC7DC2">
        <w:rPr>
          <w:rFonts w:hint="cs"/>
          <w:rtl/>
        </w:rPr>
        <w:t>(דצמבר 2024); האתר הממשלתי להגשת בקשות לקרן החילוט (עודכן לאחרונה ב-12.6.25).</w:t>
      </w:r>
    </w:p>
  </w:footnote>
  <w:footnote w:id="180">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 xml:space="preserve">זאת </w:t>
      </w:r>
      <w:r w:rsidRPr="00BC7DC2">
        <w:rPr>
          <w:rtl/>
        </w:rPr>
        <w:t xml:space="preserve">באמצעות תיקון הגדרת </w:t>
      </w:r>
      <w:r w:rsidRPr="00BC7DC2">
        <w:rPr>
          <w:rFonts w:hint="cs"/>
          <w:rtl/>
        </w:rPr>
        <w:t>"</w:t>
      </w:r>
      <w:r w:rsidRPr="00BC7DC2">
        <w:rPr>
          <w:rtl/>
        </w:rPr>
        <w:t>עבירה</w:t>
      </w:r>
      <w:r w:rsidRPr="00BC7DC2">
        <w:rPr>
          <w:rFonts w:hint="cs"/>
          <w:rtl/>
        </w:rPr>
        <w:t>"</w:t>
      </w:r>
      <w:r w:rsidRPr="00BC7DC2">
        <w:rPr>
          <w:rtl/>
        </w:rPr>
        <w:t xml:space="preserve"> בסעיף 377ד לחוק העונשין והוספת עבירות רלוונטיות נוספות, </w:t>
      </w:r>
      <w:r w:rsidRPr="00BC7DC2">
        <w:rPr>
          <w:rFonts w:hint="cs"/>
          <w:rtl/>
        </w:rPr>
        <w:t>ו</w:t>
      </w:r>
      <w:r w:rsidRPr="00BC7DC2">
        <w:rPr>
          <w:rtl/>
        </w:rPr>
        <w:t>בהן עבודת כפייה (סעיף 376) וגרימה לעזיבת המדינה למטרת זנות או עבדות (סעיף 376ב).</w:t>
      </w:r>
    </w:p>
  </w:footnote>
  <w:footnote w:id="181">
    <w:p w:rsidR="00C87191" w:rsidRPr="00BC7DC2" w:rsidP="00E303AD">
      <w:pPr>
        <w:pStyle w:val="FootnoteText"/>
      </w:pPr>
      <w:r w:rsidRPr="00BC7DC2">
        <w:rPr>
          <w:rStyle w:val="FootnoteReference1"/>
        </w:rPr>
        <w:footnoteRef/>
      </w:r>
      <w:r w:rsidRPr="00BC7DC2">
        <w:rPr>
          <w:rtl/>
        </w:rPr>
        <w:t xml:space="preserve"> </w:t>
      </w:r>
      <w:r w:rsidRPr="00BC7DC2">
        <w:rPr>
          <w:rtl/>
        </w:rPr>
        <w:tab/>
      </w:r>
      <w:r w:rsidRPr="00BC7DC2">
        <w:rPr>
          <w:rFonts w:hint="cs"/>
          <w:rtl/>
        </w:rPr>
        <w:t xml:space="preserve">בעניין זה ראו </w:t>
      </w:r>
      <w:r w:rsidRPr="00BC7DC2">
        <w:rPr>
          <w:rFonts w:hint="cs"/>
          <w:sz w:val="16"/>
          <w:rtl/>
        </w:rPr>
        <w:t xml:space="preserve">מבקר המדינה, </w:t>
      </w:r>
      <w:r w:rsidRPr="00BC7DC2">
        <w:rPr>
          <w:rFonts w:hint="eastAsia"/>
          <w:b/>
          <w:bCs/>
          <w:sz w:val="16"/>
          <w:rtl/>
        </w:rPr>
        <w:t>דוח</w:t>
      </w:r>
      <w:r w:rsidRPr="00BC7DC2">
        <w:rPr>
          <w:b/>
          <w:bCs/>
          <w:sz w:val="16"/>
          <w:rtl/>
        </w:rPr>
        <w:t xml:space="preserve"> </w:t>
      </w:r>
      <w:r w:rsidRPr="00BC7DC2">
        <w:rPr>
          <w:rFonts w:hint="eastAsia"/>
          <w:b/>
          <w:bCs/>
          <w:sz w:val="16"/>
          <w:rtl/>
        </w:rPr>
        <w:t>שנתי</w:t>
      </w:r>
      <w:r w:rsidRPr="00BC7DC2">
        <w:rPr>
          <w:b/>
          <w:bCs/>
          <w:sz w:val="16"/>
          <w:rtl/>
        </w:rPr>
        <w:t xml:space="preserve"> 70ב</w:t>
      </w:r>
      <w:r w:rsidRPr="00BC7DC2">
        <w:rPr>
          <w:rFonts w:hint="cs"/>
          <w:sz w:val="16"/>
          <w:rtl/>
        </w:rPr>
        <w:t xml:space="preserve"> (2020), "</w:t>
      </w:r>
      <w:r w:rsidRPr="00BC7DC2">
        <w:rPr>
          <w:sz w:val="16"/>
          <w:rtl/>
        </w:rPr>
        <w:t>המאבק בפשיעה באמצעות אכיפה כלכלית וחילוטים</w:t>
      </w:r>
      <w:r w:rsidRPr="00BC7DC2">
        <w:rPr>
          <w:rFonts w:hint="cs"/>
          <w:sz w:val="16"/>
          <w:rtl/>
        </w:rPr>
        <w:t>" (2020).</w:t>
      </w:r>
    </w:p>
  </w:footnote>
  <w:footnote w:id="182">
    <w:p w:rsidR="00C87191" w:rsidRPr="00BC7DC2" w:rsidP="00E303AD">
      <w:pPr>
        <w:pStyle w:val="FootnoteText"/>
        <w:rPr>
          <w:rtl/>
        </w:rPr>
      </w:pPr>
      <w:r w:rsidRPr="00BC7DC2">
        <w:rPr>
          <w:rStyle w:val="FootnoteReference1"/>
        </w:rPr>
        <w:footnoteRef/>
      </w:r>
      <w:r w:rsidRPr="00BC7DC2">
        <w:rPr>
          <w:rtl/>
        </w:rPr>
        <w:t xml:space="preserve"> </w:t>
      </w:r>
      <w:r w:rsidRPr="00BC7DC2">
        <w:rPr>
          <w:rtl/>
        </w:rPr>
        <w:tab/>
      </w:r>
      <w:r w:rsidRPr="00BC7DC2">
        <w:rPr>
          <w:rFonts w:hint="cs"/>
          <w:rtl/>
        </w:rPr>
        <w:t xml:space="preserve">לרבות דיווחי אזרחים למוקד 100 ומידע </w:t>
      </w:r>
      <w:r w:rsidRPr="00BC7DC2">
        <w:rPr>
          <w:rFonts w:hint="eastAsia"/>
          <w:rtl/>
        </w:rPr>
        <w:t>ממרפאות</w:t>
      </w:r>
      <w:r w:rsidRPr="00BC7DC2">
        <w:rPr>
          <w:rtl/>
        </w:rPr>
        <w:t xml:space="preserve"> </w:t>
      </w:r>
      <w:r w:rsidRPr="00BC7DC2">
        <w:rPr>
          <w:rFonts w:hint="eastAsia"/>
          <w:rtl/>
        </w:rPr>
        <w:t>של</w:t>
      </w:r>
      <w:r w:rsidRPr="00BC7DC2">
        <w:rPr>
          <w:rtl/>
        </w:rPr>
        <w:t xml:space="preserve"> </w:t>
      </w:r>
      <w:r w:rsidRPr="00BC7DC2">
        <w:rPr>
          <w:rFonts w:hint="eastAsia"/>
          <w:rtl/>
        </w:rPr>
        <w:t>משרד</w:t>
      </w:r>
      <w:r w:rsidRPr="00BC7DC2">
        <w:rPr>
          <w:rtl/>
        </w:rPr>
        <w:t xml:space="preserve"> </w:t>
      </w:r>
      <w:r w:rsidRPr="00BC7DC2">
        <w:rPr>
          <w:rFonts w:hint="eastAsia"/>
          <w:rtl/>
        </w:rPr>
        <w:t>הבריאות</w:t>
      </w:r>
      <w:r w:rsidRPr="00BC7DC2">
        <w:rPr>
          <w:rtl/>
        </w:rPr>
        <w:t xml:space="preserve"> </w:t>
      </w:r>
      <w:r w:rsidRPr="00BC7DC2">
        <w:rPr>
          <w:rFonts w:hint="eastAsia"/>
          <w:rtl/>
        </w:rPr>
        <w:t>אשר</w:t>
      </w:r>
      <w:r w:rsidRPr="00BC7DC2">
        <w:rPr>
          <w:rtl/>
        </w:rPr>
        <w:t xml:space="preserve"> </w:t>
      </w:r>
      <w:r w:rsidRPr="00BC7DC2">
        <w:rPr>
          <w:rFonts w:hint="eastAsia"/>
          <w:rtl/>
        </w:rPr>
        <w:t>מטפלות</w:t>
      </w:r>
      <w:r w:rsidRPr="00BC7DC2">
        <w:rPr>
          <w:rtl/>
        </w:rPr>
        <w:t xml:space="preserve"> </w:t>
      </w:r>
      <w:r w:rsidRPr="00BC7DC2">
        <w:rPr>
          <w:rFonts w:hint="cs"/>
          <w:rtl/>
        </w:rPr>
        <w:t xml:space="preserve">בנפגעות זנות וסחר בבני אדם.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7191" w:rsidRPr="0062451B" w:rsidP="00AF57F9">
    <w:pPr>
      <w:pStyle w:val="Header"/>
      <w:ind w:right="-567"/>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70528" behindDoc="0" locked="0" layoutInCell="1" allowOverlap="1">
              <wp:simplePos x="0" y="0"/>
              <wp:positionH relativeFrom="column">
                <wp:posOffset>1503045</wp:posOffset>
              </wp:positionH>
              <wp:positionV relativeFrom="paragraph">
                <wp:posOffset>227965</wp:posOffset>
              </wp:positionV>
              <wp:extent cx="4588510" cy="285750"/>
              <wp:effectExtent l="0" t="0" r="0" b="0"/>
              <wp:wrapSquare wrapText="bothSides"/>
              <wp:docPr id="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588510" cy="285750"/>
                      </a:xfrm>
                      <a:prstGeom prst="rect">
                        <a:avLst/>
                      </a:prstGeom>
                      <a:noFill/>
                      <a:ln w="9525">
                        <a:noFill/>
                        <a:miter lim="800000"/>
                        <a:headEnd/>
                        <a:tailEnd/>
                      </a:ln>
                    </wps:spPr>
                    <wps:txbx>
                      <w:txbxContent>
                        <w:p w:rsidR="00C87191" w:rsidRPr="00AF57F9" w:rsidP="00AF57F9">
                          <w:pPr>
                            <w:ind w:left="427"/>
                            <w:rPr>
                              <w:rFonts w:ascii="Calibri" w:hAnsi="Calibri" w:cs="Calibri"/>
                              <w:color w:val="002060"/>
                              <w:szCs w:val="20"/>
                              <w:rtl/>
                            </w:rPr>
                          </w:pPr>
                          <w:r w:rsidRPr="008849E2">
                            <w:rPr>
                              <w:rFonts w:ascii="Calibri" w:hAnsi="Calibri" w:cs="Calibri"/>
                              <w:color w:val="002060"/>
                              <w:szCs w:val="20"/>
                              <w:rtl/>
                            </w:rPr>
                            <w:t>תופעות הזנות והסחר בבני אדם למטרות זנות - היבטים באכיפה ובהגנה על הקורבנות</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49" type="#_x0000_t202" style="width:361.3pt;height:22.5pt;margin-top:17.95pt;margin-left:118.35pt;flip:x;mso-height-percent:0;mso-height-relative:margin;mso-width-percent:0;mso-width-relative:margin;mso-wrap-distance-bottom:3.6pt;mso-wrap-distance-left:9pt;mso-wrap-distance-right:9pt;mso-wrap-distance-top:3.6pt;mso-wrap-style:square;position:absolute;visibility:visible;v-text-anchor:top;z-index:251671552" filled="f" stroked="f">
              <v:textbox>
                <w:txbxContent>
                  <w:p w:rsidR="00522B30" w:rsidRPr="00AF57F9" w:rsidP="00AF57F9">
                    <w:pPr>
                      <w:ind w:left="427"/>
                      <w:rPr>
                        <w:rFonts w:ascii="Calibri" w:hAnsi="Calibri" w:cs="Calibri"/>
                        <w:color w:val="002060"/>
                        <w:szCs w:val="20"/>
                        <w:rtl/>
                      </w:rPr>
                    </w:pPr>
                    <w:r w:rsidRPr="008849E2">
                      <w:rPr>
                        <w:rFonts w:ascii="Calibri" w:hAnsi="Calibri" w:cs="Calibri"/>
                        <w:color w:val="002060"/>
                        <w:szCs w:val="20"/>
                        <w:rtl/>
                      </w:rPr>
                      <w:t>תופעות הזנות והסחר בבני אדם למטרות זנות - היבטים באכיפה ובהגנה על הקורבנות</w:t>
                    </w:r>
                  </w:p>
                </w:txbxContent>
              </v:textbox>
              <w10:wrap type="square"/>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64384" behindDoc="0" locked="0" layoutInCell="1" allowOverlap="1">
              <wp:simplePos x="0" y="0"/>
              <wp:positionH relativeFrom="column">
                <wp:posOffset>-337185</wp:posOffset>
              </wp:positionH>
              <wp:positionV relativeFrom="paragraph">
                <wp:posOffset>207010</wp:posOffset>
              </wp:positionV>
              <wp:extent cx="6067425" cy="0"/>
              <wp:effectExtent l="0" t="0" r="0" b="0"/>
              <wp:wrapNone/>
              <wp:docPr id="2" name="מחבר ישר 2"/>
              <wp:cNvGraphicFramePr/>
              <a:graphic xmlns:a="http://schemas.openxmlformats.org/drawingml/2006/main">
                <a:graphicData uri="http://schemas.microsoft.com/office/word/2010/wordprocessingShape">
                  <wps:wsp xmlns:wps="http://schemas.microsoft.com/office/word/2010/wordprocessingShape">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2" o:spid="_x0000_s2050" style="flip:y;mso-height-percent:0;mso-height-relative:margin;mso-width-percent:0;mso-width-relative:margin;mso-wrap-distance-bottom:0;mso-wrap-distance-left:9pt;mso-wrap-distance-right:9pt;mso-wrap-distance-top:0;mso-wrap-style:square;position:absolute;visibility:visible;z-index:251665408" from="-26.55pt,16.3pt" to="451.2pt,16.3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6432" behindDoc="0" locked="0" layoutInCell="1" allowOverlap="1">
              <wp:simplePos x="0" y="0"/>
              <wp:positionH relativeFrom="column">
                <wp:posOffset>2930525</wp:posOffset>
              </wp:positionH>
              <wp:positionV relativeFrom="paragraph">
                <wp:posOffset>-100965</wp:posOffset>
              </wp:positionV>
              <wp:extent cx="3164205" cy="285750"/>
              <wp:effectExtent l="0" t="0" r="0" b="0"/>
              <wp:wrapSquare wrapText="bothSides"/>
              <wp:docPr id="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C87191" w:rsidRPr="0062451B" w:rsidP="00AF57F9">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1" type="#_x0000_t202" style="width:249.15pt;height:22.5pt;margin-top:-7.95pt;margin-left:230.75pt;flip:x;mso-height-percent:0;mso-height-relative:margin;mso-width-percent:0;mso-width-relative:margin;mso-wrap-distance-bottom:3.6pt;mso-wrap-distance-left:9pt;mso-wrap-distance-right:9pt;mso-wrap-distance-top:3.6pt;mso-wrap-style:square;position:absolute;visibility:visible;v-text-anchor:top;z-index:251667456" filled="f" stroked="f">
              <v:textbox>
                <w:txbxContent>
                  <w:p w:rsidR="00522B30" w:rsidRPr="0062451B" w:rsidP="00AF57F9">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8480" behindDoc="1" locked="0" layoutInCell="1" allowOverlap="1">
              <wp:simplePos x="0" y="0"/>
              <wp:positionH relativeFrom="page">
                <wp:posOffset>622935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C87191" w:rsidRPr="0062451B" w:rsidP="00AF57F9">
                          <w:pPr>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יולי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2" type="#_x0000_t202" style="width:249.15pt;height:22.5pt;margin-top:18.55pt;margin-left:49.05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46976" filled="f" stroked="f">
              <v:textbox>
                <w:txbxContent>
                  <w:p w:rsidR="00522B30" w:rsidRPr="0062451B" w:rsidP="00AF57F9">
                    <w:pPr>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יולי 2026</w:t>
                    </w:r>
                    <w:r w:rsidRPr="0062451B">
                      <w:rPr>
                        <w:rFonts w:ascii="Calibri" w:hAnsi="Calibri" w:cs="Calibri" w:hint="cs"/>
                        <w:color w:val="002060"/>
                        <w:szCs w:val="20"/>
                        <w:rtl/>
                      </w:rPr>
                      <w:t xml:space="preserve"> </w:t>
                    </w:r>
                  </w:p>
                </w:txbxContent>
              </v:textbox>
              <w10:wrap type="tight"/>
            </v:shape>
          </w:pict>
        </mc:Fallback>
      </mc:AlternateConten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1</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rsidR="00C87191" w:rsidRPr="007E53C6" w:rsidP="00AF57F9">
    <w:pPr>
      <w:pStyle w:val="Header"/>
    </w:pPr>
  </w:p>
  <w:p w:rsidR="00C871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7191" w:rsidRPr="0062451B" w:rsidP="007E53C6">
    <w:pPr>
      <w:pStyle w:val="Header"/>
      <w:ind w:right="-567"/>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58240" behindDoc="0" locked="0" layoutInCell="1" allowOverlap="1">
              <wp:simplePos x="0" y="0"/>
              <wp:positionH relativeFrom="column">
                <wp:posOffset>-337185</wp:posOffset>
              </wp:positionH>
              <wp:positionV relativeFrom="paragraph">
                <wp:posOffset>207010</wp:posOffset>
              </wp:positionV>
              <wp:extent cx="6067425" cy="0"/>
              <wp:effectExtent l="0" t="0" r="0" b="0"/>
              <wp:wrapNone/>
              <wp:docPr id="33" name="מחבר ישר 33"/>
              <wp:cNvGraphicFramePr/>
              <a:graphic xmlns:a="http://schemas.openxmlformats.org/drawingml/2006/main">
                <a:graphicData uri="http://schemas.microsoft.com/office/word/2010/wordprocessingShape">
                  <wps:wsp xmlns:wps="http://schemas.microsoft.com/office/word/2010/wordprocessingShape">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33" o:spid="_x0000_s2053" style="flip:y;mso-height-percent:0;mso-height-relative:margin;mso-width-percent:0;mso-width-relative:margin;mso-wrap-distance-bottom:0;mso-wrap-distance-left:9pt;mso-wrap-distance-right:9pt;mso-wrap-distance-top:0;mso-wrap-style:square;position:absolute;visibility:visible;z-index:251659264" from="-26.55pt,16.3pt" to="451.2pt,16.3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0288" behindDoc="0" locked="0" layoutInCell="1" allowOverlap="1">
              <wp:simplePos x="0" y="0"/>
              <wp:positionH relativeFrom="column">
                <wp:posOffset>2930525</wp:posOffset>
              </wp:positionH>
              <wp:positionV relativeFrom="paragraph">
                <wp:posOffset>-100965</wp:posOffset>
              </wp:positionV>
              <wp:extent cx="3164205" cy="285750"/>
              <wp:effectExtent l="0" t="0" r="0" b="0"/>
              <wp:wrapSquare wrapText="bothSides"/>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C87191" w:rsidRPr="0062451B"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4" type="#_x0000_t202" style="width:249.15pt;height:22.5pt;margin-top:-7.95pt;margin-left:230.75pt;flip:x;mso-height-percent:0;mso-height-relative:margin;mso-width-percent:0;mso-width-relative:margin;mso-wrap-distance-bottom:3.6pt;mso-wrap-distance-left:9pt;mso-wrap-distance-right:9pt;mso-wrap-distance-top:3.6pt;mso-wrap-style:square;position:absolute;visibility:visible;v-text-anchor:top;z-index:251661312" filled="f" stroked="f">
              <v:textbox>
                <w:txbxContent>
                  <w:p w:rsidR="00522B30" w:rsidRPr="0062451B"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2336" behindDoc="1" locked="0" layoutInCell="1" allowOverlap="1">
              <wp:simplePos x="0" y="0"/>
              <wp:positionH relativeFrom="page">
                <wp:posOffset>622935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C87191" w:rsidRPr="0062451B" w:rsidP="007E53C6">
                          <w:pPr>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יולי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5" type="#_x0000_t202" style="width:249.15pt;height:22.5pt;margin-top:18.55pt;margin-left:49.05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53120" filled="f" stroked="f">
              <v:textbox>
                <w:txbxContent>
                  <w:p w:rsidR="00522B30" w:rsidRPr="0062451B" w:rsidP="007E53C6">
                    <w:pPr>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יולי 2026</w:t>
                    </w:r>
                    <w:r w:rsidRPr="0062451B">
                      <w:rPr>
                        <w:rFonts w:ascii="Calibri" w:hAnsi="Calibri" w:cs="Calibri" w:hint="cs"/>
                        <w:color w:val="002060"/>
                        <w:szCs w:val="20"/>
                        <w:rtl/>
                      </w:rPr>
                      <w:t xml:space="preserve"> </w:t>
                    </w:r>
                  </w:p>
                </w:txbxContent>
              </v:textbox>
              <w10:wrap type="tight"/>
            </v:shape>
          </w:pict>
        </mc:Fallback>
      </mc:AlternateConten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3</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rsidR="00C87191" w:rsidRPr="007E53C6" w:rsidP="007E53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4265917"/>
    <w:multiLevelType w:val="multilevel"/>
    <w:tmpl w:val="0E2880D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52A4616"/>
    <w:multiLevelType w:val="multilevel"/>
    <w:tmpl w:val="BB288900"/>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hebrew1"/>
      <w:lvlText w:val="%7."/>
      <w:lvlJc w:val="center"/>
      <w:pPr>
        <w:ind w:left="2517" w:hanging="357"/>
      </w:pPr>
      <w:rPr>
        <w:b w:val="0"/>
        <w:bCs w:val="0"/>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056C243D"/>
    <w:multiLevelType w:val="multilevel"/>
    <w:tmpl w:val="89D88ECA"/>
    <w:lvl w:ilvl="0">
      <w:start w:val="1"/>
      <w:numFmt w:val="decimal"/>
      <w:lvlText w:val="%1."/>
      <w:lvlJc w:val="left"/>
      <w:pPr>
        <w:ind w:left="1105" w:hanging="340"/>
      </w:pPr>
      <w:rPr>
        <w:b/>
        <w:bCs/>
      </w:rPr>
    </w:lvl>
    <w:lvl w:ilvl="1">
      <w:start w:val="1"/>
      <w:numFmt w:val="hebrew1"/>
      <w:lvlText w:val="%2."/>
      <w:lvlJc w:val="left"/>
      <w:pPr>
        <w:ind w:left="1445" w:hanging="340"/>
      </w:pPr>
    </w:lvl>
    <w:lvl w:ilvl="2">
      <w:start w:val="1"/>
      <w:numFmt w:val="decimal"/>
      <w:lvlText w:val="(%3)"/>
      <w:lvlJc w:val="left"/>
      <w:pPr>
        <w:ind w:left="1842" w:hanging="397"/>
      </w:pPr>
    </w:lvl>
    <w:lvl w:ilvl="3">
      <w:start w:val="1"/>
      <w:numFmt w:val="hebrew1"/>
      <w:lvlText w:val="(%4)"/>
      <w:lvlJc w:val="left"/>
      <w:pPr>
        <w:ind w:left="2239" w:hanging="397"/>
      </w:pPr>
    </w:lvl>
    <w:lvl w:ilvl="4">
      <w:start w:val="1"/>
      <w:numFmt w:val="lowerLetter"/>
      <w:lvlText w:val="(%5)"/>
      <w:lvlJc w:val="left"/>
      <w:pPr>
        <w:ind w:left="2562" w:hanging="357"/>
      </w:pPr>
    </w:lvl>
    <w:lvl w:ilvl="5">
      <w:start w:val="1"/>
      <w:numFmt w:val="lowerRoman"/>
      <w:lvlText w:val="(%6)"/>
      <w:lvlJc w:val="left"/>
      <w:pPr>
        <w:ind w:left="2925" w:hanging="363"/>
      </w:pPr>
    </w:lvl>
    <w:lvl w:ilvl="6">
      <w:start w:val="1"/>
      <w:numFmt w:val="decimal"/>
      <w:lvlText w:val="%7."/>
      <w:lvlJc w:val="left"/>
      <w:pPr>
        <w:ind w:left="3282" w:hanging="357"/>
      </w:pPr>
    </w:lvl>
    <w:lvl w:ilvl="7">
      <w:start w:val="1"/>
      <w:numFmt w:val="lowerLetter"/>
      <w:lvlText w:val="%8."/>
      <w:lvlJc w:val="left"/>
      <w:pPr>
        <w:ind w:left="3645" w:hanging="363"/>
      </w:pPr>
    </w:lvl>
    <w:lvl w:ilvl="8">
      <w:start w:val="1"/>
      <w:numFmt w:val="lowerRoman"/>
      <w:lvlText w:val="%9."/>
      <w:lvlJc w:val="left"/>
      <w:pPr>
        <w:ind w:left="4002" w:hanging="357"/>
      </w:pPr>
    </w:lvl>
  </w:abstractNum>
  <w:abstractNum w:abstractNumId="3">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4">
    <w:nsid w:val="1DC12F84"/>
    <w:multiLevelType w:val="hybridMultilevel"/>
    <w:tmpl w:val="C2C47B0E"/>
    <w:lvl w:ilvl="0">
      <w:start w:val="1"/>
      <w:numFmt w:val="bullet"/>
      <w:lvlText w:val=""/>
      <w:lvlJc w:val="left"/>
      <w:pPr>
        <w:ind w:left="217" w:hanging="360"/>
      </w:pPr>
      <w:rPr>
        <w:rFonts w:ascii="Symbol" w:hAnsi="Symbol" w:hint="default"/>
        <w:b/>
        <w:color w:val="FF0000"/>
      </w:rPr>
    </w:lvl>
    <w:lvl w:ilvl="1" w:tentative="1">
      <w:start w:val="1"/>
      <w:numFmt w:val="lowerLetter"/>
      <w:lvlText w:val="%2."/>
      <w:lvlJc w:val="left"/>
      <w:pPr>
        <w:ind w:left="937" w:hanging="360"/>
      </w:pPr>
    </w:lvl>
    <w:lvl w:ilvl="2" w:tentative="1">
      <w:start w:val="1"/>
      <w:numFmt w:val="lowerRoman"/>
      <w:lvlText w:val="%3."/>
      <w:lvlJc w:val="right"/>
      <w:pPr>
        <w:ind w:left="1657" w:hanging="180"/>
      </w:pPr>
    </w:lvl>
    <w:lvl w:ilvl="3" w:tentative="1">
      <w:start w:val="1"/>
      <w:numFmt w:val="decimal"/>
      <w:lvlText w:val="%4."/>
      <w:lvlJc w:val="left"/>
      <w:pPr>
        <w:ind w:left="2377" w:hanging="360"/>
      </w:pPr>
    </w:lvl>
    <w:lvl w:ilvl="4" w:tentative="1">
      <w:start w:val="1"/>
      <w:numFmt w:val="lowerLetter"/>
      <w:lvlText w:val="%5."/>
      <w:lvlJc w:val="left"/>
      <w:pPr>
        <w:ind w:left="3097" w:hanging="360"/>
      </w:pPr>
    </w:lvl>
    <w:lvl w:ilvl="5" w:tentative="1">
      <w:start w:val="1"/>
      <w:numFmt w:val="lowerRoman"/>
      <w:lvlText w:val="%6."/>
      <w:lvlJc w:val="right"/>
      <w:pPr>
        <w:ind w:left="3817" w:hanging="180"/>
      </w:pPr>
    </w:lvl>
    <w:lvl w:ilvl="6" w:tentative="1">
      <w:start w:val="1"/>
      <w:numFmt w:val="decimal"/>
      <w:lvlText w:val="%7."/>
      <w:lvlJc w:val="left"/>
      <w:pPr>
        <w:ind w:left="4537" w:hanging="360"/>
      </w:pPr>
    </w:lvl>
    <w:lvl w:ilvl="7" w:tentative="1">
      <w:start w:val="1"/>
      <w:numFmt w:val="lowerLetter"/>
      <w:lvlText w:val="%8."/>
      <w:lvlJc w:val="left"/>
      <w:pPr>
        <w:ind w:left="5257" w:hanging="360"/>
      </w:pPr>
    </w:lvl>
    <w:lvl w:ilvl="8" w:tentative="1">
      <w:start w:val="1"/>
      <w:numFmt w:val="lowerRoman"/>
      <w:lvlText w:val="%9."/>
      <w:lvlJc w:val="right"/>
      <w:pPr>
        <w:ind w:left="5977" w:hanging="180"/>
      </w:pPr>
    </w:lvl>
  </w:abstractNum>
  <w:abstractNum w:abstractNumId="5">
    <w:nsid w:val="1EA2573B"/>
    <w:multiLevelType w:val="hybridMultilevel"/>
    <w:tmpl w:val="EA9CF56E"/>
    <w:lvl w:ilvl="0">
      <w:start w:val="1"/>
      <w:numFmt w:val="decimal"/>
      <w:lvlText w:val="%1."/>
      <w:lvlJc w:val="left"/>
      <w:pPr>
        <w:ind w:left="720" w:hanging="360"/>
      </w:pPr>
      <w:rPr>
        <w:rFonts w:hint="default"/>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65006A7"/>
    <w:multiLevelType w:val="hybridMultilevel"/>
    <w:tmpl w:val="14CAF21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7">
    <w:nsid w:val="29677F6F"/>
    <w:multiLevelType w:val="hybridMultilevel"/>
    <w:tmpl w:val="CB0045A4"/>
    <w:lvl w:ilvl="0">
      <w:start w:val="1"/>
      <w:numFmt w:val="decimal"/>
      <w:lvlText w:val="%1."/>
      <w:lvlJc w:val="left"/>
      <w:pPr>
        <w:ind w:left="360" w:hanging="360"/>
      </w:pPr>
      <w:rPr>
        <w:rFonts w:hint="default"/>
        <w:b w:val="0"/>
        <w:bCs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9">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0">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11">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2">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3">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14">
    <w:nsid w:val="44BA5DE5"/>
    <w:multiLevelType w:val="hybridMultilevel"/>
    <w:tmpl w:val="7C7E8234"/>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5">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16">
    <w:nsid w:val="57F4734C"/>
    <w:multiLevelType w:val="hybridMultilevel"/>
    <w:tmpl w:val="642EA948"/>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5D815C8E"/>
    <w:multiLevelType w:val="hybridMultilevel"/>
    <w:tmpl w:val="7358504A"/>
    <w:lvl w:ilvl="0">
      <w:start w:val="1"/>
      <w:numFmt w:val="bullet"/>
      <w:lvlText w:val=""/>
      <w:lvlJc w:val="left"/>
      <w:pPr>
        <w:ind w:left="217" w:hanging="360"/>
      </w:pPr>
      <w:rPr>
        <w:rFonts w:ascii="Symbol" w:hAnsi="Symbol" w:hint="default"/>
        <w:b/>
        <w:color w:val="FF0000"/>
        <w:sz w:val="22"/>
        <w:szCs w:val="22"/>
      </w:rPr>
    </w:lvl>
    <w:lvl w:ilvl="1" w:tentative="1">
      <w:start w:val="1"/>
      <w:numFmt w:val="lowerLetter"/>
      <w:lvlText w:val="%2."/>
      <w:lvlJc w:val="left"/>
      <w:pPr>
        <w:ind w:left="937" w:hanging="360"/>
      </w:pPr>
    </w:lvl>
    <w:lvl w:ilvl="2" w:tentative="1">
      <w:start w:val="1"/>
      <w:numFmt w:val="lowerRoman"/>
      <w:lvlText w:val="%3."/>
      <w:lvlJc w:val="right"/>
      <w:pPr>
        <w:ind w:left="1657" w:hanging="180"/>
      </w:pPr>
    </w:lvl>
    <w:lvl w:ilvl="3" w:tentative="1">
      <w:start w:val="1"/>
      <w:numFmt w:val="decimal"/>
      <w:lvlText w:val="%4."/>
      <w:lvlJc w:val="left"/>
      <w:pPr>
        <w:ind w:left="2377" w:hanging="360"/>
      </w:pPr>
    </w:lvl>
    <w:lvl w:ilvl="4" w:tentative="1">
      <w:start w:val="1"/>
      <w:numFmt w:val="lowerLetter"/>
      <w:lvlText w:val="%5."/>
      <w:lvlJc w:val="left"/>
      <w:pPr>
        <w:ind w:left="3097" w:hanging="360"/>
      </w:pPr>
    </w:lvl>
    <w:lvl w:ilvl="5" w:tentative="1">
      <w:start w:val="1"/>
      <w:numFmt w:val="lowerRoman"/>
      <w:lvlText w:val="%6."/>
      <w:lvlJc w:val="right"/>
      <w:pPr>
        <w:ind w:left="3817" w:hanging="180"/>
      </w:pPr>
    </w:lvl>
    <w:lvl w:ilvl="6" w:tentative="1">
      <w:start w:val="1"/>
      <w:numFmt w:val="decimal"/>
      <w:lvlText w:val="%7."/>
      <w:lvlJc w:val="left"/>
      <w:pPr>
        <w:ind w:left="4537" w:hanging="360"/>
      </w:pPr>
    </w:lvl>
    <w:lvl w:ilvl="7" w:tentative="1">
      <w:start w:val="1"/>
      <w:numFmt w:val="lowerLetter"/>
      <w:lvlText w:val="%8."/>
      <w:lvlJc w:val="left"/>
      <w:pPr>
        <w:ind w:left="5257" w:hanging="360"/>
      </w:pPr>
    </w:lvl>
    <w:lvl w:ilvl="8" w:tentative="1">
      <w:start w:val="1"/>
      <w:numFmt w:val="lowerRoman"/>
      <w:lvlText w:val="%9."/>
      <w:lvlJc w:val="right"/>
      <w:pPr>
        <w:ind w:left="5977" w:hanging="180"/>
      </w:pPr>
    </w:lvl>
  </w:abstractNum>
  <w:abstractNum w:abstractNumId="18">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0">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1">
    <w:nsid w:val="705C3C08"/>
    <w:multiLevelType w:val="multilevel"/>
    <w:tmpl w:val="2C3E9E22"/>
    <w:lvl w:ilvl="0">
      <w:start w:val="1"/>
      <w:numFmt w:val="bullet"/>
      <w:lvlText w:val=""/>
      <w:lvlJc w:val="left"/>
      <w:pPr>
        <w:ind w:left="340" w:hanging="340"/>
      </w:pPr>
      <w:rPr>
        <w:rFonts w:ascii="Symbol" w:hAnsi="Symbol" w:hint="default"/>
        <w:color w:val="FF000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23">
    <w:nsid w:val="7F622778"/>
    <w:multiLevelType w:val="multilevel"/>
    <w:tmpl w:val="B4DE4174"/>
    <w:lvl w:ilvl="0">
      <w:start w:val="1"/>
      <w:numFmt w:val="bullet"/>
      <w:lvlText w:val=""/>
      <w:lvlJc w:val="left"/>
      <w:pPr>
        <w:ind w:left="340" w:hanging="340"/>
      </w:pPr>
      <w:rPr>
        <w:rFonts w:ascii="Symbol" w:hAnsi="Symbol" w:hint="default"/>
        <w:color w:val="FF000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bullet"/>
      <w:lvlText w:val=""/>
      <w:lvlJc w:val="left"/>
      <w:pPr>
        <w:ind w:left="2517" w:hanging="357"/>
      </w:pPr>
      <w:rPr>
        <w:rFonts w:ascii="Symbol" w:hAnsi="Symbol" w:hint="default"/>
        <w:color w:val="FF0000"/>
      </w:r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22"/>
  </w:num>
  <w:num w:numId="2">
    <w:abstractNumId w:val="15"/>
  </w:num>
  <w:num w:numId="3">
    <w:abstractNumId w:val="12"/>
  </w:num>
  <w:num w:numId="4">
    <w:abstractNumId w:val="3"/>
  </w:num>
  <w:num w:numId="5">
    <w:abstractNumId w:val="13"/>
  </w:num>
  <w:num w:numId="6">
    <w:abstractNumId w:val="19"/>
  </w:num>
  <w:num w:numId="7">
    <w:abstractNumId w:val="11"/>
  </w:num>
  <w:num w:numId="8">
    <w:abstractNumId w:val="9"/>
  </w:num>
  <w:num w:numId="9">
    <w:abstractNumId w:val="8"/>
  </w:num>
  <w:num w:numId="10">
    <w:abstractNumId w:val="10"/>
  </w:num>
  <w:num w:numId="11">
    <w:abstractNumId w:val="7"/>
  </w:num>
  <w:num w:numId="12">
    <w:abstractNumId w:val="20"/>
  </w:num>
  <w:num w:numId="13">
    <w:abstractNumId w:val="18"/>
  </w:num>
  <w:num w:numId="14">
    <w:abstractNumId w:val="4"/>
  </w:num>
  <w:num w:numId="15">
    <w:abstractNumId w:val="17"/>
  </w:num>
  <w:num w:numId="16">
    <w:abstractNumId w:val="21"/>
  </w:num>
  <w:num w:numId="17">
    <w:abstractNumId w:val="23"/>
  </w:num>
  <w:num w:numId="18">
    <w:abstractNumId w:val="2"/>
  </w:num>
  <w:num w:numId="19">
    <w:abstractNumId w:val="5"/>
  </w:num>
  <w:num w:numId="20">
    <w:abstractNumId w:val="16"/>
  </w:num>
  <w:num w:numId="21">
    <w:abstractNumId w:val="14"/>
  </w:num>
  <w:num w:numId="22">
    <w:abstractNumId w:val="1"/>
  </w:num>
  <w:num w:numId="23">
    <w:abstractNumId w:val="6"/>
  </w:num>
  <w:num w:numId="24">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SortMethod w:val="name"/>
  <w:trackRevisions/>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3B77"/>
    <w:rsid w:val="0001735B"/>
    <w:rsid w:val="00031BCB"/>
    <w:rsid w:val="00042837"/>
    <w:rsid w:val="000501A4"/>
    <w:rsid w:val="000532AA"/>
    <w:rsid w:val="00056FDC"/>
    <w:rsid w:val="00077C3D"/>
    <w:rsid w:val="000B1102"/>
    <w:rsid w:val="000C7459"/>
    <w:rsid w:val="000E013E"/>
    <w:rsid w:val="000E21EB"/>
    <w:rsid w:val="000F7725"/>
    <w:rsid w:val="0010157A"/>
    <w:rsid w:val="00101D0F"/>
    <w:rsid w:val="001132D6"/>
    <w:rsid w:val="00113E28"/>
    <w:rsid w:val="00114325"/>
    <w:rsid w:val="00166477"/>
    <w:rsid w:val="001730B0"/>
    <w:rsid w:val="00184F19"/>
    <w:rsid w:val="001960B4"/>
    <w:rsid w:val="001A613C"/>
    <w:rsid w:val="001B2821"/>
    <w:rsid w:val="001C057E"/>
    <w:rsid w:val="001C6185"/>
    <w:rsid w:val="001E204F"/>
    <w:rsid w:val="001E31FA"/>
    <w:rsid w:val="001E48F7"/>
    <w:rsid w:val="00203604"/>
    <w:rsid w:val="00205877"/>
    <w:rsid w:val="002064F7"/>
    <w:rsid w:val="002131B5"/>
    <w:rsid w:val="00221641"/>
    <w:rsid w:val="00240887"/>
    <w:rsid w:val="00240A84"/>
    <w:rsid w:val="00256611"/>
    <w:rsid w:val="00263521"/>
    <w:rsid w:val="00275816"/>
    <w:rsid w:val="00284A43"/>
    <w:rsid w:val="002875E3"/>
    <w:rsid w:val="002A7D21"/>
    <w:rsid w:val="002C0FD0"/>
    <w:rsid w:val="002C1EE0"/>
    <w:rsid w:val="002C4139"/>
    <w:rsid w:val="002D1873"/>
    <w:rsid w:val="002F6BF4"/>
    <w:rsid w:val="00301153"/>
    <w:rsid w:val="00313DEA"/>
    <w:rsid w:val="00323027"/>
    <w:rsid w:val="00364EB2"/>
    <w:rsid w:val="00367CD6"/>
    <w:rsid w:val="0037370B"/>
    <w:rsid w:val="0037752E"/>
    <w:rsid w:val="00380052"/>
    <w:rsid w:val="00386E9B"/>
    <w:rsid w:val="0039415D"/>
    <w:rsid w:val="003D61C6"/>
    <w:rsid w:val="003E58C2"/>
    <w:rsid w:val="003F31C2"/>
    <w:rsid w:val="0047002B"/>
    <w:rsid w:val="0047396B"/>
    <w:rsid w:val="004779AA"/>
    <w:rsid w:val="004A0385"/>
    <w:rsid w:val="004C7D9F"/>
    <w:rsid w:val="004D74D8"/>
    <w:rsid w:val="005006C5"/>
    <w:rsid w:val="00512A2D"/>
    <w:rsid w:val="00514BA9"/>
    <w:rsid w:val="00522B30"/>
    <w:rsid w:val="0052657B"/>
    <w:rsid w:val="00551B42"/>
    <w:rsid w:val="00551FF7"/>
    <w:rsid w:val="00562836"/>
    <w:rsid w:val="00573B28"/>
    <w:rsid w:val="00574579"/>
    <w:rsid w:val="00580C5C"/>
    <w:rsid w:val="005A021D"/>
    <w:rsid w:val="005C62F0"/>
    <w:rsid w:val="0062451B"/>
    <w:rsid w:val="00634DAD"/>
    <w:rsid w:val="00640B60"/>
    <w:rsid w:val="006455A9"/>
    <w:rsid w:val="006457EB"/>
    <w:rsid w:val="006531CB"/>
    <w:rsid w:val="006D4161"/>
    <w:rsid w:val="006D786C"/>
    <w:rsid w:val="006E1414"/>
    <w:rsid w:val="006E5677"/>
    <w:rsid w:val="006F285F"/>
    <w:rsid w:val="0072219B"/>
    <w:rsid w:val="007474F0"/>
    <w:rsid w:val="00753ADE"/>
    <w:rsid w:val="00773F61"/>
    <w:rsid w:val="007A4468"/>
    <w:rsid w:val="007A4EBD"/>
    <w:rsid w:val="007B112B"/>
    <w:rsid w:val="007B5B26"/>
    <w:rsid w:val="007B691A"/>
    <w:rsid w:val="007C1298"/>
    <w:rsid w:val="007C1FF6"/>
    <w:rsid w:val="007D61B8"/>
    <w:rsid w:val="007E53C6"/>
    <w:rsid w:val="007F7FF2"/>
    <w:rsid w:val="00801B1E"/>
    <w:rsid w:val="00805B42"/>
    <w:rsid w:val="008102AD"/>
    <w:rsid w:val="008238B4"/>
    <w:rsid w:val="00837997"/>
    <w:rsid w:val="008630BC"/>
    <w:rsid w:val="00867FC5"/>
    <w:rsid w:val="008849E2"/>
    <w:rsid w:val="00892F80"/>
    <w:rsid w:val="008B4F41"/>
    <w:rsid w:val="008C6F75"/>
    <w:rsid w:val="009015B2"/>
    <w:rsid w:val="00903F8B"/>
    <w:rsid w:val="00906E90"/>
    <w:rsid w:val="0091051D"/>
    <w:rsid w:val="00914F5C"/>
    <w:rsid w:val="00936F84"/>
    <w:rsid w:val="00940851"/>
    <w:rsid w:val="0094653A"/>
    <w:rsid w:val="009679D9"/>
    <w:rsid w:val="0099692E"/>
    <w:rsid w:val="009C6066"/>
    <w:rsid w:val="009C6E19"/>
    <w:rsid w:val="009D73F5"/>
    <w:rsid w:val="009E1A3F"/>
    <w:rsid w:val="009E2768"/>
    <w:rsid w:val="009E53CF"/>
    <w:rsid w:val="009F0BD3"/>
    <w:rsid w:val="009F764B"/>
    <w:rsid w:val="00A13018"/>
    <w:rsid w:val="00A222E2"/>
    <w:rsid w:val="00A57D15"/>
    <w:rsid w:val="00A61AD5"/>
    <w:rsid w:val="00A73038"/>
    <w:rsid w:val="00A76C99"/>
    <w:rsid w:val="00A81EBE"/>
    <w:rsid w:val="00A92970"/>
    <w:rsid w:val="00AB05C7"/>
    <w:rsid w:val="00AC6B95"/>
    <w:rsid w:val="00AD748F"/>
    <w:rsid w:val="00AF57F9"/>
    <w:rsid w:val="00B00E5C"/>
    <w:rsid w:val="00B4321D"/>
    <w:rsid w:val="00B666B9"/>
    <w:rsid w:val="00B7199B"/>
    <w:rsid w:val="00B74B90"/>
    <w:rsid w:val="00B76DC1"/>
    <w:rsid w:val="00B862C0"/>
    <w:rsid w:val="00B908E2"/>
    <w:rsid w:val="00B96230"/>
    <w:rsid w:val="00BA7E35"/>
    <w:rsid w:val="00BC7DC2"/>
    <w:rsid w:val="00BD7D01"/>
    <w:rsid w:val="00BE2DD8"/>
    <w:rsid w:val="00BE68F2"/>
    <w:rsid w:val="00C2305A"/>
    <w:rsid w:val="00C23CC9"/>
    <w:rsid w:val="00C30B3D"/>
    <w:rsid w:val="00C33AE2"/>
    <w:rsid w:val="00C40DCE"/>
    <w:rsid w:val="00C619BE"/>
    <w:rsid w:val="00C66688"/>
    <w:rsid w:val="00C8096C"/>
    <w:rsid w:val="00C8100B"/>
    <w:rsid w:val="00C85FAB"/>
    <w:rsid w:val="00C87191"/>
    <w:rsid w:val="00C91050"/>
    <w:rsid w:val="00CA41D2"/>
    <w:rsid w:val="00CA4F20"/>
    <w:rsid w:val="00CB7277"/>
    <w:rsid w:val="00CB7C1A"/>
    <w:rsid w:val="00CE3828"/>
    <w:rsid w:val="00CE589E"/>
    <w:rsid w:val="00D0657A"/>
    <w:rsid w:val="00D07FBA"/>
    <w:rsid w:val="00D22748"/>
    <w:rsid w:val="00D25D93"/>
    <w:rsid w:val="00D26918"/>
    <w:rsid w:val="00D37121"/>
    <w:rsid w:val="00D779F7"/>
    <w:rsid w:val="00D871D5"/>
    <w:rsid w:val="00D87542"/>
    <w:rsid w:val="00D95C20"/>
    <w:rsid w:val="00D97C16"/>
    <w:rsid w:val="00DB429E"/>
    <w:rsid w:val="00DE1DAB"/>
    <w:rsid w:val="00DE20A2"/>
    <w:rsid w:val="00DE6F28"/>
    <w:rsid w:val="00DF0B89"/>
    <w:rsid w:val="00E01370"/>
    <w:rsid w:val="00E303AD"/>
    <w:rsid w:val="00E35682"/>
    <w:rsid w:val="00E418FB"/>
    <w:rsid w:val="00E46EA3"/>
    <w:rsid w:val="00E51C1B"/>
    <w:rsid w:val="00E53DA7"/>
    <w:rsid w:val="00EC6B44"/>
    <w:rsid w:val="00EE37A3"/>
    <w:rsid w:val="00F2308B"/>
    <w:rsid w:val="00F4385E"/>
    <w:rsid w:val="00F53FA9"/>
    <w:rsid w:val="00F627EB"/>
    <w:rsid w:val="00F75A10"/>
    <w:rsid w:val="00F77276"/>
    <w:rsid w:val="00F86F27"/>
    <w:rsid w:val="00F95853"/>
    <w:rsid w:val="00FA7500"/>
    <w:rsid w:val="00FB3F26"/>
    <w:rsid w:val="00FC3213"/>
    <w:rsid w:val="00FC48C6"/>
    <w:rsid w:val="00FD0815"/>
    <w:rsid w:val="00FF378D"/>
    <w:rsid w:val="00FF4F95"/>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6774A592"/>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9"/>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9"/>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1,FOOTNOTES,Footnote Text - Sharp,Footnote Text - Sharp Char,Footnote Text - Sharp Char Char,Footnote Text Char Char Char Char Char,Footnote reference,Sharp - Footnote Text,Sharp - Footnote Text1 Char,fn,footnote text"/>
    <w:basedOn w:val="Normal"/>
    <w:link w:val="a4"/>
    <w:uiPriority w:val="99"/>
    <w:rsid w:val="00574579"/>
    <w:pPr>
      <w:spacing w:line="240" w:lineRule="auto"/>
      <w:ind w:left="720" w:hanging="720"/>
    </w:pPr>
    <w:rPr>
      <w:szCs w:val="20"/>
    </w:rPr>
  </w:style>
  <w:style w:type="character" w:customStyle="1" w:styleId="a4">
    <w:name w:val="טקסט הערת שוליים תו"/>
    <w:aliases w:val=" Char תו,Char תו,FOOTNOTES תו,Footnote Text - Sharp Char Char תו,Footnote Text - Sharp Char תו,Footnote Text - Sharp תו,Footnote Text Char Char Char Char Char תו,Footnote reference תו,Sharp - Footnote Text תו,fn תו,footnote text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Number,Num Bullet 1,Use Case List Paragraph,style 2,פיסקת רשימה1"/>
    <w:basedOn w:val="Normal"/>
    <w:link w:val="a5"/>
    <w:uiPriority w:val="34"/>
    <w:qFormat/>
    <w:rsid w:val="00B4321D"/>
    <w:pPr>
      <w:ind w:left="720"/>
      <w:contextualSpacing/>
    </w:pPr>
  </w:style>
  <w:style w:type="character" w:customStyle="1" w:styleId="a5">
    <w:name w:val="פיסקת רשימה תו"/>
    <w:aliases w:val="Bullet Number תו,Num Bullet 1 תו,Use Case List Paragraph תו,style 2 תו,פיסקת רשימה1 תו"/>
    <w:link w:val="ListParagraph"/>
    <w:uiPriority w:val="34"/>
    <w:rsid w:val="00B4321D"/>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6"/>
    <w:uiPriority w:val="99"/>
    <w:semiHidden/>
    <w:unhideWhenUsed/>
    <w:rsid w:val="00B4321D"/>
    <w:pPr>
      <w:spacing w:line="240" w:lineRule="auto"/>
    </w:pPr>
    <w:rPr>
      <w:rFonts w:ascii="Tahoma" w:hAnsi="Tahoma" w:cs="Tahoma"/>
      <w:sz w:val="18"/>
      <w:szCs w:val="18"/>
    </w:rPr>
  </w:style>
  <w:style w:type="character" w:customStyle="1" w:styleId="a6">
    <w:name w:val="טקסט בלונים תו"/>
    <w:basedOn w:val="DefaultParagraphFont"/>
    <w:link w:val="BalloonText"/>
    <w:uiPriority w:val="99"/>
    <w:semiHidden/>
    <w:rsid w:val="00B4321D"/>
    <w:rPr>
      <w:rFonts w:ascii="Tahoma" w:hAnsi="Tahoma" w:cs="Tahoma"/>
      <w:sz w:val="18"/>
      <w:szCs w:val="18"/>
    </w:rPr>
  </w:style>
  <w:style w:type="character" w:styleId="CommentReference">
    <w:name w:val="annotation reference"/>
    <w:basedOn w:val="DefaultParagraphFont"/>
    <w:uiPriority w:val="99"/>
    <w:semiHidden/>
    <w:unhideWhenUsed/>
    <w:rsid w:val="00B4321D"/>
    <w:rPr>
      <w:sz w:val="16"/>
      <w:szCs w:val="16"/>
    </w:rPr>
  </w:style>
  <w:style w:type="paragraph" w:styleId="CommentText">
    <w:name w:val="annotation text"/>
    <w:basedOn w:val="Normal"/>
    <w:link w:val="a7"/>
    <w:uiPriority w:val="99"/>
    <w:unhideWhenUsed/>
    <w:rsid w:val="00B4321D"/>
    <w:pPr>
      <w:spacing w:line="240" w:lineRule="auto"/>
    </w:pPr>
    <w:rPr>
      <w:szCs w:val="20"/>
    </w:rPr>
  </w:style>
  <w:style w:type="character" w:customStyle="1" w:styleId="a7">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8"/>
    <w:uiPriority w:val="99"/>
    <w:semiHidden/>
    <w:unhideWhenUsed/>
    <w:rsid w:val="00B4321D"/>
    <w:rPr>
      <w:b/>
      <w:bCs/>
    </w:rPr>
  </w:style>
  <w:style w:type="character" w:customStyle="1" w:styleId="a8">
    <w:name w:val="נושא הערה תו"/>
    <w:basedOn w:val="a7"/>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9"/>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9">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2">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character" w:customStyle="1" w:styleId="size">
    <w:name w:val="size"/>
    <w:basedOn w:val="DefaultParagraphFont"/>
    <w:rsid w:val="009E2768"/>
  </w:style>
  <w:style w:type="table" w:styleId="GridTable5DarkAccent5">
    <w:name w:val="Grid Table 5 Dark Accent 5"/>
    <w:basedOn w:val="TableNormal"/>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3">
    <w:name w:val="Grid Table 5 Dark Accent 3"/>
    <w:basedOn w:val="TableNormal"/>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Emphasis">
    <w:name w:val="Emphasis"/>
    <w:basedOn w:val="DefaultParagraphFont"/>
    <w:uiPriority w:val="20"/>
    <w:qFormat/>
    <w:rsid w:val="009E2768"/>
    <w:rPr>
      <w:i/>
      <w:iCs/>
    </w:rPr>
  </w:style>
  <w:style w:type="paragraph" w:customStyle="1" w:styleId="a49">
    <w:name w:val="סגנון בסיס"/>
    <w:basedOn w:val="Normal"/>
    <w:rsid w:val="009E2768"/>
    <w:pPr>
      <w:spacing w:line="360" w:lineRule="auto"/>
      <w:ind w:right="360"/>
    </w:pPr>
    <w:rPr>
      <w:rFonts w:eastAsia="Times New Roman" w:cs="Narkisim"/>
      <w:sz w:val="24"/>
      <w:szCs w:val="25"/>
      <w:lang w:eastAsia="he-IL"/>
    </w:rPr>
  </w:style>
  <w:style w:type="table" w:customStyle="1" w:styleId="26">
    <w:name w:val="רשת טבלה2"/>
    <w:basedOn w:val="TableNormal"/>
    <w:next w:val="TableGrid"/>
    <w:uiPriority w:val="59"/>
    <w:rsid w:val="008849E2"/>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טבלת רשת 4 - הדגשה 31"/>
    <w:basedOn w:val="TableNormal"/>
    <w:next w:val="GridTable4Accent3"/>
    <w:uiPriority w:val="49"/>
    <w:rsid w:val="00E303AD"/>
    <w:pPr>
      <w:spacing w:after="0" w:line="240" w:lineRule="auto"/>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styleId="Strong">
    <w:name w:val="Strong"/>
    <w:basedOn w:val="DefaultParagraphFont"/>
    <w:uiPriority w:val="22"/>
    <w:qFormat/>
    <w:rsid w:val="00E303AD"/>
    <w:rPr>
      <w:b/>
      <w:bCs/>
    </w:rPr>
  </w:style>
  <w:style w:type="table" w:customStyle="1" w:styleId="4-51">
    <w:name w:val="טבלת רשת 4 - הדגשה 51"/>
    <w:basedOn w:val="TableNormal"/>
    <w:next w:val="GridTable4Accent5"/>
    <w:uiPriority w:val="49"/>
    <w:rsid w:val="00E303AD"/>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TOC11">
    <w:name w:val="TOC 11"/>
    <w:basedOn w:val="Normal"/>
    <w:next w:val="Normal"/>
    <w:autoRedefine/>
    <w:uiPriority w:val="39"/>
    <w:unhideWhenUsed/>
    <w:rsid w:val="00E303AD"/>
    <w:pPr>
      <w:tabs>
        <w:tab w:val="right" w:leader="dot" w:pos="8211"/>
      </w:tabs>
      <w:spacing w:after="100"/>
    </w:pPr>
    <w:rPr>
      <w:rFonts w:ascii="Calibri" w:eastAsia="Times New Roman" w:hAnsi="Calibri" w:cs="Arial"/>
      <w:noProof/>
      <w:sz w:val="12"/>
      <w:szCs w:val="12"/>
    </w:rPr>
  </w:style>
  <w:style w:type="paragraph" w:customStyle="1" w:styleId="TOC31">
    <w:name w:val="TOC 31"/>
    <w:basedOn w:val="Normal"/>
    <w:next w:val="Normal"/>
    <w:autoRedefine/>
    <w:uiPriority w:val="39"/>
    <w:unhideWhenUsed/>
    <w:rsid w:val="00E303AD"/>
    <w:pPr>
      <w:tabs>
        <w:tab w:val="right" w:leader="dot" w:pos="8211"/>
      </w:tabs>
      <w:spacing w:after="100"/>
      <w:ind w:left="400" w:hanging="117"/>
    </w:pPr>
    <w:rPr>
      <w:rFonts w:eastAsia="Times New Roman"/>
      <w:noProof/>
    </w:rPr>
  </w:style>
  <w:style w:type="paragraph" w:styleId="TOC2">
    <w:name w:val="toc 2"/>
    <w:basedOn w:val="Normal"/>
    <w:next w:val="Normal"/>
    <w:autoRedefine/>
    <w:uiPriority w:val="39"/>
    <w:unhideWhenUsed/>
    <w:rsid w:val="00E303AD"/>
    <w:pPr>
      <w:tabs>
        <w:tab w:val="right" w:leader="dot" w:pos="8211"/>
      </w:tabs>
      <w:spacing w:after="100"/>
      <w:ind w:left="200"/>
    </w:pPr>
    <w:rPr>
      <w:b/>
      <w:bCs/>
      <w:noProof/>
    </w:rPr>
  </w:style>
  <w:style w:type="paragraph" w:styleId="TOC4">
    <w:name w:val="toc 4"/>
    <w:basedOn w:val="Normal"/>
    <w:next w:val="Normal"/>
    <w:autoRedefine/>
    <w:uiPriority w:val="39"/>
    <w:unhideWhenUsed/>
    <w:rsid w:val="00E303AD"/>
    <w:pPr>
      <w:spacing w:after="100"/>
      <w:ind w:left="600"/>
    </w:pPr>
  </w:style>
  <w:style w:type="paragraph" w:styleId="TOC5">
    <w:name w:val="toc 5"/>
    <w:basedOn w:val="Normal"/>
    <w:next w:val="Normal"/>
    <w:autoRedefine/>
    <w:uiPriority w:val="39"/>
    <w:unhideWhenUsed/>
    <w:rsid w:val="00E303AD"/>
    <w:pPr>
      <w:spacing w:after="100"/>
      <w:ind w:left="800"/>
    </w:pPr>
  </w:style>
  <w:style w:type="paragraph" w:customStyle="1" w:styleId="19">
    <w:name w:val="טקסט רגיל1"/>
    <w:basedOn w:val="Normal"/>
    <w:next w:val="PlainText"/>
    <w:link w:val="a50"/>
    <w:uiPriority w:val="99"/>
    <w:unhideWhenUsed/>
    <w:rsid w:val="00E303AD"/>
    <w:pPr>
      <w:spacing w:line="240" w:lineRule="auto"/>
      <w:jc w:val="left"/>
    </w:pPr>
    <w:rPr>
      <w:rFonts w:ascii="Calibri" w:hAnsi="Calibri" w:cs="Arial"/>
      <w:sz w:val="22"/>
      <w:szCs w:val="21"/>
    </w:rPr>
  </w:style>
  <w:style w:type="character" w:customStyle="1" w:styleId="a50">
    <w:name w:val="טקסט רגיל תו"/>
    <w:basedOn w:val="DefaultParagraphFont"/>
    <w:link w:val="19"/>
    <w:uiPriority w:val="99"/>
    <w:rsid w:val="00E303AD"/>
    <w:rPr>
      <w:rFonts w:ascii="Calibri" w:hAnsi="Calibri" w:cs="Arial"/>
      <w:sz w:val="22"/>
      <w:szCs w:val="21"/>
    </w:rPr>
  </w:style>
  <w:style w:type="character" w:customStyle="1" w:styleId="Bodytext2">
    <w:name w:val="Body text (2)"/>
    <w:basedOn w:val="DefaultParagraphFont"/>
    <w:rsid w:val="00E303AD"/>
    <w:rPr>
      <w:rFonts w:ascii="Lucida Sans Unicode" w:eastAsia="Lucida Sans Unicode" w:hAnsi="Lucida Sans Unicode" w:cs="Lucida Sans Unicode"/>
      <w:b w:val="0"/>
      <w:bCs w:val="0"/>
      <w:i w:val="0"/>
      <w:iCs w:val="0"/>
      <w:smallCaps w:val="0"/>
      <w:strike w:val="0"/>
      <w:color w:val="000000"/>
      <w:spacing w:val="0"/>
      <w:w w:val="100"/>
      <w:position w:val="0"/>
      <w:sz w:val="19"/>
      <w:szCs w:val="19"/>
      <w:u w:val="single"/>
      <w:lang w:val="he-IL" w:eastAsia="he-IL" w:bidi="he-IL"/>
    </w:rPr>
  </w:style>
  <w:style w:type="table" w:styleId="GridTable4Accent3">
    <w:name w:val="Grid Table 4 Accent 3"/>
    <w:basedOn w:val="TableNormal"/>
    <w:uiPriority w:val="49"/>
    <w:rsid w:val="00E303A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5">
    <w:name w:val="Grid Table 4 Accent 5"/>
    <w:basedOn w:val="TableNormal"/>
    <w:uiPriority w:val="49"/>
    <w:rsid w:val="00E303A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PlainText">
    <w:name w:val="Plain Text"/>
    <w:basedOn w:val="Normal"/>
    <w:link w:val="110"/>
    <w:uiPriority w:val="99"/>
    <w:semiHidden/>
    <w:unhideWhenUsed/>
    <w:rsid w:val="00E303AD"/>
    <w:pPr>
      <w:spacing w:line="240" w:lineRule="auto"/>
    </w:pPr>
    <w:rPr>
      <w:rFonts w:ascii="Consolas" w:hAnsi="Consolas"/>
      <w:sz w:val="21"/>
      <w:szCs w:val="21"/>
    </w:rPr>
  </w:style>
  <w:style w:type="character" w:customStyle="1" w:styleId="110">
    <w:name w:val="טקסט רגיל תו1"/>
    <w:basedOn w:val="DefaultParagraphFont"/>
    <w:link w:val="PlainText"/>
    <w:uiPriority w:val="99"/>
    <w:semiHidden/>
    <w:rsid w:val="00E303AD"/>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eader" Target="header2.xml"/><Relationship Id="rId47" Type="http://schemas.openxmlformats.org/officeDocument/2006/relationships/customXml" Target="../customXml/item3.xml"/><Relationship Id="rId7" Type="http://schemas.openxmlformats.org/officeDocument/2006/relationships/image" Target="media/image2.png"/><Relationship Id="rId16" Type="http://schemas.openxmlformats.org/officeDocument/2006/relationships/image" Target="media/image11.png"/><Relationship Id="rId2" Type="http://schemas.openxmlformats.org/officeDocument/2006/relationships/settings" Target="settings.xml"/><Relationship Id="rId29" Type="http://schemas.openxmlformats.org/officeDocument/2006/relationships/image" Target="media/image24.png"/><Relationship Id="rId1"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5" Type="http://schemas.openxmlformats.org/officeDocument/2006/relationships/customXml" Target="../customXml/item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numbering" Target="numbering.xml"/><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 Type="http://schemas.openxmlformats.org/officeDocument/2006/relationships/fontTable" Target="fontTable.xml"/><Relationship Id="rId43" Type="http://schemas.openxmlformats.org/officeDocument/2006/relationships/theme" Target="theme/theme1.xml"/><Relationship Id="rId9" Type="http://schemas.openxmlformats.org/officeDocument/2006/relationships/image" Target="media/image4.png"/><Relationship Id="rId48" Type="http://schemas.openxmlformats.org/officeDocument/2006/relationships/customXml" Target="../customXml/item4.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customXml" Target="../customXml/item2.xml"/><Relationship Id="rId20" Type="http://schemas.openxmlformats.org/officeDocument/2006/relationships/image" Target="media/image15.png"/><Relationship Id="rId41" Type="http://schemas.openxmlformats.org/officeDocument/2006/relationships/header" Target="head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B11AA27-FD39-4485-8F16-597E77148EDA}">
  <ds:schemaRefs>
    <ds:schemaRef ds:uri="http://schemas.openxmlformats.org/officeDocument/2006/bibliography"/>
  </ds:schemaRefs>
</ds:datastoreItem>
</file>

<file path=customXml/itemProps2.xml><?xml version="1.0" encoding="utf-8"?>
<ds:datastoreItem xmlns:ds="http://schemas.openxmlformats.org/officeDocument/2006/customXml" ds:itemID="{6C663C7B-C7EA-4C7F-9EC3-BA97AB0AF3C7}"/>
</file>

<file path=customXml/itemProps3.xml><?xml version="1.0" encoding="utf-8"?>
<ds:datastoreItem xmlns:ds="http://schemas.openxmlformats.org/officeDocument/2006/customXml" ds:itemID="{490DD347-B46A-4570-BBE3-71B9782D3A59}"/>
</file>

<file path=customXml/itemProps4.xml><?xml version="1.0" encoding="utf-8"?>
<ds:datastoreItem xmlns:ds="http://schemas.openxmlformats.org/officeDocument/2006/customXml" ds:itemID="{ABA3A181-ED16-4243-87E6-7078E809E1A5}"/>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